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wmf" ContentType="image/x-wmf"/>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mbeddings/Microsoft_Visio___1.vsdx" ContentType="application/vnd.ms-visio.drawing"/>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widowControl/>
        <w:jc w:val="center"/>
        <w:rPr>
          <w:rFonts w:ascii="Times New Roman" w:hAnsi="Times New Roman" w:eastAsia="宋体" w:cs="Times New Roman"/>
          <w:kern w:val="2"/>
          <w:sz w:val="21"/>
          <w:szCs w:val="21"/>
          <w:lang w:eastAsia="zh-CN"/>
        </w:rPr>
      </w:pPr>
      <w:r>
        <w:drawing>
          <wp:anchor distT="0" distB="0" distL="114300" distR="114300" simplePos="0" relativeHeight="251659264" behindDoc="0" locked="0" layoutInCell="1" allowOverlap="1">
            <wp:simplePos x="0" y="0"/>
            <wp:positionH relativeFrom="column">
              <wp:posOffset>-900430</wp:posOffset>
            </wp:positionH>
            <wp:positionV relativeFrom="paragraph">
              <wp:posOffset>-900430</wp:posOffset>
            </wp:positionV>
            <wp:extent cx="7562850" cy="10106025"/>
            <wp:effectExtent l="0" t="0" r="635" b="0"/>
            <wp:wrapNone/>
            <wp:docPr id="1330379826" name="图片 8" descr="图示, 文本, 信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379826" name="图片 8" descr="图示, 文本, 信件&#10;&#10;描述已自动生成"/>
                    <pic:cNvPicPr>
                      <a:picLocks noChangeAspect="1" noChangeArrowheads="1"/>
                    </pic:cNvPicPr>
                  </pic:nvPicPr>
                  <pic:blipFill>
                    <a:blip r:embed="rId10">
                      <a:extLst>
                        <a:ext uri="{28A0092B-C50C-407E-A947-70E740481C1C}">
                          <a14:useLocalDpi xmlns:a14="http://schemas.microsoft.com/office/drawing/2010/main" val="0"/>
                        </a:ext>
                      </a:extLst>
                    </a:blip>
                    <a:srcRect b="5639"/>
                    <a:stretch>
                      <a:fillRect/>
                    </a:stretch>
                  </pic:blipFill>
                  <pic:spPr>
                    <a:xfrm>
                      <a:off x="0" y="0"/>
                      <a:ext cx="7571818" cy="10118102"/>
                    </a:xfrm>
                    <a:prstGeom prst="rect">
                      <a:avLst/>
                    </a:prstGeom>
                    <a:noFill/>
                    <a:ln>
                      <a:noFill/>
                    </a:ln>
                  </pic:spPr>
                </pic:pic>
              </a:graphicData>
            </a:graphic>
          </wp:anchor>
        </w:drawing>
      </w:r>
    </w:p>
    <w:p>
      <w:pPr>
        <w:widowControl/>
        <w:jc w:val="center"/>
        <w:rPr>
          <w:rFonts w:ascii="Times New Roman" w:hAnsi="Times New Roman" w:eastAsia="宋体" w:cs="Times New Roman"/>
          <w:kern w:val="2"/>
          <w:sz w:val="21"/>
          <w:szCs w:val="21"/>
          <w:lang w:eastAsia="zh-CN"/>
        </w:rPr>
      </w:pPr>
    </w:p>
    <w:p>
      <w:pPr>
        <w:widowControl/>
        <w:jc w:val="center"/>
        <w:rPr>
          <w:rFonts w:ascii="Times New Roman" w:hAnsi="Times New Roman" w:eastAsia="宋体" w:cs="Times New Roman"/>
          <w:kern w:val="2"/>
          <w:sz w:val="21"/>
          <w:szCs w:val="21"/>
          <w:lang w:eastAsia="zh-CN"/>
        </w:rPr>
      </w:pPr>
    </w:p>
    <w:p>
      <w:pPr>
        <w:widowControl/>
        <w:jc w:val="center"/>
        <w:rPr>
          <w:rFonts w:ascii="Times New Roman" w:hAnsi="Times New Roman" w:eastAsia="宋体" w:cs="Times New Roman"/>
          <w:kern w:val="2"/>
          <w:sz w:val="21"/>
          <w:szCs w:val="21"/>
          <w:lang w:eastAsia="zh-CN"/>
        </w:rPr>
      </w:pPr>
    </w:p>
    <w:p>
      <w:pPr>
        <w:widowControl/>
        <w:jc w:val="center"/>
        <w:rPr>
          <w:rFonts w:ascii="Times New Roman" w:hAnsi="Times New Roman" w:eastAsia="宋体" w:cs="Times New Roman"/>
          <w:kern w:val="2"/>
          <w:sz w:val="21"/>
          <w:szCs w:val="21"/>
          <w:lang w:eastAsia="zh-CN"/>
        </w:rPr>
      </w:pPr>
    </w:p>
    <w:p>
      <w:pPr>
        <w:widowControl/>
        <w:jc w:val="center"/>
        <w:rPr>
          <w:rFonts w:ascii="Times New Roman" w:hAnsi="Times New Roman" w:eastAsia="宋体" w:cs="Times New Roman"/>
          <w:kern w:val="2"/>
          <w:sz w:val="21"/>
          <w:szCs w:val="21"/>
          <w:lang w:eastAsia="zh-CN"/>
        </w:rPr>
      </w:pPr>
    </w:p>
    <w:p>
      <w:pPr>
        <w:widowControl/>
        <w:jc w:val="center"/>
        <w:rPr>
          <w:rFonts w:ascii="Times New Roman" w:hAnsi="Times New Roman" w:eastAsia="宋体" w:cs="Times New Roman"/>
          <w:kern w:val="2"/>
          <w:sz w:val="21"/>
          <w:szCs w:val="21"/>
          <w:lang w:eastAsia="zh-CN"/>
        </w:rPr>
      </w:pPr>
    </w:p>
    <w:p>
      <w:pPr>
        <w:widowControl/>
        <w:jc w:val="center"/>
        <w:rPr>
          <w:rFonts w:ascii="Times New Roman" w:hAnsi="Times New Roman" w:eastAsia="宋体" w:cs="Times New Roman"/>
          <w:kern w:val="2"/>
          <w:sz w:val="21"/>
          <w:szCs w:val="21"/>
          <w:lang w:eastAsia="zh-CN"/>
        </w:rPr>
      </w:pPr>
    </w:p>
    <w:p>
      <w:pPr>
        <w:widowControl/>
        <w:jc w:val="center"/>
        <w:rPr>
          <w:rFonts w:ascii="Times New Roman" w:hAnsi="Times New Roman" w:eastAsia="宋体" w:cs="Times New Roman"/>
          <w:kern w:val="2"/>
          <w:sz w:val="21"/>
          <w:szCs w:val="21"/>
          <w:lang w:eastAsia="zh-CN"/>
        </w:rPr>
      </w:pPr>
    </w:p>
    <w:p>
      <w:pPr>
        <w:widowControl/>
        <w:jc w:val="center"/>
        <w:rPr>
          <w:rFonts w:ascii="Times New Roman" w:hAnsi="Times New Roman" w:eastAsia="宋体" w:cs="Times New Roman"/>
          <w:kern w:val="2"/>
          <w:sz w:val="21"/>
          <w:szCs w:val="21"/>
          <w:lang w:eastAsia="zh-CN"/>
        </w:rPr>
      </w:pPr>
    </w:p>
    <w:p>
      <w:pPr>
        <w:adjustRightInd w:val="0"/>
        <w:snapToGrid w:val="0"/>
        <w:jc w:val="center"/>
        <w:outlineLvl w:val="0"/>
        <w:rPr>
          <w:rFonts w:ascii="Times New Roman" w:hAnsi="Times New Roman" w:eastAsia="方正小标宋_GBK" w:cs="Times New Roman"/>
          <w:bCs/>
          <w:kern w:val="2"/>
          <w:sz w:val="72"/>
          <w:szCs w:val="72"/>
          <w:lang w:eastAsia="zh-CN"/>
        </w:rPr>
      </w:pPr>
      <w:r>
        <w:rPr>
          <w:rFonts w:ascii="Times New Roman" w:hAnsi="Times New Roman" w:eastAsia="方正小标宋_GBK" w:cs="Times New Roman"/>
          <w:bCs/>
          <w:kern w:val="2"/>
          <w:sz w:val="72"/>
          <w:szCs w:val="72"/>
          <w:lang w:eastAsia="zh-CN"/>
        </w:rPr>
        <w:t>建设项目环境影响报告表</w:t>
      </w:r>
    </w:p>
    <w:p>
      <w:pPr>
        <w:adjustRightInd w:val="0"/>
        <w:snapToGrid w:val="0"/>
        <w:spacing w:before="192" w:beforeLines="80" w:line="360" w:lineRule="auto"/>
        <w:jc w:val="center"/>
        <w:rPr>
          <w:rFonts w:ascii="Times New Roman" w:hAnsi="Times New Roman" w:eastAsia="楷体_GB2312" w:cs="Times New Roman"/>
          <w:bCs/>
          <w:kern w:val="2"/>
          <w:sz w:val="48"/>
          <w:szCs w:val="48"/>
          <w:lang w:eastAsia="zh-CN"/>
        </w:rPr>
      </w:pPr>
      <w:r>
        <w:rPr>
          <w:rFonts w:ascii="Times New Roman" w:hAnsi="Times New Roman" w:eastAsia="楷体_GB2312" w:cs="Times New Roman"/>
          <w:bCs/>
          <w:kern w:val="2"/>
          <w:sz w:val="48"/>
          <w:szCs w:val="48"/>
          <w:lang w:eastAsia="zh-CN"/>
        </w:rPr>
        <w:t>（污染影响类）</w:t>
      </w:r>
    </w:p>
    <w:p>
      <w:pPr>
        <w:widowControl/>
        <w:jc w:val="center"/>
        <w:rPr>
          <w:rFonts w:ascii="Times New Roman" w:hAnsi="Times New Roman" w:eastAsia="宋体" w:cs="Times New Roman"/>
          <w:kern w:val="2"/>
          <w:sz w:val="21"/>
          <w:szCs w:val="21"/>
          <w:lang w:eastAsia="zh-CN"/>
        </w:rPr>
      </w:pPr>
    </w:p>
    <w:p>
      <w:pPr>
        <w:widowControl/>
        <w:jc w:val="center"/>
        <w:rPr>
          <w:rFonts w:ascii="Times New Roman" w:hAnsi="Times New Roman" w:eastAsia="宋体" w:cs="Times New Roman"/>
          <w:kern w:val="2"/>
          <w:sz w:val="21"/>
          <w:szCs w:val="21"/>
          <w:lang w:eastAsia="zh-CN"/>
        </w:rPr>
      </w:pPr>
    </w:p>
    <w:p>
      <w:pPr>
        <w:widowControl/>
        <w:jc w:val="center"/>
        <w:rPr>
          <w:rFonts w:ascii="Times New Roman" w:hAnsi="Times New Roman" w:eastAsia="宋体" w:cs="Times New Roman"/>
          <w:kern w:val="2"/>
          <w:sz w:val="21"/>
          <w:szCs w:val="21"/>
          <w:lang w:eastAsia="zh-CN"/>
        </w:rPr>
      </w:pPr>
    </w:p>
    <w:p>
      <w:pPr>
        <w:widowControl/>
        <w:jc w:val="center"/>
        <w:rPr>
          <w:rFonts w:ascii="Times New Roman" w:hAnsi="Times New Roman" w:eastAsia="宋体" w:cs="Times New Roman"/>
          <w:kern w:val="2"/>
          <w:sz w:val="21"/>
          <w:szCs w:val="21"/>
          <w:lang w:eastAsia="zh-CN"/>
        </w:rPr>
      </w:pPr>
    </w:p>
    <w:p>
      <w:pPr>
        <w:widowControl/>
        <w:jc w:val="center"/>
        <w:rPr>
          <w:rFonts w:ascii="Times New Roman" w:hAnsi="Times New Roman" w:eastAsia="宋体" w:cs="Times New Roman"/>
          <w:kern w:val="2"/>
          <w:sz w:val="21"/>
          <w:szCs w:val="21"/>
          <w:lang w:eastAsia="zh-CN"/>
        </w:rPr>
      </w:pPr>
    </w:p>
    <w:p>
      <w:pPr>
        <w:widowControl/>
        <w:jc w:val="center"/>
        <w:rPr>
          <w:rFonts w:ascii="Times New Roman" w:hAnsi="Times New Roman" w:eastAsia="宋体" w:cs="Times New Roman"/>
          <w:kern w:val="2"/>
          <w:sz w:val="21"/>
          <w:szCs w:val="21"/>
          <w:lang w:eastAsia="zh-CN"/>
        </w:rPr>
      </w:pPr>
    </w:p>
    <w:p>
      <w:pPr>
        <w:widowControl/>
        <w:jc w:val="center"/>
        <w:rPr>
          <w:rFonts w:ascii="Times New Roman" w:hAnsi="Times New Roman" w:eastAsia="宋体" w:cs="Times New Roman"/>
          <w:kern w:val="2"/>
          <w:sz w:val="21"/>
          <w:szCs w:val="21"/>
          <w:lang w:eastAsia="zh-CN"/>
        </w:rPr>
      </w:pPr>
    </w:p>
    <w:p>
      <w:pPr>
        <w:widowControl/>
        <w:jc w:val="center"/>
        <w:rPr>
          <w:rFonts w:ascii="Times New Roman" w:hAnsi="Times New Roman" w:eastAsia="宋体" w:cs="Times New Roman"/>
          <w:kern w:val="2"/>
          <w:sz w:val="21"/>
          <w:szCs w:val="21"/>
          <w:lang w:eastAsia="zh-CN"/>
        </w:rPr>
      </w:pPr>
    </w:p>
    <w:p>
      <w:pPr>
        <w:widowControl/>
        <w:jc w:val="center"/>
        <w:rPr>
          <w:rFonts w:ascii="Times New Roman" w:hAnsi="Times New Roman" w:eastAsia="宋体" w:cs="Times New Roman"/>
          <w:kern w:val="2"/>
          <w:sz w:val="21"/>
          <w:szCs w:val="21"/>
          <w:lang w:eastAsia="zh-CN"/>
        </w:rPr>
      </w:pPr>
    </w:p>
    <w:p>
      <w:pPr>
        <w:widowControl/>
        <w:jc w:val="center"/>
        <w:rPr>
          <w:rFonts w:ascii="Times New Roman" w:hAnsi="Times New Roman" w:eastAsia="宋体" w:cs="Times New Roman"/>
          <w:kern w:val="2"/>
          <w:sz w:val="21"/>
          <w:szCs w:val="21"/>
          <w:lang w:eastAsia="zh-CN"/>
        </w:rPr>
      </w:pPr>
    </w:p>
    <w:p>
      <w:pPr>
        <w:widowControl/>
        <w:jc w:val="center"/>
        <w:rPr>
          <w:rFonts w:ascii="Times New Roman" w:hAnsi="Times New Roman" w:eastAsia="宋体" w:cs="Times New Roman"/>
          <w:kern w:val="2"/>
          <w:sz w:val="21"/>
          <w:szCs w:val="21"/>
          <w:lang w:eastAsia="zh-CN"/>
        </w:rPr>
      </w:pPr>
    </w:p>
    <w:p>
      <w:pPr>
        <w:adjustRightInd w:val="0"/>
        <w:snapToGrid w:val="0"/>
        <w:spacing w:line="288" w:lineRule="auto"/>
        <w:ind w:firstLine="720" w:firstLineChars="200"/>
        <w:jc w:val="both"/>
        <w:rPr>
          <w:rFonts w:ascii="Times New Roman" w:hAnsi="Times New Roman" w:eastAsia="仿宋_GB2312" w:cs="Times New Roman"/>
          <w:kern w:val="2"/>
          <w:sz w:val="36"/>
          <w:szCs w:val="36"/>
          <w:u w:val="single"/>
          <w:lang w:eastAsia="zh-CN"/>
        </w:rPr>
      </w:pPr>
      <w:r>
        <w:rPr>
          <w:rFonts w:ascii="Times New Roman" w:hAnsi="Times New Roman" w:eastAsia="仿宋_GB2312" w:cs="Times New Roman"/>
          <w:kern w:val="2"/>
          <w:sz w:val="36"/>
          <w:szCs w:val="36"/>
          <w:lang w:eastAsia="zh-CN"/>
        </w:rPr>
        <w:t>项目名称：</w:t>
      </w:r>
      <w:r>
        <w:rPr>
          <w:rFonts w:hint="eastAsia" w:ascii="Times New Roman" w:hAnsi="Times New Roman" w:eastAsia="仿宋_GB2312" w:cs="Times New Roman"/>
          <w:kern w:val="2"/>
          <w:sz w:val="36"/>
          <w:szCs w:val="36"/>
          <w:u w:val="single"/>
          <w:lang w:eastAsia="zh-CN"/>
        </w:rPr>
        <w:t xml:space="preserve">聚褔鑫加油站                                        </w:t>
      </w:r>
      <w:r>
        <w:rPr>
          <w:rFonts w:ascii="Times New Roman" w:hAnsi="Times New Roman" w:eastAsia="仿宋_GB2312" w:cs="Times New Roman"/>
          <w:kern w:val="2"/>
          <w:sz w:val="36"/>
          <w:szCs w:val="36"/>
          <w:u w:val="single"/>
          <w:lang w:eastAsia="zh-CN"/>
        </w:rPr>
        <w:t xml:space="preserve"> </w:t>
      </w:r>
      <w:r>
        <w:rPr>
          <w:rFonts w:hint="eastAsia" w:ascii="Times New Roman" w:hAnsi="Times New Roman" w:eastAsia="仿宋_GB2312" w:cs="Times New Roman"/>
          <w:kern w:val="2"/>
          <w:sz w:val="36"/>
          <w:szCs w:val="36"/>
          <w:u w:val="single"/>
          <w:lang w:eastAsia="zh-CN"/>
        </w:rPr>
        <w:t xml:space="preserve">  </w:t>
      </w:r>
    </w:p>
    <w:p>
      <w:pPr>
        <w:adjustRightInd w:val="0"/>
        <w:snapToGrid w:val="0"/>
        <w:spacing w:line="288" w:lineRule="auto"/>
        <w:ind w:firstLine="720" w:firstLineChars="200"/>
        <w:jc w:val="both"/>
        <w:rPr>
          <w:rFonts w:ascii="Times New Roman" w:hAnsi="Times New Roman" w:eastAsia="仿宋_GB2312" w:cs="Times New Roman"/>
          <w:kern w:val="2"/>
          <w:sz w:val="36"/>
          <w:szCs w:val="36"/>
          <w:u w:val="single"/>
          <w:lang w:eastAsia="zh-CN"/>
        </w:rPr>
      </w:pPr>
      <w:r>
        <w:rPr>
          <w:rFonts w:ascii="Times New Roman" w:hAnsi="Times New Roman" w:eastAsia="仿宋_GB2312" w:cs="Times New Roman"/>
          <w:kern w:val="2"/>
          <w:sz w:val="36"/>
          <w:szCs w:val="36"/>
          <w:lang w:eastAsia="zh-CN"/>
        </w:rPr>
        <w:t>建设单位（盖章）：</w:t>
      </w:r>
      <w:bookmarkStart w:id="0" w:name="_Hlk185001034"/>
      <w:r>
        <w:rPr>
          <w:rFonts w:hint="eastAsia" w:ascii="Times New Roman" w:hAnsi="Times New Roman" w:eastAsia="仿宋_GB2312" w:cs="Times New Roman"/>
          <w:kern w:val="2"/>
          <w:sz w:val="36"/>
          <w:szCs w:val="36"/>
          <w:u w:val="single"/>
          <w:lang w:eastAsia="zh-CN"/>
        </w:rPr>
        <w:t>福建聚福鑫能源科技有限公司</w:t>
      </w:r>
      <w:bookmarkEnd w:id="0"/>
    </w:p>
    <w:p>
      <w:pPr>
        <w:adjustRightInd w:val="0"/>
        <w:snapToGrid w:val="0"/>
        <w:spacing w:line="288" w:lineRule="auto"/>
        <w:ind w:firstLine="720" w:firstLineChars="200"/>
        <w:jc w:val="both"/>
        <w:rPr>
          <w:rFonts w:ascii="Times New Roman" w:hAnsi="Times New Roman" w:eastAsia="仿宋_GB2312" w:cs="Times New Roman"/>
          <w:kern w:val="2"/>
          <w:sz w:val="36"/>
          <w:szCs w:val="36"/>
          <w:u w:val="single"/>
          <w:lang w:eastAsia="zh-CN"/>
        </w:rPr>
      </w:pPr>
      <w:r>
        <w:rPr>
          <w:rFonts w:ascii="Times New Roman" w:hAnsi="Times New Roman" w:eastAsia="仿宋_GB2312" w:cs="Times New Roman"/>
          <w:kern w:val="2"/>
          <w:sz w:val="36"/>
          <w:szCs w:val="36"/>
          <w:lang w:eastAsia="zh-CN"/>
        </w:rPr>
        <w:t>编制日期：</w:t>
      </w:r>
      <w:r>
        <w:rPr>
          <w:rFonts w:ascii="Times New Roman" w:hAnsi="Times New Roman" w:eastAsia="仿宋_GB2312" w:cs="Times New Roman"/>
          <w:kern w:val="2"/>
          <w:sz w:val="36"/>
          <w:szCs w:val="36"/>
          <w:u w:val="single"/>
          <w:lang w:eastAsia="zh-CN"/>
        </w:rPr>
        <w:t xml:space="preserve">       </w:t>
      </w:r>
      <w:r>
        <w:rPr>
          <w:rFonts w:hint="eastAsia" w:ascii="Times New Roman" w:hAnsi="Times New Roman" w:eastAsia="仿宋_GB2312" w:cs="Times New Roman"/>
          <w:kern w:val="2"/>
          <w:sz w:val="36"/>
          <w:szCs w:val="36"/>
          <w:u w:val="single"/>
          <w:lang w:eastAsia="zh-CN"/>
        </w:rPr>
        <w:t xml:space="preserve"> </w:t>
      </w:r>
      <w:r>
        <w:rPr>
          <w:rFonts w:ascii="Times New Roman" w:hAnsi="Times New Roman" w:eastAsia="仿宋_GB2312" w:cs="Times New Roman"/>
          <w:kern w:val="2"/>
          <w:sz w:val="36"/>
          <w:szCs w:val="36"/>
          <w:u w:val="single"/>
          <w:lang w:eastAsia="zh-CN"/>
        </w:rPr>
        <w:t>202</w:t>
      </w:r>
      <w:r>
        <w:rPr>
          <w:rFonts w:hint="eastAsia" w:ascii="Times New Roman" w:hAnsi="Times New Roman" w:eastAsia="仿宋_GB2312" w:cs="Times New Roman"/>
          <w:kern w:val="2"/>
          <w:sz w:val="36"/>
          <w:szCs w:val="36"/>
          <w:u w:val="single"/>
          <w:lang w:eastAsia="zh-CN"/>
        </w:rPr>
        <w:t>5</w:t>
      </w:r>
      <w:r>
        <w:rPr>
          <w:rFonts w:ascii="Times New Roman" w:hAnsi="Times New Roman" w:eastAsia="仿宋_GB2312" w:cs="Times New Roman"/>
          <w:kern w:val="2"/>
          <w:sz w:val="36"/>
          <w:szCs w:val="36"/>
          <w:u w:val="single"/>
          <w:lang w:eastAsia="zh-CN"/>
        </w:rPr>
        <w:t>年</w:t>
      </w:r>
      <w:r>
        <w:rPr>
          <w:rFonts w:hint="eastAsia" w:ascii="Times New Roman" w:hAnsi="Times New Roman" w:eastAsia="仿宋_GB2312" w:cs="Times New Roman"/>
          <w:kern w:val="2"/>
          <w:sz w:val="36"/>
          <w:szCs w:val="36"/>
          <w:u w:val="single"/>
          <w:lang w:eastAsia="zh-CN"/>
        </w:rPr>
        <w:t>1</w:t>
      </w:r>
      <w:r>
        <w:rPr>
          <w:rFonts w:ascii="Times New Roman" w:hAnsi="Times New Roman" w:eastAsia="仿宋_GB2312" w:cs="Times New Roman"/>
          <w:kern w:val="2"/>
          <w:sz w:val="36"/>
          <w:szCs w:val="36"/>
          <w:u w:val="single"/>
          <w:lang w:eastAsia="zh-CN"/>
        </w:rPr>
        <w:t xml:space="preserve">月    </w:t>
      </w:r>
      <w:r>
        <w:rPr>
          <w:rFonts w:hint="eastAsia" w:ascii="Times New Roman" w:hAnsi="Times New Roman" w:eastAsia="仿宋_GB2312" w:cs="Times New Roman"/>
          <w:kern w:val="2"/>
          <w:sz w:val="36"/>
          <w:szCs w:val="36"/>
          <w:u w:val="single"/>
          <w:lang w:eastAsia="zh-CN"/>
        </w:rPr>
        <w:t xml:space="preserve">        </w:t>
      </w:r>
      <w:r>
        <w:rPr>
          <w:rFonts w:ascii="Times New Roman" w:hAnsi="Times New Roman" w:eastAsia="仿宋_GB2312" w:cs="Times New Roman"/>
          <w:kern w:val="2"/>
          <w:sz w:val="36"/>
          <w:szCs w:val="36"/>
          <w:u w:val="single"/>
          <w:lang w:eastAsia="zh-CN"/>
        </w:rPr>
        <w:t xml:space="preserve">      </w:t>
      </w:r>
      <w:bookmarkStart w:id="1" w:name="_Hlk57884087"/>
    </w:p>
    <w:p>
      <w:pPr>
        <w:widowControl/>
        <w:jc w:val="center"/>
        <w:rPr>
          <w:rFonts w:ascii="Times New Roman" w:hAnsi="Times New Roman" w:eastAsia="宋体" w:cs="Times New Roman"/>
          <w:kern w:val="2"/>
          <w:sz w:val="21"/>
          <w:szCs w:val="21"/>
          <w:lang w:eastAsia="zh-CN"/>
        </w:rPr>
      </w:pPr>
    </w:p>
    <w:p>
      <w:pPr>
        <w:widowControl/>
        <w:jc w:val="center"/>
        <w:rPr>
          <w:rFonts w:ascii="Times New Roman" w:hAnsi="Times New Roman" w:eastAsia="宋体" w:cs="Times New Roman"/>
          <w:kern w:val="2"/>
          <w:sz w:val="21"/>
          <w:szCs w:val="21"/>
          <w:lang w:eastAsia="zh-CN"/>
        </w:rPr>
      </w:pPr>
    </w:p>
    <w:p>
      <w:pPr>
        <w:widowControl/>
        <w:jc w:val="center"/>
        <w:rPr>
          <w:rFonts w:ascii="Times New Roman" w:hAnsi="Times New Roman" w:eastAsia="宋体" w:cs="Times New Roman"/>
          <w:kern w:val="2"/>
          <w:sz w:val="21"/>
          <w:szCs w:val="21"/>
          <w:lang w:eastAsia="zh-CN"/>
        </w:rPr>
      </w:pPr>
    </w:p>
    <w:p>
      <w:pPr>
        <w:widowControl/>
        <w:jc w:val="center"/>
        <w:rPr>
          <w:rFonts w:ascii="Times New Roman" w:hAnsi="Times New Roman" w:eastAsia="宋体" w:cs="Times New Roman"/>
          <w:kern w:val="2"/>
          <w:sz w:val="21"/>
          <w:szCs w:val="21"/>
          <w:lang w:eastAsia="zh-CN"/>
        </w:rPr>
      </w:pPr>
    </w:p>
    <w:p>
      <w:pPr>
        <w:widowControl/>
        <w:jc w:val="center"/>
        <w:rPr>
          <w:rFonts w:ascii="Times New Roman" w:hAnsi="Times New Roman" w:eastAsia="宋体" w:cs="Times New Roman"/>
          <w:kern w:val="2"/>
          <w:sz w:val="21"/>
          <w:szCs w:val="21"/>
          <w:lang w:eastAsia="zh-CN"/>
        </w:rPr>
      </w:pPr>
    </w:p>
    <w:p>
      <w:pPr>
        <w:widowControl/>
        <w:jc w:val="center"/>
        <w:rPr>
          <w:rFonts w:ascii="Times New Roman" w:hAnsi="Times New Roman" w:eastAsia="宋体" w:cs="Times New Roman"/>
          <w:kern w:val="2"/>
          <w:sz w:val="21"/>
          <w:szCs w:val="21"/>
          <w:lang w:eastAsia="zh-CN"/>
        </w:rPr>
      </w:pPr>
    </w:p>
    <w:p>
      <w:pPr>
        <w:widowControl/>
        <w:jc w:val="center"/>
        <w:rPr>
          <w:rFonts w:ascii="Times New Roman" w:hAnsi="Times New Roman" w:eastAsia="宋体" w:cs="Times New Roman"/>
          <w:kern w:val="2"/>
          <w:sz w:val="21"/>
          <w:szCs w:val="21"/>
          <w:lang w:eastAsia="zh-CN"/>
        </w:rPr>
      </w:pPr>
    </w:p>
    <w:p>
      <w:pPr>
        <w:widowControl/>
        <w:jc w:val="center"/>
        <w:rPr>
          <w:rFonts w:ascii="Times New Roman" w:hAnsi="Times New Roman" w:eastAsia="宋体" w:cs="Times New Roman"/>
          <w:kern w:val="2"/>
          <w:sz w:val="21"/>
          <w:szCs w:val="21"/>
          <w:lang w:eastAsia="zh-CN"/>
        </w:rPr>
      </w:pPr>
    </w:p>
    <w:p>
      <w:pPr>
        <w:widowControl/>
        <w:jc w:val="center"/>
        <w:rPr>
          <w:rFonts w:ascii="Times New Roman" w:hAnsi="Times New Roman" w:eastAsia="宋体" w:cs="Times New Roman"/>
          <w:kern w:val="2"/>
          <w:sz w:val="21"/>
          <w:szCs w:val="21"/>
          <w:lang w:eastAsia="zh-CN"/>
        </w:rPr>
      </w:pPr>
    </w:p>
    <w:p>
      <w:pPr>
        <w:widowControl/>
        <w:jc w:val="center"/>
        <w:rPr>
          <w:rFonts w:ascii="Times New Roman" w:hAnsi="Times New Roman" w:eastAsia="宋体" w:cs="Times New Roman"/>
          <w:kern w:val="2"/>
          <w:sz w:val="21"/>
          <w:szCs w:val="21"/>
          <w:lang w:eastAsia="zh-CN"/>
        </w:rPr>
      </w:pPr>
    </w:p>
    <w:p>
      <w:pPr>
        <w:widowControl/>
        <w:jc w:val="center"/>
        <w:rPr>
          <w:rFonts w:ascii="Times New Roman" w:hAnsi="Times New Roman" w:eastAsia="宋体" w:cs="Times New Roman"/>
          <w:kern w:val="2"/>
          <w:sz w:val="21"/>
          <w:szCs w:val="21"/>
          <w:lang w:eastAsia="zh-CN"/>
        </w:rPr>
      </w:pPr>
    </w:p>
    <w:p>
      <w:pPr>
        <w:widowControl/>
        <w:jc w:val="center"/>
        <w:rPr>
          <w:rFonts w:ascii="Times New Roman" w:hAnsi="Times New Roman" w:eastAsia="宋体" w:cs="Times New Roman"/>
          <w:kern w:val="2"/>
          <w:sz w:val="21"/>
          <w:szCs w:val="21"/>
          <w:lang w:eastAsia="zh-CN"/>
        </w:rPr>
      </w:pPr>
    </w:p>
    <w:bookmarkEnd w:id="1"/>
    <w:p>
      <w:pPr>
        <w:adjustRightInd w:val="0"/>
        <w:snapToGrid w:val="0"/>
        <w:spacing w:line="288" w:lineRule="auto"/>
        <w:jc w:val="center"/>
        <w:rPr>
          <w:rFonts w:ascii="Times New Roman" w:hAnsi="Times New Roman" w:eastAsia="楷体_GB2312" w:cs="Times New Roman"/>
          <w:kern w:val="2"/>
          <w:sz w:val="36"/>
          <w:szCs w:val="36"/>
          <w:lang w:eastAsia="zh-CN"/>
        </w:rPr>
      </w:pPr>
      <w:r>
        <w:rPr>
          <w:rFonts w:ascii="Times New Roman" w:hAnsi="Times New Roman" w:eastAsia="楷体_GB2312" w:cs="Times New Roman"/>
          <w:kern w:val="2"/>
          <w:sz w:val="36"/>
          <w:szCs w:val="36"/>
          <w:lang w:eastAsia="zh-CN"/>
        </w:rPr>
        <w:t>中华人民共和国生态环境部制</w:t>
      </w:r>
    </w:p>
    <w:p>
      <w:pPr>
        <w:spacing w:line="460" w:lineRule="exact"/>
        <w:jc w:val="center"/>
        <w:rPr>
          <w:rFonts w:hint="eastAsia" w:ascii="楷体" w:hAnsi="楷体" w:eastAsia="楷体" w:cs="楷体"/>
          <w:sz w:val="36"/>
          <w:szCs w:val="36"/>
          <w:lang w:eastAsia="zh-CN"/>
        </w:rPr>
        <w:sectPr>
          <w:type w:val="continuous"/>
          <w:pgSz w:w="11910" w:h="16840"/>
          <w:pgMar w:top="1418" w:right="1418" w:bottom="1418" w:left="1418" w:header="720" w:footer="720" w:gutter="0"/>
          <w:cols w:space="720" w:num="1"/>
        </w:sectPr>
      </w:pPr>
    </w:p>
    <w:p>
      <w:pPr>
        <w:widowControl/>
        <w:rPr>
          <w:rFonts w:hint="eastAsia" w:ascii="宋体" w:hAnsi="宋体" w:eastAsia="宋体" w:cs="宋体"/>
          <w:b/>
          <w:bCs/>
          <w:sz w:val="30"/>
          <w:szCs w:val="30"/>
          <w:lang w:eastAsia="zh-CN"/>
        </w:rPr>
      </w:pPr>
      <w:r>
        <w:rPr>
          <w:sz w:val="22"/>
        </w:rPr>
        <mc:AlternateContent>
          <mc:Choice Requires="wps">
            <w:drawing>
              <wp:anchor distT="0" distB="0" distL="114300" distR="114300" simplePos="0" relativeHeight="251667456" behindDoc="0" locked="0" layoutInCell="1" allowOverlap="1">
                <wp:simplePos x="0" y="0"/>
                <wp:positionH relativeFrom="column">
                  <wp:posOffset>3569970</wp:posOffset>
                </wp:positionH>
                <wp:positionV relativeFrom="paragraph">
                  <wp:posOffset>6962775</wp:posOffset>
                </wp:positionV>
                <wp:extent cx="968375" cy="206375"/>
                <wp:effectExtent l="12700" t="12700" r="28575" b="28575"/>
                <wp:wrapNone/>
                <wp:docPr id="3" name="圆角矩形 3"/>
                <wp:cNvGraphicFramePr/>
                <a:graphic xmlns:a="http://schemas.openxmlformats.org/drawingml/2006/main">
                  <a:graphicData uri="http://schemas.microsoft.com/office/word/2010/wordprocessingShape">
                    <wps:wsp>
                      <wps:cNvSpPr/>
                      <wps:spPr>
                        <a:xfrm>
                          <a:off x="0" y="0"/>
                          <a:ext cx="968375" cy="206375"/>
                        </a:xfrm>
                        <a:prstGeom prst="roundRect">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281.1pt;margin-top:548.25pt;height:16.25pt;width:76.25pt;z-index:251667456;v-text-anchor:middle;mso-width-relative:page;mso-height-relative:page;" fillcolor="#4F81BD [3204]" filled="t" stroked="t" coordsize="21600,21600" arcsize="0.166666666666667" o:gfxdata="UEsDBAoAAAAAAIdO4kAAAAAAAAAAAAAAAAAEAAAAZHJzL1BLAwQUAAAACACHTuJA/Q1Cv9sAAAAN&#10;AQAADwAAAGRycy9kb3ducmV2LnhtbE2PQU7DMBBF90jcwRokdtR2RNMmjdMFCIQEUiH0AE48TSJi&#10;O4rdtHB6hlVZzvyvN2+K7dkObMYp9N4pkAsBDF3jTe9aBfvPp7s1sBC1M3rwDhV8Y4BteX1V6Nz4&#10;k/vAuYotI4gLuVbQxTjmnIemQ6vDwo/oKDv4yepI49RyM+kTwe3AEyFSbnXv6EKnR3zosPmqjpYo&#10;z3K2h93jS7bjw+u7rd9+qnat1O2NFBtgEc/xUoY/fVKHkpxqf3QmsEHBMk0SqlIgsnQJjCoreb8C&#10;VtNKJpkAXhb8/xflL1BLAwQUAAAACACHTuJAEN9/WogCAAAJBQAADgAAAGRycy9lMm9Eb2MueG1s&#10;rVTNbtQwEL4j8Q6W7zTZ/3a12WrpahFSoRUL4ux1nE0k22NsZ7PlAXgAzkhIXBAPweNU8BiMnbTd&#10;Fg49cElmPONv/H2e8ex0ryTZCesq0BntHaWUCM0hr/Q2o+/erp4dU+I80zmToEVGr4Sjp/OnT2aN&#10;mYo+lCBzYQmCaDdtTEZL7800SRwvhWLuCIzQGCzAKubRtdskt6xBdCWTfpqOkwZsbixw4RyuLtsg&#10;7RDtYwChKCoulsBrJbRvUa2QzCMlV1bG0Xk8bVEI7i+KwglPZEaRqY9fLIL2JnyT+YxNt5aZsuLd&#10;EdhjjvCAk2KVxqK3UEvmGalt9ReUqrgFB4U/4qCSlkhUBFn00gfarEtmROSCUjtzK7r7f7D89e7S&#10;kirP6IASzRRe+PWXT7+/f/719cf1z29kEBRqjJti4tpc2s5zaAa6+8Kq8EciZB9VvbpVVew94bh4&#10;Mj4eTEaUcAz103GwESW522ys8y8EKBKMjFqodf4Gby4Kynbnzrf5N3mhoANZ5atKyujY7eZMWrJj&#10;eMvD1XHv+bIrcS9NatLgEUbDFG+fM+zdAnsGTWWQv9NbSpjc4lBwb2Pte7vdYZHBZJye9GOSrNUr&#10;yNvak1GK2O1pu/zI9B5QoLFkrmy3xFC3RWrMDmK38gZrA/kVXpCFtnOd4asK958z5y+ZxVZFKjjM&#10;/gI/hQTkB51FSQn247/WQz52EEYpabD1kfuHmllBiXypsbdOesNhmJXoDEeTPjr2MLI5jOhanQHq&#10;3sNnw/Bohnwvb8zCgnqPM78IVTHENMfarcqdc+bbkcRXg4vFIqbhfBjmz/Xa8AAe7lnDovZQVLEf&#10;7tTpRMMJiWJ30xxG8NCPWXcv2PwP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AQAAFtDb250ZW50X1R5cGVzXS54bWxQSwECFAAKAAAAAACHTuJA&#10;AAAAAAAAAAAAAAAABgAAAAAAAAAAABAAAADeAwAAX3JlbHMvUEsBAhQAFAAAAAgAh07iQIoUZjzR&#10;AAAAlAEAAAsAAAAAAAAAAQAgAAAAAgQAAF9yZWxzLy5yZWxzUEsBAhQACgAAAAAAh07iQAAAAAAA&#10;AAAAAAAAAAQAAAAAAAAAAAAQAAAAAAAAAGRycy9QSwECFAAUAAAACACHTuJA/Q1Cv9sAAAANAQAA&#10;DwAAAAAAAAABACAAAAAiAAAAZHJzL2Rvd25yZXYueG1sUEsBAhQAFAAAAAgAh07iQBDff1qIAgAA&#10;CQUAAA4AAAAAAAAAAQAgAAAAKgEAAGRycy9lMm9Eb2MueG1sUEsFBgAAAAAGAAYAWQEAACQGAAAA&#10;AA==&#10;">
                <v:fill on="t" focussize="0,0"/>
                <v:stroke weight="2pt" color="#376092 [2404]" joinstyle="round"/>
                <v:imagedata o:title=""/>
                <o:lock v:ext="edit" aspectratio="f"/>
              </v:roundrect>
            </w:pict>
          </mc:Fallback>
        </mc:AlternateContent>
      </w:r>
      <w:r>
        <w:rPr>
          <w:sz w:val="22"/>
        </w:rPr>
        <mc:AlternateContent>
          <mc:Choice Requires="wps">
            <w:drawing>
              <wp:anchor distT="0" distB="0" distL="114300" distR="114300" simplePos="0" relativeHeight="251666432" behindDoc="0" locked="0" layoutInCell="1" allowOverlap="1">
                <wp:simplePos x="0" y="0"/>
                <wp:positionH relativeFrom="column">
                  <wp:posOffset>3561715</wp:posOffset>
                </wp:positionH>
                <wp:positionV relativeFrom="paragraph">
                  <wp:posOffset>5922645</wp:posOffset>
                </wp:positionV>
                <wp:extent cx="968375" cy="206375"/>
                <wp:effectExtent l="12700" t="12700" r="28575" b="28575"/>
                <wp:wrapNone/>
                <wp:docPr id="2" name="圆角矩形 2"/>
                <wp:cNvGraphicFramePr/>
                <a:graphic xmlns:a="http://schemas.openxmlformats.org/drawingml/2006/main">
                  <a:graphicData uri="http://schemas.microsoft.com/office/word/2010/wordprocessingShape">
                    <wps:wsp>
                      <wps:cNvSpPr/>
                      <wps:spPr>
                        <a:xfrm>
                          <a:off x="0" y="0"/>
                          <a:ext cx="968375" cy="206375"/>
                        </a:xfrm>
                        <a:prstGeom prst="roundRect">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280.45pt;margin-top:466.35pt;height:16.25pt;width:76.25pt;z-index:251666432;v-text-anchor:middle;mso-width-relative:page;mso-height-relative:page;" fillcolor="#4F81BD [3204]" filled="t" stroked="t" coordsize="21600,21600" arcsize="0.166666666666667" o:gfxdata="UEsDBAoAAAAAAIdO4kAAAAAAAAAAAAAAAAAEAAAAZHJzL1BLAwQUAAAACACHTuJAGVt4KtsAAAAL&#10;AQAADwAAAGRycy9kb3ducmV2LnhtbE2PQU7DMBBF90jcwRokdtROStMmxOkCBEKiUiFwACd2kwh7&#10;HMVuWjg9wwqWM/P15v1ye3aWzWYKg0cJyUIAM9h6PWAn4eP98WYDLESFWlmPRsKXCbCtLi9KVWh/&#10;wjcz17FjBMFQKAl9jGPBeWh741RY+NEg3Q5+cirSOHVcT+pEcGd5KkTGnRqQPvRqNPe9aT/royPK&#10;UzK7w/7hOd9z+/Lqmt133W2kvL5KxB2waM7xLwy/+qQOFTk1/og6MCthlYmcohLyZboGRol1srwF&#10;1tAmW6XAq5L/71D9AFBLAwQUAAAACACHTuJABQ0HJIkCAAAJBQAADgAAAGRycy9lMm9Eb2MueG1s&#10;rVTNbtQwEL4j8Q6W7zTZdP+6arZaulqEVGhFQZy9jrOJZHuM7Wy2PAAPwBkJiQviIXicCh6DsZO2&#10;28KhBy7JjGf8jb/PMz4+2SlJtsK6GnROBwcpJUJzKGq9yem7t6tnU0qcZ7pgErTI6ZVw9GT+9Mlx&#10;a2YigwpkISxBEO1mrclp5b2ZJYnjlVDMHYARGoMlWMU8unaTFJa1iK5kkqXpOGnBFsYCF87h6rIL&#10;0h7RPgYQyrLmYgm8UUL7DtUKyTxSclVtHJ3H05al4P68LJ3wROYUmfr4xSJor8M3mR+z2cYyU9W8&#10;PwJ7zBEecFKs1lj0FmrJPCONrf+CUjW34KD0BxxU0hGJiiCLQfpAm8uKGRG5oNTO3Iru/h8sf729&#10;sKQucppRopnCC7/+8un398+/vv64/vmNZEGh1rgZJl6aC9t7Ds1Ad1daFf5IhOyiqle3qoqdJxwX&#10;j8bTw8mIEo6hLB0HG1GSu83GOv9CgCLByKmFRhdv8OaioGx75nyXf5MXCjqQdbGqpYyO3axPpSVb&#10;hrc8XE0Hz5d9iXtpUpMWjzAapnj7nGHvltgzaCqD/J3eUMLkBoeCextr39vt9oscTsbpURaTZKNe&#10;QdHVnoxSxO5O2+dHpveAAo0lc1W3JYb6LVJjdhC7kzdYayiu8IIsdJ3rDF/VuP+MOX/BLLYqUsFh&#10;9uf4KSUgP+gtSiqwH/+1HvKxgzBKSYutj9w/NMwKSuRLjb11NBgOw6xEZziaZOjY/ch6P6IbdQqo&#10;+wCfDcOjGfK9vDFLC+o9zvwiVMUQ0xxrdyr3zqnvRhJfDS4Wi5iG82GYP9OXhgfwcM8aFo2Hso79&#10;cKdOLxpOSBS7n+Ywgvt+zLp7weZ/AF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P0EAABbQ29udGVudF9UeXBlc10ueG1sUEsBAhQACgAAAAAAh07i&#10;QAAAAAAAAAAAAAAAAAYAAAAAAAAAAAAQAAAA3wMAAF9yZWxzL1BLAQIUABQAAAAIAIdO4kCKFGY8&#10;0QAAAJQBAAALAAAAAAAAAAEAIAAAAAMEAABfcmVscy8ucmVsc1BLAQIUAAoAAAAAAIdO4kAAAAAA&#10;AAAAAAAAAAAEAAAAAAAAAAAAEAAAAAAAAABkcnMvUEsBAhQAFAAAAAgAh07iQBlbeCrbAAAACwEA&#10;AA8AAAAAAAAAAQAgAAAAIgAAAGRycy9kb3ducmV2LnhtbFBLAQIUABQAAAAIAIdO4kAFDQckiQIA&#10;AAkFAAAOAAAAAAAAAAEAIAAAACoBAABkcnMvZTJvRG9jLnhtbFBLBQYAAAAABgAGAFkBAAAlBgAA&#10;AAA=&#10;">
                <v:fill on="t" focussize="0,0"/>
                <v:stroke weight="2pt" color="#376092 [2404]" joinstyle="round"/>
                <v:imagedata o:title=""/>
                <o:lock v:ext="edit" aspectratio="f"/>
              </v:roundrect>
            </w:pict>
          </mc:Fallback>
        </mc:AlternateContent>
      </w:r>
      <w:r>
        <w:rPr>
          <w:sz w:val="22"/>
        </w:rPr>
        <mc:AlternateContent>
          <mc:Choice Requires="wps">
            <w:drawing>
              <wp:anchor distT="0" distB="0" distL="114300" distR="114300" simplePos="0" relativeHeight="251665408" behindDoc="0" locked="0" layoutInCell="1" allowOverlap="1">
                <wp:simplePos x="0" y="0"/>
                <wp:positionH relativeFrom="column">
                  <wp:posOffset>1766570</wp:posOffset>
                </wp:positionH>
                <wp:positionV relativeFrom="paragraph">
                  <wp:posOffset>5928995</wp:posOffset>
                </wp:positionV>
                <wp:extent cx="968375" cy="206375"/>
                <wp:effectExtent l="12700" t="12700" r="28575" b="28575"/>
                <wp:wrapNone/>
                <wp:docPr id="1" name="圆角矩形 1"/>
                <wp:cNvGraphicFramePr/>
                <a:graphic xmlns:a="http://schemas.openxmlformats.org/drawingml/2006/main">
                  <a:graphicData uri="http://schemas.microsoft.com/office/word/2010/wordprocessingShape">
                    <wps:wsp>
                      <wps:cNvSpPr/>
                      <wps:spPr>
                        <a:xfrm>
                          <a:off x="2452370" y="6843395"/>
                          <a:ext cx="968375" cy="206375"/>
                        </a:xfrm>
                        <a:prstGeom prst="roundRect">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139.1pt;margin-top:466.85pt;height:16.25pt;width:76.25pt;z-index:251665408;v-text-anchor:middle;mso-width-relative:page;mso-height-relative:page;" fillcolor="#4F81BD [3204]" filled="t" stroked="t" coordsize="21600,21600" arcsize="0.166666666666667" o:gfxdata="UEsDBAoAAAAAAIdO4kAAAAAAAAAAAAAAAAAEAAAAZHJzL1BLAwQUAAAACACHTuJAO35j1toAAAAL&#10;AQAADwAAAGRycy9kb3ducmV2LnhtbE2Py07DMBBF90j8gzVI7KidBKVpiNMFCIQEUiHwAU48TSL8&#10;iGI3LXw9w6rs5nF050y1PVnDFpzD6J2EZCWAoeu8Hl0v4fPj8aYAFqJyWhnvUMI3BtjWlxeVKrU/&#10;undcmtgzCnGhVBKGGKeS89ANaFVY+Qkd7fZ+tipSO/dcz+pI4dbwVIicWzU6ujCoCe8H7L6ag6WU&#10;p2Sx+93D82bHzcubbV9/mr6Q8voqEXfAIp7iGYY/fVKHmpxaf3A6MCMhXRcpoRI2WbYGRsRtJqho&#10;aZLnKfC64v9/qH8BUEsDBBQAAAAIAIdO4kB2n292lQIAABUFAAAOAAAAZHJzL2Uyb0RvYy54bWyt&#10;VM1u1DAQviPxDpbvNNls9lfNVktXi5AKrSiIs9dxNpb8h+1stjwAD8AZCYkL4iF4nAoeg7GTttvC&#10;oQcuyUzm8zczn2dyfLKXAu2YdVyrAg+OUoyYorrkalvgd2/Xz6YYOU9USYRWrMBXzOGTxdMnx62Z&#10;s0zXWpTMIiBRbt6aAtfem3mSOFozSdyRNkxBsNJWEg+u3SalJS2wS5FkaTpOWm1LYzVlzsHXVRfE&#10;PaN9DKGuKk7ZStNGMuU7VssE8dCSq7lxeBGrrSpG/XlVOeaRKDB06uMTkoC9Cc9kcUzmW0tMzWlf&#10;AnlMCQ96koQrSHpLtSKeoMbyv6gkp1Y7XfkjqmXSNRIVgS4G6QNtLmtiWOwFpHbmVnT3/2jp692F&#10;RbyEScBIEQkXfv3l0+/vn399/XH98xsaBIVa4+YAvDQXtvccmKHdfWVleEMjaF/gLB9lwwloe1Xg&#10;8TQfDmejTmG294gCYDaeDicjjCgAsnQcbGBM7oiMdf4F0xIFo8BWN6p8A7cYxSW7M+c7/A0uJHda&#10;8HLNhYiO3W5OhUU7Ajeer6eD56s+xT2YUKiFEkZ5CtVSAnNcwfyAKQ1o4dQWIyK2sCDU25j73ml3&#10;mGQ4GaezLIJEI1/psss9GaXA3VXb42On94hCGyvi6u5IDPVHhAJ0EL6TOlgbXV7BZVndTbEzdM3h&#10;/Blx/oJYGFtoBRbbn8OjEhr6072FUa3tx399D3iYJohi1MIaQO8fGmIZRuKlgjmbDfIcaH108tEk&#10;A8ceRjaHEdXIUw26wyxBddEMeC9uzMpq+R72fxmyQogoCrk7lXvn1HfrCX8QypbLCINdMcSfqUtD&#10;A3m4Z6WXjdcVj/Nwp04vGmxLFLvf7LCOh35E3f3NFn8A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CAUAAFtDb250ZW50X1R5cGVzXS54bWxQSwEC&#10;FAAKAAAAAACHTuJAAAAAAAAAAAAAAAAABgAAAAAAAAAAABAAAADqAwAAX3JlbHMvUEsBAhQAFAAA&#10;AAgAh07iQIoUZjzRAAAAlAEAAAsAAAAAAAAAAQAgAAAADgQAAF9yZWxzLy5yZWxzUEsBAhQACgAA&#10;AAAAh07iQAAAAAAAAAAAAAAAAAQAAAAAAAAAAAAQAAAAAAAAAGRycy9QSwECFAAUAAAACACHTuJA&#10;O35j1toAAAALAQAADwAAAAAAAAABACAAAAAiAAAAZHJzL2Rvd25yZXYueG1sUEsBAhQAFAAAAAgA&#10;h07iQHafb3aVAgAAFQUAAA4AAAAAAAAAAQAgAAAAKQEAAGRycy9lMm9Eb2MueG1sUEsFBgAAAAAG&#10;AAYAWQEAADAGAAAAAA==&#10;">
                <v:fill on="t" focussize="0,0"/>
                <v:stroke weight="2pt" color="#376092 [2404]" joinstyle="round"/>
                <v:imagedata o:title=""/>
                <o:lock v:ext="edit" aspectratio="f"/>
              </v:roundrect>
            </w:pict>
          </mc:Fallback>
        </mc:AlternateContent>
      </w:r>
      <w:r>
        <w:drawing>
          <wp:anchor distT="0" distB="0" distL="114300" distR="114300" simplePos="0" relativeHeight="251663360" behindDoc="0" locked="0" layoutInCell="1" allowOverlap="1">
            <wp:simplePos x="0" y="0"/>
            <wp:positionH relativeFrom="column">
              <wp:posOffset>-666750</wp:posOffset>
            </wp:positionH>
            <wp:positionV relativeFrom="paragraph">
              <wp:posOffset>-895350</wp:posOffset>
            </wp:positionV>
            <wp:extent cx="7531735" cy="10115550"/>
            <wp:effectExtent l="0" t="0" r="0" b="0"/>
            <wp:wrapNone/>
            <wp:docPr id="604208165" name="图片 9"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208165" name="图片 9" descr="图示&#10;&#10;描述已自动生成"/>
                    <pic:cNvPicPr>
                      <a:picLocks noChangeAspect="1" noChangeArrowheads="1"/>
                    </pic:cNvPicPr>
                  </pic:nvPicPr>
                  <pic:blipFill>
                    <a:blip r:embed="rId11">
                      <a:extLst>
                        <a:ext uri="{28A0092B-C50C-407E-A947-70E740481C1C}">
                          <a14:useLocalDpi xmlns:a14="http://schemas.microsoft.com/office/drawing/2010/main" val="0"/>
                        </a:ext>
                      </a:extLst>
                    </a:blip>
                    <a:srcRect b="5157"/>
                    <a:stretch>
                      <a:fillRect/>
                    </a:stretch>
                  </pic:blipFill>
                  <pic:spPr>
                    <a:xfrm>
                      <a:off x="0" y="0"/>
                      <a:ext cx="7539200" cy="10125725"/>
                    </a:xfrm>
                    <a:prstGeom prst="rect">
                      <a:avLst/>
                    </a:prstGeom>
                    <a:noFill/>
                    <a:ln>
                      <a:noFill/>
                    </a:ln>
                  </pic:spPr>
                </pic:pic>
              </a:graphicData>
            </a:graphic>
          </wp:anchor>
        </w:drawing>
      </w:r>
      <w:r>
        <w:rPr>
          <w:rFonts w:hint="eastAsia" w:ascii="宋体" w:hAnsi="宋体" w:eastAsia="宋体" w:cs="宋体"/>
          <w:b/>
          <w:bCs/>
          <w:sz w:val="30"/>
          <w:szCs w:val="30"/>
          <w:lang w:eastAsia="zh-CN"/>
        </w:rPr>
        <w:br w:type="page"/>
      </w:r>
    </w:p>
    <w:p>
      <w:pPr>
        <w:widowControl/>
        <w:rPr>
          <w:rFonts w:hint="eastAsia" w:ascii="宋体" w:hAnsi="宋体" w:eastAsia="宋体" w:cs="宋体"/>
          <w:b/>
          <w:bCs/>
          <w:sz w:val="30"/>
          <w:szCs w:val="30"/>
          <w:lang w:eastAsia="zh-CN"/>
        </w:rPr>
      </w:pPr>
      <w:r>
        <w:rPr>
          <w:rFonts w:hint="eastAsia" w:ascii="宋体" w:hAnsi="宋体" w:eastAsia="宋体" w:cs="宋体"/>
          <w:b/>
          <w:bCs/>
          <w:sz w:val="30"/>
          <w:szCs w:val="30"/>
          <w:lang w:eastAsia="zh-CN"/>
        </w:rPr>
        <w:drawing>
          <wp:anchor distT="0" distB="0" distL="114300" distR="114300" simplePos="0" relativeHeight="251672576" behindDoc="1" locked="0" layoutInCell="1" allowOverlap="1">
            <wp:simplePos x="0" y="0"/>
            <wp:positionH relativeFrom="column">
              <wp:posOffset>-666750</wp:posOffset>
            </wp:positionH>
            <wp:positionV relativeFrom="paragraph">
              <wp:posOffset>-909320</wp:posOffset>
            </wp:positionV>
            <wp:extent cx="7486015" cy="10679430"/>
            <wp:effectExtent l="0" t="0" r="635" b="7620"/>
            <wp:wrapNone/>
            <wp:docPr id="17" name="图片 17" descr="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01"/>
                    <pic:cNvPicPr>
                      <a:picLocks noChangeAspect="1"/>
                    </pic:cNvPicPr>
                  </pic:nvPicPr>
                  <pic:blipFill>
                    <a:blip r:embed="rId12"/>
                    <a:stretch>
                      <a:fillRect/>
                    </a:stretch>
                  </pic:blipFill>
                  <pic:spPr>
                    <a:xfrm>
                      <a:off x="0" y="0"/>
                      <a:ext cx="7486015" cy="10679430"/>
                    </a:xfrm>
                    <a:prstGeom prst="rect">
                      <a:avLst/>
                    </a:prstGeom>
                  </pic:spPr>
                </pic:pic>
              </a:graphicData>
            </a:graphic>
          </wp:anchor>
        </w:drawing>
      </w:r>
      <w:r>
        <w:rPr>
          <w:sz w:val="22"/>
        </w:rPr>
        <mc:AlternateContent>
          <mc:Choice Requires="wps">
            <w:drawing>
              <wp:anchor distT="0" distB="0" distL="114300" distR="114300" simplePos="0" relativeHeight="251670528" behindDoc="0" locked="0" layoutInCell="1" allowOverlap="1">
                <wp:simplePos x="0" y="0"/>
                <wp:positionH relativeFrom="column">
                  <wp:posOffset>4565650</wp:posOffset>
                </wp:positionH>
                <wp:positionV relativeFrom="paragraph">
                  <wp:posOffset>4799965</wp:posOffset>
                </wp:positionV>
                <wp:extent cx="579120" cy="206375"/>
                <wp:effectExtent l="12700" t="12700" r="17780" b="28575"/>
                <wp:wrapNone/>
                <wp:docPr id="14" name="圆角矩形 14"/>
                <wp:cNvGraphicFramePr/>
                <a:graphic xmlns:a="http://schemas.openxmlformats.org/drawingml/2006/main">
                  <a:graphicData uri="http://schemas.microsoft.com/office/word/2010/wordprocessingShape">
                    <wps:wsp>
                      <wps:cNvSpPr/>
                      <wps:spPr>
                        <a:xfrm>
                          <a:off x="0" y="0"/>
                          <a:ext cx="579120" cy="206375"/>
                        </a:xfrm>
                        <a:prstGeom prst="roundRect">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359.5pt;margin-top:377.95pt;height:16.25pt;width:45.6pt;z-index:251670528;v-text-anchor:middle;mso-width-relative:page;mso-height-relative:page;" fillcolor="#4F81BD [3204]" filled="t" stroked="t" coordsize="21600,21600" arcsize="0.166666666666667" o:gfxdata="UEsDBAoAAAAAAIdO4kAAAAAAAAAAAAAAAAAEAAAAZHJzL1BLAwQUAAAACACHTuJA9aclHdoAAAAL&#10;AQAADwAAAGRycy9kb3ducmV2LnhtbE2PzU7DMBCE70i8g7VI3KidioKTxukBBEICqRD6AE68TSL8&#10;E8VuWnh6llO57e6MZr8pNydn2YxTHIJXkC0EMPRtMIPvFOw+n24ksJi0N9oGjwq+McKmurwodWHC&#10;0X/gXKeOUYiPhVbQpzQWnMe2R6fjIozoSduHyelE69RxM+kjhTvLl0LccacHTx96PeJDj+1XfXCU&#10;8pzNbr99fMm33L6+u+btp+6kUtdXmVgDS3hKZzP84RM6VMTUhIM3kVkF91lOXRINq1UOjBwyE0tg&#10;DV2kvAVelfx/h+oXUEsDBBQAAAAIAIdO4kDBBV5SigIAAAsFAAAOAAAAZHJzL2Uyb0RvYy54bWyt&#10;VMFuEzEQvSPxD5bvdDdp0rRRkio0CkIqtKIgzo7Xzq5ke4ztzaZ8AB/AGQmJC+Ij+JwKPoOxd9uk&#10;hUMPXHZnPOM3fs8znpxutSIb4XwFZkp7BzklwnAoKrOe0ndvl8+OKfGBmYIpMGJKr4Wnp7OnTyaN&#10;HYs+lKAK4QiCGD9u7JSWIdhxlnleCs38AVhhMCjBaRbQdeuscKxBdK2yfp4fZQ24wjrgwntcXbRB&#10;2iG6xwCClBUXC+C1Fia0qE4oFpCSLyvr6SydVkrBw4WUXgSiphSZhvTFImiv4jebTdh47ZgtK94d&#10;gT3mCA84aVYZLHoHtWCBkdpVf0HpijvwIMMBB521RJIiyKKXP9DmqmRWJC4otbd3ovv/B8tfby4d&#10;qQrshAElhmm88Zsvn35///zr64+bn98ILqNGjfVjTL2yl67zPJqR8FY6Hf9IhWyTrtd3uoptIBwX&#10;h6OTXh8V5xjq50eHo2HEzHabrfPhhQBNojGlDmpTvMG7S5KyzbkPbf5tXizoQVXFslIqOW69OlOO&#10;bBje82B53Hu+6ErcS1OGNHiE4SCPp2HYvRK7Bk1tUQFv1pQwtcax4MGl2vd2+/0ih6Oj/KSfklSt&#10;X0HR1h4Nc8RuT9vlJ6b3gCKNBfNluyWFui3KYHYUu5U3WisorvGKHLS96y1fVrj/nPlwyRw2K1LB&#10;cQ4X+JEKkB90FiUluI//Wo/52EMYpaTB5kfuH2rmBCXqpcHuOukNBggbkjMYjuLluf3Iaj9ian0G&#10;qHsPHw7Lkxnzg7o1pQP9Hqd+HqtiiBmOtVuVO+cstEOJ7wYX83lKwwmxLJybK8sjeLxnA/M6gKxS&#10;P+zU6UTDGUlid/Mch3DfT1m7N2z2B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P0EAABbQ29udGVudF9UeXBlc10ueG1sUEsBAhQACgAAAAAAh07i&#10;QAAAAAAAAAAAAAAAAAYAAAAAAAAAAAAQAAAA3wMAAF9yZWxzL1BLAQIUABQAAAAIAIdO4kCKFGY8&#10;0QAAAJQBAAALAAAAAAAAAAEAIAAAAAMEAABfcmVscy8ucmVsc1BLAQIUAAoAAAAAAIdO4kAAAAAA&#10;AAAAAAAAAAAEAAAAAAAAAAAAEAAAAAAAAABkcnMvUEsBAhQAFAAAAAgAh07iQPWnJR3aAAAACwEA&#10;AA8AAAAAAAAAAQAgAAAAIgAAAGRycy9kb3ducmV2LnhtbFBLAQIUABQAAAAIAIdO4kDBBV5SigIA&#10;AAsFAAAOAAAAAAAAAAEAIAAAACkBAABkcnMvZTJvRG9jLnhtbFBLBQYAAAAABgAGAFkBAAAlBgAA&#10;AAA=&#10;">
                <v:fill on="t" focussize="0,0"/>
                <v:stroke weight="2pt" color="#376092 [2404]" joinstyle="round"/>
                <v:imagedata o:title=""/>
                <o:lock v:ext="edit" aspectratio="f"/>
              </v:roundrect>
            </w:pict>
          </mc:Fallback>
        </mc:AlternateContent>
      </w:r>
      <w:r>
        <w:rPr>
          <w:sz w:val="22"/>
        </w:rPr>
        <mc:AlternateContent>
          <mc:Choice Requires="wps">
            <w:drawing>
              <wp:anchor distT="0" distB="0" distL="114300" distR="114300" simplePos="0" relativeHeight="251669504" behindDoc="0" locked="0" layoutInCell="1" allowOverlap="1">
                <wp:simplePos x="0" y="0"/>
                <wp:positionH relativeFrom="column">
                  <wp:posOffset>4254500</wp:posOffset>
                </wp:positionH>
                <wp:positionV relativeFrom="paragraph">
                  <wp:posOffset>4409440</wp:posOffset>
                </wp:positionV>
                <wp:extent cx="579120" cy="206375"/>
                <wp:effectExtent l="12700" t="12700" r="17780" b="28575"/>
                <wp:wrapNone/>
                <wp:docPr id="13" name="圆角矩形 13"/>
                <wp:cNvGraphicFramePr/>
                <a:graphic xmlns:a="http://schemas.openxmlformats.org/drawingml/2006/main">
                  <a:graphicData uri="http://schemas.microsoft.com/office/word/2010/wordprocessingShape">
                    <wps:wsp>
                      <wps:cNvSpPr/>
                      <wps:spPr>
                        <a:xfrm>
                          <a:off x="0" y="0"/>
                          <a:ext cx="579120" cy="206375"/>
                        </a:xfrm>
                        <a:prstGeom prst="roundRect">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335pt;margin-top:347.2pt;height:16.25pt;width:45.6pt;z-index:251669504;v-text-anchor:middle;mso-width-relative:page;mso-height-relative:page;" fillcolor="#4F81BD [3204]" filled="t" stroked="t" coordsize="21600,21600" arcsize="0.166666666666667" o:gfxdata="UEsDBAoAAAAAAIdO4kAAAAAAAAAAAAAAAAAEAAAAZHJzL1BLAwQUAAAACACHTuJABD2FBdoAAAAL&#10;AQAADwAAAGRycy9kb3ducmV2LnhtbE2PwU7DMBBE70j8g7VI3KidqEqbEKcHEAgJpELgA5x4m0TE&#10;6yh208LXs5zgNqMdvZ0pd2c3igXnMHjSkKwUCKTW24E6DR/vDzdbECEasmb0hBq+MMCuurwoTWH9&#10;id5wqWMnGEKhMBr6GKdCytD26ExY+QmJbwc/OxPZzp20szkx3I0yVSqTzgzEH3oz4V2P7Wd9dEx5&#10;TBZ32N8/5Xs5Pr+65uW77rZaX18l6hZExHP8C8Nvfa4OFXdq/JFsEKOGbKN4S2SRr9cgOLHJkhRE&#10;wyLNcpBVKf9vqH4AUEsDBBQAAAAIAIdO4kA5UyHFigIAAAsFAAAOAAAAZHJzL2Uyb0RvYy54bWyt&#10;VMFuEzEQvSPxD5bvdDdp0rRRkio0CkIqtKIgzo7Xzq5ke4ztzaZ8AB/AGQmJC+Ij+JwKPoOxd9uk&#10;hUMPXHZnPOM3fs8znpxutSIb4XwFZkp7BzklwnAoKrOe0ndvl8+OKfGBmYIpMGJKr4Wnp7OnTyaN&#10;HYs+lKAK4QiCGD9u7JSWIdhxlnleCs38AVhhMCjBaRbQdeuscKxBdK2yfp4fZQ24wjrgwntcXbRB&#10;2iG6xwCClBUXC+C1Fia0qE4oFpCSLyvr6SydVkrBw4WUXgSiphSZhvTFImiv4jebTdh47ZgtK94d&#10;gT3mCA84aVYZLHoHtWCBkdpVf0HpijvwIMMBB521RJIiyKKXP9DmqmRWJC4otbd3ovv/B8tfby4d&#10;qQrshENKDNN44zdfPv3+/vnX1x83P78RXEaNGuvHmHplL13neTQj4a10Ov6RCtkmXa/vdBXbQDgu&#10;DkcnvT4qzjHUz48OR8OIme02W+fDCwGaRGNKHdSmeIN3lyRlm3Mf2vzbvFjQg6qKZaVUctx6daYc&#10;2TC858HyuPd80ZW4l6YMafAIw0EeT8OweyV2DZraogLerClhao1jwYNLte/t9vtFDkdH+Uk/Jala&#10;v4KirT0a5ojdnrbLT0zvAUUaC+bLdksKdVuUwewoditvtFZQXOMVOWh711u+rHD/OfPhkjlsVqSC&#10;4xwu8CMVID/oLEpKcB//tR7zsYcwSkmDzY/cP9TMCUrUS4PdddIbDBA2JGcwHMXLc/uR1X7E1PoM&#10;UPcePhyWJzPmB3VrSgf6PU79PFbFEDMca7cqd85ZaIcS3w0u5vOUhhNiWTg3V5ZH8HjPBuZ1AFml&#10;ftip04mGM5LE7uY5DuG+n7J2b9jsD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P0EAABbQ29udGVudF9UeXBlc10ueG1sUEsBAhQACgAAAAAAh07i&#10;QAAAAAAAAAAAAAAAAAYAAAAAAAAAAAAQAAAA3wMAAF9yZWxzL1BLAQIUABQAAAAIAIdO4kCKFGY8&#10;0QAAAJQBAAALAAAAAAAAAAEAIAAAAAMEAABfcmVscy8ucmVsc1BLAQIUAAoAAAAAAIdO4kAAAAAA&#10;AAAAAAAAAAAEAAAAAAAAAAAAEAAAAAAAAABkcnMvUEsBAhQAFAAAAAgAh07iQAQ9hQXaAAAACwEA&#10;AA8AAAAAAAAAAQAgAAAAIgAAAGRycy9kb3ducmV2LnhtbFBLAQIUABQAAAAIAIdO4kA5UyHFigIA&#10;AAsFAAAOAAAAAAAAAAEAIAAAACkBAABkcnMvZTJvRG9jLnhtbFBLBQYAAAAABgAGAFkBAAAlBgAA&#10;AAA=&#10;">
                <v:fill on="t" focussize="0,0"/>
                <v:stroke weight="2pt" color="#376092 [2404]" joinstyle="round"/>
                <v:imagedata o:title=""/>
                <o:lock v:ext="edit" aspectratio="f"/>
              </v:roundrect>
            </w:pict>
          </mc:Fallback>
        </mc:AlternateContent>
      </w:r>
      <w:r>
        <w:rPr>
          <w:sz w:val="22"/>
        </w:rPr>
        <mc:AlternateContent>
          <mc:Choice Requires="wps">
            <w:drawing>
              <wp:anchor distT="0" distB="0" distL="114300" distR="114300" simplePos="0" relativeHeight="251668480" behindDoc="0" locked="0" layoutInCell="1" allowOverlap="1">
                <wp:simplePos x="0" y="0"/>
                <wp:positionH relativeFrom="column">
                  <wp:posOffset>664845</wp:posOffset>
                </wp:positionH>
                <wp:positionV relativeFrom="paragraph">
                  <wp:posOffset>4360545</wp:posOffset>
                </wp:positionV>
                <wp:extent cx="1523365" cy="206375"/>
                <wp:effectExtent l="12700" t="12700" r="26035" b="28575"/>
                <wp:wrapNone/>
                <wp:docPr id="6" name="圆角矩形 6"/>
                <wp:cNvGraphicFramePr/>
                <a:graphic xmlns:a="http://schemas.openxmlformats.org/drawingml/2006/main">
                  <a:graphicData uri="http://schemas.microsoft.com/office/word/2010/wordprocessingShape">
                    <wps:wsp>
                      <wps:cNvSpPr/>
                      <wps:spPr>
                        <a:xfrm>
                          <a:off x="0" y="0"/>
                          <a:ext cx="1523365" cy="206375"/>
                        </a:xfrm>
                        <a:prstGeom prst="roundRect">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52.35pt;margin-top:343.35pt;height:16.25pt;width:119.95pt;z-index:251668480;v-text-anchor:middle;mso-width-relative:page;mso-height-relative:page;" fillcolor="#4F81BD [3204]" filled="t" stroked="t" coordsize="21600,21600" arcsize="0.166666666666667" o:gfxdata="UEsDBAoAAAAAAIdO4kAAAAAAAAAAAAAAAAAEAAAAZHJzL1BLAwQUAAAACACHTuJA8R98fdoAAAAL&#10;AQAADwAAAGRycy9kb3ducmV2LnhtbE2PQU7DMBBF90jcwRokdtROidI0jdMFCIQEUiH0AE7sJhH2&#10;OIrdtHB6hlXZzdd8vXlTbs/OstlMYfAoIVkIYAZbrwfsJOw/n+5yYCEq1Mp6NBK+TYBtdX1VqkL7&#10;E36YuY4dIwiGQknoYxwLzkPbG6fCwo8GaXfwk1OR4tRxPakTwZ3lSyEy7tSAdKFXo3noTftVHx1R&#10;npPZHXaPL+sdt6/vrnn7qbtcytubRGyARXOOlzL86ZM6VOTU+CPqwCxlka6oKiHLMxqocZ+mGbBG&#10;wipZL4FXJf//Q/ULUEsDBBQAAAAIAIdO4kAzKUXAigIAAAoFAAAOAAAAZHJzL2Uyb0RvYy54bWyt&#10;VM1u1DAQviPxDpbvNNn/dtVstXS1CKnQioI4ex1nE8n2GNvZbHkAHoAzEhIXxEPwOBU8BmMn7e4W&#10;Dj1wSWY842/8fZ7x6dlWSbIR1lWgM9o7SikRmkNe6XVG371dPjumxHmmcyZBi4zeCEfPZk+fnDZm&#10;KvpQgsyFJQii3bQxGS29N9MkcbwUirkjMEJjsACrmEfXrpPcsgbRlUz6aTpOGrC5scCFc7i6aIO0&#10;Q7SPAYSiqLhYAK+V0L5FtUIyj5RcWRlHZ/G0RSG4vywKJzyRGUWmPn6xCNqr8E1mp2y6tsyUFe+O&#10;wB5zhAecFKs0Fr2HWjDPSG2rv6BUxS04KPwRB5W0RKIiyKKXPtDmumRGRC4otTP3orv/B8tfb64s&#10;qfKMjinRTOGF33759Pv7519ff9z+/EbGQaHGuCkmXpsr23kOzUB3W1gV/kiEbKOqN/eqiq0nHBd7&#10;o/5gMB5RwjHWT8eDySiAJrvdxjr/QoAiwciohVrnb/DqoqJsc+F8m3+XFyo6kFW+rKSMjl2vzqUl&#10;G4bXPFwe954vuhIHaVKTBo8wGqZ4/Zxh8xbYNGgqgwI4vaaEyTVOBfc21j7Y7faLDCbj9KQfk2St&#10;XkHe1p6MUsRuT9vlR6YHQIHGgrmy3RJD3RapMTuo3eobrBXkN3hDFtrWdYYvK9x/wZy/YhZ7Fang&#10;NPtL/BQSkB90FiUl2I//Wg/52EIYpaTB3kfuH2pmBSXypcbmOukNh2FYojMcTfro2P3Iaj+ia3UO&#10;qHsP3w3DoxnyvbwzCwvqPQ79PFTFENMca7cqd865b2cSnw0u5vOYhgNimL/Q14YH8HDPGua1h6KK&#10;/bBTpxMNRySK3Y1zmMF9P2btnrDZH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P0EAABbQ29udGVudF9UeXBlc10ueG1sUEsBAhQACgAAAAAAh07i&#10;QAAAAAAAAAAAAAAAAAYAAAAAAAAAAAAQAAAA3wMAAF9yZWxzL1BLAQIUABQAAAAIAIdO4kCKFGY8&#10;0QAAAJQBAAALAAAAAAAAAAEAIAAAAAMEAABfcmVscy8ucmVsc1BLAQIUAAoAAAAAAIdO4kAAAAAA&#10;AAAAAAAAAAAEAAAAAAAAAAAAEAAAAAAAAABkcnMvUEsBAhQAFAAAAAgAh07iQPEffH3aAAAACwEA&#10;AA8AAAAAAAAAAQAgAAAAIgAAAGRycy9kb3ducmV2LnhtbFBLAQIUABQAAAAIAIdO4kAzKUXAigIA&#10;AAoFAAAOAAAAAAAAAAEAIAAAACkBAABkcnMvZTJvRG9jLnhtbFBLBQYAAAAABgAGAFkBAAAlBgAA&#10;AAA=&#10;">
                <v:fill on="t" focussize="0,0"/>
                <v:stroke weight="2pt" color="#376092 [2404]" joinstyle="round"/>
                <v:imagedata o:title=""/>
                <o:lock v:ext="edit" aspectratio="f"/>
              </v:roundrect>
            </w:pict>
          </mc:Fallback>
        </mc:AlternateContent>
      </w:r>
      <w:r>
        <w:rPr>
          <w:rFonts w:hint="eastAsia" w:ascii="宋体" w:hAnsi="宋体" w:eastAsia="宋体" w:cs="宋体"/>
          <w:b/>
          <w:bCs/>
          <w:sz w:val="30"/>
          <w:szCs w:val="30"/>
          <w:lang w:eastAsia="zh-CN"/>
        </w:rPr>
        <w:br w:type="page"/>
      </w:r>
    </w:p>
    <w:p>
      <w:pPr>
        <w:widowControl/>
        <w:rPr>
          <w:rFonts w:hint="eastAsia" w:ascii="宋体" w:hAnsi="宋体" w:eastAsia="宋体" w:cs="宋体"/>
          <w:b/>
          <w:bCs/>
          <w:sz w:val="30"/>
          <w:szCs w:val="30"/>
          <w:lang w:eastAsia="zh-CN"/>
        </w:rPr>
      </w:pPr>
      <w:r>
        <w:rPr>
          <w:sz w:val="22"/>
        </w:rPr>
        <mc:AlternateContent>
          <mc:Choice Requires="wps">
            <w:drawing>
              <wp:anchor distT="0" distB="0" distL="114300" distR="114300" simplePos="0" relativeHeight="251671552" behindDoc="0" locked="0" layoutInCell="1" allowOverlap="1">
                <wp:simplePos x="0" y="0"/>
                <wp:positionH relativeFrom="column">
                  <wp:posOffset>3025140</wp:posOffset>
                </wp:positionH>
                <wp:positionV relativeFrom="paragraph">
                  <wp:posOffset>1415415</wp:posOffset>
                </wp:positionV>
                <wp:extent cx="1189990" cy="206375"/>
                <wp:effectExtent l="12700" t="12700" r="16510" b="28575"/>
                <wp:wrapNone/>
                <wp:docPr id="15" name="圆角矩形 15"/>
                <wp:cNvGraphicFramePr/>
                <a:graphic xmlns:a="http://schemas.openxmlformats.org/drawingml/2006/main">
                  <a:graphicData uri="http://schemas.microsoft.com/office/word/2010/wordprocessingShape">
                    <wps:wsp>
                      <wps:cNvSpPr/>
                      <wps:spPr>
                        <a:xfrm>
                          <a:off x="0" y="0"/>
                          <a:ext cx="1189990" cy="206375"/>
                        </a:xfrm>
                        <a:prstGeom prst="roundRect">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238.2pt;margin-top:111.45pt;height:16.25pt;width:93.7pt;z-index:251671552;v-text-anchor:middle;mso-width-relative:page;mso-height-relative:page;" fillcolor="#4F81BD [3204]" filled="t" stroked="t" coordsize="21600,21600" arcsize="0.166666666666667" o:gfxdata="UEsDBAoAAAAAAIdO4kAAAAAAAAAAAAAAAAAEAAAAZHJzL1BLAwQUAAAACACHTuJA6DCgh9oAAAAL&#10;AQAADwAAAGRycy9kb3ducmV2LnhtbE2PwU6DQBCG7ya+w2ZMvNkFpNgiSw8ajYkmVfQBFnYKRHaW&#10;sFta+/ROT3qcmT/ffH+xOdpBzDj53pGCeBGBQGqc6alV8PX5dLMC4YMmowdHqOAHPWzKy4tC58Yd&#10;6APnKrSCIeRzraALYcyl9E2HVvuFG5H4tnOT1YHHqZVm0geG20EmUZRJq3viD50e8aHD5rvaW6Y8&#10;x7PdbR9f1ls5vL7b+u1UtSulrq/i6B5EwGP4C8NZn9WhZKfa7cl4MShI77KUowqSJFmD4ESW3XKZ&#10;mjfLZQqyLOT/DuUvUEsDBBQAAAAIAIdO4kBf5uwAjAIAAAwFAAAOAAAAZHJzL2Uyb0RvYy54bWyt&#10;VM1uEzEQviPxDpbvdDdp0jRRkyo0CkIqtKIgzo7Xm13Jf9jOT3mAPgBnJCQuiIfgcSp4DD57t23a&#10;cuiBy+6MZ+abmc8zPjreKknWwvna6DHt7OWUCM1NUevlmH54P39xSIkPTBdMGi3G9FJ4ejx5/uxo&#10;Y0eiayojC+EIQLQfbeyYViHYUZZ5XgnF/J6xQsNYGqdYgOqWWeHYBuhKZt08P8g2xhXWGS68x+ms&#10;MdIW0T0F0JRlzcXM8JUSOjSoTkgW0JKvauvpJFVbloKHs7L0IhA5pug0pC+SQF7EbzY5YqOlY7aq&#10;eVsCe0oJD3pSrNZIegs1Y4GRlasfQamaO+NNGfa4UVnTSGIEXXTyB9xcVMyK1Auo9vaWdP//YPnb&#10;9bkjdYFJ6FOimcKNX3+9+vPjy+9vP69/fSc4Bkcb60dwvbDnrtU8xNjwtnQq/tEK2SZeL295FdtA&#10;OA47ncPhcAjKOWzd/GB/kECzu2jrfHgljCJRGFNnVrp4h8tLnLL1qQ9IC/8bv5jRG1kX81rKpLjl&#10;4kQ6sma46N78sPNyFutGyD03qckGJfR7eayGYXxLjA1EZUGB10tKmFxiL3hwKfe9aL+bZH9wkA+7&#10;yUmu1BtTNLkH/RzYberG/3EZsY0Z81UTknK0IVLDO7Ld8BulhSkucUfONMPrLZ/XiD9lPpwzh2lF&#10;K9jncIZPKQ36M61ESWXc53+dR38MEayUbDD96P3TijlBiXytMV7DTq8H2JCUXn/QheJ2LYtdi16p&#10;EwPeO3g5LE9i9A/yRiydUR+x9tOYFSamOXI3LLfKSWi2Eg8HF9NpcsOKWBZO9YXlETzeszbTVTBl&#10;nebhjp2WNCxJIrtd6LiFu3ryunvEJn8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wQAAFtDb250ZW50X1R5cGVzXS54bWxQSwECFAAKAAAAAACH&#10;TuJAAAAAAAAAAAAAAAAABgAAAAAAAAAAABAAAADhAwAAX3JlbHMvUEsBAhQAFAAAAAgAh07iQIoU&#10;ZjzRAAAAlAEAAAsAAAAAAAAAAQAgAAAABQQAAF9yZWxzLy5yZWxzUEsBAhQACgAAAAAAh07iQAAA&#10;AAAAAAAAAAAAAAQAAAAAAAAAAAAQAAAAAAAAAGRycy9QSwECFAAUAAAACACHTuJA6DCgh9oAAAAL&#10;AQAADwAAAAAAAAABACAAAAAiAAAAZHJzL2Rvd25yZXYueG1sUEsBAhQAFAAAAAgAh07iQF/m7ACM&#10;AgAADAUAAA4AAAAAAAAAAQAgAAAAKQEAAGRycy9lMm9Eb2MueG1sUEsFBgAAAAAGAAYAWQEAACcG&#10;AAAAAA==&#10;">
                <v:fill on="t" focussize="0,0"/>
                <v:stroke weight="2pt" color="#376092 [2404]" joinstyle="round"/>
                <v:imagedata o:title=""/>
                <o:lock v:ext="edit" aspectratio="f"/>
              </v:roundrect>
            </w:pict>
          </mc:Fallback>
        </mc:AlternateContent>
      </w:r>
      <w:r>
        <w:rPr>
          <w:rFonts w:hint="eastAsia" w:ascii="宋体" w:hAnsi="宋体" w:eastAsia="宋体" w:cs="宋体"/>
          <w:b/>
          <w:bCs/>
          <w:sz w:val="30"/>
          <w:szCs w:val="30"/>
          <w:lang w:eastAsia="zh-CN"/>
        </w:rPr>
        <w:drawing>
          <wp:anchor distT="0" distB="0" distL="114300" distR="114300" simplePos="0" relativeHeight="251672576" behindDoc="1" locked="0" layoutInCell="1" allowOverlap="1">
            <wp:simplePos x="0" y="0"/>
            <wp:positionH relativeFrom="column">
              <wp:posOffset>-640080</wp:posOffset>
            </wp:positionH>
            <wp:positionV relativeFrom="paragraph">
              <wp:posOffset>-953135</wp:posOffset>
            </wp:positionV>
            <wp:extent cx="7494270" cy="10690860"/>
            <wp:effectExtent l="0" t="0" r="11430" b="15240"/>
            <wp:wrapNone/>
            <wp:docPr id="18" name="图片 18" descr="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02"/>
                    <pic:cNvPicPr>
                      <a:picLocks noChangeAspect="1"/>
                    </pic:cNvPicPr>
                  </pic:nvPicPr>
                  <pic:blipFill>
                    <a:blip r:embed="rId13"/>
                    <a:stretch>
                      <a:fillRect/>
                    </a:stretch>
                  </pic:blipFill>
                  <pic:spPr>
                    <a:xfrm>
                      <a:off x="0" y="0"/>
                      <a:ext cx="7494270" cy="10690860"/>
                    </a:xfrm>
                    <a:prstGeom prst="rect">
                      <a:avLst/>
                    </a:prstGeom>
                  </pic:spPr>
                </pic:pic>
              </a:graphicData>
            </a:graphic>
          </wp:anchor>
        </w:drawing>
      </w:r>
      <w:r>
        <w:rPr>
          <w:rFonts w:hint="eastAsia" w:ascii="宋体" w:hAnsi="宋体" w:eastAsia="宋体" w:cs="宋体"/>
          <w:b/>
          <w:bCs/>
          <w:sz w:val="30"/>
          <w:szCs w:val="30"/>
          <w:lang w:eastAsia="zh-CN"/>
        </w:rPr>
        <w:drawing>
          <wp:anchor distT="0" distB="0" distL="114300" distR="114300" simplePos="0" relativeHeight="251672576" behindDoc="1" locked="0" layoutInCell="1" allowOverlap="1">
            <wp:simplePos x="0" y="0"/>
            <wp:positionH relativeFrom="column">
              <wp:posOffset>0</wp:posOffset>
            </wp:positionH>
            <wp:positionV relativeFrom="paragraph">
              <wp:posOffset>0</wp:posOffset>
            </wp:positionV>
            <wp:extent cx="6186805" cy="8825865"/>
            <wp:effectExtent l="0" t="0" r="4445" b="13335"/>
            <wp:wrapNone/>
            <wp:docPr id="19" name="图片 19" descr="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03"/>
                    <pic:cNvPicPr>
                      <a:picLocks noChangeAspect="1"/>
                    </pic:cNvPicPr>
                  </pic:nvPicPr>
                  <pic:blipFill>
                    <a:blip r:embed="rId14"/>
                    <a:stretch>
                      <a:fillRect/>
                    </a:stretch>
                  </pic:blipFill>
                  <pic:spPr>
                    <a:xfrm>
                      <a:off x="0" y="0"/>
                      <a:ext cx="6186805" cy="8825865"/>
                    </a:xfrm>
                    <a:prstGeom prst="rect">
                      <a:avLst/>
                    </a:prstGeom>
                  </pic:spPr>
                </pic:pic>
              </a:graphicData>
            </a:graphic>
          </wp:anchor>
        </w:drawing>
      </w:r>
      <w:r>
        <w:rPr>
          <w:rFonts w:hint="eastAsia" w:ascii="宋体" w:hAnsi="宋体" w:eastAsia="宋体" w:cs="宋体"/>
          <w:b/>
          <w:bCs/>
          <w:sz w:val="30"/>
          <w:szCs w:val="30"/>
          <w:lang w:eastAsia="zh-CN"/>
        </w:rPr>
        <w:br w:type="page"/>
      </w:r>
    </w:p>
    <w:p>
      <w:pPr>
        <w:pStyle w:val="2"/>
        <w:rPr>
          <w:rFonts w:hint="eastAsia"/>
          <w:lang w:eastAsia="zh-CN"/>
        </w:rPr>
      </w:pPr>
    </w:p>
    <w:p>
      <w:pPr>
        <w:widowControl/>
        <w:rPr>
          <w:rFonts w:hint="eastAsia" w:ascii="宋体" w:hAnsi="宋体" w:eastAsia="宋体" w:cs="宋体"/>
          <w:b/>
          <w:bCs/>
          <w:sz w:val="30"/>
          <w:szCs w:val="30"/>
          <w:lang w:eastAsia="zh-CN"/>
        </w:rPr>
      </w:pPr>
      <w:r>
        <w:drawing>
          <wp:anchor distT="0" distB="0" distL="114300" distR="114300" simplePos="0" relativeHeight="251664384" behindDoc="0" locked="0" layoutInCell="1" allowOverlap="1">
            <wp:simplePos x="0" y="0"/>
            <wp:positionH relativeFrom="column">
              <wp:posOffset>0</wp:posOffset>
            </wp:positionH>
            <wp:positionV relativeFrom="paragraph">
              <wp:posOffset>0</wp:posOffset>
            </wp:positionV>
            <wp:extent cx="6191250" cy="8825230"/>
            <wp:effectExtent l="0" t="0" r="3175" b="0"/>
            <wp:wrapNone/>
            <wp:docPr id="933043125" name="图片 14" descr="电脑屏幕的照片上有文字&#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043125" name="图片 14" descr="电脑屏幕的照片上有文字&#10;&#10;中度可信度描述已自动生成"/>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a:xfrm>
                      <a:off x="0" y="0"/>
                      <a:ext cx="6191250" cy="8825230"/>
                    </a:xfrm>
                    <a:prstGeom prst="rect">
                      <a:avLst/>
                    </a:prstGeom>
                    <a:noFill/>
                    <a:ln>
                      <a:noFill/>
                    </a:ln>
                  </pic:spPr>
                </pic:pic>
              </a:graphicData>
            </a:graphic>
          </wp:anchor>
        </w:drawing>
      </w:r>
      <w:r>
        <w:rPr>
          <w:rFonts w:hint="eastAsia" w:ascii="宋体" w:hAnsi="宋体" w:eastAsia="宋体" w:cs="宋体"/>
          <w:b/>
          <w:bCs/>
          <w:sz w:val="30"/>
          <w:szCs w:val="30"/>
          <w:lang w:eastAsia="zh-CN"/>
        </w:rPr>
        <w:br w:type="page"/>
      </w:r>
    </w:p>
    <w:p>
      <w:pPr>
        <w:pStyle w:val="21"/>
        <w:rPr>
          <w:rFonts w:hint="eastAsia" w:hAnsi="宋体" w:eastAsia="宋体" w:cs="宋体"/>
          <w:b/>
          <w:bCs/>
          <w:color w:val="C00000"/>
          <w:lang w:eastAsia="zh-CN"/>
        </w:rPr>
        <w:sectPr>
          <w:footerReference r:id="rId3" w:type="default"/>
          <w:pgSz w:w="11910" w:h="16840"/>
          <w:pgMar w:top="1440" w:right="1080" w:bottom="1440" w:left="1080" w:header="0" w:footer="1039" w:gutter="0"/>
          <w:pgNumType w:start="1"/>
          <w:cols w:space="720" w:num="1"/>
        </w:sectPr>
      </w:pPr>
    </w:p>
    <w:p>
      <w:pPr>
        <w:pStyle w:val="3"/>
        <w:spacing w:before="0" w:line="360" w:lineRule="auto"/>
        <w:jc w:val="center"/>
        <w:rPr>
          <w:rFonts w:hint="eastAsia" w:ascii="宋体" w:hAnsi="宋体" w:eastAsia="宋体" w:cs="宋体"/>
          <w:b/>
          <w:bCs/>
          <w:lang w:eastAsia="zh-CN"/>
        </w:rPr>
      </w:pPr>
      <w:bookmarkStart w:id="2" w:name="_Toc4076"/>
      <w:r>
        <w:rPr>
          <w:rFonts w:hint="eastAsia" w:ascii="宋体" w:hAnsi="宋体" w:eastAsia="宋体" w:cs="宋体"/>
          <w:b/>
          <w:bCs/>
          <w:lang w:eastAsia="zh-CN"/>
        </w:rPr>
        <w:t>一、建设项目基本情况</w:t>
      </w:r>
      <w:bookmarkEnd w:id="2"/>
    </w:p>
    <w:tbl>
      <w:tblPr>
        <w:tblStyle w:val="18"/>
        <w:tblW w:w="499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90"/>
        <w:gridCol w:w="935"/>
        <w:gridCol w:w="2666"/>
        <w:gridCol w:w="2174"/>
        <w:gridCol w:w="30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18" w:type="pct"/>
            <w:gridSpan w:val="2"/>
            <w:vAlign w:val="center"/>
          </w:tcPr>
          <w:p>
            <w:pPr>
              <w:jc w:val="center"/>
              <w:rPr>
                <w:rFonts w:ascii="Times New Roman" w:hAnsi="Times New Roman" w:eastAsia="宋体"/>
                <w:sz w:val="24"/>
                <w:lang w:eastAsia="zh-CN"/>
              </w:rPr>
            </w:pPr>
            <w:r>
              <w:rPr>
                <w:rFonts w:ascii="Times New Roman" w:hAnsi="Times New Roman" w:eastAsia="宋体" w:cs="宋体"/>
                <w:spacing w:val="-1"/>
                <w:sz w:val="24"/>
                <w:szCs w:val="24"/>
              </w:rPr>
              <w:t>建设项目名称</w:t>
            </w:r>
          </w:p>
        </w:tc>
        <w:tc>
          <w:tcPr>
            <w:tcW w:w="3982" w:type="pct"/>
            <w:gridSpan w:val="3"/>
            <w:vAlign w:val="center"/>
          </w:tcPr>
          <w:p>
            <w:pPr>
              <w:pStyle w:val="24"/>
              <w:jc w:val="center"/>
              <w:rPr>
                <w:rFonts w:ascii="Times New Roman" w:hAnsi="Times New Roman" w:eastAsia="宋体"/>
                <w:sz w:val="24"/>
                <w:lang w:eastAsia="zh-CN"/>
              </w:rPr>
            </w:pPr>
            <w:bookmarkStart w:id="3" w:name="_Hlk185000939"/>
            <w:r>
              <w:rPr>
                <w:rFonts w:hint="eastAsia" w:ascii="Times New Roman" w:hAnsi="Times New Roman" w:eastAsia="宋体"/>
                <w:sz w:val="24"/>
                <w:lang w:eastAsia="zh-CN"/>
              </w:rPr>
              <w:t>聚褔鑫加油站</w:t>
            </w:r>
            <w:bookmarkEnd w:id="3"/>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18" w:type="pct"/>
            <w:gridSpan w:val="2"/>
            <w:vAlign w:val="center"/>
          </w:tcPr>
          <w:p>
            <w:pPr>
              <w:pStyle w:val="24"/>
              <w:jc w:val="center"/>
              <w:rPr>
                <w:rFonts w:ascii="Times New Roman" w:hAnsi="Times New Roman" w:eastAsia="宋体"/>
                <w:sz w:val="24"/>
                <w:lang w:eastAsia="zh-CN"/>
              </w:rPr>
            </w:pPr>
            <w:r>
              <w:rPr>
                <w:rFonts w:ascii="Times New Roman" w:hAnsi="Times New Roman" w:eastAsia="宋体" w:cs="宋体"/>
                <w:spacing w:val="-1"/>
                <w:sz w:val="24"/>
                <w:szCs w:val="24"/>
              </w:rPr>
              <w:t>项目代码</w:t>
            </w:r>
          </w:p>
        </w:tc>
        <w:tc>
          <w:tcPr>
            <w:tcW w:w="3982" w:type="pct"/>
            <w:gridSpan w:val="3"/>
            <w:vAlign w:val="center"/>
          </w:tcPr>
          <w:p>
            <w:pPr>
              <w:jc w:val="center"/>
              <w:rPr>
                <w:rFonts w:ascii="Times New Roman" w:hAnsi="Times New Roman" w:eastAsia="宋体"/>
                <w:sz w:val="24"/>
                <w:lang w:eastAsia="zh-CN"/>
              </w:rPr>
            </w:pPr>
            <w:r>
              <w:rPr>
                <w:rFonts w:ascii="Times New Roman" w:hAnsi="Times New Roman" w:eastAsia="宋体"/>
                <w:sz w:val="24"/>
                <w:lang w:eastAsia="zh-CN"/>
              </w:rPr>
              <w:t>2409-350181-04-01-580114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18" w:type="pct"/>
            <w:gridSpan w:val="2"/>
            <w:vAlign w:val="center"/>
          </w:tcPr>
          <w:p>
            <w:pPr>
              <w:pStyle w:val="24"/>
              <w:jc w:val="center"/>
              <w:rPr>
                <w:rFonts w:ascii="Times New Roman" w:hAnsi="Times New Roman" w:eastAsia="宋体"/>
                <w:sz w:val="24"/>
              </w:rPr>
            </w:pPr>
            <w:r>
              <w:rPr>
                <w:rFonts w:ascii="Times New Roman" w:hAnsi="Times New Roman" w:eastAsia="宋体" w:cs="宋体"/>
                <w:spacing w:val="-1"/>
                <w:sz w:val="24"/>
                <w:szCs w:val="24"/>
              </w:rPr>
              <w:t>建设单位联系</w:t>
            </w:r>
            <w:r>
              <w:rPr>
                <w:rFonts w:ascii="Times New Roman" w:hAnsi="Times New Roman" w:eastAsia="宋体" w:cs="宋体"/>
                <w:sz w:val="24"/>
                <w:szCs w:val="24"/>
              </w:rPr>
              <w:t>人</w:t>
            </w:r>
          </w:p>
        </w:tc>
        <w:tc>
          <w:tcPr>
            <w:tcW w:w="1340" w:type="pct"/>
            <w:vAlign w:val="center"/>
          </w:tcPr>
          <w:p>
            <w:pPr>
              <w:jc w:val="center"/>
              <w:rPr>
                <w:rFonts w:ascii="Times New Roman" w:hAnsi="Times New Roman" w:eastAsia="宋体"/>
                <w:sz w:val="24"/>
              </w:rPr>
            </w:pPr>
          </w:p>
        </w:tc>
        <w:tc>
          <w:tcPr>
            <w:tcW w:w="1093" w:type="pct"/>
            <w:vAlign w:val="center"/>
          </w:tcPr>
          <w:p>
            <w:pPr>
              <w:pStyle w:val="24"/>
              <w:jc w:val="center"/>
              <w:rPr>
                <w:rFonts w:ascii="Times New Roman" w:hAnsi="Times New Roman" w:eastAsia="宋体"/>
                <w:sz w:val="24"/>
              </w:rPr>
            </w:pPr>
            <w:r>
              <w:rPr>
                <w:rFonts w:ascii="Times New Roman" w:hAnsi="Times New Roman" w:eastAsia="宋体" w:cs="宋体"/>
                <w:spacing w:val="-1"/>
                <w:sz w:val="24"/>
                <w:szCs w:val="24"/>
              </w:rPr>
              <w:t>联系方式</w:t>
            </w:r>
          </w:p>
        </w:tc>
        <w:tc>
          <w:tcPr>
            <w:tcW w:w="1549" w:type="pct"/>
            <w:vAlign w:val="center"/>
          </w:tcPr>
          <w:p>
            <w:pPr>
              <w:jc w:val="center"/>
              <w:rPr>
                <w:rFonts w:ascii="Times New Roman" w:hAnsi="Times New Roman" w:eastAsia="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18" w:type="pct"/>
            <w:gridSpan w:val="2"/>
            <w:vAlign w:val="center"/>
          </w:tcPr>
          <w:p>
            <w:pPr>
              <w:pStyle w:val="24"/>
              <w:jc w:val="center"/>
              <w:rPr>
                <w:rFonts w:ascii="Times New Roman" w:hAnsi="Times New Roman" w:eastAsia="宋体"/>
                <w:sz w:val="24"/>
              </w:rPr>
            </w:pPr>
            <w:r>
              <w:rPr>
                <w:rFonts w:ascii="Times New Roman" w:hAnsi="Times New Roman" w:eastAsia="宋体" w:cs="宋体"/>
                <w:spacing w:val="-1"/>
                <w:sz w:val="24"/>
                <w:szCs w:val="24"/>
              </w:rPr>
              <w:t>建设地点</w:t>
            </w:r>
          </w:p>
        </w:tc>
        <w:tc>
          <w:tcPr>
            <w:tcW w:w="3982" w:type="pct"/>
            <w:gridSpan w:val="3"/>
            <w:vAlign w:val="center"/>
          </w:tcPr>
          <w:p>
            <w:pPr>
              <w:jc w:val="center"/>
              <w:rPr>
                <w:rFonts w:ascii="Times New Roman" w:hAnsi="Times New Roman" w:eastAsia="宋体"/>
                <w:sz w:val="24"/>
                <w:lang w:eastAsia="zh-CN"/>
              </w:rPr>
            </w:pPr>
            <w:r>
              <w:rPr>
                <w:rFonts w:hint="eastAsia" w:ascii="Times New Roman" w:hAnsi="Times New Roman" w:cs="Times New Roman" w:eastAsiaTheme="majorEastAsia"/>
                <w:sz w:val="24"/>
                <w:szCs w:val="24"/>
                <w:lang w:eastAsia="zh-CN"/>
              </w:rPr>
              <w:t>福建省</w:t>
            </w:r>
            <w:bookmarkStart w:id="4" w:name="_Hlk185000926"/>
            <w:r>
              <w:rPr>
                <w:rFonts w:hint="eastAsia" w:ascii="Times New Roman" w:hAnsi="Times New Roman" w:cs="Times New Roman" w:eastAsiaTheme="majorEastAsia"/>
                <w:sz w:val="24"/>
                <w:szCs w:val="24"/>
                <w:lang w:eastAsia="zh-CN"/>
              </w:rPr>
              <w:t>福州市福清市龙山街道东刘村</w:t>
            </w:r>
            <w:bookmarkEnd w:id="4"/>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18" w:type="pct"/>
            <w:gridSpan w:val="2"/>
            <w:vAlign w:val="center"/>
          </w:tcPr>
          <w:p>
            <w:pPr>
              <w:jc w:val="center"/>
              <w:rPr>
                <w:rFonts w:ascii="Times New Roman" w:hAnsi="Times New Roman" w:eastAsia="宋体"/>
                <w:sz w:val="24"/>
              </w:rPr>
            </w:pPr>
            <w:r>
              <w:rPr>
                <w:rFonts w:ascii="Times New Roman" w:hAnsi="Times New Roman" w:eastAsia="宋体" w:cs="宋体"/>
                <w:spacing w:val="-1"/>
                <w:sz w:val="24"/>
                <w:szCs w:val="24"/>
              </w:rPr>
              <w:t>地理坐标</w:t>
            </w:r>
          </w:p>
        </w:tc>
        <w:tc>
          <w:tcPr>
            <w:tcW w:w="3982" w:type="pct"/>
            <w:gridSpan w:val="3"/>
            <w:vAlign w:val="center"/>
          </w:tcPr>
          <w:p>
            <w:pPr>
              <w:pStyle w:val="24"/>
              <w:tabs>
                <w:tab w:val="left" w:pos="1444"/>
                <w:tab w:val="left" w:pos="2076"/>
                <w:tab w:val="left" w:pos="3756"/>
                <w:tab w:val="left" w:pos="4385"/>
              </w:tabs>
              <w:jc w:val="center"/>
              <w:rPr>
                <w:rFonts w:ascii="Times New Roman" w:hAnsi="Times New Roman" w:eastAsia="宋体"/>
                <w:sz w:val="24"/>
                <w:lang w:eastAsia="zh-CN"/>
              </w:rPr>
            </w:pPr>
            <w:r>
              <w:rPr>
                <w:rFonts w:hint="eastAsia" w:ascii="Times New Roman" w:hAnsi="Times New Roman" w:eastAsia="宋体" w:cs="宋体"/>
                <w:sz w:val="24"/>
                <w:szCs w:val="24"/>
                <w:lang w:eastAsia="zh-CN"/>
              </w:rPr>
              <w:t>东经</w:t>
            </w:r>
            <w:r>
              <w:rPr>
                <w:rFonts w:ascii="Times New Roman" w:hAnsi="Times New Roman" w:eastAsia="宋体" w:cs="宋体"/>
                <w:sz w:val="24"/>
                <w:szCs w:val="24"/>
                <w:lang w:eastAsia="zh-CN"/>
              </w:rPr>
              <w:t>119°24</w:t>
            </w:r>
            <w:r>
              <w:rPr>
                <w:rFonts w:hint="eastAsia" w:ascii="Times New Roman" w:hAnsi="Times New Roman" w:eastAsia="宋体" w:cs="宋体"/>
                <w:sz w:val="24"/>
                <w:szCs w:val="24"/>
                <w:lang w:eastAsia="zh-CN"/>
              </w:rPr>
              <w:t>′</w:t>
            </w:r>
            <w:r>
              <w:rPr>
                <w:rFonts w:ascii="Times New Roman" w:hAnsi="Times New Roman" w:eastAsia="宋体" w:cs="宋体"/>
                <w:sz w:val="24"/>
                <w:szCs w:val="24"/>
                <w:lang w:eastAsia="zh-CN"/>
              </w:rPr>
              <w:t>14.001</w:t>
            </w:r>
            <w:r>
              <w:rPr>
                <w:rFonts w:hint="eastAsia" w:ascii="Times New Roman" w:hAnsi="Times New Roman" w:eastAsia="宋体" w:cs="宋体"/>
                <w:sz w:val="24"/>
                <w:szCs w:val="24"/>
                <w:lang w:eastAsia="zh-CN"/>
              </w:rPr>
              <w:t>″</w:t>
            </w:r>
            <w:r>
              <w:rPr>
                <w:rFonts w:ascii="Times New Roman" w:hAnsi="Times New Roman" w:eastAsia="宋体" w:cs="宋体"/>
                <w:spacing w:val="-3"/>
                <w:sz w:val="24"/>
                <w:szCs w:val="24"/>
                <w:lang w:eastAsia="zh-CN"/>
              </w:rPr>
              <w:t>，</w:t>
            </w:r>
            <w:r>
              <w:rPr>
                <w:rFonts w:hint="eastAsia" w:ascii="Times New Roman" w:hAnsi="Times New Roman" w:eastAsia="宋体" w:cs="宋体"/>
                <w:spacing w:val="-3"/>
                <w:sz w:val="24"/>
                <w:szCs w:val="24"/>
                <w:lang w:eastAsia="zh-CN"/>
              </w:rPr>
              <w:t>北纬</w:t>
            </w:r>
            <w:r>
              <w:rPr>
                <w:rFonts w:ascii="Times New Roman" w:hAnsi="Times New Roman" w:eastAsia="宋体" w:cs="宋体"/>
                <w:spacing w:val="-3"/>
                <w:sz w:val="24"/>
                <w:szCs w:val="24"/>
                <w:lang w:eastAsia="zh-CN"/>
              </w:rPr>
              <w:t>25°43</w:t>
            </w:r>
            <w:r>
              <w:rPr>
                <w:rFonts w:hint="eastAsia" w:ascii="Times New Roman" w:hAnsi="Times New Roman" w:eastAsia="宋体" w:cs="宋体"/>
                <w:spacing w:val="-3"/>
                <w:sz w:val="24"/>
                <w:szCs w:val="24"/>
                <w:lang w:eastAsia="zh-CN"/>
              </w:rPr>
              <w:t>′</w:t>
            </w:r>
            <w:r>
              <w:rPr>
                <w:rFonts w:ascii="Times New Roman" w:hAnsi="Times New Roman" w:eastAsia="宋体" w:cs="宋体"/>
                <w:spacing w:val="-3"/>
                <w:sz w:val="24"/>
                <w:szCs w:val="24"/>
                <w:lang w:eastAsia="zh-CN"/>
              </w:rPr>
              <w:t>24.750″</w:t>
            </w:r>
            <w:r>
              <w:rPr>
                <w:rFonts w:hint="eastAsia" w:ascii="Times New Roman" w:hAnsi="Times New Roman" w:eastAsia="宋体" w:cs="宋体"/>
                <w:spacing w:val="-3"/>
                <w:sz w:val="24"/>
                <w:szCs w:val="24"/>
                <w:lang w:eastAsia="zh-CN"/>
              </w:rPr>
              <w:t>（天地图）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18" w:type="pct"/>
            <w:gridSpan w:val="2"/>
            <w:vAlign w:val="center"/>
          </w:tcPr>
          <w:p>
            <w:pPr>
              <w:jc w:val="center"/>
              <w:rPr>
                <w:rFonts w:ascii="Times New Roman" w:hAnsi="Times New Roman" w:eastAsia="宋体" w:cs="宋体"/>
                <w:spacing w:val="-1"/>
                <w:sz w:val="24"/>
                <w:szCs w:val="24"/>
              </w:rPr>
            </w:pPr>
            <w:r>
              <w:rPr>
                <w:rFonts w:ascii="Times New Roman" w:hAnsi="Times New Roman" w:eastAsia="宋体" w:cs="宋体"/>
                <w:spacing w:val="-1"/>
                <w:sz w:val="24"/>
                <w:szCs w:val="24"/>
              </w:rPr>
              <w:t>国民经济</w:t>
            </w:r>
          </w:p>
          <w:p>
            <w:pPr>
              <w:jc w:val="center"/>
              <w:rPr>
                <w:rFonts w:ascii="Times New Roman" w:hAnsi="Times New Roman" w:eastAsia="宋体"/>
                <w:sz w:val="24"/>
              </w:rPr>
            </w:pPr>
            <w:r>
              <w:rPr>
                <w:rFonts w:ascii="Times New Roman" w:hAnsi="Times New Roman" w:eastAsia="宋体" w:cs="宋体"/>
                <w:spacing w:val="-1"/>
                <w:sz w:val="24"/>
                <w:szCs w:val="24"/>
              </w:rPr>
              <w:t>行业类别</w:t>
            </w:r>
          </w:p>
        </w:tc>
        <w:tc>
          <w:tcPr>
            <w:tcW w:w="1340" w:type="pct"/>
            <w:vAlign w:val="center"/>
          </w:tcPr>
          <w:p>
            <w:pPr>
              <w:pStyle w:val="24"/>
              <w:jc w:val="center"/>
              <w:rPr>
                <w:rFonts w:ascii="Times New Roman" w:hAnsi="Times New Roman" w:eastAsia="宋体"/>
                <w:sz w:val="24"/>
              </w:rPr>
            </w:pPr>
            <w:r>
              <w:rPr>
                <w:rFonts w:hint="eastAsia" w:ascii="Times New Roman" w:hAnsi="Times New Roman" w:cs="Times New Roman" w:eastAsiaTheme="majorEastAsia"/>
                <w:sz w:val="24"/>
                <w:lang w:eastAsia="zh-CN"/>
              </w:rPr>
              <w:t>F5265机动车燃油零售</w:t>
            </w:r>
          </w:p>
        </w:tc>
        <w:tc>
          <w:tcPr>
            <w:tcW w:w="1093" w:type="pct"/>
            <w:vAlign w:val="center"/>
          </w:tcPr>
          <w:p>
            <w:pPr>
              <w:pStyle w:val="24"/>
              <w:jc w:val="center"/>
              <w:rPr>
                <w:rFonts w:ascii="Times New Roman" w:hAnsi="Times New Roman" w:eastAsia="宋体" w:cs="宋体"/>
                <w:spacing w:val="-1"/>
                <w:sz w:val="24"/>
                <w:szCs w:val="24"/>
              </w:rPr>
            </w:pPr>
            <w:r>
              <w:rPr>
                <w:rFonts w:ascii="Times New Roman" w:hAnsi="Times New Roman" w:eastAsia="宋体" w:cs="宋体"/>
                <w:spacing w:val="-1"/>
                <w:sz w:val="24"/>
                <w:szCs w:val="24"/>
              </w:rPr>
              <w:t>建设项目</w:t>
            </w:r>
          </w:p>
          <w:p>
            <w:pPr>
              <w:pStyle w:val="24"/>
              <w:jc w:val="center"/>
              <w:rPr>
                <w:rFonts w:ascii="Times New Roman" w:hAnsi="Times New Roman" w:eastAsia="宋体"/>
                <w:sz w:val="24"/>
              </w:rPr>
            </w:pPr>
            <w:r>
              <w:rPr>
                <w:rFonts w:ascii="Times New Roman" w:hAnsi="Times New Roman" w:eastAsia="宋体" w:cs="宋体"/>
                <w:spacing w:val="-1"/>
                <w:sz w:val="24"/>
                <w:szCs w:val="24"/>
              </w:rPr>
              <w:t>行业类别</w:t>
            </w:r>
          </w:p>
        </w:tc>
        <w:tc>
          <w:tcPr>
            <w:tcW w:w="1549" w:type="pct"/>
            <w:vAlign w:val="center"/>
          </w:tcPr>
          <w:p>
            <w:pPr>
              <w:pStyle w:val="24"/>
              <w:jc w:val="center"/>
              <w:rPr>
                <w:rFonts w:ascii="Times New Roman" w:hAnsi="Times New Roman" w:eastAsia="宋体" w:cs="宋体"/>
                <w:spacing w:val="-1"/>
                <w:sz w:val="24"/>
                <w:szCs w:val="24"/>
                <w:lang w:eastAsia="zh-CN"/>
              </w:rPr>
            </w:pPr>
            <w:r>
              <w:rPr>
                <w:rFonts w:ascii="Times New Roman" w:hAnsi="Times New Roman" w:eastAsia="宋体" w:cs="宋体"/>
                <w:spacing w:val="-1"/>
                <w:sz w:val="24"/>
                <w:szCs w:val="24"/>
                <w:lang w:eastAsia="zh-CN"/>
              </w:rPr>
              <w:t>五十、社会事业与服务业-119、加油、加气站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18" w:type="pct"/>
            <w:gridSpan w:val="2"/>
            <w:vAlign w:val="center"/>
          </w:tcPr>
          <w:p>
            <w:pPr>
              <w:pStyle w:val="24"/>
              <w:jc w:val="center"/>
              <w:rPr>
                <w:rFonts w:ascii="Times New Roman" w:hAnsi="Times New Roman" w:eastAsia="宋体"/>
                <w:sz w:val="24"/>
              </w:rPr>
            </w:pPr>
            <w:r>
              <w:rPr>
                <w:rFonts w:ascii="Times New Roman" w:hAnsi="Times New Roman" w:eastAsia="宋体" w:cs="宋体"/>
                <w:spacing w:val="-1"/>
                <w:sz w:val="24"/>
                <w:szCs w:val="24"/>
              </w:rPr>
              <w:t>建设性质</w:t>
            </w:r>
          </w:p>
        </w:tc>
        <w:tc>
          <w:tcPr>
            <w:tcW w:w="1340" w:type="pct"/>
            <w:vAlign w:val="center"/>
          </w:tcPr>
          <w:p>
            <w:pPr>
              <w:pStyle w:val="24"/>
              <w:jc w:val="left"/>
              <w:rPr>
                <w:rFonts w:ascii="Times New Roman" w:hAnsi="Times New Roman" w:eastAsia="宋体" w:cs="宋体"/>
                <w:sz w:val="24"/>
                <w:szCs w:val="24"/>
                <w:lang w:eastAsia="zh-CN"/>
              </w:rPr>
            </w:pPr>
            <w:r>
              <w:rPr>
                <w:rFonts w:hint="eastAsia" w:ascii="Times New Roman" w:hAnsi="Times New Roman" w:eastAsia="宋体" w:cs="Times New Roman"/>
                <w:spacing w:val="-1"/>
                <w:sz w:val="24"/>
                <w:szCs w:val="24"/>
                <w:lang w:eastAsia="zh-CN"/>
              </w:rPr>
              <w:sym w:font="Wingdings 2" w:char="0052"/>
            </w:r>
            <w:r>
              <w:rPr>
                <w:rFonts w:ascii="Times New Roman" w:hAnsi="Times New Roman" w:eastAsia="宋体" w:cs="宋体"/>
                <w:spacing w:val="-1"/>
                <w:sz w:val="24"/>
                <w:szCs w:val="24"/>
                <w:lang w:eastAsia="zh-CN"/>
              </w:rPr>
              <w:t>新建（迁建）</w:t>
            </w:r>
          </w:p>
          <w:p>
            <w:pPr>
              <w:pStyle w:val="24"/>
              <w:jc w:val="left"/>
              <w:rPr>
                <w:rFonts w:ascii="Times New Roman" w:hAnsi="Times New Roman" w:eastAsia="宋体" w:cs="宋体"/>
                <w:sz w:val="24"/>
                <w:szCs w:val="24"/>
                <w:lang w:eastAsia="zh-CN"/>
              </w:rPr>
            </w:pPr>
            <w:r>
              <w:rPr>
                <w:rFonts w:hint="eastAsia" w:ascii="Times New Roman" w:hAnsi="Times New Roman" w:eastAsia="宋体" w:cs="Times New Roman"/>
                <w:spacing w:val="-1"/>
                <w:sz w:val="24"/>
                <w:szCs w:val="24"/>
                <w:lang w:eastAsia="zh-CN"/>
              </w:rPr>
              <w:sym w:font="Wingdings 2" w:char="00A3"/>
            </w:r>
            <w:r>
              <w:rPr>
                <w:rFonts w:ascii="Times New Roman" w:hAnsi="Times New Roman" w:eastAsia="宋体" w:cs="宋体"/>
                <w:spacing w:val="-1"/>
                <w:sz w:val="24"/>
                <w:szCs w:val="24"/>
                <w:lang w:eastAsia="zh-CN"/>
              </w:rPr>
              <w:t>改建</w:t>
            </w:r>
          </w:p>
          <w:p>
            <w:pPr>
              <w:pStyle w:val="24"/>
              <w:jc w:val="left"/>
              <w:rPr>
                <w:rFonts w:ascii="Times New Roman" w:hAnsi="Times New Roman" w:eastAsia="宋体" w:cs="宋体"/>
                <w:sz w:val="24"/>
                <w:szCs w:val="24"/>
                <w:lang w:eastAsia="zh-CN"/>
              </w:rPr>
            </w:pPr>
            <w:r>
              <w:rPr>
                <w:rFonts w:hint="eastAsia" w:ascii="Times New Roman" w:hAnsi="Times New Roman" w:eastAsia="宋体" w:cs="Times New Roman"/>
                <w:spacing w:val="-1"/>
                <w:sz w:val="24"/>
                <w:szCs w:val="24"/>
                <w:lang w:eastAsia="zh-CN"/>
              </w:rPr>
              <w:t>□</w:t>
            </w:r>
            <w:r>
              <w:rPr>
                <w:rFonts w:ascii="Times New Roman" w:hAnsi="Times New Roman" w:eastAsia="宋体" w:cs="宋体"/>
                <w:spacing w:val="-1"/>
                <w:sz w:val="24"/>
                <w:szCs w:val="24"/>
                <w:lang w:eastAsia="zh-CN"/>
              </w:rPr>
              <w:t>扩建</w:t>
            </w:r>
          </w:p>
          <w:p>
            <w:pPr>
              <w:jc w:val="left"/>
              <w:rPr>
                <w:rFonts w:ascii="Times New Roman" w:hAnsi="Times New Roman" w:eastAsia="宋体"/>
                <w:sz w:val="24"/>
              </w:rPr>
            </w:pPr>
            <w:r>
              <w:rPr>
                <w:rFonts w:hint="eastAsia" w:ascii="Times New Roman" w:hAnsi="Times New Roman" w:eastAsia="宋体" w:cs="Times New Roman"/>
                <w:spacing w:val="-1"/>
                <w:sz w:val="24"/>
                <w:szCs w:val="24"/>
                <w:lang w:eastAsia="zh-CN"/>
              </w:rPr>
              <w:t>□</w:t>
            </w:r>
            <w:r>
              <w:rPr>
                <w:rFonts w:ascii="Times New Roman" w:hAnsi="Times New Roman" w:eastAsia="宋体" w:cs="宋体"/>
                <w:spacing w:val="-1"/>
                <w:sz w:val="24"/>
                <w:szCs w:val="24"/>
              </w:rPr>
              <w:t>技术改造</w:t>
            </w:r>
          </w:p>
        </w:tc>
        <w:tc>
          <w:tcPr>
            <w:tcW w:w="1093" w:type="pct"/>
            <w:vAlign w:val="center"/>
          </w:tcPr>
          <w:p>
            <w:pPr>
              <w:pStyle w:val="24"/>
              <w:jc w:val="center"/>
              <w:rPr>
                <w:rFonts w:ascii="Times New Roman" w:hAnsi="Times New Roman" w:eastAsia="宋体" w:cs="宋体"/>
                <w:spacing w:val="-1"/>
                <w:sz w:val="24"/>
                <w:szCs w:val="24"/>
              </w:rPr>
            </w:pPr>
            <w:r>
              <w:rPr>
                <w:rFonts w:ascii="Times New Roman" w:hAnsi="Times New Roman" w:eastAsia="宋体" w:cs="宋体"/>
                <w:spacing w:val="-1"/>
                <w:sz w:val="24"/>
                <w:szCs w:val="24"/>
              </w:rPr>
              <w:t>建设项目</w:t>
            </w:r>
          </w:p>
          <w:p>
            <w:pPr>
              <w:pStyle w:val="24"/>
              <w:jc w:val="center"/>
              <w:rPr>
                <w:rFonts w:ascii="Times New Roman" w:hAnsi="Times New Roman" w:eastAsia="宋体"/>
                <w:sz w:val="24"/>
              </w:rPr>
            </w:pPr>
            <w:r>
              <w:rPr>
                <w:rFonts w:ascii="Times New Roman" w:hAnsi="Times New Roman" w:eastAsia="宋体" w:cs="宋体"/>
                <w:spacing w:val="-1"/>
                <w:sz w:val="24"/>
                <w:szCs w:val="24"/>
              </w:rPr>
              <w:t>申报情形</w:t>
            </w:r>
          </w:p>
        </w:tc>
        <w:tc>
          <w:tcPr>
            <w:tcW w:w="1549" w:type="pct"/>
            <w:vAlign w:val="center"/>
          </w:tcPr>
          <w:p>
            <w:pPr>
              <w:pStyle w:val="24"/>
              <w:jc w:val="left"/>
              <w:rPr>
                <w:rFonts w:ascii="Times New Roman" w:hAnsi="Times New Roman" w:eastAsia="宋体" w:cs="宋体"/>
                <w:sz w:val="24"/>
                <w:szCs w:val="24"/>
                <w:lang w:eastAsia="zh-CN"/>
              </w:rPr>
            </w:pPr>
            <w:r>
              <w:rPr>
                <w:rFonts w:hint="eastAsia" w:ascii="Times New Roman" w:hAnsi="Times New Roman" w:eastAsia="宋体" w:cs="Times New Roman"/>
                <w:spacing w:val="-2"/>
                <w:sz w:val="24"/>
                <w:szCs w:val="24"/>
                <w:lang w:eastAsia="zh-CN"/>
              </w:rPr>
              <w:sym w:font="Wingdings 2" w:char="0052"/>
            </w:r>
            <w:r>
              <w:rPr>
                <w:rFonts w:ascii="Times New Roman" w:hAnsi="Times New Roman" w:eastAsia="宋体" w:cs="宋体"/>
                <w:spacing w:val="-1"/>
                <w:sz w:val="24"/>
                <w:szCs w:val="24"/>
                <w:lang w:eastAsia="zh-CN"/>
              </w:rPr>
              <w:t>首次申报项目</w:t>
            </w:r>
          </w:p>
          <w:p>
            <w:pPr>
              <w:pStyle w:val="24"/>
              <w:jc w:val="left"/>
              <w:rPr>
                <w:rFonts w:ascii="Times New Roman" w:hAnsi="Times New Roman" w:eastAsia="宋体" w:cs="宋体"/>
                <w:sz w:val="24"/>
                <w:szCs w:val="24"/>
                <w:lang w:eastAsia="zh-CN"/>
              </w:rPr>
            </w:pPr>
            <w:r>
              <w:rPr>
                <w:rFonts w:hint="eastAsia" w:ascii="Times New Roman" w:hAnsi="Times New Roman" w:eastAsia="宋体" w:cs="Times New Roman"/>
                <w:spacing w:val="-2"/>
                <w:sz w:val="24"/>
                <w:szCs w:val="24"/>
                <w:lang w:eastAsia="zh-CN"/>
              </w:rPr>
              <w:t>□</w:t>
            </w:r>
            <w:r>
              <w:rPr>
                <w:rFonts w:ascii="Times New Roman" w:hAnsi="Times New Roman" w:eastAsia="宋体" w:cs="宋体"/>
                <w:spacing w:val="-2"/>
                <w:sz w:val="24"/>
                <w:szCs w:val="24"/>
                <w:lang w:eastAsia="zh-CN"/>
              </w:rPr>
              <w:t>不予批准后再次申报项目</w:t>
            </w:r>
          </w:p>
          <w:p>
            <w:pPr>
              <w:pStyle w:val="24"/>
              <w:jc w:val="left"/>
              <w:rPr>
                <w:rFonts w:ascii="Times New Roman" w:hAnsi="Times New Roman" w:eastAsia="宋体" w:cs="宋体"/>
                <w:sz w:val="24"/>
                <w:szCs w:val="24"/>
                <w:lang w:eastAsia="zh-CN"/>
              </w:rPr>
            </w:pPr>
            <w:r>
              <w:rPr>
                <w:rFonts w:hint="eastAsia" w:ascii="Times New Roman" w:hAnsi="Times New Roman" w:eastAsia="宋体" w:cs="Times New Roman"/>
                <w:spacing w:val="-2"/>
                <w:sz w:val="24"/>
                <w:szCs w:val="24"/>
                <w:lang w:eastAsia="zh-CN"/>
              </w:rPr>
              <w:t>□</w:t>
            </w:r>
            <w:r>
              <w:rPr>
                <w:rFonts w:ascii="Times New Roman" w:hAnsi="Times New Roman" w:eastAsia="宋体" w:cs="宋体"/>
                <w:spacing w:val="-1"/>
                <w:sz w:val="24"/>
                <w:szCs w:val="24"/>
                <w:lang w:eastAsia="zh-CN"/>
              </w:rPr>
              <w:t>超五年重新审核项目</w:t>
            </w:r>
          </w:p>
          <w:p>
            <w:pPr>
              <w:pStyle w:val="24"/>
              <w:jc w:val="left"/>
              <w:rPr>
                <w:rFonts w:ascii="Times New Roman" w:hAnsi="Times New Roman" w:eastAsia="宋体"/>
                <w:sz w:val="24"/>
                <w:lang w:eastAsia="zh-CN"/>
              </w:rPr>
            </w:pPr>
            <w:r>
              <w:rPr>
                <w:rFonts w:hint="eastAsia" w:ascii="Times New Roman" w:hAnsi="Times New Roman" w:eastAsia="宋体" w:cs="Times New Roman"/>
                <w:spacing w:val="-2"/>
                <w:sz w:val="24"/>
                <w:szCs w:val="24"/>
                <w:lang w:eastAsia="zh-CN"/>
              </w:rPr>
              <w:t>□</w:t>
            </w:r>
            <w:r>
              <w:rPr>
                <w:rFonts w:ascii="Times New Roman" w:hAnsi="Times New Roman" w:eastAsia="宋体" w:cs="宋体"/>
                <w:spacing w:val="-2"/>
                <w:sz w:val="24"/>
                <w:szCs w:val="24"/>
                <w:lang w:eastAsia="zh-CN"/>
              </w:rPr>
              <w:t>重大变动重新报批项目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91" w:hRule="atLeast"/>
          <w:jc w:val="center"/>
        </w:trPr>
        <w:tc>
          <w:tcPr>
            <w:tcW w:w="1018" w:type="pct"/>
            <w:gridSpan w:val="2"/>
            <w:vAlign w:val="center"/>
          </w:tcPr>
          <w:p>
            <w:pPr>
              <w:pStyle w:val="24"/>
              <w:jc w:val="center"/>
              <w:rPr>
                <w:rFonts w:ascii="Times New Roman" w:hAnsi="Times New Roman" w:eastAsia="宋体" w:cs="Times New Roman"/>
                <w:spacing w:val="-2"/>
                <w:sz w:val="24"/>
                <w:szCs w:val="24"/>
                <w:lang w:eastAsia="zh-CN"/>
              </w:rPr>
            </w:pPr>
            <w:r>
              <w:rPr>
                <w:rFonts w:ascii="Times New Roman" w:hAnsi="Times New Roman" w:eastAsia="宋体" w:cs="宋体"/>
                <w:sz w:val="24"/>
                <w:szCs w:val="24"/>
                <w:lang w:eastAsia="zh-CN"/>
              </w:rPr>
              <w:t>项目</w:t>
            </w:r>
            <w:r>
              <w:rPr>
                <w:rFonts w:ascii="Times New Roman" w:hAnsi="Times New Roman" w:eastAsia="宋体" w:cs="宋体"/>
                <w:spacing w:val="-3"/>
                <w:sz w:val="24"/>
                <w:szCs w:val="24"/>
                <w:lang w:eastAsia="zh-CN"/>
              </w:rPr>
              <w:t>审</w:t>
            </w:r>
            <w:r>
              <w:rPr>
                <w:rFonts w:ascii="Times New Roman" w:hAnsi="Times New Roman" w:eastAsia="宋体" w:cs="宋体"/>
                <w:spacing w:val="-36"/>
                <w:sz w:val="24"/>
                <w:szCs w:val="24"/>
                <w:lang w:eastAsia="zh-CN"/>
              </w:rPr>
              <w:t>批</w:t>
            </w:r>
            <w:r>
              <w:rPr>
                <w:rFonts w:ascii="Times New Roman" w:hAnsi="Times New Roman" w:eastAsia="宋体" w:cs="宋体"/>
                <w:sz w:val="24"/>
                <w:szCs w:val="24"/>
                <w:lang w:eastAsia="zh-CN"/>
              </w:rPr>
              <w:t>（</w:t>
            </w:r>
            <w:r>
              <w:rPr>
                <w:rFonts w:ascii="Times New Roman" w:hAnsi="Times New Roman" w:eastAsia="宋体" w:cs="宋体"/>
                <w:spacing w:val="-3"/>
                <w:sz w:val="24"/>
                <w:szCs w:val="24"/>
                <w:lang w:eastAsia="zh-CN"/>
              </w:rPr>
              <w:t>核</w:t>
            </w:r>
            <w:r>
              <w:rPr>
                <w:rFonts w:ascii="Times New Roman" w:hAnsi="Times New Roman" w:eastAsia="宋体" w:cs="宋体"/>
                <w:sz w:val="24"/>
                <w:szCs w:val="24"/>
                <w:lang w:eastAsia="zh-CN"/>
              </w:rPr>
              <w:t>准</w:t>
            </w:r>
            <w:r>
              <w:rPr>
                <w:rFonts w:ascii="Times New Roman" w:hAnsi="Times New Roman" w:eastAsia="宋体" w:cs="Times New Roman"/>
                <w:spacing w:val="-2"/>
                <w:sz w:val="24"/>
                <w:szCs w:val="24"/>
                <w:lang w:eastAsia="zh-CN"/>
              </w:rPr>
              <w:t>/</w:t>
            </w:r>
          </w:p>
          <w:p>
            <w:pPr>
              <w:pStyle w:val="24"/>
              <w:jc w:val="center"/>
              <w:rPr>
                <w:rFonts w:ascii="Times New Roman" w:hAnsi="Times New Roman" w:eastAsia="宋体"/>
                <w:sz w:val="24"/>
                <w:lang w:eastAsia="zh-CN"/>
              </w:rPr>
            </w:pPr>
            <w:r>
              <w:rPr>
                <w:rFonts w:ascii="Times New Roman" w:hAnsi="Times New Roman" w:eastAsia="宋体" w:cs="宋体"/>
                <w:sz w:val="24"/>
                <w:szCs w:val="24"/>
                <w:lang w:eastAsia="zh-CN"/>
              </w:rPr>
              <w:t>备案</w:t>
            </w:r>
            <w:r>
              <w:rPr>
                <w:rFonts w:ascii="Times New Roman" w:hAnsi="Times New Roman" w:eastAsia="宋体" w:cs="宋体"/>
                <w:spacing w:val="-48"/>
                <w:sz w:val="24"/>
                <w:szCs w:val="24"/>
                <w:lang w:eastAsia="zh-CN"/>
              </w:rPr>
              <w:t>）</w:t>
            </w:r>
            <w:r>
              <w:rPr>
                <w:rFonts w:ascii="Times New Roman" w:hAnsi="Times New Roman" w:eastAsia="宋体" w:cs="宋体"/>
                <w:sz w:val="24"/>
                <w:szCs w:val="24"/>
                <w:lang w:eastAsia="zh-CN"/>
              </w:rPr>
              <w:t>部</w:t>
            </w:r>
            <w:r>
              <w:rPr>
                <w:rFonts w:ascii="Times New Roman" w:hAnsi="Times New Roman" w:eastAsia="宋体" w:cs="宋体"/>
                <w:spacing w:val="-48"/>
                <w:sz w:val="24"/>
                <w:szCs w:val="24"/>
                <w:lang w:eastAsia="zh-CN"/>
              </w:rPr>
              <w:t>门</w:t>
            </w:r>
            <w:r>
              <w:rPr>
                <w:rFonts w:ascii="Times New Roman" w:hAnsi="Times New Roman" w:eastAsia="宋体" w:cs="宋体"/>
                <w:spacing w:val="-3"/>
                <w:sz w:val="24"/>
                <w:szCs w:val="24"/>
                <w:lang w:eastAsia="zh-CN"/>
              </w:rPr>
              <w:t>（</w:t>
            </w:r>
            <w:r>
              <w:rPr>
                <w:rFonts w:ascii="Times New Roman" w:hAnsi="Times New Roman" w:eastAsia="宋体" w:cs="宋体"/>
                <w:sz w:val="24"/>
                <w:szCs w:val="24"/>
                <w:lang w:eastAsia="zh-CN"/>
              </w:rPr>
              <w:t>选填）</w:t>
            </w:r>
          </w:p>
        </w:tc>
        <w:tc>
          <w:tcPr>
            <w:tcW w:w="1340" w:type="pct"/>
            <w:vAlign w:val="center"/>
          </w:tcPr>
          <w:p>
            <w:pPr>
              <w:jc w:val="center"/>
              <w:rPr>
                <w:rFonts w:ascii="Times New Roman" w:hAnsi="Times New Roman" w:eastAsia="宋体"/>
                <w:sz w:val="24"/>
              </w:rPr>
            </w:pPr>
            <w:r>
              <w:rPr>
                <w:rFonts w:hint="eastAsia" w:ascii="Times New Roman" w:hAnsi="Times New Roman" w:eastAsia="宋体" w:cs="宋体"/>
                <w:sz w:val="24"/>
                <w:szCs w:val="24"/>
                <w:lang w:eastAsia="zh-CN"/>
              </w:rPr>
              <w:t>福清市发展和改革局</w:t>
            </w:r>
          </w:p>
        </w:tc>
        <w:tc>
          <w:tcPr>
            <w:tcW w:w="1093" w:type="pct"/>
            <w:vAlign w:val="center"/>
          </w:tcPr>
          <w:p>
            <w:pPr>
              <w:pStyle w:val="24"/>
              <w:jc w:val="center"/>
              <w:rPr>
                <w:rFonts w:ascii="Times New Roman" w:hAnsi="Times New Roman" w:eastAsia="宋体"/>
                <w:sz w:val="24"/>
                <w:lang w:eastAsia="zh-CN"/>
              </w:rPr>
            </w:pPr>
            <w:r>
              <w:rPr>
                <w:rFonts w:ascii="Times New Roman" w:hAnsi="Times New Roman" w:eastAsia="宋体" w:cs="宋体"/>
                <w:spacing w:val="-1"/>
                <w:sz w:val="24"/>
                <w:szCs w:val="24"/>
                <w:lang w:eastAsia="zh-CN"/>
              </w:rPr>
              <w:t>项目审批（核准</w:t>
            </w:r>
            <w:r>
              <w:rPr>
                <w:rFonts w:ascii="Times New Roman" w:hAnsi="Times New Roman" w:eastAsia="宋体" w:cs="Times New Roman"/>
                <w:spacing w:val="-1"/>
                <w:sz w:val="24"/>
                <w:szCs w:val="24"/>
                <w:lang w:eastAsia="zh-CN"/>
              </w:rPr>
              <w:t>/</w:t>
            </w:r>
            <w:r>
              <w:rPr>
                <w:rFonts w:ascii="Times New Roman" w:hAnsi="Times New Roman" w:eastAsia="宋体" w:cs="Times New Roman"/>
                <w:spacing w:val="23"/>
                <w:sz w:val="24"/>
                <w:szCs w:val="24"/>
                <w:lang w:eastAsia="zh-CN"/>
              </w:rPr>
              <w:t xml:space="preserve"> </w:t>
            </w:r>
            <w:r>
              <w:rPr>
                <w:rFonts w:ascii="Times New Roman" w:hAnsi="Times New Roman" w:eastAsia="宋体" w:cs="宋体"/>
                <w:sz w:val="24"/>
                <w:szCs w:val="24"/>
                <w:lang w:eastAsia="zh-CN"/>
              </w:rPr>
              <w:t>备案</w:t>
            </w:r>
            <w:r>
              <w:rPr>
                <w:rFonts w:ascii="Times New Roman" w:hAnsi="Times New Roman" w:eastAsia="宋体" w:cs="宋体"/>
                <w:spacing w:val="-51"/>
                <w:sz w:val="24"/>
                <w:szCs w:val="24"/>
                <w:lang w:eastAsia="zh-CN"/>
              </w:rPr>
              <w:t>）</w:t>
            </w:r>
            <w:r>
              <w:rPr>
                <w:rFonts w:ascii="Times New Roman" w:hAnsi="Times New Roman" w:eastAsia="宋体" w:cs="宋体"/>
                <w:sz w:val="24"/>
                <w:szCs w:val="24"/>
                <w:lang w:eastAsia="zh-CN"/>
              </w:rPr>
              <w:t>文</w:t>
            </w:r>
            <w:r>
              <w:rPr>
                <w:rFonts w:ascii="Times New Roman" w:hAnsi="Times New Roman" w:eastAsia="宋体" w:cs="宋体"/>
                <w:spacing w:val="-48"/>
                <w:sz w:val="24"/>
                <w:szCs w:val="24"/>
                <w:lang w:eastAsia="zh-CN"/>
              </w:rPr>
              <w:t>号</w:t>
            </w:r>
            <w:r>
              <w:rPr>
                <w:rFonts w:ascii="Times New Roman" w:hAnsi="Times New Roman" w:eastAsia="宋体" w:cs="宋体"/>
                <w:spacing w:val="-3"/>
                <w:sz w:val="24"/>
                <w:szCs w:val="24"/>
                <w:lang w:eastAsia="zh-CN"/>
              </w:rPr>
              <w:t>（</w:t>
            </w:r>
            <w:r>
              <w:rPr>
                <w:rFonts w:hint="eastAsia" w:ascii="Times New Roman" w:hAnsi="Times New Roman" w:eastAsia="宋体" w:cs="宋体"/>
                <w:spacing w:val="-3"/>
                <w:sz w:val="24"/>
                <w:szCs w:val="24"/>
                <w:lang w:eastAsia="zh-CN"/>
              </w:rPr>
              <w:t>选</w:t>
            </w:r>
            <w:r>
              <w:rPr>
                <w:rFonts w:ascii="Times New Roman" w:hAnsi="Times New Roman" w:eastAsia="宋体" w:cs="宋体"/>
                <w:sz w:val="24"/>
                <w:szCs w:val="24"/>
                <w:lang w:eastAsia="zh-CN"/>
              </w:rPr>
              <w:t>填</w:t>
            </w:r>
            <w:r>
              <w:rPr>
                <w:rFonts w:hint="eastAsia" w:ascii="Times New Roman" w:hAnsi="Times New Roman" w:eastAsia="宋体" w:cs="宋体"/>
                <w:sz w:val="24"/>
                <w:szCs w:val="24"/>
                <w:lang w:eastAsia="zh-CN"/>
              </w:rPr>
              <w:t>）</w:t>
            </w:r>
          </w:p>
        </w:tc>
        <w:tc>
          <w:tcPr>
            <w:tcW w:w="1549" w:type="pct"/>
            <w:vAlign w:val="center"/>
          </w:tcPr>
          <w:p>
            <w:pPr>
              <w:pStyle w:val="24"/>
              <w:jc w:val="center"/>
              <w:rPr>
                <w:rFonts w:ascii="Times New Roman" w:hAnsi="Times New Roman" w:eastAsia="宋体"/>
                <w:sz w:val="24"/>
                <w:lang w:eastAsia="zh-CN"/>
              </w:rPr>
            </w:pPr>
            <w:r>
              <w:rPr>
                <w:rFonts w:hint="eastAsia" w:ascii="Times New Roman" w:hAnsi="Times New Roman" w:eastAsia="宋体" w:cs="宋体"/>
                <w:sz w:val="24"/>
                <w:szCs w:val="24"/>
                <w:lang w:eastAsia="zh-CN"/>
              </w:rPr>
              <w:t>闽发改备</w:t>
            </w:r>
            <w:r>
              <w:rPr>
                <w:rFonts w:ascii="Times New Roman" w:hAnsi="Times New Roman" w:eastAsia="宋体" w:cs="宋体"/>
                <w:sz w:val="24"/>
                <w:szCs w:val="24"/>
                <w:lang w:eastAsia="zh-CN"/>
              </w:rPr>
              <w:t>[2024]A060363</w:t>
            </w:r>
            <w:r>
              <w:rPr>
                <w:rFonts w:hint="eastAsia" w:ascii="Times New Roman" w:hAnsi="Times New Roman" w:eastAsia="宋体" w:cs="宋体"/>
                <w:sz w:val="24"/>
                <w:szCs w:val="24"/>
                <w:lang w:eastAsia="zh-CN"/>
              </w:rPr>
              <w:t>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18" w:type="pct"/>
            <w:gridSpan w:val="2"/>
            <w:vAlign w:val="center"/>
          </w:tcPr>
          <w:p>
            <w:pPr>
              <w:pStyle w:val="24"/>
              <w:jc w:val="center"/>
              <w:rPr>
                <w:rFonts w:ascii="Times New Roman" w:hAnsi="Times New Roman" w:eastAsia="宋体"/>
                <w:sz w:val="24"/>
              </w:rPr>
            </w:pPr>
            <w:r>
              <w:rPr>
                <w:rFonts w:ascii="Times New Roman" w:hAnsi="Times New Roman" w:eastAsia="宋体" w:cs="宋体"/>
                <w:spacing w:val="-2"/>
                <w:sz w:val="24"/>
                <w:szCs w:val="24"/>
              </w:rPr>
              <w:t>总投资（万元）</w:t>
            </w:r>
          </w:p>
        </w:tc>
        <w:tc>
          <w:tcPr>
            <w:tcW w:w="1340" w:type="pct"/>
            <w:vAlign w:val="center"/>
          </w:tcPr>
          <w:p>
            <w:pPr>
              <w:jc w:val="center"/>
              <w:rPr>
                <w:rFonts w:ascii="Times New Roman" w:hAnsi="Times New Roman" w:eastAsia="宋体"/>
                <w:sz w:val="24"/>
                <w:lang w:eastAsia="zh-CN"/>
              </w:rPr>
            </w:pPr>
            <w:r>
              <w:rPr>
                <w:rFonts w:hint="eastAsia" w:ascii="Times New Roman" w:hAnsi="Times New Roman" w:eastAsia="宋体"/>
                <w:sz w:val="24"/>
                <w:lang w:eastAsia="zh-CN"/>
              </w:rPr>
              <w:t>2086.78</w:t>
            </w:r>
          </w:p>
        </w:tc>
        <w:tc>
          <w:tcPr>
            <w:tcW w:w="1093" w:type="pct"/>
            <w:vAlign w:val="center"/>
          </w:tcPr>
          <w:p>
            <w:pPr>
              <w:pStyle w:val="24"/>
              <w:jc w:val="center"/>
              <w:rPr>
                <w:rFonts w:ascii="Times New Roman" w:hAnsi="Times New Roman" w:eastAsia="宋体"/>
                <w:sz w:val="24"/>
              </w:rPr>
            </w:pPr>
            <w:r>
              <w:rPr>
                <w:rFonts w:ascii="Times New Roman" w:hAnsi="Times New Roman" w:eastAsia="宋体" w:cs="宋体"/>
                <w:spacing w:val="-2"/>
                <w:sz w:val="24"/>
                <w:szCs w:val="24"/>
              </w:rPr>
              <w:t>环保投资（万元）</w:t>
            </w:r>
          </w:p>
        </w:tc>
        <w:tc>
          <w:tcPr>
            <w:tcW w:w="1549" w:type="pct"/>
            <w:vAlign w:val="center"/>
          </w:tcPr>
          <w:p>
            <w:pPr>
              <w:jc w:val="center"/>
              <w:rPr>
                <w:rFonts w:ascii="Times New Roman" w:hAnsi="Times New Roman" w:eastAsia="宋体"/>
                <w:sz w:val="24"/>
                <w:lang w:eastAsia="zh-CN"/>
              </w:rPr>
            </w:pPr>
            <w:r>
              <w:rPr>
                <w:rFonts w:hint="eastAsia" w:ascii="Times New Roman" w:hAnsi="Times New Roman" w:eastAsia="宋体"/>
                <w:sz w:val="24"/>
                <w:lang w:eastAsia="zh-CN"/>
              </w:rPr>
              <w:t>87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18" w:type="pct"/>
            <w:gridSpan w:val="2"/>
            <w:vAlign w:val="center"/>
          </w:tcPr>
          <w:p>
            <w:pPr>
              <w:pStyle w:val="24"/>
              <w:jc w:val="center"/>
              <w:rPr>
                <w:rFonts w:ascii="Times New Roman" w:hAnsi="Times New Roman" w:eastAsia="宋体"/>
                <w:sz w:val="24"/>
                <w:lang w:eastAsia="zh-CN"/>
              </w:rPr>
            </w:pPr>
            <w:r>
              <w:rPr>
                <w:rFonts w:ascii="Times New Roman" w:hAnsi="Times New Roman" w:eastAsia="宋体" w:cs="宋体"/>
                <w:spacing w:val="-1"/>
                <w:sz w:val="24"/>
                <w:szCs w:val="24"/>
              </w:rPr>
              <w:t>环保投资占</w:t>
            </w:r>
            <w:r>
              <w:rPr>
                <w:rFonts w:hint="eastAsia" w:ascii="Times New Roman" w:hAnsi="Times New Roman" w:eastAsia="宋体" w:cs="宋体"/>
                <w:spacing w:val="-1"/>
                <w:sz w:val="24"/>
                <w:szCs w:val="24"/>
                <w:lang w:eastAsia="zh-CN"/>
              </w:rPr>
              <w:t>比(</w:t>
            </w:r>
            <w:r>
              <w:rPr>
                <w:rFonts w:ascii="Times New Roman" w:hAnsi="Times New Roman" w:eastAsia="宋体" w:cs="Times New Roman"/>
                <w:spacing w:val="-1"/>
                <w:sz w:val="24"/>
                <w:szCs w:val="24"/>
              </w:rPr>
              <w:t>%</w:t>
            </w:r>
            <w:r>
              <w:rPr>
                <w:rFonts w:hint="eastAsia" w:ascii="Times New Roman" w:hAnsi="Times New Roman" w:eastAsia="宋体" w:cs="宋体"/>
                <w:spacing w:val="-1"/>
                <w:sz w:val="24"/>
                <w:szCs w:val="24"/>
                <w:lang w:eastAsia="zh-CN"/>
              </w:rPr>
              <w:t>)</w:t>
            </w:r>
          </w:p>
        </w:tc>
        <w:tc>
          <w:tcPr>
            <w:tcW w:w="1340" w:type="pct"/>
            <w:vAlign w:val="center"/>
          </w:tcPr>
          <w:p>
            <w:pPr>
              <w:jc w:val="center"/>
              <w:rPr>
                <w:rFonts w:ascii="Times New Roman" w:hAnsi="Times New Roman" w:eastAsia="宋体"/>
                <w:sz w:val="24"/>
                <w:lang w:eastAsia="zh-CN"/>
              </w:rPr>
            </w:pPr>
            <w:r>
              <w:rPr>
                <w:rFonts w:hint="eastAsia" w:ascii="Times New Roman" w:hAnsi="Times New Roman" w:eastAsia="宋体"/>
                <w:sz w:val="24"/>
                <w:lang w:eastAsia="zh-CN"/>
              </w:rPr>
              <w:t>4.2%</w:t>
            </w:r>
          </w:p>
        </w:tc>
        <w:tc>
          <w:tcPr>
            <w:tcW w:w="1093" w:type="pct"/>
            <w:vAlign w:val="center"/>
          </w:tcPr>
          <w:p>
            <w:pPr>
              <w:pStyle w:val="24"/>
              <w:jc w:val="center"/>
              <w:rPr>
                <w:rFonts w:ascii="Times New Roman" w:hAnsi="Times New Roman" w:eastAsia="宋体"/>
                <w:sz w:val="24"/>
              </w:rPr>
            </w:pPr>
            <w:r>
              <w:rPr>
                <w:rFonts w:ascii="Times New Roman" w:hAnsi="Times New Roman" w:eastAsia="宋体" w:cs="宋体"/>
                <w:spacing w:val="-1"/>
                <w:sz w:val="24"/>
                <w:szCs w:val="24"/>
              </w:rPr>
              <w:t>施工工期</w:t>
            </w:r>
          </w:p>
        </w:tc>
        <w:tc>
          <w:tcPr>
            <w:tcW w:w="1549" w:type="pct"/>
            <w:vAlign w:val="center"/>
          </w:tcPr>
          <w:p>
            <w:pPr>
              <w:pStyle w:val="24"/>
              <w:jc w:val="center"/>
              <w:rPr>
                <w:rFonts w:ascii="Times New Roman" w:hAnsi="Times New Roman" w:eastAsia="宋体"/>
                <w:sz w:val="24"/>
              </w:rPr>
            </w:pPr>
            <w:r>
              <w:rPr>
                <w:rFonts w:hint="eastAsia" w:ascii="Times New Roman" w:hAnsi="Times New Roman" w:eastAsia="宋体" w:cs="宋体"/>
                <w:sz w:val="24"/>
                <w:szCs w:val="24"/>
                <w:lang w:eastAsia="zh-CN"/>
              </w:rPr>
              <w:t>12</w:t>
            </w:r>
            <w:r>
              <w:rPr>
                <w:rFonts w:ascii="Times New Roman" w:hAnsi="Times New Roman" w:eastAsia="宋体" w:cs="宋体"/>
                <w:sz w:val="24"/>
                <w:szCs w:val="24"/>
              </w:rPr>
              <w:t>个月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18" w:type="pct"/>
            <w:gridSpan w:val="2"/>
            <w:vAlign w:val="center"/>
          </w:tcPr>
          <w:p>
            <w:pPr>
              <w:pStyle w:val="24"/>
              <w:jc w:val="center"/>
              <w:rPr>
                <w:rFonts w:ascii="Times New Roman" w:hAnsi="Times New Roman" w:eastAsia="宋体" w:cs="宋体"/>
                <w:spacing w:val="-1"/>
                <w:sz w:val="24"/>
                <w:szCs w:val="24"/>
              </w:rPr>
            </w:pPr>
            <w:r>
              <w:rPr>
                <w:rFonts w:ascii="Times New Roman" w:hAnsi="Times New Roman" w:eastAsia="宋体" w:cs="宋体"/>
                <w:spacing w:val="-1"/>
                <w:sz w:val="24"/>
                <w:szCs w:val="24"/>
              </w:rPr>
              <w:t>是否开工建设</w:t>
            </w:r>
          </w:p>
        </w:tc>
        <w:tc>
          <w:tcPr>
            <w:tcW w:w="1340" w:type="pct"/>
            <w:vAlign w:val="center"/>
          </w:tcPr>
          <w:p>
            <w:pPr>
              <w:pStyle w:val="24"/>
              <w:jc w:val="left"/>
              <w:rPr>
                <w:rFonts w:ascii="Times New Roman" w:hAnsi="Times New Roman" w:eastAsia="宋体" w:cs="宋体"/>
                <w:sz w:val="24"/>
                <w:szCs w:val="24"/>
              </w:rPr>
            </w:pPr>
            <w:r>
              <w:rPr>
                <w:rFonts w:hint="eastAsia" w:ascii="Times New Roman" w:hAnsi="Times New Roman" w:eastAsia="宋体" w:cs="Times New Roman"/>
                <w:spacing w:val="-2"/>
                <w:sz w:val="24"/>
                <w:szCs w:val="24"/>
                <w:lang w:eastAsia="zh-CN"/>
              </w:rPr>
              <w:t>☑</w:t>
            </w:r>
            <w:r>
              <w:rPr>
                <w:rFonts w:ascii="Times New Roman" w:hAnsi="Times New Roman" w:eastAsia="宋体" w:cs="宋体"/>
                <w:spacing w:val="-1"/>
                <w:sz w:val="24"/>
                <w:szCs w:val="24"/>
              </w:rPr>
              <w:t>否</w:t>
            </w:r>
          </w:p>
          <w:p>
            <w:pPr>
              <w:jc w:val="left"/>
              <w:rPr>
                <w:rFonts w:ascii="Times New Roman" w:hAnsi="Times New Roman" w:eastAsia="宋体"/>
                <w:sz w:val="24"/>
              </w:rPr>
            </w:pPr>
            <w:r>
              <w:rPr>
                <w:rFonts w:hint="eastAsia" w:ascii="Times New Roman" w:hAnsi="Times New Roman" w:eastAsia="宋体" w:cs="Times New Roman"/>
                <w:spacing w:val="-2"/>
                <w:sz w:val="24"/>
                <w:szCs w:val="24"/>
                <w:lang w:eastAsia="zh-CN"/>
              </w:rPr>
              <w:t>□</w:t>
            </w:r>
            <w:r>
              <w:rPr>
                <w:rFonts w:ascii="Times New Roman" w:hAnsi="Times New Roman" w:eastAsia="宋体" w:cs="宋体"/>
                <w:spacing w:val="-1"/>
                <w:sz w:val="24"/>
                <w:szCs w:val="24"/>
              </w:rPr>
              <w:t>是：</w:t>
            </w:r>
            <w:r>
              <w:rPr>
                <w:rFonts w:hint="eastAsia" w:ascii="Times New Roman" w:hAnsi="Times New Roman" w:eastAsia="宋体" w:cs="宋体"/>
                <w:spacing w:val="-1"/>
                <w:sz w:val="24"/>
                <w:szCs w:val="24"/>
                <w:u w:val="single"/>
                <w:lang w:eastAsia="zh-CN"/>
              </w:rPr>
              <w:t xml:space="preserve">                               </w:t>
            </w:r>
          </w:p>
        </w:tc>
        <w:tc>
          <w:tcPr>
            <w:tcW w:w="1093" w:type="pct"/>
            <w:vAlign w:val="center"/>
          </w:tcPr>
          <w:p>
            <w:pPr>
              <w:pStyle w:val="24"/>
              <w:jc w:val="center"/>
              <w:rPr>
                <w:rFonts w:ascii="Times New Roman" w:hAnsi="Times New Roman" w:eastAsia="宋体" w:cs="宋体"/>
                <w:spacing w:val="-1"/>
                <w:sz w:val="24"/>
                <w:szCs w:val="24"/>
                <w:lang w:eastAsia="zh-CN"/>
              </w:rPr>
            </w:pPr>
            <w:r>
              <w:rPr>
                <w:rFonts w:ascii="Times New Roman" w:hAnsi="Times New Roman" w:eastAsia="宋体" w:cs="宋体"/>
                <w:spacing w:val="-12"/>
                <w:sz w:val="24"/>
                <w:szCs w:val="24"/>
                <w:lang w:eastAsia="zh-CN"/>
              </w:rPr>
              <w:t>用地</w:t>
            </w:r>
            <w:r>
              <w:rPr>
                <w:rFonts w:ascii="Times New Roman" w:hAnsi="Times New Roman" w:eastAsia="宋体" w:cs="宋体"/>
                <w:spacing w:val="-10"/>
                <w:sz w:val="24"/>
                <w:szCs w:val="24"/>
                <w:lang w:eastAsia="zh-CN"/>
              </w:rPr>
              <w:t>面积（</w:t>
            </w:r>
            <w:r>
              <w:rPr>
                <w:rFonts w:hint="eastAsia" w:ascii="Times New Roman" w:hAnsi="Times New Roman" w:eastAsia="宋体" w:cs="宋体"/>
                <w:spacing w:val="-10"/>
                <w:sz w:val="24"/>
                <w:szCs w:val="24"/>
                <w:lang w:eastAsia="zh-CN"/>
              </w:rPr>
              <w:t>m</w:t>
            </w:r>
            <w:r>
              <w:rPr>
                <w:rFonts w:hint="eastAsia" w:ascii="Times New Roman" w:hAnsi="Times New Roman" w:eastAsia="宋体" w:cs="宋体"/>
                <w:spacing w:val="-10"/>
                <w:sz w:val="24"/>
                <w:szCs w:val="24"/>
                <w:vertAlign w:val="superscript"/>
                <w:lang w:eastAsia="zh-CN"/>
              </w:rPr>
              <w:t>2</w:t>
            </w:r>
            <w:r>
              <w:rPr>
                <w:rFonts w:ascii="Times New Roman" w:hAnsi="Times New Roman" w:eastAsia="宋体" w:cs="宋体"/>
                <w:spacing w:val="-10"/>
                <w:sz w:val="24"/>
                <w:szCs w:val="24"/>
                <w:lang w:eastAsia="zh-CN"/>
              </w:rPr>
              <w:t>）</w:t>
            </w:r>
          </w:p>
        </w:tc>
        <w:tc>
          <w:tcPr>
            <w:tcW w:w="1549" w:type="pct"/>
            <w:vAlign w:val="center"/>
          </w:tcPr>
          <w:p>
            <w:pPr>
              <w:pStyle w:val="24"/>
              <w:jc w:val="center"/>
              <w:rPr>
                <w:rFonts w:ascii="Times New Roman" w:hAnsi="Times New Roman" w:eastAsia="宋体" w:cs="Times New Roman"/>
                <w:sz w:val="24"/>
                <w:szCs w:val="24"/>
                <w:lang w:eastAsia="zh-CN"/>
              </w:rPr>
            </w:pPr>
            <w:r>
              <w:rPr>
                <w:rFonts w:hint="eastAsia" w:ascii="Times New Roman" w:hAnsi="Times New Roman" w:eastAsia="宋体" w:cs="Times New Roman"/>
                <w:sz w:val="24"/>
                <w:szCs w:val="24"/>
                <w:lang w:eastAsia="zh-CN"/>
              </w:rPr>
              <w:t>4668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48" w:type="pct"/>
            <w:vAlign w:val="center"/>
          </w:tcPr>
          <w:p>
            <w:pPr>
              <w:pStyle w:val="24"/>
              <w:jc w:val="center"/>
              <w:rPr>
                <w:rFonts w:ascii="Times New Roman" w:hAnsi="Times New Roman" w:eastAsia="宋体" w:cs="宋体"/>
                <w:spacing w:val="-1"/>
                <w:sz w:val="24"/>
                <w:szCs w:val="24"/>
              </w:rPr>
            </w:pPr>
            <w:r>
              <w:rPr>
                <w:rFonts w:ascii="Times New Roman" w:hAnsi="Times New Roman" w:eastAsia="宋体" w:cs="宋体"/>
                <w:spacing w:val="-1"/>
                <w:sz w:val="24"/>
                <w:szCs w:val="24"/>
              </w:rPr>
              <w:t>专项评价设</w:t>
            </w:r>
            <w:r>
              <w:rPr>
                <w:rFonts w:ascii="Times New Roman" w:hAnsi="Times New Roman" w:eastAsia="宋体" w:cs="宋体"/>
                <w:sz w:val="24"/>
                <w:szCs w:val="24"/>
              </w:rPr>
              <w:t>置情况</w:t>
            </w:r>
          </w:p>
        </w:tc>
        <w:tc>
          <w:tcPr>
            <w:tcW w:w="4452" w:type="pct"/>
            <w:gridSpan w:val="4"/>
            <w:vAlign w:val="center"/>
          </w:tcPr>
          <w:p>
            <w:pPr>
              <w:spacing w:before="120" w:beforeLines="50"/>
              <w:jc w:val="center"/>
              <w:rPr>
                <w:rFonts w:ascii="Times New Roman" w:hAnsi="Times New Roman" w:eastAsia="宋体" w:cs="Times New Roman"/>
                <w:bCs/>
                <w:kern w:val="2"/>
                <w:sz w:val="24"/>
                <w:szCs w:val="24"/>
                <w:lang w:eastAsia="zh-CN"/>
              </w:rPr>
            </w:pPr>
            <w:r>
              <w:rPr>
                <w:rFonts w:hint="eastAsia" w:ascii="Times New Roman" w:hAnsi="Times New Roman" w:eastAsia="宋体" w:cs="Times New Roman"/>
                <w:b/>
                <w:bCs/>
                <w:kern w:val="2"/>
                <w:sz w:val="24"/>
                <w:szCs w:val="24"/>
                <w:lang w:eastAsia="zh-CN"/>
              </w:rPr>
              <w:t>表1.1-1  项目专项评价设置表</w:t>
            </w:r>
          </w:p>
          <w:tbl>
            <w:tblPr>
              <w:tblStyle w:val="17"/>
              <w:tblW w:w="4998"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45"/>
              <w:gridCol w:w="3979"/>
              <w:gridCol w:w="2569"/>
              <w:gridCol w:w="1044"/>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5" w:type="pct"/>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专项评价类别</w:t>
                  </w:r>
                </w:p>
              </w:tc>
              <w:tc>
                <w:tcPr>
                  <w:tcW w:w="2303" w:type="pct"/>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设置原则</w:t>
                  </w:r>
                </w:p>
              </w:tc>
              <w:tc>
                <w:tcPr>
                  <w:tcW w:w="1487" w:type="pct"/>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本项目情况</w:t>
                  </w:r>
                </w:p>
              </w:tc>
              <w:tc>
                <w:tcPr>
                  <w:tcW w:w="604" w:type="pct"/>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是否设置专项</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5" w:type="pct"/>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大气</w:t>
                  </w:r>
                </w:p>
              </w:tc>
              <w:tc>
                <w:tcPr>
                  <w:tcW w:w="2303" w:type="pct"/>
                  <w:vAlign w:val="center"/>
                </w:tcPr>
                <w:p>
                  <w:pPr>
                    <w:widowControl/>
                    <w:jc w:val="center"/>
                    <w:rPr>
                      <w:rFonts w:ascii="Times New Roman" w:hAnsi="Times New Roman" w:eastAsia="宋体" w:cs="Times New Roman"/>
                      <w:kern w:val="2"/>
                      <w:sz w:val="21"/>
                      <w:szCs w:val="21"/>
                      <w:lang w:eastAsia="zh-CN"/>
                    </w:rPr>
                  </w:pPr>
                  <w:r>
                    <w:rPr>
                      <w:rFonts w:ascii="Times New Roman" w:hAnsi="Times New Roman" w:eastAsia="宋体" w:cs="Times New Roman"/>
                      <w:kern w:val="2"/>
                      <w:sz w:val="21"/>
                      <w:szCs w:val="21"/>
                      <w:lang w:eastAsia="zh-CN"/>
                    </w:rPr>
                    <w:t>排放废气含有毒有害污染物、二噁英、苯并[a]芘、氰化物、氯气且厂界外500米范围内有环境空气保护目标的建设项目</w:t>
                  </w:r>
                </w:p>
              </w:tc>
              <w:tc>
                <w:tcPr>
                  <w:tcW w:w="1487" w:type="pct"/>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本项目不涉及</w:t>
                  </w:r>
                  <w:r>
                    <w:rPr>
                      <w:rFonts w:ascii="Times New Roman" w:hAnsi="Times New Roman" w:eastAsia="宋体" w:cs="Times New Roman"/>
                      <w:kern w:val="2"/>
                      <w:sz w:val="21"/>
                      <w:szCs w:val="21"/>
                      <w:lang w:eastAsia="zh-CN"/>
                    </w:rPr>
                    <w:t>含有毒有害污染物、二噁英、苯并[a]芘、氰化物、氯气的排放</w:t>
                  </w:r>
                </w:p>
              </w:tc>
              <w:tc>
                <w:tcPr>
                  <w:tcW w:w="604" w:type="pct"/>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否</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5" w:type="pct"/>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地表水</w:t>
                  </w:r>
                </w:p>
              </w:tc>
              <w:tc>
                <w:tcPr>
                  <w:tcW w:w="2303" w:type="pct"/>
                  <w:vAlign w:val="center"/>
                </w:tcPr>
                <w:p>
                  <w:pPr>
                    <w:widowControl/>
                    <w:jc w:val="center"/>
                    <w:rPr>
                      <w:rFonts w:ascii="Times New Roman" w:hAnsi="Times New Roman" w:eastAsia="宋体" w:cs="Times New Roman"/>
                      <w:kern w:val="2"/>
                      <w:sz w:val="21"/>
                      <w:szCs w:val="21"/>
                      <w:lang w:eastAsia="zh-CN"/>
                    </w:rPr>
                  </w:pPr>
                  <w:r>
                    <w:rPr>
                      <w:rFonts w:ascii="Times New Roman" w:hAnsi="Times New Roman" w:eastAsia="宋体" w:cs="Times New Roman"/>
                      <w:kern w:val="2"/>
                      <w:sz w:val="21"/>
                      <w:szCs w:val="21"/>
                      <w:lang w:eastAsia="zh-CN"/>
                    </w:rPr>
                    <w:t>新增工业废水直排建设项目（槽罐车外送</w:t>
                  </w:r>
                  <w:r>
                    <w:rPr>
                      <w:rFonts w:hint="eastAsia" w:ascii="Times New Roman" w:hAnsi="Times New Roman" w:eastAsia="宋体" w:cs="Times New Roman"/>
                      <w:kern w:val="2"/>
                      <w:sz w:val="21"/>
                      <w:szCs w:val="21"/>
                      <w:lang w:eastAsia="zh-CN"/>
                    </w:rPr>
                    <w:t>污水处理厂</w:t>
                  </w:r>
                  <w:r>
                    <w:rPr>
                      <w:rFonts w:ascii="Times New Roman" w:hAnsi="Times New Roman" w:eastAsia="宋体" w:cs="Times New Roman"/>
                      <w:kern w:val="2"/>
                      <w:sz w:val="21"/>
                      <w:szCs w:val="21"/>
                      <w:lang w:eastAsia="zh-CN"/>
                    </w:rPr>
                    <w:t>的除外）；新增废水直排的污水集中处理厂</w:t>
                  </w:r>
                </w:p>
              </w:tc>
              <w:tc>
                <w:tcPr>
                  <w:tcW w:w="1487" w:type="pct"/>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本项目废水排放至污水处理厂，为间接排放</w:t>
                  </w:r>
                </w:p>
              </w:tc>
              <w:tc>
                <w:tcPr>
                  <w:tcW w:w="604" w:type="pct"/>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否</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5" w:type="pct"/>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环境</w:t>
                  </w:r>
                </w:p>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风险</w:t>
                  </w:r>
                </w:p>
              </w:tc>
              <w:tc>
                <w:tcPr>
                  <w:tcW w:w="2303" w:type="pct"/>
                  <w:vAlign w:val="center"/>
                </w:tcPr>
                <w:p>
                  <w:pPr>
                    <w:widowControl/>
                    <w:jc w:val="center"/>
                    <w:rPr>
                      <w:rFonts w:ascii="Times New Roman" w:hAnsi="Times New Roman" w:eastAsia="宋体" w:cs="Times New Roman"/>
                      <w:kern w:val="2"/>
                      <w:sz w:val="21"/>
                      <w:szCs w:val="21"/>
                      <w:lang w:eastAsia="zh-CN"/>
                    </w:rPr>
                  </w:pPr>
                  <w:r>
                    <w:rPr>
                      <w:rFonts w:ascii="Times New Roman" w:hAnsi="Times New Roman" w:eastAsia="宋体" w:cs="Times New Roman"/>
                      <w:kern w:val="2"/>
                      <w:sz w:val="21"/>
                      <w:szCs w:val="21"/>
                      <w:lang w:eastAsia="zh-CN"/>
                    </w:rPr>
                    <w:t>有毒有害和易燃易爆危险物质存储量超过临界量的建设项目</w:t>
                  </w:r>
                </w:p>
              </w:tc>
              <w:tc>
                <w:tcPr>
                  <w:tcW w:w="1487" w:type="pct"/>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本项目</w:t>
                  </w:r>
                  <w:r>
                    <w:rPr>
                      <w:rFonts w:ascii="Times New Roman" w:hAnsi="Times New Roman" w:eastAsia="宋体" w:cs="Times New Roman"/>
                      <w:kern w:val="2"/>
                      <w:sz w:val="21"/>
                      <w:szCs w:val="21"/>
                      <w:lang w:eastAsia="zh-CN"/>
                    </w:rPr>
                    <w:t>有毒有害和易燃易爆危险物质存储量不超过临界量</w:t>
                  </w:r>
                </w:p>
              </w:tc>
              <w:tc>
                <w:tcPr>
                  <w:tcW w:w="604" w:type="pct"/>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否</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5" w:type="pct"/>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生态</w:t>
                  </w:r>
                </w:p>
              </w:tc>
              <w:tc>
                <w:tcPr>
                  <w:tcW w:w="2303" w:type="pct"/>
                  <w:vAlign w:val="center"/>
                </w:tcPr>
                <w:p>
                  <w:pPr>
                    <w:widowControl/>
                    <w:jc w:val="center"/>
                    <w:rPr>
                      <w:rFonts w:ascii="Times New Roman" w:hAnsi="Times New Roman" w:eastAsia="宋体" w:cs="Times New Roman"/>
                      <w:kern w:val="2"/>
                      <w:sz w:val="21"/>
                      <w:szCs w:val="21"/>
                      <w:lang w:eastAsia="zh-CN"/>
                    </w:rPr>
                  </w:pPr>
                  <w:r>
                    <w:rPr>
                      <w:rFonts w:ascii="Times New Roman" w:hAnsi="Times New Roman" w:eastAsia="宋体" w:cs="Times New Roman"/>
                      <w:kern w:val="2"/>
                      <w:sz w:val="21"/>
                      <w:szCs w:val="21"/>
                      <w:lang w:eastAsia="zh-CN"/>
                    </w:rPr>
                    <w:t>取水口下游500米范围内有重要水生</w:t>
                  </w:r>
                  <w:r>
                    <w:rPr>
                      <w:rFonts w:ascii="Times New Roman" w:hAnsi="Times New Roman" w:eastAsia="宋体" w:cs="Times New Roman"/>
                      <w:kern w:val="2"/>
                      <w:sz w:val="21"/>
                      <w:szCs w:val="21"/>
                      <w:lang w:eastAsia="zh-CN"/>
                    </w:rPr>
                    <w:cr/>
                  </w:r>
                  <w:r>
                    <w:rPr>
                      <w:rFonts w:ascii="Times New Roman" w:hAnsi="Times New Roman" w:eastAsia="宋体" w:cs="Times New Roman"/>
                      <w:kern w:val="2"/>
                      <w:sz w:val="21"/>
                      <w:szCs w:val="21"/>
                      <w:lang w:eastAsia="zh-CN"/>
                    </w:rPr>
                    <w:t>物的自然</w:t>
                  </w:r>
                  <w:r>
                    <w:rPr>
                      <w:rFonts w:ascii="Times New Roman" w:hAnsi="Times New Roman" w:eastAsia="宋体" w:cs="Times New Roman"/>
                      <w:kern w:val="2"/>
                      <w:sz w:val="21"/>
                      <w:szCs w:val="21"/>
                      <w:lang w:eastAsia="zh-CN"/>
                    </w:rPr>
                    <w:cr/>
                  </w:r>
                  <w:r>
                    <w:rPr>
                      <w:rFonts w:ascii="Times New Roman" w:hAnsi="Times New Roman" w:eastAsia="宋体" w:cs="Times New Roman"/>
                      <w:kern w:val="2"/>
                      <w:sz w:val="21"/>
                      <w:szCs w:val="21"/>
                      <w:lang w:eastAsia="zh-CN"/>
                    </w:rPr>
                    <w:t>卵场、索饵场、越冬场和洄游通道的新增河道取水的污染类建设项目</w:t>
                  </w:r>
                </w:p>
              </w:tc>
              <w:tc>
                <w:tcPr>
                  <w:tcW w:w="1487" w:type="pct"/>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本项目不设置取水口</w:t>
                  </w:r>
                </w:p>
              </w:tc>
              <w:tc>
                <w:tcPr>
                  <w:tcW w:w="604" w:type="pct"/>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否</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5" w:type="pct"/>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海洋</w:t>
                  </w:r>
                </w:p>
              </w:tc>
              <w:tc>
                <w:tcPr>
                  <w:tcW w:w="2303" w:type="pct"/>
                  <w:vAlign w:val="center"/>
                </w:tcPr>
                <w:p>
                  <w:pPr>
                    <w:widowControl/>
                    <w:jc w:val="center"/>
                    <w:rPr>
                      <w:rFonts w:ascii="Times New Roman" w:hAnsi="Times New Roman" w:eastAsia="宋体" w:cs="Times New Roman"/>
                      <w:kern w:val="2"/>
                      <w:sz w:val="21"/>
                      <w:szCs w:val="21"/>
                      <w:lang w:eastAsia="zh-CN"/>
                    </w:rPr>
                  </w:pPr>
                  <w:r>
                    <w:rPr>
                      <w:rFonts w:ascii="Times New Roman" w:hAnsi="Times New Roman" w:eastAsia="宋体" w:cs="Times New Roman"/>
                      <w:kern w:val="2"/>
                      <w:sz w:val="21"/>
                      <w:szCs w:val="21"/>
                      <w:lang w:eastAsia="zh-CN"/>
                    </w:rPr>
                    <w:t>直接向海排放污染物的海洋工程建设项目</w:t>
                  </w:r>
                </w:p>
              </w:tc>
              <w:tc>
                <w:tcPr>
                  <w:tcW w:w="1487" w:type="pct"/>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本项目不属于海洋</w:t>
                  </w:r>
                </w:p>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工程</w:t>
                  </w:r>
                </w:p>
              </w:tc>
              <w:tc>
                <w:tcPr>
                  <w:tcW w:w="604" w:type="pct"/>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否</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05" w:type="pct"/>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地下水</w:t>
                  </w:r>
                </w:p>
              </w:tc>
              <w:tc>
                <w:tcPr>
                  <w:tcW w:w="2303" w:type="pct"/>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原则上不开展专项评价，涉及集中式饮用水水源和热水、矿泉水、温泉等特殊地下水资源保护区的开展地下水专项评价工作</w:t>
                  </w:r>
                </w:p>
              </w:tc>
              <w:tc>
                <w:tcPr>
                  <w:tcW w:w="1487" w:type="pct"/>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本项目不涉及集中式饮用水水源和热水、矿泉水、温泉等特殊地下水资源保护区</w:t>
                  </w:r>
                </w:p>
              </w:tc>
              <w:tc>
                <w:tcPr>
                  <w:tcW w:w="604" w:type="pct"/>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否</w:t>
                  </w:r>
                </w:p>
              </w:tc>
            </w:tr>
          </w:tbl>
          <w:p>
            <w:pPr>
              <w:jc w:val="center"/>
              <w:rPr>
                <w:rFonts w:ascii="Times New Roman" w:hAnsi="Times New Roman" w:eastAsia="宋体" w:cs="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48" w:type="pct"/>
            <w:shd w:val="clear" w:color="auto" w:fill="auto"/>
            <w:vAlign w:val="center"/>
          </w:tcPr>
          <w:p>
            <w:pPr>
              <w:jc w:val="center"/>
              <w:rPr>
                <w:rFonts w:ascii="Times New Roman" w:hAnsi="Times New Roman" w:eastAsia="宋体" w:cs="宋体"/>
                <w:spacing w:val="-1"/>
                <w:sz w:val="24"/>
                <w:szCs w:val="24"/>
              </w:rPr>
            </w:pPr>
            <w:r>
              <w:rPr>
                <w:rFonts w:ascii="Times New Roman" w:hAnsi="Times New Roman" w:eastAsia="宋体" w:cs="宋体"/>
                <w:spacing w:val="-1"/>
                <w:sz w:val="24"/>
                <w:szCs w:val="24"/>
              </w:rPr>
              <w:t>规划情况</w:t>
            </w:r>
          </w:p>
        </w:tc>
        <w:tc>
          <w:tcPr>
            <w:tcW w:w="4452" w:type="pct"/>
            <w:gridSpan w:val="4"/>
            <w:vAlign w:val="center"/>
          </w:tcPr>
          <w:p>
            <w:pPr>
              <w:pStyle w:val="24"/>
              <w:jc w:val="left"/>
              <w:rPr>
                <w:rFonts w:ascii="Times New Roman" w:hAnsi="Times New Roman" w:eastAsia="宋体" w:cs="Times New Roman"/>
                <w:sz w:val="24"/>
                <w:szCs w:val="24"/>
                <w:lang w:eastAsia="zh-CN"/>
              </w:rPr>
            </w:pPr>
            <w:r>
              <w:rPr>
                <w:rFonts w:hint="eastAsia" w:ascii="Times New Roman" w:hAnsi="Times New Roman" w:eastAsia="宋体" w:cs="宋体"/>
                <w:spacing w:val="-2"/>
                <w:sz w:val="24"/>
                <w:szCs w:val="24"/>
                <w:lang w:eastAsia="zh-CN"/>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48" w:type="pct"/>
            <w:shd w:val="clear" w:color="auto" w:fill="auto"/>
            <w:vAlign w:val="center"/>
          </w:tcPr>
          <w:p>
            <w:pPr>
              <w:pStyle w:val="24"/>
              <w:jc w:val="center"/>
              <w:rPr>
                <w:rFonts w:ascii="Times New Roman" w:hAnsi="Times New Roman" w:eastAsia="宋体" w:cs="宋体"/>
                <w:sz w:val="24"/>
                <w:szCs w:val="24"/>
                <w:lang w:eastAsia="zh-CN"/>
              </w:rPr>
            </w:pPr>
            <w:r>
              <w:rPr>
                <w:rFonts w:ascii="Times New Roman" w:hAnsi="Times New Roman" w:eastAsia="宋体" w:cs="宋体"/>
                <w:spacing w:val="-1"/>
                <w:sz w:val="24"/>
                <w:szCs w:val="24"/>
                <w:lang w:eastAsia="zh-CN"/>
              </w:rPr>
              <w:t>规划环境影</w:t>
            </w:r>
            <w:r>
              <w:rPr>
                <w:rFonts w:ascii="Times New Roman" w:hAnsi="Times New Roman" w:eastAsia="宋体" w:cs="宋体"/>
                <w:sz w:val="24"/>
                <w:szCs w:val="24"/>
                <w:lang w:eastAsia="zh-CN"/>
              </w:rPr>
              <w:t>响</w:t>
            </w:r>
          </w:p>
          <w:p>
            <w:pPr>
              <w:jc w:val="center"/>
              <w:rPr>
                <w:rFonts w:ascii="Times New Roman" w:hAnsi="Times New Roman" w:eastAsia="宋体" w:cs="宋体"/>
                <w:spacing w:val="-1"/>
                <w:sz w:val="24"/>
                <w:szCs w:val="24"/>
                <w:lang w:eastAsia="zh-CN"/>
              </w:rPr>
            </w:pPr>
            <w:r>
              <w:rPr>
                <w:rFonts w:ascii="Times New Roman" w:hAnsi="Times New Roman" w:eastAsia="宋体" w:cs="宋体"/>
                <w:spacing w:val="-1"/>
                <w:sz w:val="24"/>
                <w:szCs w:val="24"/>
                <w:lang w:eastAsia="zh-CN"/>
              </w:rPr>
              <w:t>评价情况</w:t>
            </w:r>
          </w:p>
        </w:tc>
        <w:tc>
          <w:tcPr>
            <w:tcW w:w="4452" w:type="pct"/>
            <w:gridSpan w:val="4"/>
            <w:vAlign w:val="center"/>
          </w:tcPr>
          <w:p>
            <w:pPr>
              <w:pStyle w:val="24"/>
              <w:jc w:val="left"/>
              <w:rPr>
                <w:rFonts w:ascii="Times New Roman" w:hAnsi="Times New Roman" w:eastAsia="宋体" w:cs="Times New Roman"/>
                <w:sz w:val="24"/>
                <w:szCs w:val="24"/>
                <w:lang w:eastAsia="zh-CN"/>
              </w:rPr>
            </w:pPr>
            <w:r>
              <w:rPr>
                <w:rFonts w:hint="eastAsia" w:ascii="Times New Roman" w:hAnsi="Times New Roman" w:eastAsia="宋体" w:cs="宋体"/>
                <w:spacing w:val="-2"/>
                <w:sz w:val="24"/>
                <w:szCs w:val="24"/>
                <w:lang w:eastAsia="zh-CN"/>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48" w:type="pct"/>
            <w:vAlign w:val="center"/>
          </w:tcPr>
          <w:p>
            <w:pPr>
              <w:jc w:val="center"/>
              <w:rPr>
                <w:rFonts w:ascii="Times New Roman" w:hAnsi="Times New Roman" w:eastAsia="宋体" w:cs="宋体"/>
                <w:spacing w:val="-1"/>
                <w:sz w:val="24"/>
                <w:szCs w:val="24"/>
                <w:highlight w:val="yellow"/>
                <w:lang w:eastAsia="zh-CN"/>
              </w:rPr>
            </w:pPr>
            <w:r>
              <w:rPr>
                <w:rFonts w:hint="eastAsia" w:ascii="Times New Roman" w:hAnsi="Times New Roman" w:eastAsia="宋体" w:cs="宋体"/>
                <w:spacing w:val="-1"/>
                <w:sz w:val="24"/>
                <w:szCs w:val="24"/>
                <w:lang w:eastAsia="zh-CN"/>
              </w:rPr>
              <w:t>规划及规划环境影响评价符合性分析</w:t>
            </w:r>
          </w:p>
        </w:tc>
        <w:tc>
          <w:tcPr>
            <w:tcW w:w="4452" w:type="pct"/>
            <w:gridSpan w:val="4"/>
            <w:vAlign w:val="center"/>
          </w:tcPr>
          <w:p>
            <w:pPr>
              <w:pStyle w:val="24"/>
              <w:ind w:firstLine="474" w:firstLineChars="200"/>
              <w:jc w:val="both"/>
              <w:rPr>
                <w:rFonts w:ascii="Times New Roman" w:hAnsi="Times New Roman" w:eastAsia="宋体" w:cs="宋体"/>
                <w:spacing w:val="-2"/>
                <w:sz w:val="24"/>
                <w:szCs w:val="24"/>
                <w:lang w:eastAsia="zh-CN"/>
              </w:rPr>
            </w:pPr>
            <w:r>
              <w:rPr>
                <w:rFonts w:hint="eastAsia" w:ascii="Times New Roman" w:hAnsi="Times New Roman" w:eastAsia="宋体" w:cs="宋体"/>
                <w:b/>
                <w:bCs/>
                <w:spacing w:val="-2"/>
                <w:sz w:val="24"/>
                <w:szCs w:val="24"/>
                <w:lang w:eastAsia="zh-CN"/>
              </w:rPr>
              <w:t>无</w:t>
            </w:r>
          </w:p>
          <w:p>
            <w:pPr>
              <w:pStyle w:val="24"/>
              <w:ind w:firstLine="472" w:firstLineChars="200"/>
              <w:jc w:val="both"/>
              <w:rPr>
                <w:rFonts w:ascii="Times New Roman" w:hAnsi="Times New Roman" w:eastAsia="宋体" w:cs="宋体"/>
                <w:spacing w:val="-2"/>
                <w:sz w:val="24"/>
                <w:szCs w:val="24"/>
                <w:lang w:eastAsia="zh-CN"/>
              </w:rPr>
            </w:pPr>
          </w:p>
          <w:p>
            <w:pPr>
              <w:pStyle w:val="24"/>
              <w:ind w:firstLine="472" w:firstLineChars="200"/>
              <w:jc w:val="both"/>
              <w:rPr>
                <w:rFonts w:ascii="Times New Roman" w:hAnsi="Times New Roman" w:eastAsia="宋体" w:cs="宋体"/>
                <w:spacing w:val="-2"/>
                <w:sz w:val="24"/>
                <w:szCs w:val="24"/>
                <w:lang w:eastAsia="zh-CN"/>
              </w:rPr>
            </w:pPr>
          </w:p>
          <w:p>
            <w:pPr>
              <w:pStyle w:val="24"/>
              <w:ind w:firstLine="472" w:firstLineChars="200"/>
              <w:jc w:val="both"/>
              <w:rPr>
                <w:rFonts w:ascii="Times New Roman" w:hAnsi="Times New Roman" w:eastAsia="宋体" w:cs="宋体"/>
                <w:spacing w:val="-2"/>
                <w:sz w:val="24"/>
                <w:szCs w:val="24"/>
                <w:lang w:eastAsia="zh-CN"/>
              </w:rPr>
            </w:pPr>
          </w:p>
          <w:p>
            <w:pPr>
              <w:pStyle w:val="24"/>
              <w:ind w:firstLine="472" w:firstLineChars="200"/>
              <w:jc w:val="both"/>
              <w:rPr>
                <w:rFonts w:ascii="Times New Roman" w:hAnsi="Times New Roman" w:eastAsia="宋体" w:cs="宋体"/>
                <w:spacing w:val="-2"/>
                <w:sz w:val="24"/>
                <w:szCs w:val="24"/>
                <w:lang w:eastAsia="zh-CN"/>
              </w:rPr>
            </w:pPr>
          </w:p>
          <w:p>
            <w:pPr>
              <w:pStyle w:val="24"/>
              <w:jc w:val="both"/>
              <w:rPr>
                <w:rFonts w:ascii="Times New Roman" w:hAnsi="Times New Roman" w:eastAsia="宋体" w:cs="宋体"/>
                <w:b/>
                <w:bCs/>
                <w:spacing w:val="-2"/>
                <w:sz w:val="21"/>
                <w:szCs w:val="21"/>
                <w:lang w:eastAsia="zh-CN"/>
              </w:rPr>
            </w:pPr>
          </w:p>
        </w:tc>
      </w:tr>
    </w:tbl>
    <w:p>
      <w:pPr>
        <w:rPr>
          <w:lang w:eastAsia="zh-CN"/>
        </w:rPr>
        <w:sectPr>
          <w:footerReference r:id="rId4" w:type="default"/>
          <w:pgSz w:w="11910" w:h="16840"/>
          <w:pgMar w:top="1440" w:right="1080" w:bottom="1440" w:left="1080" w:header="0" w:footer="1039" w:gutter="0"/>
          <w:pgNumType w:start="1"/>
          <w:cols w:space="720" w:num="1"/>
        </w:sectPr>
      </w:pPr>
    </w:p>
    <w:tbl>
      <w:tblPr>
        <w:tblStyle w:val="18"/>
        <w:tblW w:w="499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10"/>
        <w:gridCol w:w="914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734" w:hRule="atLeast"/>
          <w:jc w:val="center"/>
        </w:trPr>
        <w:tc>
          <w:tcPr>
            <w:tcW w:w="407" w:type="pct"/>
            <w:vAlign w:val="center"/>
          </w:tcPr>
          <w:p>
            <w:pPr>
              <w:jc w:val="center"/>
              <w:rPr>
                <w:rFonts w:ascii="Times New Roman" w:hAnsi="Times New Roman" w:eastAsia="宋体" w:cs="宋体"/>
                <w:spacing w:val="-1"/>
                <w:sz w:val="24"/>
                <w:szCs w:val="24"/>
              </w:rPr>
            </w:pPr>
            <w:r>
              <w:rPr>
                <w:rFonts w:hint="eastAsia" w:ascii="Times New Roman" w:hAnsi="Times New Roman" w:eastAsia="宋体" w:cs="宋体"/>
                <w:spacing w:val="-1"/>
                <w:sz w:val="24"/>
                <w:szCs w:val="24"/>
                <w:lang w:eastAsia="zh-CN"/>
              </w:rPr>
              <w:t>其他符合性分析</w:t>
            </w:r>
          </w:p>
        </w:tc>
        <w:tc>
          <w:tcPr>
            <w:tcW w:w="4593" w:type="pct"/>
            <w:vAlign w:val="center"/>
          </w:tcPr>
          <w:p>
            <w:pPr>
              <w:pStyle w:val="6"/>
              <w:widowControl w:val="0"/>
              <w:topLinePunct/>
              <w:spacing w:after="0"/>
              <w:ind w:firstLine="482"/>
              <w:jc w:val="both"/>
              <w:rPr>
                <w:rFonts w:ascii="Times New Roman" w:hAnsi="Times New Roman" w:eastAsia="宋体" w:cs="Times New Roman"/>
                <w:b/>
                <w:bCs/>
                <w:color w:val="000000" w:themeColor="text1"/>
                <w:szCs w:val="24"/>
                <w14:textFill>
                  <w14:solidFill>
                    <w14:schemeClr w14:val="tx1"/>
                  </w14:solidFill>
                </w14:textFill>
              </w:rPr>
            </w:pPr>
            <w:r>
              <w:rPr>
                <w:rFonts w:ascii="Times New Roman" w:hAnsi="Times New Roman" w:eastAsia="宋体" w:cs="Times New Roman"/>
                <w:b/>
                <w:bCs/>
                <w:color w:val="000000" w:themeColor="text1"/>
                <w:szCs w:val="24"/>
                <w14:textFill>
                  <w14:solidFill>
                    <w14:schemeClr w14:val="tx1"/>
                  </w14:solidFill>
                </w14:textFill>
              </w:rPr>
              <w:t>1、产业政策符合性分析</w:t>
            </w:r>
          </w:p>
          <w:p>
            <w:pPr>
              <w:pStyle w:val="45"/>
              <w:widowControl w:val="0"/>
              <w:ind w:firstLine="480"/>
            </w:pPr>
            <w:r>
              <w:t>本项目属于</w:t>
            </w:r>
            <w:r>
              <w:rPr>
                <w:rFonts w:hint="eastAsia"/>
              </w:rPr>
              <w:t>加油站</w:t>
            </w:r>
            <w:r>
              <w:t>，项目不属于《产业结构调整指导目录（2024年本）》中限制和淘汰类的项目，</w:t>
            </w:r>
            <w:r>
              <w:rPr>
                <w:rFonts w:hint="eastAsia"/>
              </w:rPr>
              <w:t>且项目</w:t>
            </w:r>
            <w:r>
              <w:t>通过了福清市</w:t>
            </w:r>
            <w:r>
              <w:rPr>
                <w:rFonts w:hint="eastAsia"/>
              </w:rPr>
              <w:t>发展和改革局</w:t>
            </w:r>
            <w:r>
              <w:t>的备案（</w:t>
            </w:r>
            <w:r>
              <w:rPr>
                <w:rFonts w:hint="eastAsia"/>
              </w:rPr>
              <w:t>闽发改备</w:t>
            </w:r>
            <w:r>
              <w:rPr>
                <w:rFonts w:hint="eastAsia"/>
                <w:lang w:val="en-US"/>
              </w:rPr>
              <w:t>〔</w:t>
            </w:r>
            <w:r>
              <w:rPr>
                <w:lang w:val="en-US"/>
              </w:rPr>
              <w:t>2024</w:t>
            </w:r>
            <w:r>
              <w:rPr>
                <w:rFonts w:hint="eastAsia"/>
                <w:lang w:val="en-US"/>
              </w:rPr>
              <w:t>〕</w:t>
            </w:r>
            <w:r>
              <w:t>A060363</w:t>
            </w:r>
            <w:r>
              <w:rPr>
                <w:rFonts w:hint="eastAsia"/>
              </w:rPr>
              <w:t>号</w:t>
            </w:r>
            <w:r>
              <w:t>，详见附件</w:t>
            </w:r>
            <w:r>
              <w:rPr>
                <w:rFonts w:hint="eastAsia"/>
              </w:rPr>
              <w:t>2</w:t>
            </w:r>
            <w:r>
              <w:t>），因此项目的建设内容符合国家和地方相关产业政策要求。</w:t>
            </w:r>
          </w:p>
          <w:p>
            <w:pPr>
              <w:pStyle w:val="45"/>
              <w:widowControl w:val="0"/>
              <w:ind w:firstLine="482"/>
              <w:rPr>
                <w:b/>
                <w:bCs/>
              </w:rPr>
            </w:pPr>
            <w:r>
              <w:rPr>
                <w:b/>
                <w:bCs/>
              </w:rPr>
              <w:t>2、土地利用总体规划符合性分析</w:t>
            </w:r>
          </w:p>
          <w:p>
            <w:pPr>
              <w:pStyle w:val="45"/>
              <w:widowControl w:val="0"/>
              <w:ind w:firstLine="480"/>
            </w:pPr>
            <w:r>
              <w:t>本项目位于福建省</w:t>
            </w:r>
            <w:r>
              <w:rPr>
                <w:rFonts w:hint="eastAsia"/>
              </w:rPr>
              <w:t>福州市福清市龙山街道东刘村，根据项目取得的“建设用地规划许可证”（见附件5），所在地土地用途为“商业服务业用地”。同时根据福州市商务局文件“福州市商务局关于福清市新建加油站</w:t>
            </w:r>
            <w:r>
              <w:t>(</w:t>
            </w:r>
            <w:r>
              <w:rPr>
                <w:rFonts w:hint="eastAsia"/>
              </w:rPr>
              <w:t>元华站</w:t>
            </w:r>
            <w:r>
              <w:t>)</w:t>
            </w:r>
            <w:r>
              <w:rPr>
                <w:rFonts w:hint="eastAsia"/>
              </w:rPr>
              <w:t>规划确认的批复”（榕商务秩序〔</w:t>
            </w:r>
            <w:r>
              <w:t>2024</w:t>
            </w:r>
            <w:r>
              <w:rPr>
                <w:rFonts w:hint="eastAsia"/>
              </w:rPr>
              <w:t>〕</w:t>
            </w:r>
            <w:r>
              <w:t>21</w:t>
            </w:r>
            <w:r>
              <w:rPr>
                <w:rFonts w:hint="eastAsia"/>
              </w:rPr>
              <w:t>号，见附件6），该站已列入市政府《福州市成品油分销体系“十四五”发展规划》布点（聚褔鑫加油站原申报名称为元华加油站），规划编号</w:t>
            </w:r>
            <w:r>
              <w:t>C106009</w:t>
            </w:r>
            <w:r>
              <w:rPr>
                <w:rFonts w:hint="eastAsia"/>
              </w:rPr>
              <w:t>，级别三级。</w:t>
            </w:r>
            <w:r>
              <w:t>因此，项目选址符合土地利用规划要求。</w:t>
            </w:r>
          </w:p>
          <w:p>
            <w:pPr>
              <w:pStyle w:val="6"/>
              <w:widowControl w:val="0"/>
              <w:topLinePunct/>
              <w:spacing w:after="0"/>
              <w:ind w:firstLine="482"/>
              <w:jc w:val="both"/>
              <w:rPr>
                <w:rFonts w:ascii="Times New Roman" w:hAnsi="Times New Roman" w:eastAsia="宋体" w:cs="Times New Roman"/>
                <w:b/>
                <w:bCs/>
                <w:color w:val="000000" w:themeColor="text1"/>
                <w:szCs w:val="24"/>
                <w14:textFill>
                  <w14:solidFill>
                    <w14:schemeClr w14:val="tx1"/>
                  </w14:solidFill>
                </w14:textFill>
              </w:rPr>
            </w:pPr>
            <w:r>
              <w:rPr>
                <w:rFonts w:ascii="Times New Roman" w:hAnsi="Times New Roman" w:eastAsia="宋体" w:cs="Times New Roman"/>
                <w:b/>
                <w:bCs/>
                <w:color w:val="000000" w:themeColor="text1"/>
                <w:szCs w:val="24"/>
                <w14:textFill>
                  <w14:solidFill>
                    <w14:schemeClr w14:val="tx1"/>
                  </w14:solidFill>
                </w14:textFill>
              </w:rPr>
              <w:t>3、所在地“三线一单”分析</w:t>
            </w:r>
          </w:p>
          <w:p>
            <w:pPr>
              <w:pStyle w:val="6"/>
              <w:widowControl w:val="0"/>
              <w:topLinePunct/>
              <w:spacing w:after="0"/>
              <w:ind w:firstLine="480"/>
              <w:jc w:val="both"/>
              <w:rPr>
                <w:rFonts w:ascii="Times New Roman" w:hAnsi="Times New Roman" w:eastAsia="宋体" w:cs="Times New Roman"/>
                <w:color w:val="000000" w:themeColor="text1"/>
                <w:szCs w:val="24"/>
                <w14:textFill>
                  <w14:solidFill>
                    <w14:schemeClr w14:val="tx1"/>
                  </w14:solidFill>
                </w14:textFill>
              </w:rPr>
            </w:pPr>
            <w:r>
              <w:rPr>
                <w:rFonts w:hint="eastAsia" w:ascii="宋体" w:hAnsi="宋体" w:eastAsia="宋体" w:cs="宋体"/>
                <w:color w:val="000000" w:themeColor="text1"/>
                <w:szCs w:val="24"/>
                <w14:textFill>
                  <w14:solidFill>
                    <w14:schemeClr w14:val="tx1"/>
                  </w14:solidFill>
                </w14:textFill>
              </w:rPr>
              <w:t>①</w:t>
            </w:r>
            <w:r>
              <w:rPr>
                <w:rFonts w:ascii="Times New Roman" w:hAnsi="Times New Roman" w:eastAsia="宋体" w:cs="Times New Roman"/>
                <w:color w:val="000000" w:themeColor="text1"/>
                <w:szCs w:val="24"/>
                <w14:textFill>
                  <w14:solidFill>
                    <w14:schemeClr w14:val="tx1"/>
                  </w14:solidFill>
                </w14:textFill>
              </w:rPr>
              <w:t>生态保护红线符合性分析</w:t>
            </w:r>
          </w:p>
          <w:p>
            <w:pPr>
              <w:pStyle w:val="6"/>
              <w:widowControl w:val="0"/>
              <w:topLinePunct/>
              <w:spacing w:after="0"/>
              <w:ind w:firstLine="480"/>
              <w:jc w:val="both"/>
              <w:rPr>
                <w:rFonts w:ascii="Times New Roman" w:hAnsi="Times New Roman" w:eastAsia="宋体" w:cs="Times New Roman"/>
                <w:color w:val="000000" w:themeColor="text1"/>
                <w:szCs w:val="24"/>
                <w14:textFill>
                  <w14:solidFill>
                    <w14:schemeClr w14:val="tx1"/>
                  </w14:solidFill>
                </w14:textFill>
              </w:rPr>
            </w:pPr>
            <w:r>
              <w:rPr>
                <w:rFonts w:ascii="Times New Roman" w:hAnsi="Times New Roman" w:eastAsia="宋体" w:cs="Times New Roman"/>
                <w:color w:val="000000" w:themeColor="text1"/>
                <w:szCs w:val="24"/>
                <w14:textFill>
                  <w14:solidFill>
                    <w14:schemeClr w14:val="tx1"/>
                  </w14:solidFill>
                </w14:textFill>
              </w:rPr>
              <w:t>对照《福建省生态保护红线划定方案》及其调整方案，本项目位于</w:t>
            </w:r>
            <w:r>
              <w:rPr>
                <w:rFonts w:hint="eastAsia" w:ascii="Times New Roman" w:hAnsi="Times New Roman" w:eastAsia="宋体" w:cs="Times New Roman"/>
                <w:color w:val="000000" w:themeColor="text1"/>
                <w:szCs w:val="24"/>
                <w14:textFill>
                  <w14:solidFill>
                    <w14:schemeClr w14:val="tx1"/>
                  </w14:solidFill>
                </w14:textFill>
              </w:rPr>
              <w:t>福州市福清市龙山街道东刘村</w:t>
            </w:r>
            <w:r>
              <w:rPr>
                <w:rFonts w:ascii="Times New Roman" w:hAnsi="Times New Roman" w:eastAsia="宋体" w:cs="Times New Roman"/>
                <w:color w:val="000000" w:themeColor="text1"/>
                <w:szCs w:val="24"/>
                <w14:textFill>
                  <w14:solidFill>
                    <w14:schemeClr w14:val="tx1"/>
                  </w14:solidFill>
                </w14:textFill>
              </w:rPr>
              <w:t>，</w:t>
            </w:r>
            <w:r>
              <w:rPr>
                <w:rFonts w:ascii="Times New Roman" w:hAnsi="Times New Roman" w:eastAsia="宋体" w:cs="Times New Roman"/>
                <w:color w:val="000000" w:themeColor="text1"/>
                <w:szCs w:val="24"/>
                <w:lang w:bidi="ar"/>
                <w14:textFill>
                  <w14:solidFill>
                    <w14:schemeClr w14:val="tx1"/>
                  </w14:solidFill>
                </w14:textFill>
              </w:rPr>
              <w:t>评价范围内不涉及重要生态保护红线。</w:t>
            </w:r>
            <w:r>
              <w:rPr>
                <w:rFonts w:ascii="Times New Roman" w:hAnsi="Times New Roman" w:eastAsia="宋体" w:cs="Times New Roman"/>
                <w:color w:val="000000" w:themeColor="text1"/>
                <w:szCs w:val="24"/>
                <w14:textFill>
                  <w14:solidFill>
                    <w14:schemeClr w14:val="tx1"/>
                  </w14:solidFill>
                </w14:textFill>
              </w:rPr>
              <w:t>项目周边无国家公园、自然保护区、森林公园的生态保育区和核心景观区、风景名胜区的核心景区、地质公园的地质遗迹保护区、世界自然遗产的核心区和缓冲区、湿地公园的湿地保育区和恢复重建区、饮用水水源的一级保护区、水产种质资源保护区的核心区和其他需要特别保护或法律法规禁止开发建设的区域。因此，项目建设符合生态红线控制的要求。</w:t>
            </w:r>
          </w:p>
          <w:p>
            <w:pPr>
              <w:pStyle w:val="6"/>
              <w:widowControl w:val="0"/>
              <w:topLinePunct/>
              <w:spacing w:after="0"/>
              <w:ind w:firstLine="480"/>
              <w:jc w:val="both"/>
              <w:rPr>
                <w:rFonts w:ascii="Times New Roman" w:hAnsi="Times New Roman" w:eastAsia="宋体" w:cs="Times New Roman"/>
                <w:color w:val="000000" w:themeColor="text1"/>
                <w:szCs w:val="24"/>
                <w14:textFill>
                  <w14:solidFill>
                    <w14:schemeClr w14:val="tx1"/>
                  </w14:solidFill>
                </w14:textFill>
              </w:rPr>
            </w:pPr>
            <w:r>
              <w:rPr>
                <w:rFonts w:hint="eastAsia" w:ascii="宋体" w:hAnsi="宋体" w:eastAsia="宋体" w:cs="宋体"/>
                <w:color w:val="000000" w:themeColor="text1"/>
                <w:szCs w:val="24"/>
                <w14:textFill>
                  <w14:solidFill>
                    <w14:schemeClr w14:val="tx1"/>
                  </w14:solidFill>
                </w14:textFill>
              </w:rPr>
              <w:t>②</w:t>
            </w:r>
            <w:r>
              <w:rPr>
                <w:rFonts w:ascii="Times New Roman" w:hAnsi="Times New Roman" w:eastAsia="宋体" w:cs="Times New Roman"/>
                <w:color w:val="000000" w:themeColor="text1"/>
                <w:szCs w:val="24"/>
                <w14:textFill>
                  <w14:solidFill>
                    <w14:schemeClr w14:val="tx1"/>
                  </w14:solidFill>
                </w14:textFill>
              </w:rPr>
              <w:t>环境质量底线符合性分析</w:t>
            </w:r>
          </w:p>
          <w:p>
            <w:pPr>
              <w:pStyle w:val="45"/>
              <w:widowControl w:val="0"/>
              <w:ind w:firstLine="480"/>
            </w:pPr>
            <w:r>
              <w:t>项目周边水系</w:t>
            </w:r>
            <w:r>
              <w:rPr>
                <w:rFonts w:hint="eastAsia"/>
              </w:rPr>
              <w:t>为</w:t>
            </w:r>
            <w:r>
              <w:t>龙江，各因子均符合《地表水环境质量标准》（GB3838-2002）中</w:t>
            </w:r>
            <w:r>
              <w:rPr>
                <w:lang w:val="en-US"/>
              </w:rPr>
              <w:t>Ⅲ</w:t>
            </w:r>
            <w:r>
              <w:t>类标准；项目所在区域的环境空气质量现状符合《环境空气质量标准》（GB3095-2012）二级标准，属于达标区；项目所在区域声环境质量现状符合《声环境质量标准》（GB3096-2008）中</w:t>
            </w:r>
            <w:r>
              <w:rPr>
                <w:rFonts w:hint="eastAsia"/>
              </w:rPr>
              <w:t>2</w:t>
            </w:r>
            <w:r>
              <w:t>类</w:t>
            </w:r>
            <w:r>
              <w:rPr>
                <w:rFonts w:hint="eastAsia"/>
              </w:rPr>
              <w:t>和4a类</w:t>
            </w:r>
            <w:r>
              <w:t>标准。因此，项目所在区域环境现状质量良好。</w:t>
            </w:r>
          </w:p>
          <w:p>
            <w:pPr>
              <w:pStyle w:val="45"/>
              <w:widowControl w:val="0"/>
              <w:ind w:firstLine="480"/>
            </w:pPr>
            <w:r>
              <w:t>项目废气对周围大气环境影响较小；各生产设备产生的噪声经隔声、减震等降噪措施处理后也不会对周边声环境造成重大影响。综上分析，项目在采取本环评提出的防治措施后，运营期排放的污染物不会对区域环境质量底线造成冲击。</w:t>
            </w:r>
          </w:p>
          <w:p>
            <w:pPr>
              <w:pStyle w:val="6"/>
              <w:widowControl w:val="0"/>
              <w:topLinePunct/>
              <w:spacing w:after="0"/>
              <w:ind w:firstLine="480"/>
              <w:jc w:val="both"/>
              <w:rPr>
                <w:rFonts w:ascii="Times New Roman" w:hAnsi="Times New Roman" w:eastAsia="宋体" w:cs="Times New Roman"/>
                <w:color w:val="000000" w:themeColor="text1"/>
                <w:szCs w:val="24"/>
                <w14:textFill>
                  <w14:solidFill>
                    <w14:schemeClr w14:val="tx1"/>
                  </w14:solidFill>
                </w14:textFill>
              </w:rPr>
            </w:pPr>
            <w:r>
              <w:rPr>
                <w:rFonts w:hint="eastAsia" w:ascii="宋体" w:hAnsi="宋体" w:eastAsia="宋体" w:cs="宋体"/>
                <w:color w:val="000000" w:themeColor="text1"/>
                <w:szCs w:val="24"/>
                <w14:textFill>
                  <w14:solidFill>
                    <w14:schemeClr w14:val="tx1"/>
                  </w14:solidFill>
                </w14:textFill>
              </w:rPr>
              <w:t>③</w:t>
            </w:r>
            <w:r>
              <w:rPr>
                <w:rFonts w:ascii="Times New Roman" w:hAnsi="Times New Roman" w:eastAsia="宋体" w:cs="Times New Roman"/>
                <w:color w:val="000000" w:themeColor="text1"/>
                <w:szCs w:val="24"/>
                <w14:textFill>
                  <w14:solidFill>
                    <w14:schemeClr w14:val="tx1"/>
                  </w14:solidFill>
                </w14:textFill>
              </w:rPr>
              <w:t>资源利用上线符合性分析</w:t>
            </w:r>
          </w:p>
          <w:p>
            <w:pPr>
              <w:pStyle w:val="48"/>
              <w:spacing w:after="0" w:line="360" w:lineRule="auto"/>
              <w:ind w:firstLine="480" w:firstLineChars="200"/>
              <w:jc w:val="both"/>
              <w:rPr>
                <w:rFonts w:ascii="Times New Roman" w:hAnsi="Times New Roman" w:eastAsia="宋体" w:cs="Times New Roman"/>
                <w:color w:val="000000" w:themeColor="text1"/>
                <w:szCs w:val="24"/>
                <w:lang w:eastAsia="zh-CN"/>
                <w14:textFill>
                  <w14:solidFill>
                    <w14:schemeClr w14:val="tx1"/>
                  </w14:solidFill>
                </w14:textFill>
              </w:rPr>
            </w:pPr>
            <w:r>
              <w:rPr>
                <w:rFonts w:ascii="Times New Roman" w:hAnsi="Times New Roman" w:eastAsia="宋体" w:cs="Times New Roman"/>
                <w:color w:val="000000" w:themeColor="text1"/>
                <w:szCs w:val="24"/>
                <w:lang w:eastAsia="zh-CN"/>
                <w14:textFill>
                  <w14:solidFill>
                    <w14:schemeClr w14:val="tx1"/>
                  </w14:solidFill>
                </w14:textFill>
              </w:rPr>
              <w:t>本项目原料均从正规合法单位购得，水和电等公共资源由当地相关单位供应，</w:t>
            </w:r>
            <w:r>
              <w:rPr>
                <w:rFonts w:ascii="Times New Roman" w:hAnsi="Times New Roman" w:cs="Times New Roman"/>
                <w:color w:val="000000" w:themeColor="text1"/>
                <w:spacing w:val="3"/>
                <w:lang w:eastAsia="zh-CN"/>
                <w14:textFill>
                  <w14:solidFill>
                    <w14:schemeClr w14:val="tx1"/>
                  </w14:solidFill>
                </w14:textFill>
              </w:rPr>
              <w:t>设备选择、原辅材料的选用和管理、污染治理等多方面采取合理可</w:t>
            </w:r>
            <w:r>
              <w:rPr>
                <w:rFonts w:ascii="Times New Roman" w:hAnsi="Times New Roman" w:cs="Times New Roman"/>
                <w:color w:val="000000" w:themeColor="text1"/>
                <w:spacing w:val="-3"/>
                <w:lang w:eastAsia="zh-CN"/>
                <w14:textFill>
                  <w14:solidFill>
                    <w14:schemeClr w14:val="tx1"/>
                  </w14:solidFill>
                </w14:textFill>
              </w:rPr>
              <w:t>行的防治措施，以“节能、降耗、减污</w:t>
            </w:r>
            <w:r>
              <w:rPr>
                <w:rFonts w:ascii="Times New Roman" w:hAnsi="Times New Roman" w:cs="Times New Roman"/>
                <w:color w:val="000000" w:themeColor="text1"/>
                <w:spacing w:val="-86"/>
                <w:lang w:eastAsia="zh-CN"/>
                <w14:textFill>
                  <w14:solidFill>
                    <w14:schemeClr w14:val="tx1"/>
                  </w14:solidFill>
                </w14:textFill>
              </w:rPr>
              <w:t xml:space="preserve"> </w:t>
            </w:r>
            <w:r>
              <w:rPr>
                <w:rFonts w:ascii="Times New Roman" w:hAnsi="Times New Roman" w:cs="Times New Roman"/>
                <w:color w:val="000000" w:themeColor="text1"/>
                <w:spacing w:val="-3"/>
                <w:lang w:eastAsia="zh-CN"/>
                <w14:textFill>
                  <w14:solidFill>
                    <w14:schemeClr w14:val="tx1"/>
                  </w14:solidFill>
                </w14:textFill>
              </w:rPr>
              <w:t>”为目标，有效的控制污染。</w:t>
            </w:r>
            <w:r>
              <w:rPr>
                <w:rFonts w:ascii="Times New Roman" w:hAnsi="Times New Roman" w:cs="Times New Roman"/>
                <w:color w:val="000000" w:themeColor="text1"/>
                <w:lang w:eastAsia="zh-CN"/>
                <w14:textFill>
                  <w14:solidFill>
                    <w14:schemeClr w14:val="tx1"/>
                  </w14:solidFill>
                </w14:textFill>
              </w:rPr>
              <w:t xml:space="preserve"> </w:t>
            </w:r>
            <w:r>
              <w:rPr>
                <w:rFonts w:ascii="Times New Roman" w:hAnsi="Times New Roman" w:cs="Times New Roman"/>
                <w:color w:val="000000" w:themeColor="text1"/>
                <w:spacing w:val="-1"/>
                <w:lang w:eastAsia="zh-CN"/>
                <w14:textFill>
                  <w14:solidFill>
                    <w14:schemeClr w14:val="tx1"/>
                  </w14:solidFill>
                </w14:textFill>
              </w:rPr>
              <w:t>项目的水、电等资源利用不会突破区域的资源利用上线</w:t>
            </w:r>
            <w:r>
              <w:rPr>
                <w:rFonts w:ascii="Times New Roman" w:hAnsi="Times New Roman" w:eastAsia="宋体" w:cs="Times New Roman"/>
                <w:color w:val="000000" w:themeColor="text1"/>
                <w:szCs w:val="24"/>
                <w:lang w:eastAsia="zh-CN"/>
                <w14:textFill>
                  <w14:solidFill>
                    <w14:schemeClr w14:val="tx1"/>
                  </w14:solidFill>
                </w14:textFill>
              </w:rPr>
              <w:t>。</w:t>
            </w:r>
          </w:p>
          <w:p>
            <w:pPr>
              <w:pStyle w:val="6"/>
              <w:widowControl w:val="0"/>
              <w:topLinePunct/>
              <w:spacing w:after="0"/>
              <w:ind w:left="480" w:firstLine="0" w:firstLineChars="0"/>
              <w:jc w:val="both"/>
              <w:rPr>
                <w:rFonts w:ascii="Times New Roman" w:hAnsi="Times New Roman" w:eastAsia="宋体" w:cs="Times New Roman"/>
                <w:color w:val="000000" w:themeColor="text1"/>
                <w:szCs w:val="24"/>
                <w14:textFill>
                  <w14:solidFill>
                    <w14:schemeClr w14:val="tx1"/>
                  </w14:solidFill>
                </w14:textFill>
              </w:rPr>
            </w:pPr>
            <w:r>
              <w:rPr>
                <w:rFonts w:hint="eastAsia" w:ascii="Times New Roman" w:hAnsi="Times New Roman" w:eastAsia="宋体" w:cs="Times New Roman"/>
                <w:color w:val="000000" w:themeColor="text1"/>
                <w:szCs w:val="24"/>
                <w:highlight w:val="lightGray"/>
                <w14:textFill>
                  <w14:solidFill>
                    <w14:schemeClr w14:val="tx1"/>
                  </w14:solidFill>
                </w14:textFill>
              </w:rPr>
              <w:t>④</w:t>
            </w:r>
            <w:r>
              <w:rPr>
                <w:rFonts w:ascii="Times New Roman" w:hAnsi="Times New Roman" w:eastAsia="宋体" w:cs="Times New Roman"/>
                <w:color w:val="000000" w:themeColor="text1"/>
                <w:szCs w:val="24"/>
                <w14:textFill>
                  <w14:solidFill>
                    <w14:schemeClr w14:val="tx1"/>
                  </w14:solidFill>
                </w14:textFill>
              </w:rPr>
              <w:t>环境准入清单</w:t>
            </w:r>
          </w:p>
          <w:p>
            <w:pPr>
              <w:pStyle w:val="45"/>
              <w:widowControl w:val="0"/>
              <w:ind w:firstLine="480"/>
            </w:pPr>
            <w:r>
              <w:t>本项目位于</w:t>
            </w:r>
            <w:r>
              <w:rPr>
                <w:lang w:val="en-US"/>
              </w:rPr>
              <w:t>福建省</w:t>
            </w:r>
            <w:r>
              <w:rPr>
                <w:rFonts w:hint="eastAsia"/>
                <w:lang w:val="en-US"/>
              </w:rPr>
              <w:t>福州市福清市龙山街道东刘村</w:t>
            </w:r>
            <w:r>
              <w:t>，对照福州市人民政府办公厅关于印发《福州市生态环境分区管控方案（2023年更新）》的通知（榕政办规〔2024〕20号）相关要求分析，本项目所在位置属于福州市陆域区域、福清市生态环境准入清单-</w:t>
            </w:r>
            <w:r>
              <w:rPr>
                <w:lang w:val="en-US"/>
              </w:rPr>
              <w:t>福清市</w:t>
            </w:r>
            <w:r>
              <w:t>重点管控单元</w:t>
            </w:r>
            <w:r>
              <w:rPr>
                <w:rFonts w:hint="eastAsia"/>
              </w:rPr>
              <w:t>1</w:t>
            </w:r>
            <w:r>
              <w:t>-</w:t>
            </w:r>
            <w:r>
              <w:rPr>
                <w:rFonts w:hint="eastAsia"/>
                <w:lang w:val="en-US"/>
              </w:rPr>
              <w:t>ZH35018120008</w:t>
            </w:r>
            <w:r>
              <w:t>（</w:t>
            </w:r>
            <w:r>
              <w:rPr>
                <w:rFonts w:hint="eastAsia"/>
              </w:rPr>
              <w:t>查询报告</w:t>
            </w:r>
            <w:r>
              <w:t>详见附件</w:t>
            </w:r>
            <w:r>
              <w:rPr>
                <w:rFonts w:hint="eastAsia"/>
              </w:rPr>
              <w:t>8</w:t>
            </w:r>
            <w:r>
              <w:t>）。</w:t>
            </w:r>
            <w:r>
              <w:rPr>
                <w:rFonts w:hint="eastAsia"/>
              </w:rPr>
              <w:t>相关符合性分析见下表</w:t>
            </w:r>
            <w:r>
              <w:t>。</w:t>
            </w:r>
          </w:p>
          <w:p>
            <w:pPr>
              <w:pStyle w:val="42"/>
              <w:spacing w:before="120"/>
              <w:rPr>
                <w:shd w:val="clear" w:color="auto" w:fill="FFFFFF"/>
              </w:rPr>
            </w:pPr>
            <w:r>
              <w:rPr>
                <w:shd w:val="clear" w:color="auto" w:fill="FFFFFF"/>
              </w:rPr>
              <w:t>表1.1-</w:t>
            </w:r>
            <w:r>
              <w:rPr>
                <w:rFonts w:hint="eastAsia"/>
                <w:shd w:val="clear" w:color="auto" w:fill="FFFFFF"/>
              </w:rPr>
              <w:t>5</w:t>
            </w:r>
            <w:r>
              <w:rPr>
                <w:shd w:val="clear" w:color="auto" w:fill="FFFFFF"/>
              </w:rPr>
              <w:t xml:space="preserve">  福州市生态环境准入要求一览表</w:t>
            </w:r>
          </w:p>
          <w:tbl>
            <w:tblPr>
              <w:tblStyle w:val="49"/>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33"/>
              <w:gridCol w:w="601"/>
              <w:gridCol w:w="5411"/>
              <w:gridCol w:w="1606"/>
              <w:gridCol w:w="47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vAlign w:val="center"/>
                </w:tcPr>
                <w:p>
                  <w:pPr>
                    <w:wordWrap w:val="0"/>
                    <w:jc w:val="center"/>
                    <w:rPr>
                      <w:rFonts w:hint="eastAsia" w:ascii="宋体" w:hAnsi="宋体" w:eastAsia="宋体" w:cs="宋体"/>
                      <w:lang w:eastAsia="zh-CN"/>
                    </w:rPr>
                  </w:pPr>
                  <w:r>
                    <w:rPr>
                      <w:rFonts w:hint="eastAsia" w:ascii="宋体" w:hAnsi="宋体" w:eastAsia="宋体" w:cs="宋体"/>
                    </w:rPr>
                    <w:t>适用</w:t>
                  </w:r>
                </w:p>
                <w:p>
                  <w:pPr>
                    <w:wordWrap w:val="0"/>
                    <w:jc w:val="center"/>
                  </w:pPr>
                  <w:r>
                    <w:rPr>
                      <w:rFonts w:hint="eastAsia" w:ascii="宋体" w:hAnsi="宋体" w:eastAsia="宋体" w:cs="宋体"/>
                    </w:rPr>
                    <w:t>范围</w:t>
                  </w:r>
                </w:p>
              </w:tc>
              <w:tc>
                <w:tcPr>
                  <w:tcW w:w="6012" w:type="dxa"/>
                  <w:gridSpan w:val="2"/>
                  <w:vAlign w:val="center"/>
                </w:tcPr>
                <w:p>
                  <w:pPr>
                    <w:pBdr>
                      <w:top w:val="none" w:color="auto" w:sz="0" w:space="1"/>
                      <w:left w:val="none" w:color="auto" w:sz="0" w:space="4"/>
                      <w:bottom w:val="none" w:color="auto" w:sz="0" w:space="1"/>
                      <w:right w:val="none" w:color="auto" w:sz="0" w:space="4"/>
                    </w:pBdr>
                    <w:wordWrap w:val="0"/>
                    <w:topLinePunct/>
                    <w:adjustRightInd w:val="0"/>
                    <w:snapToGrid w:val="0"/>
                    <w:jc w:val="center"/>
                    <w:rPr>
                      <w:rFonts w:ascii="Times New Roman" w:hAnsi="Times New Roman" w:eastAsia="宋体" w:cs="Times New Roman"/>
                      <w:b/>
                      <w:color w:val="000000" w:themeColor="text1"/>
                      <w:sz w:val="21"/>
                      <w:szCs w:val="21"/>
                      <w14:textFill>
                        <w14:solidFill>
                          <w14:schemeClr w14:val="tx1"/>
                        </w14:solidFill>
                      </w14:textFill>
                    </w:rPr>
                  </w:pPr>
                  <w:r>
                    <w:rPr>
                      <w:rFonts w:ascii="Times New Roman" w:hAnsi="Times New Roman" w:eastAsia="宋体" w:cs="Times New Roman"/>
                      <w:b/>
                      <w:color w:val="000000" w:themeColor="text1"/>
                      <w:sz w:val="21"/>
                      <w:szCs w:val="21"/>
                      <w14:textFill>
                        <w14:solidFill>
                          <w14:schemeClr w14:val="tx1"/>
                        </w14:solidFill>
                      </w14:textFill>
                    </w:rPr>
                    <w:t>准入要求</w:t>
                  </w:r>
                </w:p>
              </w:tc>
              <w:tc>
                <w:tcPr>
                  <w:tcW w:w="1606" w:type="dxa"/>
                  <w:vAlign w:val="center"/>
                </w:tcPr>
                <w:p>
                  <w:pPr>
                    <w:pBdr>
                      <w:top w:val="none" w:color="auto" w:sz="0" w:space="1"/>
                      <w:left w:val="none" w:color="auto" w:sz="0" w:space="4"/>
                      <w:bottom w:val="none" w:color="auto" w:sz="0" w:space="1"/>
                      <w:right w:val="none" w:color="auto" w:sz="0" w:space="4"/>
                    </w:pBdr>
                    <w:wordWrap w:val="0"/>
                    <w:topLinePunct/>
                    <w:adjustRightInd w:val="0"/>
                    <w:snapToGrid w:val="0"/>
                    <w:jc w:val="center"/>
                    <w:rPr>
                      <w:rFonts w:ascii="Times New Roman" w:hAnsi="Times New Roman" w:eastAsia="宋体" w:cs="Times New Roman"/>
                      <w:b/>
                      <w:color w:val="000000" w:themeColor="text1"/>
                      <w:sz w:val="21"/>
                      <w:szCs w:val="21"/>
                      <w14:textFill>
                        <w14:solidFill>
                          <w14:schemeClr w14:val="tx1"/>
                        </w14:solidFill>
                      </w14:textFill>
                    </w:rPr>
                  </w:pPr>
                  <w:r>
                    <w:rPr>
                      <w:rFonts w:ascii="Times New Roman" w:hAnsi="Times New Roman" w:eastAsia="宋体" w:cs="Times New Roman"/>
                      <w:b/>
                      <w:color w:val="000000" w:themeColor="text1"/>
                      <w:sz w:val="21"/>
                      <w:szCs w:val="21"/>
                      <w14:textFill>
                        <w14:solidFill>
                          <w14:schemeClr w14:val="tx1"/>
                        </w14:solidFill>
                      </w14:textFill>
                    </w:rPr>
                    <w:t>本项目情况</w:t>
                  </w:r>
                </w:p>
              </w:tc>
              <w:tc>
                <w:tcPr>
                  <w:tcW w:w="0" w:type="auto"/>
                  <w:vAlign w:val="center"/>
                </w:tcPr>
                <w:p>
                  <w:pPr>
                    <w:pBdr>
                      <w:top w:val="none" w:color="auto" w:sz="0" w:space="1"/>
                      <w:left w:val="none" w:color="auto" w:sz="0" w:space="4"/>
                      <w:bottom w:val="none" w:color="auto" w:sz="0" w:space="1"/>
                      <w:right w:val="none" w:color="auto" w:sz="0" w:space="4"/>
                    </w:pBdr>
                    <w:wordWrap w:val="0"/>
                    <w:topLinePunct/>
                    <w:adjustRightInd w:val="0"/>
                    <w:snapToGrid w:val="0"/>
                    <w:jc w:val="center"/>
                    <w:rPr>
                      <w:rFonts w:ascii="Times New Roman" w:hAnsi="Times New Roman" w:eastAsia="宋体" w:cs="Times New Roman"/>
                      <w:b/>
                      <w:color w:val="000000" w:themeColor="text1"/>
                      <w:sz w:val="21"/>
                      <w:szCs w:val="21"/>
                      <w14:textFill>
                        <w14:solidFill>
                          <w14:schemeClr w14:val="tx1"/>
                        </w14:solidFill>
                      </w14:textFill>
                    </w:rPr>
                  </w:pPr>
                  <w:r>
                    <w:rPr>
                      <w:rFonts w:ascii="Times New Roman" w:hAnsi="Times New Roman" w:eastAsia="宋体" w:cs="Times New Roman"/>
                      <w:b/>
                      <w:color w:val="000000" w:themeColor="text1"/>
                      <w:sz w:val="21"/>
                      <w:szCs w:val="21"/>
                      <w14:textFill>
                        <w14:solidFill>
                          <w14:schemeClr w14:val="tx1"/>
                        </w14:solidFill>
                      </w14:textFill>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vMerge w:val="restart"/>
                  <w:vAlign w:val="center"/>
                </w:tcPr>
                <w:p>
                  <w:pPr>
                    <w:wordWrap w:val="0"/>
                    <w:jc w:val="center"/>
                  </w:pPr>
                  <w:r>
                    <w:rPr>
                      <w:rFonts w:hint="eastAsia" w:ascii="宋体" w:hAnsi="宋体" w:eastAsia="宋体" w:cs="宋体"/>
                    </w:rPr>
                    <w:t>福州市陆域</w:t>
                  </w:r>
                </w:p>
              </w:tc>
              <w:tc>
                <w:tcPr>
                  <w:tcW w:w="0" w:type="auto"/>
                  <w:vAlign w:val="center"/>
                </w:tcPr>
                <w:p>
                  <w:pPr>
                    <w:pBdr>
                      <w:top w:val="none" w:color="auto" w:sz="0" w:space="1"/>
                      <w:left w:val="none" w:color="auto" w:sz="0" w:space="4"/>
                      <w:bottom w:val="none" w:color="auto" w:sz="0" w:space="1"/>
                      <w:right w:val="none" w:color="auto" w:sz="0" w:space="4"/>
                    </w:pBdr>
                    <w:wordWrap w:val="0"/>
                    <w:topLinePunct/>
                    <w:adjustRightInd w:val="0"/>
                    <w:snapToGrid w:val="0"/>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空间布局约束</w:t>
                  </w:r>
                </w:p>
              </w:tc>
              <w:tc>
                <w:tcPr>
                  <w:tcW w:w="5411" w:type="dxa"/>
                  <w:vAlign w:val="center"/>
                </w:tcPr>
                <w:p>
                  <w:pPr>
                    <w:wordWrap w:val="0"/>
                    <w:topLinePunct/>
                    <w:adjustRightInd w:val="0"/>
                    <w:snapToGrid w:val="0"/>
                    <w:jc w:val="center"/>
                    <w:rPr>
                      <w:rFonts w:ascii="Times New Roman" w:hAnsi="Times New Roman" w:eastAsia="宋体" w:cs="Times New Roman"/>
                      <w:color w:val="000000" w:themeColor="text1"/>
                      <w:sz w:val="21"/>
                      <w:szCs w:val="21"/>
                      <w:lang w:eastAsia="zh-CN"/>
                      <w14:textFill>
                        <w14:solidFill>
                          <w14:schemeClr w14:val="tx1"/>
                        </w14:solidFill>
                      </w14:textFill>
                    </w:rPr>
                  </w:pPr>
                  <w:r>
                    <w:rPr>
                      <w:rFonts w:ascii="Times New Roman" w:hAnsi="Times New Roman" w:eastAsia="宋体" w:cs="Times New Roman"/>
                      <w:color w:val="000000" w:themeColor="text1"/>
                      <w:sz w:val="21"/>
                      <w:szCs w:val="21"/>
                      <w:lang w:eastAsia="zh-CN"/>
                      <w14:textFill>
                        <w14:solidFill>
                          <w14:schemeClr w14:val="tx1"/>
                        </w14:solidFill>
                      </w14:textFill>
                    </w:rPr>
                    <w:t>三、其它要求</w:t>
                  </w:r>
                </w:p>
                <w:p>
                  <w:pPr>
                    <w:wordWrap w:val="0"/>
                    <w:topLinePunct/>
                    <w:adjustRightInd w:val="0"/>
                    <w:snapToGrid w:val="0"/>
                    <w:jc w:val="center"/>
                    <w:rPr>
                      <w:rFonts w:ascii="Times New Roman" w:hAnsi="Times New Roman" w:eastAsia="宋体" w:cs="Times New Roman"/>
                      <w:color w:val="000000" w:themeColor="text1"/>
                      <w:sz w:val="21"/>
                      <w:szCs w:val="21"/>
                      <w:lang w:eastAsia="zh-CN"/>
                      <w14:textFill>
                        <w14:solidFill>
                          <w14:schemeClr w14:val="tx1"/>
                        </w14:solidFill>
                      </w14:textFill>
                    </w:rPr>
                  </w:pPr>
                  <w:r>
                    <w:rPr>
                      <w:rFonts w:ascii="Times New Roman" w:hAnsi="Times New Roman" w:eastAsia="宋体" w:cs="Times New Roman"/>
                      <w:color w:val="000000" w:themeColor="text1"/>
                      <w:sz w:val="21"/>
                      <w:szCs w:val="21"/>
                      <w:lang w:eastAsia="zh-CN"/>
                      <w14:textFill>
                        <w14:solidFill>
                          <w14:schemeClr w14:val="tx1"/>
                        </w14:solidFill>
                      </w14:textFill>
                    </w:rPr>
                    <w:t>1.福州市石化中上游项目重点在福州江阴港城经济区、可门港经济区化工新材料产业园布局。</w:t>
                  </w:r>
                </w:p>
                <w:p>
                  <w:pPr>
                    <w:wordWrap w:val="0"/>
                    <w:topLinePunct/>
                    <w:adjustRightInd w:val="0"/>
                    <w:snapToGrid w:val="0"/>
                    <w:jc w:val="center"/>
                    <w:rPr>
                      <w:rFonts w:ascii="Times New Roman" w:hAnsi="Times New Roman" w:eastAsia="宋体" w:cs="Times New Roman"/>
                      <w:color w:val="000000" w:themeColor="text1"/>
                      <w:sz w:val="21"/>
                      <w:szCs w:val="21"/>
                      <w:lang w:eastAsia="zh-CN"/>
                      <w14:textFill>
                        <w14:solidFill>
                          <w14:schemeClr w14:val="tx1"/>
                        </w14:solidFill>
                      </w14:textFill>
                    </w:rPr>
                  </w:pPr>
                  <w:r>
                    <w:rPr>
                      <w:rFonts w:ascii="Times New Roman" w:hAnsi="Times New Roman" w:eastAsia="宋体" w:cs="Times New Roman"/>
                      <w:color w:val="000000" w:themeColor="text1"/>
                      <w:sz w:val="21"/>
                      <w:szCs w:val="21"/>
                      <w:lang w:eastAsia="zh-CN"/>
                      <w14:textFill>
                        <w14:solidFill>
                          <w14:schemeClr w14:val="tx1"/>
                        </w14:solidFill>
                      </w14:textFill>
                    </w:rPr>
                    <w:t>2.禁止在闽江马尾罗星塔以上流域范围新、扩建制革项目，严控新（扩）建植物制浆、印染、合成革及人造革、电镀项目。</w:t>
                  </w:r>
                </w:p>
                <w:p>
                  <w:pPr>
                    <w:wordWrap w:val="0"/>
                    <w:topLinePunct/>
                    <w:adjustRightInd w:val="0"/>
                    <w:snapToGrid w:val="0"/>
                    <w:jc w:val="center"/>
                    <w:rPr>
                      <w:rFonts w:ascii="Times New Roman" w:hAnsi="Times New Roman" w:eastAsia="宋体" w:cs="Times New Roman"/>
                      <w:color w:val="000000" w:themeColor="text1"/>
                      <w:sz w:val="21"/>
                      <w:szCs w:val="21"/>
                      <w:lang w:eastAsia="zh-CN"/>
                      <w14:textFill>
                        <w14:solidFill>
                          <w14:schemeClr w14:val="tx1"/>
                        </w14:solidFill>
                      </w14:textFill>
                    </w:rPr>
                  </w:pPr>
                  <w:r>
                    <w:rPr>
                      <w:rFonts w:ascii="Times New Roman" w:hAnsi="Times New Roman" w:eastAsia="宋体" w:cs="Times New Roman"/>
                      <w:color w:val="000000" w:themeColor="text1"/>
                      <w:sz w:val="21"/>
                      <w:szCs w:val="21"/>
                      <w:lang w:eastAsia="zh-CN"/>
                      <w14:textFill>
                        <w14:solidFill>
                          <w14:schemeClr w14:val="tx1"/>
                        </w14:solidFill>
                      </w14:textFill>
                    </w:rPr>
                    <w:t>3.禁止在通风廊道和主导风向的上风向布局大气重污染企业，推进建成区大气重污染企业搬迁或升级改造、环境风险企业搬迁或关闭退出。</w:t>
                  </w:r>
                </w:p>
                <w:p>
                  <w:pPr>
                    <w:wordWrap w:val="0"/>
                    <w:topLinePunct/>
                    <w:adjustRightInd w:val="0"/>
                    <w:snapToGrid w:val="0"/>
                    <w:jc w:val="center"/>
                    <w:rPr>
                      <w:rFonts w:ascii="Times New Roman" w:hAnsi="Times New Roman" w:eastAsia="宋体" w:cs="Times New Roman"/>
                      <w:color w:val="000000" w:themeColor="text1"/>
                      <w:sz w:val="21"/>
                      <w:szCs w:val="21"/>
                      <w:lang w:eastAsia="zh-CN"/>
                      <w14:textFill>
                        <w14:solidFill>
                          <w14:schemeClr w14:val="tx1"/>
                        </w14:solidFill>
                      </w14:textFill>
                    </w:rPr>
                  </w:pPr>
                  <w:r>
                    <w:rPr>
                      <w:rFonts w:ascii="Times New Roman" w:hAnsi="Times New Roman" w:eastAsia="宋体" w:cs="Times New Roman"/>
                      <w:color w:val="000000" w:themeColor="text1"/>
                      <w:sz w:val="21"/>
                      <w:szCs w:val="21"/>
                      <w:lang w:eastAsia="zh-CN"/>
                      <w14:textFill>
                        <w14:solidFill>
                          <w14:schemeClr w14:val="tx1"/>
                        </w14:solidFill>
                      </w14:textFill>
                    </w:rPr>
                    <w:t>4.禁止新、改、扩建生产高 VOCs 含量有机溶剂型涂料、油墨和胶黏剂的项目。</w:t>
                  </w:r>
                </w:p>
                <w:p>
                  <w:pPr>
                    <w:wordWrap w:val="0"/>
                    <w:topLinePunct/>
                    <w:adjustRightInd w:val="0"/>
                    <w:snapToGrid w:val="0"/>
                    <w:jc w:val="center"/>
                    <w:rPr>
                      <w:rFonts w:ascii="Times New Roman" w:hAnsi="Times New Roman" w:eastAsia="宋体" w:cs="Times New Roman"/>
                      <w:color w:val="000000" w:themeColor="text1"/>
                      <w:sz w:val="21"/>
                      <w:szCs w:val="21"/>
                      <w:lang w:eastAsia="zh-CN"/>
                      <w14:textFill>
                        <w14:solidFill>
                          <w14:schemeClr w14:val="tx1"/>
                        </w14:solidFill>
                      </w14:textFill>
                    </w:rPr>
                  </w:pPr>
                  <w:r>
                    <w:rPr>
                      <w:rFonts w:ascii="Times New Roman" w:hAnsi="Times New Roman" w:eastAsia="宋体" w:cs="Times New Roman"/>
                      <w:color w:val="000000" w:themeColor="text1"/>
                      <w:sz w:val="21"/>
                      <w:szCs w:val="21"/>
                      <w:lang w:eastAsia="zh-CN"/>
                      <w14:textFill>
                        <w14:solidFill>
                          <w14:schemeClr w14:val="tx1"/>
                        </w14:solidFill>
                      </w14:textFill>
                    </w:rPr>
                    <w:t>5.持续加强闽清等地建陶产业的环境综合治理，充分衔接国土空间规划和生态环境分区管控，并对照产业政策、城市总体发展规划等要求，进一步明确发展定位，优化产业布局和规模。</w:t>
                  </w:r>
                </w:p>
                <w:p>
                  <w:pPr>
                    <w:wordWrap w:val="0"/>
                    <w:topLinePunct/>
                    <w:adjustRightInd w:val="0"/>
                    <w:snapToGrid w:val="0"/>
                    <w:jc w:val="center"/>
                    <w:rPr>
                      <w:rFonts w:ascii="Times New Roman" w:hAnsi="Times New Roman" w:eastAsia="宋体" w:cs="Times New Roman"/>
                      <w:color w:val="000000" w:themeColor="text1"/>
                      <w:sz w:val="21"/>
                      <w:szCs w:val="21"/>
                      <w:lang w:eastAsia="zh-CN"/>
                      <w14:textFill>
                        <w14:solidFill>
                          <w14:schemeClr w14:val="tx1"/>
                        </w14:solidFill>
                      </w14:textFill>
                    </w:rPr>
                  </w:pPr>
                  <w:r>
                    <w:rPr>
                      <w:rFonts w:ascii="Times New Roman" w:hAnsi="Times New Roman" w:eastAsia="宋体" w:cs="Times New Roman"/>
                      <w:color w:val="000000" w:themeColor="text1"/>
                      <w:sz w:val="21"/>
                      <w:szCs w:val="21"/>
                      <w:lang w:eastAsia="zh-CN"/>
                      <w14:textFill>
                        <w14:solidFill>
                          <w14:schemeClr w14:val="tx1"/>
                        </w14:solidFill>
                      </w14:textFill>
                    </w:rPr>
                    <w:t>6.新建、扩建的涉及重点重金属污染物</w:t>
                  </w:r>
                  <w:r>
                    <w:rPr>
                      <w:rFonts w:ascii="Times New Roman" w:hAnsi="Times New Roman" w:eastAsia="宋体" w:cs="Times New Roman"/>
                      <w:color w:val="000000" w:themeColor="text1"/>
                      <w:sz w:val="21"/>
                      <w:szCs w:val="21"/>
                      <w:vertAlign w:val="superscript"/>
                      <w:lang w:eastAsia="zh-CN"/>
                      <w14:textFill>
                        <w14:solidFill>
                          <w14:schemeClr w14:val="tx1"/>
                        </w14:solidFill>
                      </w14:textFill>
                    </w:rPr>
                    <w:t>［1］</w:t>
                  </w:r>
                  <w:r>
                    <w:rPr>
                      <w:rFonts w:ascii="Times New Roman" w:hAnsi="Times New Roman" w:eastAsia="宋体" w:cs="Times New Roman"/>
                      <w:color w:val="000000" w:themeColor="text1"/>
                      <w:sz w:val="21"/>
                      <w:szCs w:val="21"/>
                      <w:lang w:eastAsia="zh-CN"/>
                      <w14:textFill>
                        <w14:solidFill>
                          <w14:schemeClr w14:val="tx1"/>
                        </w14:solidFill>
                      </w14:textFill>
                    </w:rPr>
                    <w:t>的有色金属冶炼、电镀、制革、铅蓄电池制造企业应优先选择布设在依法合规设立并经规划环评、环境基础设施和环境风险防范措施齐全的产业园区。禁止低端落后产能向闽江中上游地区转移。禁止新建用汞的电石法（聚）氯乙烯生产工艺。加快推进专业电镀企业入园，到2025 年底专业电镀企业入园率达到90%以上。</w:t>
                  </w:r>
                </w:p>
                <w:p>
                  <w:pPr>
                    <w:wordWrap w:val="0"/>
                    <w:topLinePunct/>
                    <w:adjustRightInd w:val="0"/>
                    <w:snapToGrid w:val="0"/>
                    <w:jc w:val="center"/>
                    <w:rPr>
                      <w:rFonts w:ascii="Times New Roman" w:hAnsi="Times New Roman" w:eastAsia="宋体" w:cs="Times New Roman"/>
                      <w:color w:val="000000" w:themeColor="text1"/>
                      <w:sz w:val="21"/>
                      <w:szCs w:val="21"/>
                      <w:lang w:eastAsia="zh-CN"/>
                      <w14:textFill>
                        <w14:solidFill>
                          <w14:schemeClr w14:val="tx1"/>
                        </w14:solidFill>
                      </w14:textFill>
                    </w:rPr>
                  </w:pPr>
                  <w:r>
                    <w:rPr>
                      <w:rFonts w:ascii="Times New Roman" w:hAnsi="Times New Roman" w:eastAsia="宋体" w:cs="Times New Roman"/>
                      <w:color w:val="000000" w:themeColor="text1"/>
                      <w:sz w:val="21"/>
                      <w:szCs w:val="21"/>
                      <w:lang w:eastAsia="zh-CN"/>
                      <w14:textFill>
                        <w14:solidFill>
                          <w14:schemeClr w14:val="tx1"/>
                        </w14:solidFill>
                      </w14:textFill>
                    </w:rPr>
                    <w:t>7.禁止在流域上游新建、扩建重污染企业和项目。</w:t>
                  </w:r>
                </w:p>
                <w:p>
                  <w:pPr>
                    <w:wordWrap w:val="0"/>
                    <w:topLinePunct/>
                    <w:adjustRightInd w:val="0"/>
                    <w:snapToGrid w:val="0"/>
                    <w:jc w:val="center"/>
                    <w:rPr>
                      <w:rFonts w:ascii="Times New Roman" w:hAnsi="Times New Roman" w:eastAsia="宋体" w:cs="Times New Roman"/>
                      <w:color w:val="000000" w:themeColor="text1"/>
                      <w:sz w:val="21"/>
                      <w:szCs w:val="21"/>
                      <w:lang w:eastAsia="zh-CN"/>
                      <w14:textFill>
                        <w14:solidFill>
                          <w14:schemeClr w14:val="tx1"/>
                        </w14:solidFill>
                      </w14:textFill>
                    </w:rPr>
                  </w:pPr>
                  <w:r>
                    <w:rPr>
                      <w:rFonts w:ascii="Times New Roman" w:hAnsi="Times New Roman" w:eastAsia="宋体" w:cs="Times New Roman"/>
                      <w:color w:val="000000" w:themeColor="text1"/>
                      <w:sz w:val="21"/>
                      <w:szCs w:val="21"/>
                      <w:lang w:eastAsia="zh-CN"/>
                      <w14:textFill>
                        <w14:solidFill>
                          <w14:schemeClr w14:val="tx1"/>
                        </w14:solidFill>
                      </w14:textFill>
                    </w:rPr>
                    <w:t>8.重要敏感水体及富营养化湖库生态缓冲带除相关政府部门批准的科学研究活动外，禁止其它可能对保护区构成危害或不良影响的大规模生产、建设活动。</w:t>
                  </w:r>
                </w:p>
                <w:p>
                  <w:pPr>
                    <w:wordWrap w:val="0"/>
                    <w:topLinePunct/>
                    <w:adjustRightInd w:val="0"/>
                    <w:snapToGrid w:val="0"/>
                    <w:jc w:val="center"/>
                    <w:rPr>
                      <w:rFonts w:ascii="Times New Roman" w:hAnsi="Times New Roman" w:eastAsia="宋体" w:cs="Times New Roman"/>
                      <w:color w:val="000000" w:themeColor="text1"/>
                      <w:sz w:val="21"/>
                      <w:szCs w:val="21"/>
                      <w:lang w:eastAsia="zh-CN"/>
                      <w14:textFill>
                        <w14:solidFill>
                          <w14:schemeClr w14:val="tx1"/>
                        </w14:solidFill>
                      </w14:textFill>
                    </w:rPr>
                  </w:pPr>
                  <w:r>
                    <w:rPr>
                      <w:rFonts w:ascii="Times New Roman" w:hAnsi="Times New Roman" w:eastAsia="宋体" w:cs="Times New Roman"/>
                      <w:color w:val="000000" w:themeColor="text1"/>
                      <w:sz w:val="21"/>
                      <w:szCs w:val="21"/>
                      <w:lang w:eastAsia="zh-CN"/>
                      <w14:textFill>
                        <w14:solidFill>
                          <w14:schemeClr w14:val="tx1"/>
                        </w14:solidFill>
                      </w14:textFill>
                    </w:rPr>
                    <w:t>9.新、改、扩建煤电、钢铁、建材、石化、化工等“两高”项目，严格落实国家、省、市产业规划、产业政策、“三线一单”、规划环评，以及产能置换、煤炭消费减量替代、区域污染削减等相关要求。</w:t>
                  </w:r>
                </w:p>
                <w:p>
                  <w:pPr>
                    <w:wordWrap w:val="0"/>
                    <w:topLinePunct/>
                    <w:adjustRightInd w:val="0"/>
                    <w:snapToGrid w:val="0"/>
                    <w:jc w:val="center"/>
                    <w:rPr>
                      <w:rFonts w:ascii="Times New Roman" w:hAnsi="Times New Roman" w:eastAsia="宋体" w:cs="Times New Roman"/>
                      <w:color w:val="000000" w:themeColor="text1"/>
                      <w:sz w:val="21"/>
                      <w:szCs w:val="21"/>
                      <w:lang w:eastAsia="zh-CN"/>
                      <w14:textFill>
                        <w14:solidFill>
                          <w14:schemeClr w14:val="tx1"/>
                        </w14:solidFill>
                      </w14:textFill>
                    </w:rPr>
                  </w:pPr>
                  <w:r>
                    <w:rPr>
                      <w:rFonts w:ascii="Times New Roman" w:hAnsi="Times New Roman" w:eastAsia="宋体" w:cs="Times New Roman"/>
                      <w:color w:val="000000" w:themeColor="text1"/>
                      <w:sz w:val="21"/>
                      <w:szCs w:val="21"/>
                      <w:lang w:eastAsia="zh-CN"/>
                      <w14:textFill>
                        <w14:solidFill>
                          <w14:schemeClr w14:val="tx1"/>
                        </w14:solidFill>
                      </w14:textFill>
                    </w:rPr>
                    <w:t>10.单元内涉及永久基本农田的，应按照《福建省基本农田保护条例》（2010 年修正本）、《国土资源部关于全面实行永久共本农田特殊保护的通知》（国土资规〔2018〕1号）、《中共中央国务院关于加强耕地保护和改进占补平衡的意见》（2017年1月9日）等相关文件要求进行格管理，一般建设项目不得占用永久基本农田，重大建设项目选址确实难以避让永久基本农田的，必须依法依规办理。严禁通过擅自调整县乡国土空间规划，规避占用永久基本农田的审批。禁止随意砍伐防风固沙林和农田保护林。严格按照自然资源部、农业农村部、国家林业和草原局《关于严格耕地用途管制有关问题的通知》（自然资发〔2021〕166号）要求全面落实耕地用途管制。</w:t>
                  </w:r>
                </w:p>
              </w:tc>
              <w:tc>
                <w:tcPr>
                  <w:tcW w:w="1606" w:type="dxa"/>
                  <w:vAlign w:val="center"/>
                </w:tcPr>
                <w:p>
                  <w:pPr>
                    <w:wordWrap w:val="0"/>
                    <w:jc w:val="center"/>
                    <w:rPr>
                      <w:color w:val="000000" w:themeColor="text1"/>
                      <w:lang w:eastAsia="zh-CN"/>
                      <w14:textFill>
                        <w14:solidFill>
                          <w14:schemeClr w14:val="tx1"/>
                        </w14:solidFill>
                      </w14:textFill>
                    </w:rPr>
                  </w:pPr>
                  <w:r>
                    <w:rPr>
                      <w:rFonts w:hint="eastAsia" w:ascii="宋体" w:hAnsi="宋体" w:eastAsia="宋体" w:cs="宋体"/>
                      <w:color w:val="000000" w:themeColor="text1"/>
                      <w:spacing w:val="8"/>
                      <w:sz w:val="21"/>
                      <w:szCs w:val="21"/>
                      <w:lang w:eastAsia="zh-CN"/>
                      <w14:textFill>
                        <w14:solidFill>
                          <w14:schemeClr w14:val="tx1"/>
                        </w14:solidFill>
                      </w14:textFill>
                    </w:rPr>
                    <w:t>本项目为加油站</w:t>
                  </w:r>
                  <w:r>
                    <w:rPr>
                      <w:rFonts w:hint="eastAsia" w:ascii="宋体" w:hAnsi="宋体" w:eastAsia="宋体" w:cs="宋体"/>
                      <w:color w:val="000000" w:themeColor="text1"/>
                      <w:spacing w:val="17"/>
                      <w:sz w:val="21"/>
                      <w:szCs w:val="21"/>
                      <w:lang w:eastAsia="zh-CN"/>
                      <w14:textFill>
                        <w14:solidFill>
                          <w14:schemeClr w14:val="tx1"/>
                        </w14:solidFill>
                      </w14:textFill>
                    </w:rPr>
                    <w:t>，不属于左列禁止建设项目；项目位于福州市福清市龙山街道东刘村，不位于新局调节库周边</w:t>
                  </w:r>
                  <w:r>
                    <w:rPr>
                      <w:rFonts w:ascii="Times New Roman" w:hAnsi="Times New Roman" w:eastAsia="Times New Roman" w:cs="Times New Roman"/>
                      <w:color w:val="000000" w:themeColor="text1"/>
                      <w:spacing w:val="1"/>
                      <w:sz w:val="21"/>
                      <w:szCs w:val="21"/>
                      <w:lang w:eastAsia="zh-CN"/>
                      <w14:textFill>
                        <w14:solidFill>
                          <w14:schemeClr w14:val="tx1"/>
                        </w14:solidFill>
                      </w14:textFill>
                    </w:rPr>
                    <w:t>200m</w:t>
                  </w:r>
                  <w:r>
                    <w:rPr>
                      <w:rFonts w:hint="eastAsia" w:ascii="宋体" w:hAnsi="宋体" w:eastAsia="宋体" w:cs="宋体"/>
                      <w:color w:val="000000" w:themeColor="text1"/>
                      <w:spacing w:val="1"/>
                      <w:sz w:val="21"/>
                      <w:szCs w:val="21"/>
                      <w:lang w:eastAsia="zh-CN"/>
                      <w14:textFill>
                        <w14:solidFill>
                          <w14:schemeClr w14:val="tx1"/>
                        </w14:solidFill>
                      </w14:textFill>
                    </w:rPr>
                    <w:t>范围内；项目不占用基本农田和生态保护红线。</w:t>
                  </w:r>
                </w:p>
              </w:tc>
              <w:tc>
                <w:tcPr>
                  <w:tcW w:w="0" w:type="auto"/>
                  <w:vAlign w:val="center"/>
                </w:tcPr>
                <w:p>
                  <w:pPr>
                    <w:pBdr>
                      <w:top w:val="none" w:color="auto" w:sz="0" w:space="1"/>
                      <w:left w:val="none" w:color="auto" w:sz="0" w:space="4"/>
                      <w:bottom w:val="none" w:color="auto" w:sz="0" w:space="1"/>
                      <w:right w:val="none" w:color="auto" w:sz="0" w:space="4"/>
                    </w:pBdr>
                    <w:wordWrap w:val="0"/>
                    <w:topLinePunct/>
                    <w:adjustRightInd w:val="0"/>
                    <w:snapToGrid w:val="0"/>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vMerge w:val="continue"/>
                  <w:vAlign w:val="center"/>
                </w:tcPr>
                <w:p>
                  <w:pPr>
                    <w:wordWrap w:val="0"/>
                    <w:jc w:val="center"/>
                  </w:pPr>
                </w:p>
              </w:tc>
              <w:tc>
                <w:tcPr>
                  <w:tcW w:w="0" w:type="auto"/>
                  <w:vAlign w:val="center"/>
                </w:tcPr>
                <w:p>
                  <w:pPr>
                    <w:wordWrap w:val="0"/>
                    <w:topLinePunct/>
                    <w:adjustRightInd w:val="0"/>
                    <w:snapToGrid w:val="0"/>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污染物排放管控</w:t>
                  </w:r>
                </w:p>
              </w:tc>
              <w:tc>
                <w:tcPr>
                  <w:tcW w:w="5411" w:type="dxa"/>
                  <w:vAlign w:val="center"/>
                </w:tcPr>
                <w:p>
                  <w:pPr>
                    <w:wordWrap w:val="0"/>
                    <w:topLinePunct/>
                    <w:adjustRightInd w:val="0"/>
                    <w:snapToGrid w:val="0"/>
                    <w:jc w:val="center"/>
                    <w:rPr>
                      <w:rFonts w:ascii="Times New Roman" w:hAnsi="Times New Roman" w:eastAsia="宋体" w:cs="Times New Roman"/>
                      <w:color w:val="000000" w:themeColor="text1"/>
                      <w:sz w:val="21"/>
                      <w:szCs w:val="21"/>
                      <w:lang w:eastAsia="zh-CN"/>
                      <w14:textFill>
                        <w14:solidFill>
                          <w14:schemeClr w14:val="tx1"/>
                        </w14:solidFill>
                      </w14:textFill>
                    </w:rPr>
                  </w:pPr>
                  <w:r>
                    <w:rPr>
                      <w:rFonts w:ascii="Times New Roman" w:hAnsi="Times New Roman" w:eastAsia="宋体" w:cs="Times New Roman"/>
                      <w:color w:val="000000" w:themeColor="text1"/>
                      <w:sz w:val="21"/>
                      <w:szCs w:val="21"/>
                      <w:lang w:eastAsia="zh-CN"/>
                      <w14:textFill>
                        <w14:solidFill>
                          <w14:schemeClr w14:val="tx1"/>
                        </w14:solidFill>
                      </w14:textFill>
                    </w:rPr>
                    <w:t>1.工业类新（改、扩）建项目新增主要污染物（水污染物化学需氧量、氨氮和大气污染物二氧化硫、氮氧化物）排放总量指标应符合区域环境质量和总量控制要求，立足于通过“以新带老”、削减存量，努力实现区域、企业自身总量平衡。总量指标来源、审核和监督管理按照“榕环保综〔2017〕90 号”等相关文件执行。</w:t>
                  </w:r>
                </w:p>
                <w:p>
                  <w:pPr>
                    <w:wordWrap w:val="0"/>
                    <w:topLinePunct/>
                    <w:adjustRightInd w:val="0"/>
                    <w:snapToGrid w:val="0"/>
                    <w:jc w:val="center"/>
                    <w:rPr>
                      <w:rFonts w:ascii="Times New Roman" w:hAnsi="Times New Roman" w:eastAsia="宋体" w:cs="Times New Roman"/>
                      <w:color w:val="000000" w:themeColor="text1"/>
                      <w:sz w:val="21"/>
                      <w:szCs w:val="21"/>
                      <w:lang w:eastAsia="zh-CN"/>
                      <w14:textFill>
                        <w14:solidFill>
                          <w14:schemeClr w14:val="tx1"/>
                        </w14:solidFill>
                      </w14:textFill>
                    </w:rPr>
                  </w:pPr>
                  <w:r>
                    <w:rPr>
                      <w:rFonts w:ascii="Times New Roman" w:hAnsi="Times New Roman" w:eastAsia="宋体" w:cs="Times New Roman"/>
                      <w:color w:val="000000" w:themeColor="text1"/>
                      <w:sz w:val="21"/>
                      <w:szCs w:val="21"/>
                      <w:lang w:eastAsia="zh-CN"/>
                      <w14:textFill>
                        <w14:solidFill>
                          <w14:schemeClr w14:val="tx1"/>
                        </w14:solidFill>
                      </w14:textFill>
                    </w:rPr>
                    <w:t>2.新、改、扩建涉 VOCs 排放项目污染物排放量应满足《福州市“十四五”空气质量持续改善计划》（榕环保综〔2023〕40号），应从源头加强控制，使用低（无）VOCs 含量的原辅材料。</w:t>
                  </w:r>
                </w:p>
                <w:p>
                  <w:pPr>
                    <w:wordWrap w:val="0"/>
                    <w:topLinePunct/>
                    <w:adjustRightInd w:val="0"/>
                    <w:snapToGrid w:val="0"/>
                    <w:jc w:val="center"/>
                    <w:rPr>
                      <w:rFonts w:ascii="Times New Roman" w:hAnsi="Times New Roman" w:eastAsia="宋体" w:cs="Times New Roman"/>
                      <w:color w:val="000000" w:themeColor="text1"/>
                      <w:sz w:val="21"/>
                      <w:szCs w:val="21"/>
                      <w:lang w:eastAsia="zh-CN"/>
                      <w14:textFill>
                        <w14:solidFill>
                          <w14:schemeClr w14:val="tx1"/>
                        </w14:solidFill>
                      </w14:textFill>
                    </w:rPr>
                  </w:pPr>
                  <w:r>
                    <w:rPr>
                      <w:rFonts w:ascii="Times New Roman" w:hAnsi="Times New Roman" w:eastAsia="宋体" w:cs="Times New Roman"/>
                      <w:color w:val="000000" w:themeColor="text1"/>
                      <w:sz w:val="21"/>
                      <w:szCs w:val="21"/>
                      <w:lang w:eastAsia="zh-CN"/>
                      <w14:textFill>
                        <w14:solidFill>
                          <w14:schemeClr w14:val="tx1"/>
                        </w14:solidFill>
                      </w14:textFill>
                    </w:rPr>
                    <w:t>3.严格控制新建、改建、扩建钢铁、水泥、平板玻璃、有色金属冶炼、化工等工业项目。新改扩建钢铁、火电项目应执行超低排放限值，有色项目应当执行大气污染物特别排放限值。重点控制区新建化工、石化应当执行大气污染物特别排放限值。</w:t>
                  </w:r>
                </w:p>
                <w:p>
                  <w:pPr>
                    <w:wordWrap w:val="0"/>
                    <w:topLinePunct/>
                    <w:adjustRightInd w:val="0"/>
                    <w:snapToGrid w:val="0"/>
                    <w:jc w:val="center"/>
                    <w:rPr>
                      <w:rFonts w:ascii="Times New Roman" w:hAnsi="Times New Roman" w:eastAsia="宋体" w:cs="Times New Roman"/>
                      <w:color w:val="000000" w:themeColor="text1"/>
                      <w:sz w:val="21"/>
                      <w:szCs w:val="21"/>
                      <w:lang w:eastAsia="zh-CN"/>
                      <w14:textFill>
                        <w14:solidFill>
                          <w14:schemeClr w14:val="tx1"/>
                        </w14:solidFill>
                      </w14:textFill>
                    </w:rPr>
                  </w:pPr>
                  <w:r>
                    <w:rPr>
                      <w:rFonts w:ascii="Times New Roman" w:hAnsi="Times New Roman" w:eastAsia="宋体" w:cs="Times New Roman"/>
                      <w:color w:val="000000" w:themeColor="text1"/>
                      <w:sz w:val="21"/>
                      <w:szCs w:val="21"/>
                      <w:lang w:eastAsia="zh-CN"/>
                      <w14:textFill>
                        <w14:solidFill>
                          <w14:schemeClr w14:val="tx1"/>
                        </w14:solidFill>
                      </w14:textFill>
                    </w:rPr>
                    <w:t>4.氟化工、印染、电镀等行业企业实行水污染物特别排放限值。</w:t>
                  </w:r>
                </w:p>
                <w:p>
                  <w:pPr>
                    <w:wordWrap w:val="0"/>
                    <w:topLinePunct/>
                    <w:adjustRightInd w:val="0"/>
                    <w:snapToGrid w:val="0"/>
                    <w:jc w:val="center"/>
                    <w:rPr>
                      <w:rFonts w:ascii="Times New Roman" w:hAnsi="Times New Roman" w:eastAsia="宋体" w:cs="Times New Roman"/>
                      <w:color w:val="000000" w:themeColor="text1"/>
                      <w:sz w:val="21"/>
                      <w:szCs w:val="21"/>
                      <w:lang w:eastAsia="zh-CN"/>
                      <w14:textFill>
                        <w14:solidFill>
                          <w14:schemeClr w14:val="tx1"/>
                        </w14:solidFill>
                      </w14:textFill>
                    </w:rPr>
                  </w:pPr>
                  <w:r>
                    <w:rPr>
                      <w:rFonts w:ascii="Times New Roman" w:hAnsi="Times New Roman" w:eastAsia="宋体" w:cs="Times New Roman"/>
                      <w:color w:val="000000" w:themeColor="text1"/>
                      <w:sz w:val="21"/>
                      <w:szCs w:val="21"/>
                      <w:lang w:eastAsia="zh-CN"/>
                      <w14:textFill>
                        <w14:solidFill>
                          <w14:schemeClr w14:val="tx1"/>
                        </w14:solidFill>
                      </w14:textFill>
                    </w:rPr>
                    <w:t>5.新、改、扩建重点行业</w:t>
                  </w:r>
                  <w:r>
                    <w:rPr>
                      <w:rFonts w:ascii="Times New Roman" w:hAnsi="Times New Roman" w:eastAsia="宋体" w:cs="Times New Roman"/>
                      <w:color w:val="000000" w:themeColor="text1"/>
                      <w:sz w:val="21"/>
                      <w:szCs w:val="21"/>
                      <w:vertAlign w:val="superscript"/>
                      <w:lang w:eastAsia="zh-CN"/>
                      <w14:textFill>
                        <w14:solidFill>
                          <w14:schemeClr w14:val="tx1"/>
                        </w14:solidFill>
                      </w14:textFill>
                    </w:rPr>
                    <w:t>［2］</w:t>
                  </w:r>
                  <w:r>
                    <w:rPr>
                      <w:rFonts w:ascii="Times New Roman" w:hAnsi="Times New Roman" w:eastAsia="宋体" w:cs="Times New Roman"/>
                      <w:color w:val="000000" w:themeColor="text1"/>
                      <w:sz w:val="21"/>
                      <w:szCs w:val="21"/>
                      <w:lang w:eastAsia="zh-CN"/>
                      <w14:textFill>
                        <w14:solidFill>
                          <w14:schemeClr w14:val="tx1"/>
                        </w14:solidFill>
                      </w14:textFill>
                    </w:rPr>
                    <w:t>建设项目要遵循重点重金属污染物排放“等量替代”原则，总量来源原则上应是同一重点行业内的削减量，当同一重点行业无法满足时可从其他重点行业调剂。</w:t>
                  </w:r>
                </w:p>
                <w:p>
                  <w:pPr>
                    <w:wordWrap w:val="0"/>
                    <w:topLinePunct/>
                    <w:adjustRightInd w:val="0"/>
                    <w:snapToGrid w:val="0"/>
                    <w:jc w:val="center"/>
                    <w:rPr>
                      <w:rFonts w:ascii="Times New Roman" w:hAnsi="Times New Roman" w:eastAsia="宋体" w:cs="Times New Roman"/>
                      <w:color w:val="000000" w:themeColor="text1"/>
                      <w:sz w:val="21"/>
                      <w:szCs w:val="21"/>
                      <w:lang w:eastAsia="zh-CN"/>
                      <w14:textFill>
                        <w14:solidFill>
                          <w14:schemeClr w14:val="tx1"/>
                        </w14:solidFill>
                      </w14:textFill>
                    </w:rPr>
                  </w:pPr>
                  <w:r>
                    <w:rPr>
                      <w:rFonts w:ascii="Times New Roman" w:hAnsi="Times New Roman" w:eastAsia="宋体" w:cs="Times New Roman"/>
                      <w:color w:val="000000" w:themeColor="text1"/>
                      <w:sz w:val="21"/>
                      <w:szCs w:val="21"/>
                      <w:lang w:eastAsia="zh-CN"/>
                      <w14:textFill>
                        <w14:solidFill>
                          <w14:schemeClr w14:val="tx1"/>
                        </w14:solidFill>
                      </w14:textFill>
                    </w:rPr>
                    <w:t>6.每小时 35（含）—65 蒸吨燃煤锅炉和位于县级及以上城市建成区内保留的燃煤、燃油、燃生物质锅炉，原则上 2024 年底前必须全面实现超低排放。</w:t>
                  </w:r>
                </w:p>
                <w:p>
                  <w:pPr>
                    <w:wordWrap w:val="0"/>
                    <w:topLinePunct/>
                    <w:adjustRightInd w:val="0"/>
                    <w:snapToGrid w:val="0"/>
                    <w:jc w:val="center"/>
                    <w:rPr>
                      <w:rFonts w:ascii="Times New Roman" w:hAnsi="Times New Roman" w:eastAsia="宋体" w:cs="Times New Roman"/>
                      <w:color w:val="000000" w:themeColor="text1"/>
                      <w:sz w:val="21"/>
                      <w:szCs w:val="21"/>
                      <w:lang w:eastAsia="zh-CN"/>
                      <w14:textFill>
                        <w14:solidFill>
                          <w14:schemeClr w14:val="tx1"/>
                        </w14:solidFill>
                      </w14:textFill>
                    </w:rPr>
                  </w:pPr>
                  <w:r>
                    <w:rPr>
                      <w:rFonts w:ascii="Times New Roman" w:hAnsi="Times New Roman" w:eastAsia="宋体" w:cs="Times New Roman"/>
                      <w:color w:val="000000" w:themeColor="text1"/>
                      <w:sz w:val="21"/>
                      <w:szCs w:val="21"/>
                      <w:lang w:eastAsia="zh-CN"/>
                      <w14:textFill>
                        <w14:solidFill>
                          <w14:schemeClr w14:val="tx1"/>
                        </w14:solidFill>
                      </w14:textFill>
                    </w:rPr>
                    <w:t>7.水泥行业新改扩建项目严格对照超低排放、能效标杆水平建设实施；现有项目超低排放改造应按文件（闽环规〔2023〕2 号）的时限要求分步推进，2025 年底前全面完成</w:t>
                  </w:r>
                  <w:r>
                    <w:rPr>
                      <w:rFonts w:ascii="Times New Roman" w:hAnsi="Times New Roman" w:eastAsia="宋体" w:cs="Times New Roman"/>
                      <w:color w:val="000000" w:themeColor="text1"/>
                      <w:sz w:val="21"/>
                      <w:szCs w:val="21"/>
                      <w:vertAlign w:val="superscript"/>
                      <w:lang w:eastAsia="zh-CN"/>
                      <w14:textFill>
                        <w14:solidFill>
                          <w14:schemeClr w14:val="tx1"/>
                        </w14:solidFill>
                      </w14:textFill>
                    </w:rPr>
                    <w:t>［3］［4］</w:t>
                  </w:r>
                  <w:r>
                    <w:rPr>
                      <w:rFonts w:ascii="Times New Roman" w:hAnsi="Times New Roman" w:eastAsia="宋体" w:cs="Times New Roman"/>
                      <w:color w:val="000000" w:themeColor="text1"/>
                      <w:sz w:val="21"/>
                      <w:szCs w:val="21"/>
                      <w:lang w:eastAsia="zh-CN"/>
                      <w14:textFill>
                        <w14:solidFill>
                          <w14:schemeClr w14:val="tx1"/>
                        </w14:solidFill>
                      </w14:textFill>
                    </w:rPr>
                    <w:t>。</w:t>
                  </w:r>
                </w:p>
                <w:p>
                  <w:pPr>
                    <w:wordWrap w:val="0"/>
                    <w:topLinePunct/>
                    <w:adjustRightInd w:val="0"/>
                    <w:snapToGrid w:val="0"/>
                    <w:jc w:val="center"/>
                    <w:rPr>
                      <w:rFonts w:ascii="Times New Roman" w:hAnsi="Times New Roman" w:eastAsia="宋体" w:cs="Times New Roman"/>
                      <w:color w:val="000000" w:themeColor="text1"/>
                      <w:sz w:val="21"/>
                      <w:szCs w:val="21"/>
                      <w:lang w:eastAsia="zh-CN"/>
                      <w14:textFill>
                        <w14:solidFill>
                          <w14:schemeClr w14:val="tx1"/>
                        </w14:solidFill>
                      </w14:textFill>
                    </w:rPr>
                  </w:pPr>
                  <w:r>
                    <w:rPr>
                      <w:rFonts w:ascii="Times New Roman" w:hAnsi="Times New Roman" w:eastAsia="宋体" w:cs="Times New Roman"/>
                      <w:color w:val="000000" w:themeColor="text1"/>
                      <w:sz w:val="21"/>
                      <w:szCs w:val="21"/>
                      <w:lang w:eastAsia="zh-CN"/>
                      <w14:textFill>
                        <w14:solidFill>
                          <w14:schemeClr w14:val="tx1"/>
                        </w14:solidFill>
                      </w14:textFill>
                    </w:rPr>
                    <w:t>8.化工园区新建项目实施“禁限控”化学物质管控措施，项目在开展环境影响评价时应严格落实相关要求，严格涉新污染物建设项目源头防控和准入管理。以印染、皮革、农药、医药、涂料等行业为重点，推进有毒有害化学物质替代。严格落实废药品、废农药以及抗生素生产过程中产生的废母液、废反应基和废培养基等废物的收集利用处置要求。</w:t>
                  </w:r>
                </w:p>
                <w:p>
                  <w:pPr>
                    <w:pStyle w:val="2"/>
                    <w:jc w:val="center"/>
                    <w:rPr>
                      <w:rFonts w:hint="eastAsia"/>
                      <w:lang w:eastAsia="zh-CN"/>
                    </w:rPr>
                  </w:pPr>
                </w:p>
              </w:tc>
              <w:tc>
                <w:tcPr>
                  <w:tcW w:w="1606" w:type="dxa"/>
                  <w:vAlign w:val="center"/>
                </w:tcPr>
                <w:p>
                  <w:pPr>
                    <w:pBdr>
                      <w:top w:val="none" w:color="auto" w:sz="0" w:space="1"/>
                      <w:left w:val="none" w:color="auto" w:sz="0" w:space="4"/>
                      <w:bottom w:val="none" w:color="auto" w:sz="0" w:space="1"/>
                      <w:right w:val="none" w:color="auto" w:sz="0" w:space="4"/>
                    </w:pBdr>
                    <w:wordWrap w:val="0"/>
                    <w:topLinePunct/>
                    <w:adjustRightInd w:val="0"/>
                    <w:snapToGrid w:val="0"/>
                    <w:jc w:val="center"/>
                    <w:rPr>
                      <w:rFonts w:ascii="Times New Roman" w:hAnsi="Times New Roman" w:eastAsia="宋体" w:cs="Times New Roman"/>
                      <w:color w:val="000000" w:themeColor="text1"/>
                      <w:sz w:val="21"/>
                      <w:szCs w:val="21"/>
                      <w:lang w:eastAsia="zh-CN"/>
                      <w14:textFill>
                        <w14:solidFill>
                          <w14:schemeClr w14:val="tx1"/>
                        </w14:solidFill>
                      </w14:textFill>
                    </w:rPr>
                  </w:pPr>
                  <w:r>
                    <w:rPr>
                      <w:rFonts w:hint="eastAsia" w:ascii="宋体" w:hAnsi="宋体" w:eastAsia="宋体" w:cs="宋体"/>
                      <w:color w:val="000000" w:themeColor="text1"/>
                      <w:spacing w:val="14"/>
                      <w:sz w:val="21"/>
                      <w:szCs w:val="21"/>
                      <w:lang w:eastAsia="zh-CN"/>
                      <w14:textFill>
                        <w14:solidFill>
                          <w14:schemeClr w14:val="tx1"/>
                        </w14:solidFill>
                      </w14:textFill>
                    </w:rPr>
                    <w:t>本项目产生的</w:t>
                  </w:r>
                  <w:r>
                    <w:rPr>
                      <w:rFonts w:ascii="Times New Roman" w:hAnsi="Times New Roman" w:eastAsia="Times New Roman" w:cs="Times New Roman"/>
                      <w:color w:val="000000" w:themeColor="text1"/>
                      <w:sz w:val="21"/>
                      <w:szCs w:val="21"/>
                      <w:lang w:eastAsia="zh-CN"/>
                      <w14:textFill>
                        <w14:solidFill>
                          <w14:schemeClr w14:val="tx1"/>
                        </w14:solidFill>
                      </w14:textFill>
                    </w:rPr>
                    <w:t>VOCs</w:t>
                  </w:r>
                  <w:r>
                    <w:rPr>
                      <w:rFonts w:hint="eastAsia" w:ascii="宋体" w:hAnsi="宋体" w:eastAsia="宋体" w:cs="宋体"/>
                      <w:color w:val="000000" w:themeColor="text1"/>
                      <w:spacing w:val="6"/>
                      <w:sz w:val="21"/>
                      <w:szCs w:val="21"/>
                      <w:lang w:eastAsia="zh-CN"/>
                      <w14:textFill>
                        <w14:solidFill>
                          <w14:schemeClr w14:val="tx1"/>
                        </w14:solidFill>
                      </w14:textFill>
                    </w:rPr>
                    <w:t>排放实</w:t>
                  </w:r>
                  <w:r>
                    <w:rPr>
                      <w:rFonts w:hint="eastAsia" w:ascii="宋体" w:hAnsi="宋体" w:eastAsia="宋体" w:cs="宋体"/>
                      <w:color w:val="000000" w:themeColor="text1"/>
                      <w:spacing w:val="26"/>
                      <w:sz w:val="21"/>
                      <w:szCs w:val="21"/>
                      <w:lang w:eastAsia="zh-CN"/>
                      <w14:textFill>
                        <w14:solidFill>
                          <w14:schemeClr w14:val="tx1"/>
                        </w14:solidFill>
                      </w14:textFill>
                    </w:rPr>
                    <w:t>行区域内倍量</w:t>
                  </w:r>
                  <w:r>
                    <w:rPr>
                      <w:rFonts w:hint="eastAsia" w:ascii="宋体" w:hAnsi="宋体" w:eastAsia="宋体" w:cs="宋体"/>
                      <w:color w:val="000000" w:themeColor="text1"/>
                      <w:spacing w:val="5"/>
                      <w:sz w:val="21"/>
                      <w:szCs w:val="21"/>
                      <w:lang w:eastAsia="zh-CN"/>
                      <w14:textFill>
                        <w14:solidFill>
                          <w14:schemeClr w14:val="tx1"/>
                        </w14:solidFill>
                      </w14:textFill>
                    </w:rPr>
                    <w:t>替代；其余要求不涉及</w:t>
                  </w:r>
                </w:p>
              </w:tc>
              <w:tc>
                <w:tcPr>
                  <w:tcW w:w="0" w:type="auto"/>
                  <w:vAlign w:val="center"/>
                </w:tcPr>
                <w:p>
                  <w:pPr>
                    <w:pBdr>
                      <w:top w:val="none" w:color="auto" w:sz="0" w:space="1"/>
                      <w:left w:val="none" w:color="auto" w:sz="0" w:space="4"/>
                      <w:bottom w:val="none" w:color="auto" w:sz="0" w:space="1"/>
                      <w:right w:val="none" w:color="auto" w:sz="0" w:space="4"/>
                    </w:pBdr>
                    <w:wordWrap w:val="0"/>
                    <w:topLinePunct/>
                    <w:adjustRightInd w:val="0"/>
                    <w:snapToGrid w:val="0"/>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vMerge w:val="continue"/>
                  <w:vAlign w:val="center"/>
                </w:tcPr>
                <w:p>
                  <w:pPr>
                    <w:wordWrap w:val="0"/>
                    <w:jc w:val="center"/>
                  </w:pPr>
                </w:p>
              </w:tc>
              <w:tc>
                <w:tcPr>
                  <w:tcW w:w="0" w:type="auto"/>
                  <w:vAlign w:val="center"/>
                </w:tcPr>
                <w:p>
                  <w:pPr>
                    <w:wordWrap w:val="0"/>
                    <w:topLinePunct/>
                    <w:adjustRightInd w:val="0"/>
                    <w:snapToGrid w:val="0"/>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资源开发效率要求</w:t>
                  </w:r>
                </w:p>
              </w:tc>
              <w:tc>
                <w:tcPr>
                  <w:tcW w:w="5411" w:type="dxa"/>
                  <w:vAlign w:val="center"/>
                </w:tcPr>
                <w:p>
                  <w:pPr>
                    <w:wordWrap w:val="0"/>
                    <w:topLinePunct/>
                    <w:adjustRightInd w:val="0"/>
                    <w:snapToGrid w:val="0"/>
                    <w:jc w:val="center"/>
                    <w:rPr>
                      <w:rFonts w:ascii="Times New Roman" w:hAnsi="Times New Roman" w:eastAsia="宋体" w:cs="Times New Roman"/>
                      <w:color w:val="000000" w:themeColor="text1"/>
                      <w:sz w:val="21"/>
                      <w:szCs w:val="21"/>
                      <w:lang w:eastAsia="zh-CN"/>
                      <w14:textFill>
                        <w14:solidFill>
                          <w14:schemeClr w14:val="tx1"/>
                        </w14:solidFill>
                      </w14:textFill>
                    </w:rPr>
                  </w:pPr>
                  <w:r>
                    <w:rPr>
                      <w:rFonts w:ascii="Times New Roman" w:hAnsi="Times New Roman" w:eastAsia="宋体" w:cs="Times New Roman"/>
                      <w:color w:val="000000" w:themeColor="text1"/>
                      <w:sz w:val="21"/>
                      <w:szCs w:val="21"/>
                      <w:lang w:eastAsia="zh-CN"/>
                      <w14:textFill>
                        <w14:solidFill>
                          <w14:schemeClr w14:val="tx1"/>
                        </w14:solidFill>
                      </w14:textFill>
                    </w:rPr>
                    <w:t>1.到 2024 年底，全市范围内每小时 10 蒸吨及以下燃煤锅炉全面淘汰；到 2025 年底，全市范围内每小时35 蒸吨以下燃煤锅炉通过集中供热、清洁能源替代、深度治理等方式全面实现转型、升级、退出，县级及以上城市建成区在用锅炉（燃煤、燃油、燃生物质）全面改用电能等清洁能源或治理达到超低排放水平；禁止新建每小时35 蒸吨以下燃煤锅炉，以及每小时10蒸吨及以下燃生物质和其他使用高污染燃料的锅炉。集中供热管网覆盖范围内禁止新建、扩建分散燃煤、燃油等供热锅炉。</w:t>
                  </w:r>
                </w:p>
                <w:p>
                  <w:pPr>
                    <w:wordWrap w:val="0"/>
                    <w:topLinePunct/>
                    <w:adjustRightInd w:val="0"/>
                    <w:snapToGrid w:val="0"/>
                    <w:jc w:val="center"/>
                    <w:rPr>
                      <w:rFonts w:ascii="Times New Roman" w:hAnsi="Times New Roman" w:eastAsia="宋体" w:cs="Times New Roman"/>
                      <w:color w:val="000000" w:themeColor="text1"/>
                      <w:sz w:val="21"/>
                      <w:szCs w:val="21"/>
                      <w:lang w:eastAsia="zh-CN"/>
                      <w14:textFill>
                        <w14:solidFill>
                          <w14:schemeClr w14:val="tx1"/>
                        </w14:solidFill>
                      </w14:textFill>
                    </w:rPr>
                  </w:pPr>
                  <w:r>
                    <w:rPr>
                      <w:rFonts w:ascii="Times New Roman" w:hAnsi="Times New Roman" w:eastAsia="宋体" w:cs="Times New Roman"/>
                      <w:color w:val="000000" w:themeColor="text1"/>
                      <w:sz w:val="21"/>
                      <w:szCs w:val="21"/>
                      <w:lang w:eastAsia="zh-CN"/>
                      <w14:textFill>
                        <w14:solidFill>
                          <w14:schemeClr w14:val="tx1"/>
                        </w14:solidFill>
                      </w14:textFill>
                    </w:rPr>
                    <w:t>2.按照“提气、转电、控煤”的发展思路，推动陶瓷行业进一步优化用能结构，实现能源消费清洁低碳化。</w:t>
                  </w:r>
                </w:p>
              </w:tc>
              <w:tc>
                <w:tcPr>
                  <w:tcW w:w="1606" w:type="dxa"/>
                  <w:vAlign w:val="center"/>
                </w:tcPr>
                <w:p>
                  <w:pPr>
                    <w:pBdr>
                      <w:top w:val="none" w:color="auto" w:sz="0" w:space="1"/>
                      <w:left w:val="none" w:color="auto" w:sz="0" w:space="4"/>
                      <w:bottom w:val="none" w:color="auto" w:sz="0" w:space="1"/>
                      <w:right w:val="none" w:color="auto" w:sz="0" w:space="4"/>
                    </w:pBdr>
                    <w:wordWrap w:val="0"/>
                    <w:topLinePunct/>
                    <w:adjustRightInd w:val="0"/>
                    <w:snapToGrid w:val="0"/>
                    <w:jc w:val="center"/>
                    <w:rPr>
                      <w:rFonts w:ascii="Times New Roman" w:hAnsi="Times New Roman" w:eastAsia="宋体" w:cs="Times New Roman"/>
                      <w:color w:val="000000" w:themeColor="text1"/>
                      <w:sz w:val="21"/>
                      <w:szCs w:val="21"/>
                      <w:lang w:eastAsia="zh-CN"/>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项目</w:t>
                  </w:r>
                </w:p>
                <w:p>
                  <w:pPr>
                    <w:pBdr>
                      <w:top w:val="none" w:color="auto" w:sz="0" w:space="1"/>
                      <w:left w:val="none" w:color="auto" w:sz="0" w:space="4"/>
                      <w:bottom w:val="none" w:color="auto" w:sz="0" w:space="1"/>
                      <w:right w:val="none" w:color="auto" w:sz="0" w:space="4"/>
                    </w:pBdr>
                    <w:wordWrap w:val="0"/>
                    <w:topLinePunct/>
                    <w:adjustRightInd w:val="0"/>
                    <w:snapToGrid w:val="0"/>
                    <w:jc w:val="center"/>
                    <w:rPr>
                      <w:rFonts w:ascii="Times New Roman" w:hAnsi="Times New Roman" w:eastAsia="宋体" w:cs="Times New Roman"/>
                      <w:color w:val="000000" w:themeColor="text1"/>
                      <w:sz w:val="21"/>
                      <w:szCs w:val="21"/>
                      <w:lang w:eastAsia="zh-CN"/>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不涉及</w:t>
                  </w:r>
                </w:p>
              </w:tc>
              <w:tc>
                <w:tcPr>
                  <w:tcW w:w="0" w:type="auto"/>
                  <w:vAlign w:val="center"/>
                </w:tcPr>
                <w:p>
                  <w:pPr>
                    <w:pBdr>
                      <w:top w:val="none" w:color="auto" w:sz="0" w:space="1"/>
                      <w:left w:val="none" w:color="auto" w:sz="0" w:space="4"/>
                      <w:bottom w:val="none" w:color="auto" w:sz="0" w:space="1"/>
                      <w:right w:val="none" w:color="auto" w:sz="0" w:space="4"/>
                    </w:pBdr>
                    <w:wordWrap w:val="0"/>
                    <w:topLinePunct/>
                    <w:adjustRightInd w:val="0"/>
                    <w:snapToGrid w:val="0"/>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vMerge w:val="restart"/>
                  <w:vAlign w:val="center"/>
                </w:tcPr>
                <w:p>
                  <w:pPr>
                    <w:pStyle w:val="39"/>
                    <w:wordWrap w:val="0"/>
                  </w:pPr>
                  <w:r>
                    <w:rPr>
                      <w:rFonts w:hint="eastAsia" w:ascii="宋体" w:hAnsi="宋体" w:cs="宋体"/>
                    </w:rPr>
                    <w:t>福清市重点管控单元</w:t>
                  </w:r>
                  <w:r>
                    <w:rPr>
                      <w:rFonts w:hint="eastAsia"/>
                    </w:rPr>
                    <w:t>1</w:t>
                  </w:r>
                  <w:r>
                    <w:t>-</w:t>
                  </w:r>
                  <w:r>
                    <w:rPr>
                      <w:rFonts w:hint="eastAsia"/>
                    </w:rPr>
                    <w:t>ZH35018120008</w:t>
                  </w:r>
                </w:p>
              </w:tc>
              <w:tc>
                <w:tcPr>
                  <w:tcW w:w="0" w:type="auto"/>
                  <w:vAlign w:val="center"/>
                </w:tcPr>
                <w:p>
                  <w:pPr>
                    <w:wordWrap w:val="0"/>
                    <w:topLinePunct/>
                    <w:adjustRightInd w:val="0"/>
                    <w:snapToGrid w:val="0"/>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空间布局约束</w:t>
                  </w:r>
                </w:p>
              </w:tc>
              <w:tc>
                <w:tcPr>
                  <w:tcW w:w="5411" w:type="dxa"/>
                  <w:vAlign w:val="center"/>
                </w:tcPr>
                <w:p>
                  <w:pPr>
                    <w:wordWrap w:val="0"/>
                    <w:topLinePunct/>
                    <w:adjustRightInd w:val="0"/>
                    <w:snapToGrid w:val="0"/>
                    <w:jc w:val="center"/>
                    <w:rPr>
                      <w:rFonts w:ascii="Times New Roman" w:hAnsi="Times New Roman" w:eastAsia="宋体" w:cs="Times New Roman"/>
                      <w:color w:val="000000" w:themeColor="text1"/>
                      <w:sz w:val="21"/>
                      <w:szCs w:val="21"/>
                      <w:lang w:eastAsia="zh-CN"/>
                      <w14:textFill>
                        <w14:solidFill>
                          <w14:schemeClr w14:val="tx1"/>
                        </w14:solidFill>
                      </w14:textFill>
                    </w:rPr>
                  </w:pPr>
                  <w:r>
                    <w:rPr>
                      <w:rFonts w:hint="eastAsia" w:ascii="Times New Roman" w:hAnsi="Times New Roman" w:eastAsia="宋体" w:cs="Times New Roman"/>
                      <w:color w:val="000000" w:themeColor="text1"/>
                      <w:sz w:val="21"/>
                      <w:szCs w:val="21"/>
                      <w:lang w:eastAsia="zh-CN"/>
                      <w14:textFill>
                        <w14:solidFill>
                          <w14:schemeClr w14:val="tx1"/>
                        </w14:solidFill>
                      </w14:textFill>
                    </w:rPr>
                    <w:t>1.严禁在城镇人口密集区新建危险化学品生产企业；现有不符合安全和卫生防护距离要求的危险化学品生产企业2025年底前完成就地改造达标、搬迁进入规范化工园区或关闭退出。城市建成区内现有有色金属、印染、原料药制造、化工等污染较重的企业应有序搬迁改造或依法关闭。2.严格控制包装印刷、工业涂装、制鞋等高VOCs排放的项目建设，相关新建项目必须进入工业园区。3.禁止开发利用未经评估和无害化处理的列入建设用地污染地块名录及开发利用负面清单的土地。</w:t>
                  </w:r>
                </w:p>
              </w:tc>
              <w:tc>
                <w:tcPr>
                  <w:tcW w:w="1606" w:type="dxa"/>
                  <w:vAlign w:val="center"/>
                </w:tcPr>
                <w:p>
                  <w:pPr>
                    <w:wordWrap w:val="0"/>
                    <w:jc w:val="center"/>
                    <w:rPr>
                      <w:color w:val="000000" w:themeColor="text1"/>
                      <w:lang w:eastAsia="zh-CN"/>
                      <w14:textFill>
                        <w14:solidFill>
                          <w14:schemeClr w14:val="tx1"/>
                        </w14:solidFill>
                      </w14:textFill>
                    </w:rPr>
                  </w:pPr>
                  <w:r>
                    <w:rPr>
                      <w:rFonts w:hint="eastAsia" w:ascii="宋体" w:hAnsi="宋体" w:eastAsia="宋体" w:cs="宋体"/>
                      <w:color w:val="000000" w:themeColor="text1"/>
                      <w:spacing w:val="8"/>
                      <w:sz w:val="21"/>
                      <w:szCs w:val="21"/>
                      <w:lang w:eastAsia="zh-CN"/>
                      <w14:textFill>
                        <w14:solidFill>
                          <w14:schemeClr w14:val="tx1"/>
                        </w14:solidFill>
                      </w14:textFill>
                    </w:rPr>
                    <w:t>项目不属于需管控行业；项目未开发利用未经评估和无害化处理的列入建设用地污染地块名录及开发利用负面清单的土地</w:t>
                  </w:r>
                </w:p>
              </w:tc>
              <w:tc>
                <w:tcPr>
                  <w:tcW w:w="0" w:type="auto"/>
                  <w:vAlign w:val="center"/>
                </w:tcPr>
                <w:p>
                  <w:pPr>
                    <w:wordWrap w:val="0"/>
                    <w:topLinePunct/>
                    <w:adjustRightInd w:val="0"/>
                    <w:snapToGrid w:val="0"/>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vMerge w:val="continue"/>
                  <w:vAlign w:val="center"/>
                </w:tcPr>
                <w:p>
                  <w:pPr>
                    <w:wordWrap w:val="0"/>
                    <w:jc w:val="center"/>
                  </w:pPr>
                </w:p>
              </w:tc>
              <w:tc>
                <w:tcPr>
                  <w:tcW w:w="0" w:type="auto"/>
                  <w:vAlign w:val="center"/>
                </w:tcPr>
                <w:p>
                  <w:pPr>
                    <w:wordWrap w:val="0"/>
                    <w:topLinePunct/>
                    <w:adjustRightInd w:val="0"/>
                    <w:snapToGrid w:val="0"/>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污染物排放管控</w:t>
                  </w:r>
                </w:p>
              </w:tc>
              <w:tc>
                <w:tcPr>
                  <w:tcW w:w="5411" w:type="dxa"/>
                  <w:vAlign w:val="center"/>
                </w:tcPr>
                <w:p>
                  <w:pPr>
                    <w:wordWrap w:val="0"/>
                    <w:topLinePunct/>
                    <w:adjustRightInd w:val="0"/>
                    <w:snapToGrid w:val="0"/>
                    <w:jc w:val="center"/>
                    <w:rPr>
                      <w:rFonts w:ascii="Times New Roman" w:hAnsi="Times New Roman" w:eastAsia="宋体" w:cs="Times New Roman"/>
                      <w:color w:val="000000" w:themeColor="text1"/>
                      <w:sz w:val="21"/>
                      <w:szCs w:val="21"/>
                      <w:lang w:eastAsia="zh-CN"/>
                      <w14:textFill>
                        <w14:solidFill>
                          <w14:schemeClr w14:val="tx1"/>
                        </w14:solidFill>
                      </w14:textFill>
                    </w:rPr>
                  </w:pPr>
                  <w:r>
                    <w:rPr>
                      <w:rFonts w:hint="eastAsia" w:ascii="Times New Roman" w:hAnsi="Times New Roman" w:eastAsia="宋体" w:cs="Times New Roman"/>
                      <w:color w:val="000000" w:themeColor="text1"/>
                      <w:sz w:val="21"/>
                      <w:szCs w:val="21"/>
                      <w:lang w:eastAsia="zh-CN"/>
                      <w14:textFill>
                        <w14:solidFill>
                          <w14:schemeClr w14:val="tx1"/>
                        </w14:solidFill>
                      </w14:textFill>
                    </w:rPr>
                    <w:t>落实新增二氧化硫、氮氧化物和VOCs排放总量控制要求。</w:t>
                  </w:r>
                </w:p>
              </w:tc>
              <w:tc>
                <w:tcPr>
                  <w:tcW w:w="1606" w:type="dxa"/>
                  <w:vAlign w:val="center"/>
                </w:tcPr>
                <w:p>
                  <w:pPr>
                    <w:wordWrap w:val="0"/>
                    <w:topLinePunct/>
                    <w:adjustRightInd w:val="0"/>
                    <w:snapToGrid w:val="0"/>
                    <w:jc w:val="center"/>
                    <w:rPr>
                      <w:rFonts w:ascii="Times New Roman" w:hAnsi="Times New Roman" w:eastAsia="宋体" w:cs="Times New Roman"/>
                      <w:color w:val="000000" w:themeColor="text1"/>
                      <w:sz w:val="21"/>
                      <w:szCs w:val="21"/>
                      <w:lang w:eastAsia="zh-CN"/>
                      <w14:textFill>
                        <w14:solidFill>
                          <w14:schemeClr w14:val="tx1"/>
                        </w14:solidFill>
                      </w14:textFill>
                    </w:rPr>
                  </w:pPr>
                  <w:r>
                    <w:rPr>
                      <w:rFonts w:hint="eastAsia" w:ascii="宋体" w:hAnsi="宋体" w:eastAsia="宋体" w:cs="宋体"/>
                      <w:color w:val="000000" w:themeColor="text1"/>
                      <w:spacing w:val="13"/>
                      <w:sz w:val="21"/>
                      <w:szCs w:val="21"/>
                      <w:lang w:eastAsia="zh-CN"/>
                      <w14:textFill>
                        <w14:solidFill>
                          <w14:schemeClr w14:val="tx1"/>
                        </w14:solidFill>
                      </w14:textFill>
                    </w:rPr>
                    <w:t>项目不排放二氧化硫、氮氧化物，</w:t>
                  </w:r>
                  <w:r>
                    <w:rPr>
                      <w:rFonts w:ascii="宋体" w:hAnsi="宋体" w:eastAsia="宋体" w:cs="宋体"/>
                      <w:color w:val="000000" w:themeColor="text1"/>
                      <w:spacing w:val="13"/>
                      <w:sz w:val="21"/>
                      <w:szCs w:val="21"/>
                      <w:lang w:eastAsia="zh-CN"/>
                      <w14:textFill>
                        <w14:solidFill>
                          <w14:schemeClr w14:val="tx1"/>
                        </w14:solidFill>
                      </w14:textFill>
                    </w:rPr>
                    <w:t>VOCs排放实行区域内倍量替代</w:t>
                  </w:r>
                </w:p>
              </w:tc>
              <w:tc>
                <w:tcPr>
                  <w:tcW w:w="0" w:type="auto"/>
                  <w:vAlign w:val="center"/>
                </w:tcPr>
                <w:p>
                  <w:pPr>
                    <w:wordWrap w:val="0"/>
                    <w:topLinePunct/>
                    <w:adjustRightInd w:val="0"/>
                    <w:snapToGrid w:val="0"/>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vMerge w:val="continue"/>
                  <w:vAlign w:val="center"/>
                </w:tcPr>
                <w:p>
                  <w:pPr>
                    <w:wordWrap w:val="0"/>
                    <w:jc w:val="center"/>
                  </w:pPr>
                </w:p>
              </w:tc>
              <w:tc>
                <w:tcPr>
                  <w:tcW w:w="0" w:type="auto"/>
                  <w:vAlign w:val="center"/>
                </w:tcPr>
                <w:p>
                  <w:pPr>
                    <w:wordWrap w:val="0"/>
                    <w:topLinePunct/>
                    <w:adjustRightInd w:val="0"/>
                    <w:snapToGrid w:val="0"/>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环境风险防控</w:t>
                  </w:r>
                </w:p>
              </w:tc>
              <w:tc>
                <w:tcPr>
                  <w:tcW w:w="5411" w:type="dxa"/>
                  <w:vAlign w:val="center"/>
                </w:tcPr>
                <w:p>
                  <w:pPr>
                    <w:wordWrap w:val="0"/>
                    <w:topLinePunct/>
                    <w:adjustRightInd w:val="0"/>
                    <w:snapToGrid w:val="0"/>
                    <w:jc w:val="center"/>
                    <w:rPr>
                      <w:rFonts w:ascii="Times New Roman" w:hAnsi="Times New Roman" w:eastAsia="宋体" w:cs="Times New Roman"/>
                      <w:color w:val="000000" w:themeColor="text1"/>
                      <w:sz w:val="21"/>
                      <w:szCs w:val="21"/>
                      <w:lang w:eastAsia="zh-CN"/>
                      <w14:textFill>
                        <w14:solidFill>
                          <w14:schemeClr w14:val="tx1"/>
                        </w14:solidFill>
                      </w14:textFill>
                    </w:rPr>
                  </w:pPr>
                  <w:r>
                    <w:rPr>
                      <w:rFonts w:hint="eastAsia" w:ascii="Times New Roman" w:hAnsi="Times New Roman" w:eastAsia="宋体" w:cs="Times New Roman"/>
                      <w:color w:val="000000" w:themeColor="text1"/>
                      <w:sz w:val="21"/>
                      <w:szCs w:val="21"/>
                      <w:lang w:eastAsia="zh-CN"/>
                      <w14:textFill>
                        <w14:solidFill>
                          <w14:schemeClr w14:val="tx1"/>
                        </w14:solidFill>
                      </w14:textFill>
                    </w:rPr>
                    <w:t>单元内现有化学原料和化学制品制造业、有色金属冶炼和压延加工业等具有潜在土壤污染环境风险的企业退役后，应开展土壤环境状况评估，经评估认为污染地块可能损害人体健康和环境，应当进行修复的，由造成污染的单位和个人负责被污染土壤的修复。</w:t>
                  </w:r>
                </w:p>
              </w:tc>
              <w:tc>
                <w:tcPr>
                  <w:tcW w:w="1606" w:type="dxa"/>
                  <w:vAlign w:val="center"/>
                </w:tcPr>
                <w:p>
                  <w:pPr>
                    <w:wordWrap w:val="0"/>
                    <w:topLinePunct/>
                    <w:adjustRightInd w:val="0"/>
                    <w:snapToGrid w:val="0"/>
                    <w:jc w:val="center"/>
                    <w:rPr>
                      <w:rFonts w:ascii="Times New Roman" w:hAnsi="Times New Roman" w:eastAsia="宋体" w:cs="Times New Roman"/>
                      <w:color w:val="000000" w:themeColor="text1"/>
                      <w:sz w:val="21"/>
                      <w:szCs w:val="21"/>
                      <w:lang w:eastAsia="zh-CN"/>
                      <w14:textFill>
                        <w14:solidFill>
                          <w14:schemeClr w14:val="tx1"/>
                        </w14:solidFill>
                      </w14:textFill>
                    </w:rPr>
                  </w:pPr>
                  <w:r>
                    <w:rPr>
                      <w:rFonts w:hint="eastAsia" w:ascii="Times New Roman" w:hAnsi="Times New Roman" w:eastAsia="宋体" w:cs="Times New Roman"/>
                      <w:color w:val="000000" w:themeColor="text1"/>
                      <w:sz w:val="21"/>
                      <w:szCs w:val="21"/>
                      <w:lang w:eastAsia="zh-CN"/>
                      <w14:textFill>
                        <w14:solidFill>
                          <w14:schemeClr w14:val="tx1"/>
                        </w14:solidFill>
                      </w14:textFill>
                    </w:rPr>
                    <w:t>不涉及</w:t>
                  </w:r>
                </w:p>
              </w:tc>
              <w:tc>
                <w:tcPr>
                  <w:tcW w:w="0" w:type="auto"/>
                  <w:vAlign w:val="center"/>
                </w:tcPr>
                <w:p>
                  <w:pPr>
                    <w:wordWrap w:val="0"/>
                    <w:topLinePunct/>
                    <w:adjustRightInd w:val="0"/>
                    <w:snapToGrid w:val="0"/>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vMerge w:val="continue"/>
                  <w:vAlign w:val="center"/>
                </w:tcPr>
                <w:p>
                  <w:pPr>
                    <w:wordWrap w:val="0"/>
                    <w:jc w:val="center"/>
                  </w:pPr>
                </w:p>
              </w:tc>
              <w:tc>
                <w:tcPr>
                  <w:tcW w:w="0" w:type="auto"/>
                  <w:vAlign w:val="center"/>
                </w:tcPr>
                <w:p>
                  <w:pPr>
                    <w:wordWrap w:val="0"/>
                    <w:topLinePunct/>
                    <w:adjustRightInd w:val="0"/>
                    <w:snapToGrid w:val="0"/>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资源开发效率要求</w:t>
                  </w:r>
                </w:p>
              </w:tc>
              <w:tc>
                <w:tcPr>
                  <w:tcW w:w="5411" w:type="dxa"/>
                  <w:vAlign w:val="center"/>
                </w:tcPr>
                <w:p>
                  <w:pPr>
                    <w:wordWrap w:val="0"/>
                    <w:topLinePunct/>
                    <w:adjustRightInd w:val="0"/>
                    <w:snapToGrid w:val="0"/>
                    <w:ind w:firstLine="210" w:firstLineChars="100"/>
                    <w:jc w:val="center"/>
                    <w:rPr>
                      <w:rFonts w:ascii="Times New Roman" w:hAnsi="Times New Roman" w:eastAsia="宋体" w:cs="Times New Roman"/>
                      <w:color w:val="000000" w:themeColor="text1"/>
                      <w:sz w:val="21"/>
                      <w:szCs w:val="21"/>
                      <w:lang w:eastAsia="zh-CN"/>
                      <w14:textFill>
                        <w14:solidFill>
                          <w14:schemeClr w14:val="tx1"/>
                        </w14:solidFill>
                      </w14:textFill>
                    </w:rPr>
                  </w:pPr>
                  <w:r>
                    <w:rPr>
                      <w:rFonts w:hint="eastAsia" w:ascii="Times New Roman" w:hAnsi="Times New Roman" w:eastAsia="宋体" w:cs="Times New Roman"/>
                      <w:color w:val="000000" w:themeColor="text1"/>
                      <w:sz w:val="21"/>
                      <w:szCs w:val="21"/>
                      <w:lang w:eastAsia="zh-CN"/>
                      <w14:textFill>
                        <w14:solidFill>
                          <w14:schemeClr w14:val="tx1"/>
                        </w14:solidFill>
                      </w14:textFill>
                    </w:rPr>
                    <w:t>高污染燃料禁燃区内禁止燃用高污染燃料，禁止新建、扩建燃用高污染燃料的设施。已建的燃用高污染燃料设施，限期改用电、天然气、液化石油气等清洁能源。</w:t>
                  </w:r>
                </w:p>
              </w:tc>
              <w:tc>
                <w:tcPr>
                  <w:tcW w:w="1606" w:type="dxa"/>
                  <w:vAlign w:val="center"/>
                </w:tcPr>
                <w:p>
                  <w:pPr>
                    <w:wordWrap w:val="0"/>
                    <w:topLinePunct/>
                    <w:adjustRightInd w:val="0"/>
                    <w:snapToGrid w:val="0"/>
                    <w:jc w:val="center"/>
                    <w:rPr>
                      <w:rFonts w:ascii="Times New Roman" w:hAnsi="Times New Roman" w:eastAsia="宋体" w:cs="Times New Roman"/>
                      <w:color w:val="000000" w:themeColor="text1"/>
                      <w:sz w:val="21"/>
                      <w:szCs w:val="21"/>
                      <w:lang w:eastAsia="zh-CN"/>
                      <w14:textFill>
                        <w14:solidFill>
                          <w14:schemeClr w14:val="tx1"/>
                        </w14:solidFill>
                      </w14:textFill>
                    </w:rPr>
                  </w:pPr>
                  <w:r>
                    <w:rPr>
                      <w:rFonts w:ascii="Times New Roman" w:hAnsi="Times New Roman" w:eastAsia="宋体" w:cs="Times New Roman"/>
                      <w:color w:val="000000" w:themeColor="text1"/>
                      <w:sz w:val="21"/>
                      <w:szCs w:val="21"/>
                      <w:lang w:eastAsia="zh-CN"/>
                      <w14:textFill>
                        <w14:solidFill>
                          <w14:schemeClr w14:val="tx1"/>
                        </w14:solidFill>
                      </w14:textFill>
                    </w:rPr>
                    <w:t>项目未使用高污染燃料</w:t>
                  </w:r>
                </w:p>
              </w:tc>
              <w:tc>
                <w:tcPr>
                  <w:tcW w:w="0" w:type="auto"/>
                  <w:vAlign w:val="center"/>
                </w:tcPr>
                <w:p>
                  <w:pPr>
                    <w:wordWrap w:val="0"/>
                    <w:topLinePunct/>
                    <w:adjustRightInd w:val="0"/>
                    <w:snapToGrid w:val="0"/>
                    <w:jc w:val="center"/>
                    <w:rPr>
                      <w:rFonts w:ascii="Times New Roman" w:hAnsi="Times New Roman" w:eastAsia="宋体" w:cs="Times New Roman"/>
                      <w:color w:val="000000" w:themeColor="text1"/>
                      <w:sz w:val="21"/>
                      <w:szCs w:val="21"/>
                      <w:lang w:eastAsia="zh-CN"/>
                      <w14:textFill>
                        <w14:solidFill>
                          <w14:schemeClr w14:val="tx1"/>
                        </w14:solidFill>
                      </w14:textFill>
                    </w:rPr>
                  </w:pPr>
                  <w:r>
                    <w:rPr>
                      <w:rFonts w:ascii="Times New Roman" w:hAnsi="Times New Roman" w:eastAsia="宋体" w:cs="Times New Roman"/>
                      <w:color w:val="000000" w:themeColor="text1"/>
                      <w:sz w:val="21"/>
                      <w:szCs w:val="21"/>
                      <w:lang w:eastAsia="zh-CN"/>
                      <w14:textFill>
                        <w14:solidFill>
                          <w14:schemeClr w14:val="tx1"/>
                        </w14:solidFill>
                      </w14:textFill>
                    </w:rPr>
                    <w:t>符合</w:t>
                  </w:r>
                </w:p>
              </w:tc>
            </w:tr>
          </w:tbl>
          <w:p>
            <w:pPr>
              <w:pStyle w:val="45"/>
              <w:widowControl w:val="0"/>
              <w:ind w:firstLine="480"/>
            </w:pPr>
            <w:r>
              <w:t>根据上述分析，本项目与福州市人民政府办公厅关于印发《福州市生态环境分区管控方案（2023年更新）》的通知（榕政办规〔2024〕20号）中的相关规定是符合的。</w:t>
            </w:r>
          </w:p>
          <w:p>
            <w:pPr>
              <w:pStyle w:val="45"/>
              <w:widowControl w:val="0"/>
              <w:ind w:firstLine="480"/>
            </w:pPr>
          </w:p>
          <w:p>
            <w:pPr>
              <w:pStyle w:val="45"/>
              <w:widowControl w:val="0"/>
              <w:ind w:firstLine="480"/>
            </w:pPr>
          </w:p>
          <w:p>
            <w:pPr>
              <w:spacing w:line="360" w:lineRule="auto"/>
              <w:ind w:firstLine="422" w:firstLineChars="200"/>
              <w:jc w:val="both"/>
              <w:rPr>
                <w:rFonts w:hint="eastAsia" w:ascii="宋体" w:hAnsi="宋体" w:eastAsia="宋体" w:cs="宋体"/>
                <w:b/>
                <w:bCs/>
                <w:color w:val="000000" w:themeColor="text1"/>
                <w:szCs w:val="24"/>
                <w:lang w:eastAsia="zh-CN"/>
                <w14:textFill>
                  <w14:solidFill>
                    <w14:schemeClr w14:val="tx1"/>
                  </w14:solidFill>
                </w14:textFill>
              </w:rPr>
            </w:pPr>
            <w:r>
              <w:rPr>
                <w:rFonts w:hint="eastAsia" w:ascii="Times New Roman" w:hAnsi="Times New Roman" w:eastAsia="宋体" w:cs="Times New Roman"/>
                <w:b/>
                <w:bCs/>
                <w:color w:val="000000" w:themeColor="text1"/>
                <w:sz w:val="21"/>
                <w:szCs w:val="21"/>
                <w:lang w:eastAsia="zh-CN"/>
                <w14:textFill>
                  <w14:solidFill>
                    <w14:schemeClr w14:val="tx1"/>
                  </w14:solidFill>
                </w14:textFill>
              </w:rPr>
              <w:t>4、</w:t>
            </w:r>
            <w:r>
              <w:rPr>
                <w:rFonts w:ascii="Times New Roman" w:hAnsi="Times New Roman" w:eastAsia="宋体" w:cs="Times New Roman"/>
                <w:b/>
                <w:bCs/>
                <w:color w:val="000000" w:themeColor="text1"/>
                <w:szCs w:val="24"/>
                <w:lang w:eastAsia="zh-CN"/>
                <w14:textFill>
                  <w14:solidFill>
                    <w14:schemeClr w14:val="tx1"/>
                  </w14:solidFill>
                </w14:textFill>
              </w:rPr>
              <w:t>与挥发性有机物污染防治政策相关内容符合性分析</w:t>
            </w:r>
          </w:p>
          <w:p>
            <w:pPr>
              <w:pStyle w:val="45"/>
              <w:widowControl w:val="0"/>
              <w:ind w:firstLine="480"/>
              <w:rPr>
                <w:rFonts w:hint="eastAsia" w:ascii="宋体" w:hAnsi="宋体" w:cs="宋体"/>
              </w:rPr>
            </w:pPr>
            <w:r>
              <w:t>本项目与挥发性有机物污染防治政策相关内容符合性分析详见表1.</w:t>
            </w:r>
            <w:r>
              <w:rPr>
                <w:rFonts w:hint="eastAsia"/>
              </w:rPr>
              <w:t>1</w:t>
            </w:r>
            <w:r>
              <w:t>-</w:t>
            </w:r>
            <w:r>
              <w:rPr>
                <w:rFonts w:hint="eastAsia"/>
              </w:rPr>
              <w:t>6</w:t>
            </w:r>
            <w:r>
              <w:t>。</w:t>
            </w:r>
          </w:p>
          <w:p>
            <w:pPr>
              <w:pStyle w:val="42"/>
              <w:spacing w:before="120"/>
              <w:rPr>
                <w:rFonts w:hint="eastAsia" w:ascii="宋体" w:hAnsi="宋体" w:cs="宋体"/>
              </w:rPr>
            </w:pPr>
            <w:r>
              <w:t>表1.</w:t>
            </w:r>
            <w:r>
              <w:rPr>
                <w:rFonts w:hint="eastAsia"/>
              </w:rPr>
              <w:t>1</w:t>
            </w:r>
            <w:r>
              <w:t>-</w:t>
            </w:r>
            <w:r>
              <w:rPr>
                <w:rFonts w:hint="eastAsia"/>
              </w:rPr>
              <w:t>6</w:t>
            </w:r>
            <w:r>
              <w:t xml:space="preserve"> 挥发性有机物污染防治政策相关内容</w:t>
            </w:r>
          </w:p>
          <w:tbl>
            <w:tblPr>
              <w:tblStyle w:val="4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01"/>
              <w:gridCol w:w="1632"/>
              <w:gridCol w:w="4377"/>
              <w:gridCol w:w="1970"/>
              <w:gridCol w:w="44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81" w:type="pct"/>
                  <w:vAlign w:val="center"/>
                </w:tcPr>
                <w:p>
                  <w:pPr>
                    <w:pStyle w:val="39"/>
                    <w:rPr>
                      <w:rFonts w:ascii="Calibri" w:hAnsi="Calibri"/>
                      <w:kern w:val="2"/>
                    </w:rPr>
                  </w:pPr>
                  <w:r>
                    <w:rPr>
                      <w:rFonts w:hint="eastAsia"/>
                    </w:rPr>
                    <w:t>序号</w:t>
                  </w:r>
                </w:p>
              </w:tc>
              <w:tc>
                <w:tcPr>
                  <w:tcW w:w="914" w:type="pct"/>
                  <w:vAlign w:val="center"/>
                </w:tcPr>
                <w:p>
                  <w:pPr>
                    <w:pStyle w:val="39"/>
                    <w:rPr>
                      <w:rFonts w:ascii="Calibri" w:hAnsi="Calibri"/>
                      <w:kern w:val="2"/>
                    </w:rPr>
                  </w:pPr>
                  <w:r>
                    <w:rPr>
                      <w:rFonts w:hint="eastAsia"/>
                    </w:rPr>
                    <w:t>相关文件名称</w:t>
                  </w:r>
                </w:p>
              </w:tc>
              <w:tc>
                <w:tcPr>
                  <w:tcW w:w="2451" w:type="pct"/>
                  <w:vAlign w:val="center"/>
                </w:tcPr>
                <w:p>
                  <w:pPr>
                    <w:pStyle w:val="39"/>
                    <w:rPr>
                      <w:rFonts w:ascii="Calibri" w:hAnsi="Calibri"/>
                      <w:kern w:val="2"/>
                    </w:rPr>
                  </w:pPr>
                  <w:r>
                    <w:rPr>
                      <w:rFonts w:hint="eastAsia"/>
                    </w:rPr>
                    <w:t>相关内容</w:t>
                  </w:r>
                </w:p>
              </w:tc>
              <w:tc>
                <w:tcPr>
                  <w:tcW w:w="1103" w:type="pct"/>
                  <w:vAlign w:val="center"/>
                </w:tcPr>
                <w:p>
                  <w:pPr>
                    <w:pStyle w:val="39"/>
                    <w:rPr>
                      <w:rFonts w:ascii="Calibri" w:hAnsi="Calibri"/>
                      <w:kern w:val="2"/>
                    </w:rPr>
                  </w:pPr>
                  <w:r>
                    <w:rPr>
                      <w:rFonts w:hint="eastAsia"/>
                    </w:rPr>
                    <w:t>本项目内容</w:t>
                  </w:r>
                </w:p>
              </w:tc>
              <w:tc>
                <w:tcPr>
                  <w:tcW w:w="251" w:type="pct"/>
                  <w:vAlign w:val="center"/>
                </w:tcPr>
                <w:p>
                  <w:pPr>
                    <w:pStyle w:val="39"/>
                    <w:rPr>
                      <w:rFonts w:ascii="Calibri" w:hAnsi="Calibri"/>
                      <w:kern w:val="2"/>
                    </w:rPr>
                  </w:pPr>
                  <w:r>
                    <w:rPr>
                      <w:rFonts w:hint="eastAsia"/>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81" w:type="pct"/>
                  <w:vAlign w:val="center"/>
                </w:tcPr>
                <w:p>
                  <w:pPr>
                    <w:pStyle w:val="39"/>
                    <w:rPr>
                      <w:rFonts w:ascii="Calibri" w:hAnsi="Calibri"/>
                      <w:kern w:val="2"/>
                    </w:rPr>
                  </w:pPr>
                  <w:r>
                    <w:t>1</w:t>
                  </w:r>
                </w:p>
              </w:tc>
              <w:tc>
                <w:tcPr>
                  <w:tcW w:w="914" w:type="pct"/>
                  <w:vAlign w:val="center"/>
                </w:tcPr>
                <w:p>
                  <w:pPr>
                    <w:pStyle w:val="39"/>
                  </w:pPr>
                  <w:r>
                    <w:t>《福州市环境保护局关于印发福州市大气污染联防控联治工作方案的通知》(榕环保综[2018]386号)</w:t>
                  </w:r>
                </w:p>
              </w:tc>
              <w:tc>
                <w:tcPr>
                  <w:tcW w:w="2451" w:type="pct"/>
                  <w:vAlign w:val="center"/>
                </w:tcPr>
                <w:p>
                  <w:pPr>
                    <w:pStyle w:val="39"/>
                  </w:pPr>
                  <w:r>
                    <w:t>实施移动源污染减排。加强对加油站、储油库和油罐车油气回收治理监督检查，确保油气回收设施规范使用、正常运行。按照国家部署，储油库和年销售汽油量大于5000吨的加油站加快安装油气回收自动监测设备并联网。</w:t>
                  </w:r>
                </w:p>
              </w:tc>
              <w:tc>
                <w:tcPr>
                  <w:tcW w:w="1103" w:type="pct"/>
                  <w:vAlign w:val="center"/>
                </w:tcPr>
                <w:p>
                  <w:pPr>
                    <w:pStyle w:val="39"/>
                  </w:pPr>
                  <w:r>
                    <w:t>本加油站采用卸油一次油气回收、加油二次油气回收和储油三次回收系统，本项目年销售汽油</w:t>
                  </w:r>
                  <w:r>
                    <w:rPr>
                      <w:rFonts w:hint="eastAsia"/>
                    </w:rPr>
                    <w:t>3500</w:t>
                  </w:r>
                  <w:r>
                    <w:t>吨，</w:t>
                  </w:r>
                  <w:r>
                    <w:rPr>
                      <w:rFonts w:hint="eastAsia"/>
                    </w:rPr>
                    <w:t>无需</w:t>
                  </w:r>
                  <w:r>
                    <w:t>安装油气回收自动监测设备并联网</w:t>
                  </w:r>
                  <w:r>
                    <w:rPr>
                      <w:rFonts w:hint="eastAsia"/>
                    </w:rPr>
                    <w:t>。</w:t>
                  </w:r>
                </w:p>
              </w:tc>
              <w:tc>
                <w:tcPr>
                  <w:tcW w:w="251" w:type="pct"/>
                  <w:vAlign w:val="center"/>
                </w:tcPr>
                <w:p>
                  <w:pPr>
                    <w:pStyle w:val="39"/>
                    <w:rPr>
                      <w:rFonts w:ascii="Calibri" w:hAnsi="Calibri"/>
                      <w:kern w:val="2"/>
                    </w:rPr>
                  </w:pPr>
                  <w:r>
                    <w:rPr>
                      <w:rFonts w:hint="eastAsia"/>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81" w:type="pct"/>
                  <w:vAlign w:val="center"/>
                </w:tcPr>
                <w:p>
                  <w:pPr>
                    <w:pStyle w:val="39"/>
                  </w:pPr>
                  <w:r>
                    <w:rPr>
                      <w:rFonts w:hint="eastAsia"/>
                    </w:rPr>
                    <w:t>2</w:t>
                  </w:r>
                </w:p>
              </w:tc>
              <w:tc>
                <w:tcPr>
                  <w:tcW w:w="914" w:type="pct"/>
                  <w:vAlign w:val="center"/>
                </w:tcPr>
                <w:p>
                  <w:pPr>
                    <w:pStyle w:val="39"/>
                  </w:pPr>
                  <w:r>
                    <w:t>《福建省2020年挥发性有机物治理攻坚实施方案》的通知(闽环保大气〔2020〕6号)</w:t>
                  </w:r>
                </w:p>
              </w:tc>
              <w:tc>
                <w:tcPr>
                  <w:tcW w:w="2451" w:type="pct"/>
                  <w:vAlign w:val="center"/>
                </w:tcPr>
                <w:p>
                  <w:pPr>
                    <w:pStyle w:val="39"/>
                  </w:pPr>
                  <w:r>
                    <w:t>加油站卸油、储油和加油时排放的油气，应采用以密闭收集为基础的油气回收方法进行控制，卸油应采用浸没式，埋地油罐应采用电子式液位计进行液位测量，除必要的维修外不得进行人工量油，加油产生的油气应采用真空辅助方式密闭收集，加油站正常运行时，地下罐应急排空管手动阀门在非必要时应关闭并铅封，应急开启后应及时报告当地生态环境部门，做好台账记录。</w:t>
                  </w:r>
                </w:p>
              </w:tc>
              <w:tc>
                <w:tcPr>
                  <w:tcW w:w="1103" w:type="pct"/>
                  <w:vAlign w:val="center"/>
                </w:tcPr>
                <w:p>
                  <w:pPr>
                    <w:pStyle w:val="39"/>
                  </w:pPr>
                  <w:r>
                    <w:t>项目采用卸油一次油气回收、加油二次油气回收和储油三次回收系统，卸油采用浸没式，埋地油罐采用电子式液位计进行液位测量，加油产生的油气采用真空辅助方式密闭收集，加油站正常运行时，地下罐应急排空管手动阀门在非必要时应关闭并铅封，应急开启后应及时报告当地生态环境部门，做好台账记录</w:t>
                  </w:r>
                  <w:r>
                    <w:rPr>
                      <w:rFonts w:hint="eastAsia"/>
                    </w:rPr>
                    <w:t>。</w:t>
                  </w:r>
                </w:p>
              </w:tc>
              <w:tc>
                <w:tcPr>
                  <w:tcW w:w="251" w:type="pct"/>
                  <w:vAlign w:val="center"/>
                </w:tcPr>
                <w:p>
                  <w:pPr>
                    <w:pStyle w:val="39"/>
                  </w:pPr>
                  <w:r>
                    <w:rPr>
                      <w:rFonts w:hint="eastAsia"/>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81" w:type="pct"/>
                  <w:vMerge w:val="restart"/>
                  <w:vAlign w:val="center"/>
                </w:tcPr>
                <w:p>
                  <w:pPr>
                    <w:pStyle w:val="39"/>
                  </w:pPr>
                  <w:r>
                    <w:rPr>
                      <w:rFonts w:hint="eastAsia"/>
                    </w:rPr>
                    <w:t>3</w:t>
                  </w:r>
                </w:p>
              </w:tc>
              <w:tc>
                <w:tcPr>
                  <w:tcW w:w="914" w:type="pct"/>
                  <w:vMerge w:val="restart"/>
                  <w:vAlign w:val="center"/>
                </w:tcPr>
                <w:p>
                  <w:pPr>
                    <w:pStyle w:val="39"/>
                  </w:pPr>
                  <w:r>
                    <w:rPr>
                      <w:rFonts w:hint="eastAsia"/>
                    </w:rPr>
                    <w:t>《福州市生态环境保护委员会办公室关于印发</w:t>
                  </w:r>
                  <w:r>
                    <w:t>2022</w:t>
                  </w:r>
                  <w:r>
                    <w:rPr>
                      <w:rFonts w:hint="eastAsia"/>
                    </w:rPr>
                    <w:t>年度福州市蓝天碧海净土保卫战行动计划通知》</w:t>
                  </w:r>
                  <w:r>
                    <w:t>(</w:t>
                  </w:r>
                  <w:r>
                    <w:rPr>
                      <w:rFonts w:hint="eastAsia"/>
                    </w:rPr>
                    <w:t>榕环委办</w:t>
                  </w:r>
                  <w:r>
                    <w:t>[2022]49</w:t>
                  </w:r>
                  <w:r>
                    <w:rPr>
                      <w:rFonts w:hint="eastAsia"/>
                    </w:rPr>
                    <w:t>号</w:t>
                  </w:r>
                  <w:r>
                    <w:t>)</w:t>
                  </w:r>
                </w:p>
              </w:tc>
              <w:tc>
                <w:tcPr>
                  <w:tcW w:w="2451" w:type="pct"/>
                  <w:vAlign w:val="center"/>
                </w:tcPr>
                <w:p>
                  <w:pPr>
                    <w:pStyle w:val="39"/>
                  </w:pPr>
                  <w:r>
                    <w:t>四是严格涉VOCs建设项目环境影响评价审批。新、改、扩建涉VOCs排放项目，应使用低(无)VOCs涂料、粘胶剂等，实施新建项目VOCs排放区域内1.2及以上倍量替代。VOCs年排放量大于5吨的新建项目投运前应安装VOCs在线监控设备，并接入市生态云平台。</w:t>
                  </w:r>
                </w:p>
              </w:tc>
              <w:tc>
                <w:tcPr>
                  <w:tcW w:w="1103" w:type="pct"/>
                  <w:vAlign w:val="center"/>
                </w:tcPr>
                <w:p>
                  <w:pPr>
                    <w:pStyle w:val="39"/>
                  </w:pPr>
                  <w:r>
                    <w:t>项目VOCs排放拟实行区域内倍量替代，项目VOCs年排放量小于5吨。</w:t>
                  </w:r>
                </w:p>
              </w:tc>
              <w:tc>
                <w:tcPr>
                  <w:tcW w:w="251" w:type="pct"/>
                  <w:vAlign w:val="center"/>
                </w:tcPr>
                <w:p>
                  <w:pPr>
                    <w:pStyle w:val="39"/>
                  </w:pPr>
                  <w:r>
                    <w:rPr>
                      <w:rFonts w:hint="eastAsia"/>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81" w:type="pct"/>
                  <w:vMerge w:val="continue"/>
                  <w:vAlign w:val="center"/>
                </w:tcPr>
                <w:p>
                  <w:pPr>
                    <w:pStyle w:val="39"/>
                  </w:pPr>
                </w:p>
              </w:tc>
              <w:tc>
                <w:tcPr>
                  <w:tcW w:w="914" w:type="pct"/>
                  <w:vMerge w:val="continue"/>
                  <w:vAlign w:val="center"/>
                </w:tcPr>
                <w:p>
                  <w:pPr>
                    <w:pStyle w:val="39"/>
                  </w:pPr>
                </w:p>
              </w:tc>
              <w:tc>
                <w:tcPr>
                  <w:tcW w:w="2451" w:type="pct"/>
                  <w:vAlign w:val="center"/>
                </w:tcPr>
                <w:p>
                  <w:pPr>
                    <w:pStyle w:val="39"/>
                  </w:pPr>
                  <w:r>
                    <w:t>五是推进油品VOCs综合管控。开展福州市储运销环节油气回收系统专项检查工作，确保达标排放；对汽车罐车密封性能定期检测，严厉查处在卸油、发油、运输、停泊过程中破坏汽车罐车密闭性的行为，鼓励探索将汽车罐车密封性能年度检测纳入排放定期检验范围。探索实施分区域分时段精准调控汽油夏季蒸气压指标。加强加油站油气回收在线监控，强化加油站日常监管，减少油气挥发污染。鼓励推广安装加油站油气回收在线监控。</w:t>
                  </w:r>
                </w:p>
              </w:tc>
              <w:tc>
                <w:tcPr>
                  <w:tcW w:w="1103" w:type="pct"/>
                  <w:vAlign w:val="center"/>
                </w:tcPr>
                <w:p>
                  <w:pPr>
                    <w:pStyle w:val="39"/>
                  </w:pPr>
                  <w:r>
                    <w:t>项目建设后，项目厂区地面全部硬化，采用增强型双层油罐，本加油站采用卸油一次油气回收、加油二次油气回收和储油三次回收系统</w:t>
                  </w:r>
                  <w:r>
                    <w:rPr>
                      <w:rFonts w:hint="eastAsia"/>
                    </w:rPr>
                    <w:t>。</w:t>
                  </w:r>
                </w:p>
              </w:tc>
              <w:tc>
                <w:tcPr>
                  <w:tcW w:w="251" w:type="pct"/>
                  <w:vAlign w:val="center"/>
                </w:tcPr>
                <w:p>
                  <w:pPr>
                    <w:pStyle w:val="39"/>
                  </w:pPr>
                  <w:r>
                    <w:rPr>
                      <w:rFonts w:hint="eastAsia"/>
                    </w:rPr>
                    <w:t>符合</w:t>
                  </w:r>
                </w:p>
              </w:tc>
            </w:tr>
          </w:tbl>
          <w:p>
            <w:pPr>
              <w:pStyle w:val="43"/>
              <w:spacing w:before="120"/>
              <w:ind w:firstLine="480"/>
              <w:rPr>
                <w:snapToGrid w:val="0"/>
              </w:rPr>
            </w:pPr>
            <w:r>
              <w:rPr>
                <w:rFonts w:hint="eastAsia"/>
                <w:snapToGrid w:val="0"/>
              </w:rPr>
              <w:t>5、</w:t>
            </w:r>
            <w:r>
              <w:rPr>
                <w:snapToGrid w:val="0"/>
              </w:rPr>
              <w:t>项目与《汽车加油加气加氢站技术标准》</w:t>
            </w:r>
            <w:r>
              <w:rPr>
                <w:rFonts w:eastAsia="Times New Roman"/>
                <w:snapToGrid w:val="0"/>
              </w:rPr>
              <w:t>(GB501</w:t>
            </w:r>
            <w:r>
              <w:rPr>
                <w:rFonts w:eastAsia="Times New Roman"/>
                <w:snapToGrid w:val="0"/>
                <w:spacing w:val="8"/>
              </w:rPr>
              <w:t>56-2021)</w:t>
            </w:r>
            <w:r>
              <w:rPr>
                <w:snapToGrid w:val="0"/>
                <w:spacing w:val="8"/>
              </w:rPr>
              <w:t>符合性分</w:t>
            </w:r>
            <w:r>
              <w:rPr>
                <w:snapToGrid w:val="0"/>
                <w:spacing w:val="-3"/>
              </w:rPr>
              <w:t>析</w:t>
            </w:r>
          </w:p>
          <w:p>
            <w:pPr>
              <w:pStyle w:val="45"/>
              <w:widowControl w:val="0"/>
              <w:ind w:firstLine="512"/>
              <w:rPr>
                <w:rFonts w:eastAsiaTheme="minorEastAsia"/>
                <w:snapToGrid w:val="0"/>
                <w:spacing w:val="7"/>
              </w:rPr>
            </w:pPr>
            <w:r>
              <w:rPr>
                <w:rFonts w:ascii="宋体"/>
                <w:snapToGrid w:val="0"/>
                <w:spacing w:val="16"/>
              </w:rPr>
              <w:t>本项目作为加油站的选址首先应满足该区域的环境保护和防火安</w:t>
            </w:r>
            <w:r>
              <w:rPr>
                <w:rFonts w:ascii="宋体"/>
                <w:snapToGrid w:val="0"/>
              </w:rPr>
              <w:t>全要求，同时，由于加油站是贮藏易燃品的场所，所以加油站有关设施与站外建、构筑物之间还应该满足防火距离。根据《汽车加油</w:t>
            </w:r>
            <w:r>
              <w:rPr>
                <w:rFonts w:ascii="宋体"/>
                <w:snapToGrid w:val="0"/>
                <w:spacing w:val="8"/>
              </w:rPr>
              <w:t>加气加氢</w:t>
            </w:r>
            <w:r>
              <w:rPr>
                <w:rFonts w:ascii="宋体"/>
                <w:snapToGrid w:val="0"/>
                <w:spacing w:val="7"/>
              </w:rPr>
              <w:t>站技术标准》</w:t>
            </w:r>
            <w:r>
              <w:rPr>
                <w:rFonts w:eastAsia="Times New Roman"/>
                <w:snapToGrid w:val="0"/>
                <w:spacing w:val="7"/>
              </w:rPr>
              <w:t>(</w:t>
            </w:r>
            <w:r>
              <w:rPr>
                <w:rFonts w:eastAsia="Times New Roman"/>
                <w:snapToGrid w:val="0"/>
              </w:rPr>
              <w:t>GB</w:t>
            </w:r>
            <w:r>
              <w:rPr>
                <w:rFonts w:eastAsia="Times New Roman"/>
                <w:snapToGrid w:val="0"/>
                <w:spacing w:val="7"/>
              </w:rPr>
              <w:t>50156-2021)</w:t>
            </w:r>
            <w:r>
              <w:rPr>
                <w:rFonts w:ascii="宋体"/>
                <w:snapToGrid w:val="0"/>
                <w:spacing w:val="7"/>
              </w:rPr>
              <w:t>规定，加油站级别划分依据见表</w:t>
            </w:r>
            <w:r>
              <w:rPr>
                <w:rFonts w:hint="eastAsia" w:eastAsiaTheme="minorEastAsia"/>
                <w:snapToGrid w:val="0"/>
                <w:spacing w:val="7"/>
              </w:rPr>
              <w:t>1.1-7</w:t>
            </w:r>
            <w:r>
              <w:rPr>
                <w:rFonts w:ascii="宋体"/>
                <w:snapToGrid w:val="0"/>
                <w:spacing w:val="7"/>
              </w:rPr>
              <w:t>。</w:t>
            </w:r>
          </w:p>
          <w:p>
            <w:pPr>
              <w:pStyle w:val="42"/>
              <w:spacing w:before="120"/>
              <w:rPr>
                <w:snapToGrid w:val="0"/>
              </w:rPr>
            </w:pPr>
            <w:r>
              <w:rPr>
                <w:snapToGrid w:val="0"/>
              </w:rPr>
              <w:t>表</w:t>
            </w:r>
            <w:r>
              <w:rPr>
                <w:rFonts w:hint="eastAsia" w:eastAsiaTheme="minorEastAsia"/>
                <w:snapToGrid w:val="0"/>
              </w:rPr>
              <w:t>1.1-7</w:t>
            </w:r>
            <w:r>
              <w:rPr>
                <w:rFonts w:eastAsia="Times New Roman"/>
                <w:snapToGrid w:val="0"/>
              </w:rPr>
              <w:t xml:space="preserve">  </w:t>
            </w:r>
            <w:r>
              <w:rPr>
                <w:snapToGrid w:val="0"/>
              </w:rPr>
              <w:t>加油站的等级划分</w:t>
            </w:r>
          </w:p>
          <w:tbl>
            <w:tblPr>
              <w:tblStyle w:val="47"/>
              <w:tblW w:w="887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906"/>
              <w:gridCol w:w="3520"/>
              <w:gridCol w:w="344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9" w:type="dxa"/>
                  <w:vMerge w:val="restart"/>
                  <w:vAlign w:val="center"/>
                </w:tcPr>
                <w:p>
                  <w:pPr>
                    <w:pStyle w:val="39"/>
                  </w:pPr>
                  <w:r>
                    <w:t>级别</w:t>
                  </w:r>
                </w:p>
              </w:tc>
              <w:tc>
                <w:tcPr>
                  <w:tcW w:w="5262" w:type="dxa"/>
                  <w:gridSpan w:val="2"/>
                  <w:vAlign w:val="center"/>
                </w:tcPr>
                <w:p>
                  <w:pPr>
                    <w:pStyle w:val="39"/>
                    <w:rPr>
                      <w:rFonts w:eastAsia="Times New Roman"/>
                    </w:rPr>
                  </w:pPr>
                  <w:r>
                    <w:rPr>
                      <w:spacing w:val="5"/>
                    </w:rPr>
                    <w:t>油罐容积</w:t>
                  </w:r>
                  <w:r>
                    <w:rPr>
                      <w:rFonts w:eastAsia="Times New Roman"/>
                      <w:spacing w:val="5"/>
                    </w:rPr>
                    <w:t>(m</w:t>
                  </w:r>
                  <w:r>
                    <w:rPr>
                      <w:rFonts w:eastAsia="Times New Roman"/>
                      <w:spacing w:val="5"/>
                      <w:position w:val="6"/>
                      <w:sz w:val="13"/>
                      <w:szCs w:val="13"/>
                    </w:rPr>
                    <w:t>3</w:t>
                  </w:r>
                  <w:r>
                    <w:rPr>
                      <w:rFonts w:eastAsia="Times New Roman"/>
                      <w:spacing w:val="5"/>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9" w:type="dxa"/>
                  <w:vMerge w:val="continue"/>
                  <w:vAlign w:val="center"/>
                </w:tcPr>
                <w:p>
                  <w:pPr>
                    <w:pStyle w:val="39"/>
                  </w:pPr>
                </w:p>
              </w:tc>
              <w:tc>
                <w:tcPr>
                  <w:tcW w:w="2658" w:type="dxa"/>
                  <w:vAlign w:val="center"/>
                </w:tcPr>
                <w:p>
                  <w:pPr>
                    <w:pStyle w:val="39"/>
                  </w:pPr>
                  <w:r>
                    <w:rPr>
                      <w:spacing w:val="5"/>
                    </w:rPr>
                    <w:t>总容积</w:t>
                  </w:r>
                </w:p>
              </w:tc>
              <w:tc>
                <w:tcPr>
                  <w:tcW w:w="2604" w:type="dxa"/>
                  <w:vAlign w:val="center"/>
                </w:tcPr>
                <w:p>
                  <w:pPr>
                    <w:pStyle w:val="39"/>
                  </w:pPr>
                  <w:r>
                    <w:rPr>
                      <w:spacing w:val="6"/>
                    </w:rPr>
                    <w:t>单罐容积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9" w:type="dxa"/>
                  <w:vAlign w:val="center"/>
                </w:tcPr>
                <w:p>
                  <w:pPr>
                    <w:pStyle w:val="39"/>
                  </w:pPr>
                  <w:r>
                    <w:t>一级</w:t>
                  </w:r>
                </w:p>
              </w:tc>
              <w:tc>
                <w:tcPr>
                  <w:tcW w:w="2658" w:type="dxa"/>
                  <w:vAlign w:val="center"/>
                </w:tcPr>
                <w:p>
                  <w:pPr>
                    <w:pStyle w:val="39"/>
                    <w:rPr>
                      <w:rFonts w:eastAsia="Times New Roman"/>
                      <w:sz w:val="20"/>
                      <w:szCs w:val="20"/>
                    </w:rPr>
                  </w:pPr>
                  <w:r>
                    <w:rPr>
                      <w:rFonts w:eastAsia="Times New Roman"/>
                      <w:spacing w:val="2"/>
                      <w:sz w:val="20"/>
                      <w:szCs w:val="20"/>
                    </w:rPr>
                    <w:t>150&lt;V≤210</w:t>
                  </w:r>
                </w:p>
              </w:tc>
              <w:tc>
                <w:tcPr>
                  <w:tcW w:w="2604" w:type="dxa"/>
                  <w:vAlign w:val="center"/>
                </w:tcPr>
                <w:p>
                  <w:pPr>
                    <w:pStyle w:val="39"/>
                    <w:rPr>
                      <w:rFonts w:eastAsia="Times New Roman"/>
                      <w:sz w:val="20"/>
                      <w:szCs w:val="20"/>
                    </w:rPr>
                  </w:pPr>
                  <w:r>
                    <w:rPr>
                      <w:rFonts w:eastAsia="Times New Roman"/>
                      <w:spacing w:val="4"/>
                      <w:sz w:val="20"/>
                      <w:szCs w:val="20"/>
                    </w:rPr>
                    <w:t>≤50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9" w:type="dxa"/>
                  <w:vAlign w:val="center"/>
                </w:tcPr>
                <w:p>
                  <w:pPr>
                    <w:pStyle w:val="39"/>
                  </w:pPr>
                  <w:r>
                    <w:t>二级</w:t>
                  </w:r>
                </w:p>
              </w:tc>
              <w:tc>
                <w:tcPr>
                  <w:tcW w:w="2658" w:type="dxa"/>
                  <w:vAlign w:val="center"/>
                </w:tcPr>
                <w:p>
                  <w:pPr>
                    <w:pStyle w:val="39"/>
                    <w:rPr>
                      <w:rFonts w:eastAsia="Times New Roman"/>
                      <w:sz w:val="20"/>
                      <w:szCs w:val="20"/>
                    </w:rPr>
                  </w:pPr>
                  <w:r>
                    <w:rPr>
                      <w:rFonts w:eastAsia="Times New Roman"/>
                      <w:spacing w:val="4"/>
                      <w:sz w:val="20"/>
                      <w:szCs w:val="20"/>
                    </w:rPr>
                    <w:t>90&lt;V≤150</w:t>
                  </w:r>
                </w:p>
              </w:tc>
              <w:tc>
                <w:tcPr>
                  <w:tcW w:w="2604" w:type="dxa"/>
                  <w:vAlign w:val="center"/>
                </w:tcPr>
                <w:p>
                  <w:pPr>
                    <w:pStyle w:val="39"/>
                    <w:rPr>
                      <w:rFonts w:eastAsia="Times New Roman"/>
                      <w:sz w:val="20"/>
                      <w:szCs w:val="20"/>
                    </w:rPr>
                  </w:pPr>
                  <w:r>
                    <w:rPr>
                      <w:rFonts w:eastAsia="Times New Roman"/>
                      <w:spacing w:val="4"/>
                      <w:sz w:val="20"/>
                      <w:szCs w:val="20"/>
                    </w:rPr>
                    <w:t>≤50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9" w:type="dxa"/>
                  <w:vAlign w:val="center"/>
                </w:tcPr>
                <w:p>
                  <w:pPr>
                    <w:pStyle w:val="39"/>
                  </w:pPr>
                  <w:r>
                    <w:rPr>
                      <w:spacing w:val="4"/>
                    </w:rPr>
                    <w:t>三级</w:t>
                  </w:r>
                </w:p>
              </w:tc>
              <w:tc>
                <w:tcPr>
                  <w:tcW w:w="2658" w:type="dxa"/>
                  <w:vAlign w:val="center"/>
                </w:tcPr>
                <w:p>
                  <w:pPr>
                    <w:pStyle w:val="39"/>
                    <w:rPr>
                      <w:rFonts w:eastAsia="Times New Roman"/>
                      <w:sz w:val="20"/>
                      <w:szCs w:val="20"/>
                    </w:rPr>
                  </w:pPr>
                  <w:r>
                    <w:rPr>
                      <w:rFonts w:eastAsia="Times New Roman"/>
                      <w:spacing w:val="4"/>
                      <w:sz w:val="20"/>
                      <w:szCs w:val="20"/>
                    </w:rPr>
                    <w:t>≤90</w:t>
                  </w:r>
                </w:p>
              </w:tc>
              <w:tc>
                <w:tcPr>
                  <w:tcW w:w="2604" w:type="dxa"/>
                  <w:vAlign w:val="center"/>
                </w:tcPr>
                <w:p>
                  <w:pPr>
                    <w:pStyle w:val="39"/>
                    <w:rPr>
                      <w:rFonts w:eastAsia="Times New Roman"/>
                    </w:rPr>
                  </w:pPr>
                  <w:r>
                    <w:rPr>
                      <w:spacing w:val="5"/>
                    </w:rPr>
                    <w:t>汽油罐</w:t>
                  </w:r>
                  <w:r>
                    <w:rPr>
                      <w:rFonts w:eastAsia="Times New Roman"/>
                      <w:spacing w:val="5"/>
                    </w:rPr>
                    <w:t>≤30</w:t>
                  </w:r>
                  <w:r>
                    <w:rPr>
                      <w:rFonts w:eastAsia="Times New Roman"/>
                      <w:spacing w:val="-26"/>
                    </w:rPr>
                    <w:t xml:space="preserve"> </w:t>
                  </w:r>
                  <w:r>
                    <w:rPr>
                      <w:spacing w:val="5"/>
                    </w:rPr>
                    <w:t>，柴油罐</w:t>
                  </w:r>
                  <w:r>
                    <w:rPr>
                      <w:rFonts w:eastAsia="Times New Roman"/>
                      <w:spacing w:val="5"/>
                    </w:rPr>
                    <w:t>≤50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01" w:type="dxa"/>
                  <w:gridSpan w:val="3"/>
                  <w:vAlign w:val="center"/>
                </w:tcPr>
                <w:p>
                  <w:pPr>
                    <w:pStyle w:val="39"/>
                  </w:pPr>
                  <w:r>
                    <w:rPr>
                      <w:spacing w:val="9"/>
                    </w:rPr>
                    <w:t>注：</w:t>
                  </w:r>
                  <w:r>
                    <w:rPr>
                      <w:rFonts w:eastAsia="Times New Roman"/>
                      <w:spacing w:val="9"/>
                    </w:rPr>
                    <w:t>V</w:t>
                  </w:r>
                  <w:r>
                    <w:rPr>
                      <w:spacing w:val="9"/>
                    </w:rPr>
                    <w:t>为油罐总容积，柴油罐容积可折半计入油</w:t>
                  </w:r>
                  <w:r>
                    <w:rPr>
                      <w:spacing w:val="8"/>
                    </w:rPr>
                    <w:t>罐总容积。</w:t>
                  </w:r>
                </w:p>
              </w:tc>
            </w:tr>
          </w:tbl>
          <w:p>
            <w:pPr>
              <w:pStyle w:val="43"/>
              <w:spacing w:before="120"/>
              <w:ind w:firstLine="480"/>
            </w:pPr>
            <w:r>
              <w:t>从项目的建设规模分析，</w:t>
            </w:r>
            <w:r>
              <w:rPr>
                <w:rFonts w:hint="eastAsia"/>
              </w:rPr>
              <w:t>罐总容量为87.5立方米，属于三级加油站，（其中0#柴油罐30立方米一个，0#柴油罐25立方米一个，柴油按半折算为27.5立方米；92#汽油罐20立方米一个，95#汽油罐20立方米一个，98#汽油罐20立方米一个）</w:t>
            </w:r>
            <w:r>
              <w:t>。项目加油站内汽油设备与站外建(构)筑物的安全距离分析详见表</w:t>
            </w:r>
            <w:r>
              <w:rPr>
                <w:rFonts w:hint="eastAsia"/>
              </w:rPr>
              <w:t>1.1-8。</w:t>
            </w:r>
          </w:p>
          <w:p>
            <w:pPr>
              <w:pStyle w:val="42"/>
              <w:spacing w:before="120"/>
            </w:pPr>
            <w:r>
              <w:t xml:space="preserve">表 </w:t>
            </w:r>
            <w:r>
              <w:rPr>
                <w:rFonts w:hint="eastAsia"/>
              </w:rPr>
              <w:t>1.1-8</w:t>
            </w:r>
            <w:r>
              <w:t xml:space="preserve">  加油站内设备与周围建(构)筑物的安全距离表</w:t>
            </w:r>
          </w:p>
          <w:tbl>
            <w:tblPr>
              <w:tblStyle w:val="47"/>
              <w:tblW w:w="887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34"/>
              <w:gridCol w:w="3351"/>
              <w:gridCol w:w="1701"/>
              <w:gridCol w:w="1701"/>
              <w:gridCol w:w="108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4385" w:type="dxa"/>
                  <w:gridSpan w:val="2"/>
                  <w:tcBorders>
                    <w:tl2br w:val="single" w:color="auto" w:sz="4" w:space="0"/>
                  </w:tcBorders>
                  <w:vAlign w:val="center"/>
                </w:tcPr>
                <w:p>
                  <w:pPr>
                    <w:pStyle w:val="39"/>
                    <w:jc w:val="right"/>
                  </w:pPr>
                  <w:r>
                    <w:t>三级加油站</w:t>
                  </w:r>
                </w:p>
                <w:p>
                  <w:pPr>
                    <w:pStyle w:val="39"/>
                    <w:jc w:val="left"/>
                  </w:pPr>
                  <w:r>
                    <w:t>站外构筑物</w:t>
                  </w:r>
                </w:p>
              </w:tc>
              <w:tc>
                <w:tcPr>
                  <w:tcW w:w="1701" w:type="dxa"/>
                  <w:vAlign w:val="center"/>
                </w:tcPr>
                <w:p>
                  <w:pPr>
                    <w:pStyle w:val="39"/>
                  </w:pPr>
                  <w:r>
                    <w:t>规范要求</w:t>
                  </w:r>
                  <w:r>
                    <w:rPr>
                      <w:spacing w:val="-6"/>
                    </w:rPr>
                    <w:t>（</w:t>
                  </w:r>
                  <w:r>
                    <w:rPr>
                      <w:rFonts w:eastAsia="Times New Roman"/>
                      <w:spacing w:val="-6"/>
                    </w:rPr>
                    <w:t>m</w:t>
                  </w:r>
                  <w:r>
                    <w:rPr>
                      <w:spacing w:val="-6"/>
                    </w:rPr>
                    <w:t>）</w:t>
                  </w:r>
                </w:p>
              </w:tc>
              <w:tc>
                <w:tcPr>
                  <w:tcW w:w="1701" w:type="dxa"/>
                  <w:vAlign w:val="center"/>
                </w:tcPr>
                <w:p>
                  <w:pPr>
                    <w:pStyle w:val="39"/>
                  </w:pPr>
                  <w:r>
                    <w:rPr>
                      <w:spacing w:val="-3"/>
                    </w:rPr>
                    <w:t>设计距离</w:t>
                  </w:r>
                  <w:r>
                    <w:rPr>
                      <w:spacing w:val="-6"/>
                    </w:rPr>
                    <w:t>（</w:t>
                  </w:r>
                  <w:r>
                    <w:rPr>
                      <w:rFonts w:eastAsia="Times New Roman"/>
                      <w:spacing w:val="-6"/>
                    </w:rPr>
                    <w:t>m</w:t>
                  </w:r>
                  <w:r>
                    <w:rPr>
                      <w:spacing w:val="-6"/>
                    </w:rPr>
                    <w:t>）</w:t>
                  </w:r>
                </w:p>
              </w:tc>
              <w:tc>
                <w:tcPr>
                  <w:tcW w:w="1087" w:type="dxa"/>
                  <w:vAlign w:val="center"/>
                </w:tcPr>
                <w:p>
                  <w:pPr>
                    <w:pStyle w:val="39"/>
                  </w:pPr>
                  <w:r>
                    <w:rPr>
                      <w:spacing w:val="-3"/>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034" w:type="dxa"/>
                  <w:vMerge w:val="restart"/>
                  <w:vAlign w:val="center"/>
                </w:tcPr>
                <w:p>
                  <w:pPr>
                    <w:pStyle w:val="39"/>
                  </w:pPr>
                  <w:r>
                    <w:rPr>
                      <w:rFonts w:hint="eastAsia"/>
                      <w:spacing w:val="-1"/>
                    </w:rPr>
                    <w:t>汽油设备及</w:t>
                  </w:r>
                  <w:r>
                    <w:rPr>
                      <w:spacing w:val="-1"/>
                    </w:rPr>
                    <w:t>通气管管口</w:t>
                  </w:r>
                </w:p>
              </w:tc>
              <w:tc>
                <w:tcPr>
                  <w:tcW w:w="3351" w:type="dxa"/>
                  <w:vAlign w:val="center"/>
                </w:tcPr>
                <w:p>
                  <w:pPr>
                    <w:pStyle w:val="39"/>
                  </w:pPr>
                  <w:r>
                    <w:rPr>
                      <w:rFonts w:hint="eastAsia"/>
                    </w:rPr>
                    <w:t>北侧元华路</w:t>
                  </w:r>
                </w:p>
              </w:tc>
              <w:tc>
                <w:tcPr>
                  <w:tcW w:w="1701" w:type="dxa"/>
                  <w:vAlign w:val="center"/>
                </w:tcPr>
                <w:p>
                  <w:pPr>
                    <w:pStyle w:val="39"/>
                    <w:rPr>
                      <w:rFonts w:eastAsia="Times New Roman"/>
                    </w:rPr>
                  </w:pPr>
                  <w:r>
                    <w:rPr>
                      <w:rFonts w:eastAsia="Times New Roman"/>
                    </w:rPr>
                    <w:t>≥5</w:t>
                  </w:r>
                </w:p>
              </w:tc>
              <w:tc>
                <w:tcPr>
                  <w:tcW w:w="1701" w:type="dxa"/>
                  <w:vAlign w:val="center"/>
                </w:tcPr>
                <w:p>
                  <w:pPr>
                    <w:pStyle w:val="39"/>
                    <w:rPr>
                      <w:rFonts w:eastAsiaTheme="minorEastAsia"/>
                    </w:rPr>
                  </w:pPr>
                  <w:r>
                    <w:rPr>
                      <w:rFonts w:hint="eastAsia" w:eastAsiaTheme="minorEastAsia"/>
                      <w:spacing w:val="-5"/>
                    </w:rPr>
                    <w:t>30</w:t>
                  </w:r>
                </w:p>
              </w:tc>
              <w:tc>
                <w:tcPr>
                  <w:tcW w:w="1087" w:type="dxa"/>
                  <w:vAlign w:val="center"/>
                </w:tcPr>
                <w:p>
                  <w:pPr>
                    <w:pStyle w:val="39"/>
                  </w:pPr>
                  <w:r>
                    <w:rPr>
                      <w:spacing w:val="-5"/>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034" w:type="dxa"/>
                  <w:vMerge w:val="continue"/>
                  <w:textDirection w:val="tbRlV"/>
                  <w:vAlign w:val="center"/>
                </w:tcPr>
                <w:p>
                  <w:pPr>
                    <w:pStyle w:val="39"/>
                  </w:pPr>
                </w:p>
              </w:tc>
              <w:tc>
                <w:tcPr>
                  <w:tcW w:w="3351" w:type="dxa"/>
                  <w:vAlign w:val="center"/>
                </w:tcPr>
                <w:p>
                  <w:pPr>
                    <w:pStyle w:val="39"/>
                    <w:rPr>
                      <w:rFonts w:eastAsia="Times New Roman"/>
                    </w:rPr>
                  </w:pPr>
                  <w:r>
                    <w:rPr>
                      <w:rFonts w:hint="eastAsia"/>
                    </w:rPr>
                    <w:t>北侧东刘村</w:t>
                  </w:r>
                  <w:r>
                    <w:rPr>
                      <w:rFonts w:eastAsia="Times New Roman"/>
                    </w:rPr>
                    <w:t>(</w:t>
                  </w:r>
                  <w:r>
                    <w:t>三类保护物</w:t>
                  </w:r>
                  <w:r>
                    <w:rPr>
                      <w:rFonts w:eastAsia="Times New Roman"/>
                    </w:rPr>
                    <w:t>)</w:t>
                  </w:r>
                </w:p>
              </w:tc>
              <w:tc>
                <w:tcPr>
                  <w:tcW w:w="1701" w:type="dxa"/>
                  <w:vAlign w:val="center"/>
                </w:tcPr>
                <w:p>
                  <w:pPr>
                    <w:pStyle w:val="39"/>
                    <w:rPr>
                      <w:rFonts w:eastAsiaTheme="minorEastAsia"/>
                    </w:rPr>
                  </w:pPr>
                  <w:r>
                    <w:rPr>
                      <w:rFonts w:eastAsia="Times New Roman"/>
                    </w:rPr>
                    <w:t>≥</w:t>
                  </w:r>
                  <w:r>
                    <w:rPr>
                      <w:rFonts w:hint="eastAsia" w:eastAsiaTheme="minorEastAsia"/>
                    </w:rPr>
                    <w:t>7</w:t>
                  </w:r>
                </w:p>
              </w:tc>
              <w:tc>
                <w:tcPr>
                  <w:tcW w:w="1701" w:type="dxa"/>
                  <w:vAlign w:val="center"/>
                </w:tcPr>
                <w:p>
                  <w:pPr>
                    <w:pStyle w:val="39"/>
                    <w:rPr>
                      <w:rFonts w:eastAsiaTheme="minorEastAsia"/>
                    </w:rPr>
                  </w:pPr>
                  <w:r>
                    <w:rPr>
                      <w:rFonts w:hint="eastAsia" w:eastAsiaTheme="minorEastAsia"/>
                      <w:spacing w:val="-5"/>
                    </w:rPr>
                    <w:t>60</w:t>
                  </w:r>
                </w:p>
              </w:tc>
              <w:tc>
                <w:tcPr>
                  <w:tcW w:w="1087" w:type="dxa"/>
                  <w:vAlign w:val="center"/>
                </w:tcPr>
                <w:p>
                  <w:pPr>
                    <w:pStyle w:val="39"/>
                  </w:pPr>
                  <w:r>
                    <w:rPr>
                      <w:spacing w:val="-5"/>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034" w:type="dxa"/>
                  <w:vMerge w:val="continue"/>
                  <w:textDirection w:val="tbRlV"/>
                  <w:vAlign w:val="center"/>
                </w:tcPr>
                <w:p>
                  <w:pPr>
                    <w:pStyle w:val="39"/>
                  </w:pPr>
                </w:p>
              </w:tc>
              <w:tc>
                <w:tcPr>
                  <w:tcW w:w="3351" w:type="dxa"/>
                  <w:vAlign w:val="center"/>
                </w:tcPr>
                <w:p>
                  <w:pPr>
                    <w:pStyle w:val="39"/>
                    <w:rPr>
                      <w:rFonts w:eastAsia="Times New Roman"/>
                    </w:rPr>
                  </w:pPr>
                  <w:r>
                    <w:rPr>
                      <w:rFonts w:hint="eastAsia"/>
                      <w:spacing w:val="-1"/>
                    </w:rPr>
                    <w:t>东侧</w:t>
                  </w:r>
                  <w:r>
                    <w:rPr>
                      <w:spacing w:val="-1"/>
                    </w:rPr>
                    <w:t>东刘村</w:t>
                  </w:r>
                  <w:r>
                    <w:rPr>
                      <w:rFonts w:eastAsia="Times New Roman"/>
                      <w:spacing w:val="-1"/>
                    </w:rPr>
                    <w:t>(</w:t>
                  </w:r>
                  <w:r>
                    <w:rPr>
                      <w:spacing w:val="-1"/>
                    </w:rPr>
                    <w:t>三类保护物</w:t>
                  </w:r>
                  <w:r>
                    <w:rPr>
                      <w:rFonts w:eastAsia="Times New Roman"/>
                      <w:spacing w:val="-1"/>
                    </w:rPr>
                    <w:t>)</w:t>
                  </w:r>
                </w:p>
              </w:tc>
              <w:tc>
                <w:tcPr>
                  <w:tcW w:w="1701" w:type="dxa"/>
                  <w:vAlign w:val="center"/>
                </w:tcPr>
                <w:p>
                  <w:pPr>
                    <w:pStyle w:val="39"/>
                    <w:rPr>
                      <w:rFonts w:eastAsia="Times New Roman"/>
                    </w:rPr>
                  </w:pPr>
                  <w:r>
                    <w:rPr>
                      <w:rFonts w:eastAsia="Times New Roman"/>
                    </w:rPr>
                    <w:t>≥7</w:t>
                  </w:r>
                </w:p>
              </w:tc>
              <w:tc>
                <w:tcPr>
                  <w:tcW w:w="1701" w:type="dxa"/>
                  <w:vAlign w:val="center"/>
                </w:tcPr>
                <w:p>
                  <w:pPr>
                    <w:pStyle w:val="39"/>
                    <w:rPr>
                      <w:rFonts w:eastAsiaTheme="minorEastAsia"/>
                    </w:rPr>
                  </w:pPr>
                  <w:r>
                    <w:rPr>
                      <w:rFonts w:hint="eastAsia" w:eastAsiaTheme="minorEastAsia"/>
                      <w:spacing w:val="-1"/>
                    </w:rPr>
                    <w:t>50</w:t>
                  </w:r>
                </w:p>
              </w:tc>
              <w:tc>
                <w:tcPr>
                  <w:tcW w:w="1087" w:type="dxa"/>
                  <w:vAlign w:val="center"/>
                </w:tcPr>
                <w:p>
                  <w:pPr>
                    <w:pStyle w:val="39"/>
                  </w:pPr>
                  <w:r>
                    <w:rPr>
                      <w:spacing w:val="-5"/>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034" w:type="dxa"/>
                  <w:vMerge w:val="continue"/>
                  <w:textDirection w:val="tbRlV"/>
                  <w:vAlign w:val="center"/>
                </w:tcPr>
                <w:p>
                  <w:pPr>
                    <w:pStyle w:val="39"/>
                  </w:pPr>
                </w:p>
              </w:tc>
              <w:tc>
                <w:tcPr>
                  <w:tcW w:w="3351" w:type="dxa"/>
                  <w:vAlign w:val="center"/>
                </w:tcPr>
                <w:p>
                  <w:pPr>
                    <w:pStyle w:val="39"/>
                    <w:rPr>
                      <w:rFonts w:eastAsia="Times New Roman"/>
                    </w:rPr>
                  </w:pPr>
                  <w:r>
                    <w:rPr>
                      <w:rFonts w:hint="eastAsia"/>
                      <w:spacing w:val="-1"/>
                    </w:rPr>
                    <w:t>西南侧恒大城</w:t>
                  </w:r>
                  <w:r>
                    <w:rPr>
                      <w:rFonts w:eastAsia="Times New Roman"/>
                      <w:spacing w:val="-1"/>
                    </w:rPr>
                    <w:t>(</w:t>
                  </w:r>
                  <w:r>
                    <w:rPr>
                      <w:spacing w:val="-1"/>
                    </w:rPr>
                    <w:t>三类保护物</w:t>
                  </w:r>
                  <w:r>
                    <w:rPr>
                      <w:rFonts w:eastAsia="Times New Roman"/>
                      <w:spacing w:val="-1"/>
                    </w:rPr>
                    <w:t>)</w:t>
                  </w:r>
                </w:p>
              </w:tc>
              <w:tc>
                <w:tcPr>
                  <w:tcW w:w="1701" w:type="dxa"/>
                  <w:vAlign w:val="center"/>
                </w:tcPr>
                <w:p>
                  <w:pPr>
                    <w:pStyle w:val="39"/>
                    <w:rPr>
                      <w:rFonts w:eastAsia="Times New Roman"/>
                    </w:rPr>
                  </w:pPr>
                  <w:r>
                    <w:rPr>
                      <w:rFonts w:eastAsia="Times New Roman"/>
                    </w:rPr>
                    <w:t>≥7</w:t>
                  </w:r>
                </w:p>
              </w:tc>
              <w:tc>
                <w:tcPr>
                  <w:tcW w:w="1701" w:type="dxa"/>
                  <w:vAlign w:val="center"/>
                </w:tcPr>
                <w:p>
                  <w:pPr>
                    <w:pStyle w:val="39"/>
                    <w:rPr>
                      <w:rFonts w:eastAsiaTheme="minorEastAsia"/>
                    </w:rPr>
                  </w:pPr>
                  <w:r>
                    <w:rPr>
                      <w:rFonts w:hint="eastAsia" w:eastAsiaTheme="minorEastAsia"/>
                      <w:spacing w:val="-1"/>
                    </w:rPr>
                    <w:t>70</w:t>
                  </w:r>
                </w:p>
              </w:tc>
              <w:tc>
                <w:tcPr>
                  <w:tcW w:w="1087" w:type="dxa"/>
                  <w:vAlign w:val="center"/>
                </w:tcPr>
                <w:p>
                  <w:pPr>
                    <w:pStyle w:val="39"/>
                  </w:pPr>
                  <w:r>
                    <w:rPr>
                      <w:spacing w:val="-5"/>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034" w:type="dxa"/>
                  <w:vMerge w:val="restart"/>
                  <w:vAlign w:val="center"/>
                </w:tcPr>
                <w:p>
                  <w:pPr>
                    <w:pStyle w:val="39"/>
                  </w:pPr>
                  <w:r>
                    <w:rPr>
                      <w:rFonts w:hint="eastAsia"/>
                      <w:spacing w:val="-1"/>
                    </w:rPr>
                    <w:t>柴油</w:t>
                  </w:r>
                  <w:r>
                    <w:rPr>
                      <w:spacing w:val="-1"/>
                    </w:rPr>
                    <w:t>设备及通气管管口</w:t>
                  </w:r>
                </w:p>
              </w:tc>
              <w:tc>
                <w:tcPr>
                  <w:tcW w:w="3351" w:type="dxa"/>
                  <w:vAlign w:val="center"/>
                </w:tcPr>
                <w:p>
                  <w:pPr>
                    <w:pStyle w:val="39"/>
                  </w:pPr>
                  <w:r>
                    <w:rPr>
                      <w:rFonts w:hint="eastAsia"/>
                    </w:rPr>
                    <w:t>北侧元华路</w:t>
                  </w:r>
                </w:p>
              </w:tc>
              <w:tc>
                <w:tcPr>
                  <w:tcW w:w="1701" w:type="dxa"/>
                  <w:vAlign w:val="center"/>
                </w:tcPr>
                <w:p>
                  <w:pPr>
                    <w:pStyle w:val="39"/>
                    <w:rPr>
                      <w:rFonts w:eastAsiaTheme="minorEastAsia"/>
                    </w:rPr>
                  </w:pPr>
                  <w:r>
                    <w:rPr>
                      <w:rFonts w:eastAsia="Times New Roman"/>
                    </w:rPr>
                    <w:t>≥</w:t>
                  </w:r>
                  <w:r>
                    <w:rPr>
                      <w:rFonts w:hint="eastAsia" w:eastAsiaTheme="minorEastAsia"/>
                    </w:rPr>
                    <w:t>3</w:t>
                  </w:r>
                </w:p>
              </w:tc>
              <w:tc>
                <w:tcPr>
                  <w:tcW w:w="1701" w:type="dxa"/>
                  <w:vAlign w:val="center"/>
                </w:tcPr>
                <w:p>
                  <w:pPr>
                    <w:pStyle w:val="39"/>
                    <w:rPr>
                      <w:rFonts w:eastAsia="Times New Roman"/>
                    </w:rPr>
                  </w:pPr>
                  <w:r>
                    <w:rPr>
                      <w:rFonts w:hint="eastAsia" w:eastAsiaTheme="minorEastAsia"/>
                      <w:spacing w:val="-5"/>
                    </w:rPr>
                    <w:t>30</w:t>
                  </w:r>
                </w:p>
              </w:tc>
              <w:tc>
                <w:tcPr>
                  <w:tcW w:w="1087" w:type="dxa"/>
                  <w:vAlign w:val="center"/>
                </w:tcPr>
                <w:p>
                  <w:pPr>
                    <w:pStyle w:val="39"/>
                  </w:pPr>
                  <w:r>
                    <w:rPr>
                      <w:spacing w:val="-5"/>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034" w:type="dxa"/>
                  <w:vMerge w:val="continue"/>
                  <w:textDirection w:val="tbRlV"/>
                  <w:vAlign w:val="center"/>
                </w:tcPr>
                <w:p>
                  <w:pPr>
                    <w:pStyle w:val="39"/>
                  </w:pPr>
                </w:p>
              </w:tc>
              <w:tc>
                <w:tcPr>
                  <w:tcW w:w="3351" w:type="dxa"/>
                  <w:vAlign w:val="center"/>
                </w:tcPr>
                <w:p>
                  <w:pPr>
                    <w:pStyle w:val="39"/>
                  </w:pPr>
                  <w:r>
                    <w:rPr>
                      <w:rFonts w:hint="eastAsia"/>
                    </w:rPr>
                    <w:t>北侧东刘村</w:t>
                  </w:r>
                  <w:r>
                    <w:rPr>
                      <w:rFonts w:eastAsia="Times New Roman"/>
                    </w:rPr>
                    <w:t>(</w:t>
                  </w:r>
                  <w:r>
                    <w:t>三类保护物</w:t>
                  </w:r>
                  <w:r>
                    <w:rPr>
                      <w:rFonts w:eastAsia="Times New Roman"/>
                    </w:rPr>
                    <w:t>)</w:t>
                  </w:r>
                </w:p>
              </w:tc>
              <w:tc>
                <w:tcPr>
                  <w:tcW w:w="1701" w:type="dxa"/>
                  <w:vAlign w:val="center"/>
                </w:tcPr>
                <w:p>
                  <w:pPr>
                    <w:pStyle w:val="39"/>
                    <w:rPr>
                      <w:rFonts w:eastAsiaTheme="minorEastAsia"/>
                    </w:rPr>
                  </w:pPr>
                  <w:r>
                    <w:rPr>
                      <w:rFonts w:eastAsia="Times New Roman"/>
                    </w:rPr>
                    <w:t>≥</w:t>
                  </w:r>
                  <w:r>
                    <w:rPr>
                      <w:rFonts w:hint="eastAsia" w:eastAsiaTheme="minorEastAsia"/>
                    </w:rPr>
                    <w:t>6</w:t>
                  </w:r>
                </w:p>
              </w:tc>
              <w:tc>
                <w:tcPr>
                  <w:tcW w:w="1701" w:type="dxa"/>
                  <w:vAlign w:val="center"/>
                </w:tcPr>
                <w:p>
                  <w:pPr>
                    <w:pStyle w:val="39"/>
                    <w:rPr>
                      <w:rFonts w:eastAsia="Times New Roman"/>
                    </w:rPr>
                  </w:pPr>
                  <w:r>
                    <w:rPr>
                      <w:rFonts w:hint="eastAsia" w:eastAsiaTheme="minorEastAsia"/>
                      <w:spacing w:val="-5"/>
                    </w:rPr>
                    <w:t>60</w:t>
                  </w:r>
                </w:p>
              </w:tc>
              <w:tc>
                <w:tcPr>
                  <w:tcW w:w="1087" w:type="dxa"/>
                  <w:vAlign w:val="center"/>
                </w:tcPr>
                <w:p>
                  <w:pPr>
                    <w:pStyle w:val="39"/>
                  </w:pPr>
                  <w:r>
                    <w:rPr>
                      <w:spacing w:val="-5"/>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034" w:type="dxa"/>
                  <w:vMerge w:val="continue"/>
                  <w:textDirection w:val="tbRlV"/>
                  <w:vAlign w:val="center"/>
                </w:tcPr>
                <w:p>
                  <w:pPr>
                    <w:pStyle w:val="39"/>
                  </w:pPr>
                </w:p>
              </w:tc>
              <w:tc>
                <w:tcPr>
                  <w:tcW w:w="3351" w:type="dxa"/>
                  <w:vAlign w:val="center"/>
                </w:tcPr>
                <w:p>
                  <w:pPr>
                    <w:pStyle w:val="39"/>
                    <w:rPr>
                      <w:rFonts w:eastAsia="Times New Roman"/>
                    </w:rPr>
                  </w:pPr>
                  <w:r>
                    <w:rPr>
                      <w:rFonts w:hint="eastAsia"/>
                      <w:spacing w:val="-1"/>
                    </w:rPr>
                    <w:t>东侧</w:t>
                  </w:r>
                  <w:r>
                    <w:rPr>
                      <w:spacing w:val="-1"/>
                    </w:rPr>
                    <w:t>东刘村</w:t>
                  </w:r>
                  <w:r>
                    <w:rPr>
                      <w:rFonts w:eastAsia="Times New Roman"/>
                      <w:spacing w:val="-1"/>
                    </w:rPr>
                    <w:t>(</w:t>
                  </w:r>
                  <w:r>
                    <w:rPr>
                      <w:spacing w:val="-1"/>
                    </w:rPr>
                    <w:t>三类保护物</w:t>
                  </w:r>
                  <w:r>
                    <w:rPr>
                      <w:rFonts w:eastAsia="Times New Roman"/>
                      <w:spacing w:val="-1"/>
                    </w:rPr>
                    <w:t>)</w:t>
                  </w:r>
                </w:p>
              </w:tc>
              <w:tc>
                <w:tcPr>
                  <w:tcW w:w="1701" w:type="dxa"/>
                  <w:vAlign w:val="center"/>
                </w:tcPr>
                <w:p>
                  <w:pPr>
                    <w:pStyle w:val="39"/>
                    <w:rPr>
                      <w:rFonts w:eastAsiaTheme="minorEastAsia"/>
                    </w:rPr>
                  </w:pPr>
                  <w:r>
                    <w:rPr>
                      <w:rFonts w:eastAsia="Times New Roman"/>
                    </w:rPr>
                    <w:t>≥</w:t>
                  </w:r>
                  <w:r>
                    <w:rPr>
                      <w:rFonts w:hint="eastAsia" w:eastAsiaTheme="minorEastAsia"/>
                    </w:rPr>
                    <w:t>6</w:t>
                  </w:r>
                </w:p>
              </w:tc>
              <w:tc>
                <w:tcPr>
                  <w:tcW w:w="1701" w:type="dxa"/>
                  <w:vAlign w:val="center"/>
                </w:tcPr>
                <w:p>
                  <w:pPr>
                    <w:pStyle w:val="39"/>
                    <w:rPr>
                      <w:rFonts w:eastAsia="Times New Roman"/>
                    </w:rPr>
                  </w:pPr>
                  <w:r>
                    <w:rPr>
                      <w:rFonts w:hint="eastAsia" w:eastAsiaTheme="minorEastAsia"/>
                      <w:spacing w:val="-1"/>
                    </w:rPr>
                    <w:t>50</w:t>
                  </w:r>
                </w:p>
              </w:tc>
              <w:tc>
                <w:tcPr>
                  <w:tcW w:w="1087" w:type="dxa"/>
                  <w:vAlign w:val="center"/>
                </w:tcPr>
                <w:p>
                  <w:pPr>
                    <w:pStyle w:val="39"/>
                  </w:pPr>
                  <w:r>
                    <w:rPr>
                      <w:spacing w:val="-5"/>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034" w:type="dxa"/>
                  <w:vMerge w:val="continue"/>
                  <w:textDirection w:val="tbRlV"/>
                  <w:vAlign w:val="center"/>
                </w:tcPr>
                <w:p>
                  <w:pPr>
                    <w:pStyle w:val="39"/>
                  </w:pPr>
                </w:p>
              </w:tc>
              <w:tc>
                <w:tcPr>
                  <w:tcW w:w="3351" w:type="dxa"/>
                  <w:vAlign w:val="center"/>
                </w:tcPr>
                <w:p>
                  <w:pPr>
                    <w:pStyle w:val="39"/>
                    <w:rPr>
                      <w:rFonts w:eastAsia="Times New Roman"/>
                    </w:rPr>
                  </w:pPr>
                  <w:r>
                    <w:rPr>
                      <w:rFonts w:hint="eastAsia"/>
                      <w:spacing w:val="-1"/>
                    </w:rPr>
                    <w:t>西南侧恒大城</w:t>
                  </w:r>
                  <w:r>
                    <w:rPr>
                      <w:rFonts w:eastAsia="Times New Roman"/>
                      <w:spacing w:val="-1"/>
                    </w:rPr>
                    <w:t>(</w:t>
                  </w:r>
                  <w:r>
                    <w:rPr>
                      <w:spacing w:val="-1"/>
                    </w:rPr>
                    <w:t>三类保护物</w:t>
                  </w:r>
                  <w:r>
                    <w:rPr>
                      <w:rFonts w:eastAsia="Times New Roman"/>
                      <w:spacing w:val="-1"/>
                    </w:rPr>
                    <w:t>)</w:t>
                  </w:r>
                </w:p>
              </w:tc>
              <w:tc>
                <w:tcPr>
                  <w:tcW w:w="1701" w:type="dxa"/>
                  <w:vAlign w:val="center"/>
                </w:tcPr>
                <w:p>
                  <w:pPr>
                    <w:pStyle w:val="39"/>
                    <w:rPr>
                      <w:rFonts w:eastAsiaTheme="minorEastAsia"/>
                    </w:rPr>
                  </w:pPr>
                  <w:r>
                    <w:rPr>
                      <w:rFonts w:eastAsia="Times New Roman"/>
                    </w:rPr>
                    <w:t>≥</w:t>
                  </w:r>
                  <w:r>
                    <w:rPr>
                      <w:rFonts w:hint="eastAsia" w:eastAsiaTheme="minorEastAsia"/>
                    </w:rPr>
                    <w:t>6</w:t>
                  </w:r>
                </w:p>
              </w:tc>
              <w:tc>
                <w:tcPr>
                  <w:tcW w:w="1701" w:type="dxa"/>
                  <w:vAlign w:val="center"/>
                </w:tcPr>
                <w:p>
                  <w:pPr>
                    <w:pStyle w:val="39"/>
                    <w:rPr>
                      <w:rFonts w:eastAsia="Times New Roman"/>
                    </w:rPr>
                  </w:pPr>
                  <w:r>
                    <w:rPr>
                      <w:rFonts w:hint="eastAsia" w:eastAsiaTheme="minorEastAsia"/>
                      <w:spacing w:val="-1"/>
                    </w:rPr>
                    <w:t>70</w:t>
                  </w:r>
                </w:p>
              </w:tc>
              <w:tc>
                <w:tcPr>
                  <w:tcW w:w="1087" w:type="dxa"/>
                  <w:vAlign w:val="center"/>
                </w:tcPr>
                <w:p>
                  <w:pPr>
                    <w:pStyle w:val="39"/>
                  </w:pPr>
                  <w:r>
                    <w:rPr>
                      <w:spacing w:val="-5"/>
                    </w:rPr>
                    <w:t>符合</w:t>
                  </w:r>
                </w:p>
              </w:tc>
            </w:tr>
          </w:tbl>
          <w:p>
            <w:pPr>
              <w:pStyle w:val="43"/>
              <w:spacing w:before="120"/>
              <w:ind w:firstLine="480"/>
            </w:pPr>
            <w:r>
              <w:t>由上表可知，本项目加油站汽油罐、加油机、通气管管口与周边环境的安全距离符合《汽车加油加气加氢站技术标准》(GB50156-2021)安 全距离的要求。</w:t>
            </w:r>
          </w:p>
          <w:p>
            <w:pPr>
              <w:pStyle w:val="45"/>
              <w:widowControl w:val="0"/>
              <w:ind w:firstLine="480"/>
            </w:pPr>
          </w:p>
        </w:tc>
      </w:tr>
    </w:tbl>
    <w:p>
      <w:pPr>
        <w:pStyle w:val="21"/>
        <w:rPr>
          <w:lang w:eastAsia="zh-CN"/>
        </w:rPr>
        <w:sectPr>
          <w:pgSz w:w="11910" w:h="16840"/>
          <w:pgMar w:top="1440" w:right="1080" w:bottom="1440" w:left="1080" w:header="0" w:footer="1039" w:gutter="0"/>
          <w:cols w:space="720" w:num="1"/>
        </w:sectPr>
      </w:pPr>
    </w:p>
    <w:p>
      <w:pPr>
        <w:pStyle w:val="3"/>
        <w:spacing w:before="0" w:line="360" w:lineRule="auto"/>
        <w:jc w:val="center"/>
        <w:rPr>
          <w:rFonts w:hint="eastAsia" w:ascii="宋体" w:hAnsi="宋体" w:eastAsia="宋体" w:cs="宋体"/>
          <w:b/>
          <w:bCs/>
        </w:rPr>
      </w:pPr>
      <w:bookmarkStart w:id="5" w:name="_Toc25571"/>
      <w:r>
        <w:rPr>
          <w:rFonts w:hint="eastAsia" w:ascii="宋体" w:hAnsi="宋体" w:eastAsia="宋体" w:cs="宋体"/>
          <w:b/>
          <w:bCs/>
        </w:rPr>
        <w:t>二、建设项目工程分析</w:t>
      </w:r>
      <w:bookmarkEnd w:id="5"/>
    </w:p>
    <w:tbl>
      <w:tblPr>
        <w:tblStyle w:val="18"/>
        <w:tblW w:w="491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49"/>
        <w:gridCol w:w="951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880" w:hRule="atLeast"/>
          <w:jc w:val="center"/>
        </w:trPr>
        <w:tc>
          <w:tcPr>
            <w:tcW w:w="326" w:type="pct"/>
            <w:vAlign w:val="center"/>
          </w:tcPr>
          <w:p>
            <w:pPr>
              <w:jc w:val="center"/>
              <w:rPr>
                <w:rFonts w:ascii="Times New Roman" w:hAnsi="Times New Roman" w:eastAsia="宋体" w:cs="宋体"/>
                <w:spacing w:val="-1"/>
                <w:sz w:val="24"/>
                <w:szCs w:val="24"/>
              </w:rPr>
            </w:pPr>
            <w:r>
              <w:rPr>
                <w:rFonts w:hint="eastAsia" w:ascii="Times New Roman" w:hAnsi="Times New Roman" w:eastAsia="宋体" w:cs="宋体"/>
                <w:spacing w:val="-1"/>
                <w:sz w:val="24"/>
                <w:szCs w:val="24"/>
                <w:lang w:eastAsia="zh-CN"/>
              </w:rPr>
              <w:t>建设内容</w:t>
            </w:r>
          </w:p>
        </w:tc>
        <w:tc>
          <w:tcPr>
            <w:tcW w:w="4673" w:type="pct"/>
            <w:vAlign w:val="center"/>
          </w:tcPr>
          <w:p>
            <w:pPr>
              <w:pStyle w:val="45"/>
              <w:widowControl w:val="0"/>
              <w:ind w:firstLine="478"/>
              <w:rPr>
                <w:rFonts w:cs="宋体"/>
                <w:b/>
                <w:bCs/>
              </w:rPr>
            </w:pPr>
            <w:r>
              <w:rPr>
                <w:rFonts w:hint="eastAsia" w:cs="宋体"/>
                <w:b/>
                <w:bCs/>
                <w:spacing w:val="-2"/>
              </w:rPr>
              <w:t>1、</w:t>
            </w:r>
            <w:r>
              <w:rPr>
                <w:rFonts w:hint="eastAsia"/>
                <w:b/>
                <w:bCs/>
              </w:rPr>
              <w:t>项目概况</w:t>
            </w:r>
          </w:p>
          <w:p>
            <w:pPr>
              <w:pStyle w:val="45"/>
              <w:widowControl w:val="0"/>
              <w:ind w:firstLine="480"/>
            </w:pPr>
            <w:r>
              <w:rPr>
                <w:rFonts w:hint="eastAsia"/>
              </w:rPr>
              <w:t>福建聚福鑫能源科技有限公司</w:t>
            </w:r>
            <w:r>
              <w:rPr>
                <w:rFonts w:hint="eastAsia"/>
                <w:lang w:val="en-US"/>
              </w:rPr>
              <w:t>聚福鑫</w:t>
            </w:r>
            <w:r>
              <w:rPr>
                <w:rFonts w:hint="eastAsia"/>
              </w:rPr>
              <w:t>加油站位于</w:t>
            </w:r>
            <w:r>
              <w:rPr>
                <w:rFonts w:hint="eastAsia"/>
                <w:lang w:val="en-US"/>
              </w:rPr>
              <w:t>福建省福州市福清市龙山街道东刘村</w:t>
            </w:r>
            <w:r>
              <w:t>，</w:t>
            </w:r>
            <w:r>
              <w:rPr>
                <w:rFonts w:hint="eastAsia"/>
              </w:rPr>
              <w:t>主要销售汽油和柴油</w:t>
            </w:r>
            <w:r>
              <w:t>，属</w:t>
            </w:r>
            <w:r>
              <w:rPr>
                <w:rFonts w:hint="eastAsia"/>
              </w:rPr>
              <w:t>三</w:t>
            </w:r>
            <w:r>
              <w:t>级加油站</w:t>
            </w:r>
            <w:r>
              <w:rPr>
                <w:rFonts w:hint="eastAsia"/>
              </w:rPr>
              <w:t>。项目总用地面积4668m</w:t>
            </w:r>
            <w:r>
              <w:rPr>
                <w:rFonts w:hint="eastAsia"/>
                <w:vertAlign w:val="superscript"/>
              </w:rPr>
              <w:t>2</w:t>
            </w:r>
            <w:r>
              <w:rPr>
                <w:rFonts w:hint="eastAsia"/>
              </w:rPr>
              <w:t>，设计</w:t>
            </w:r>
            <w:r>
              <w:t>年销售柴油</w:t>
            </w:r>
            <w:r>
              <w:rPr>
                <w:rFonts w:hint="eastAsia"/>
              </w:rPr>
              <w:t>6500</w:t>
            </w:r>
            <w:r>
              <w:t>吨、汽油</w:t>
            </w:r>
            <w:r>
              <w:rPr>
                <w:rFonts w:hint="eastAsia"/>
              </w:rPr>
              <w:t>3500</w:t>
            </w:r>
            <w:r>
              <w:t>吨</w:t>
            </w:r>
            <w:r>
              <w:rPr>
                <w:rFonts w:hint="eastAsia"/>
              </w:rPr>
              <w:t>。</w:t>
            </w:r>
          </w:p>
          <w:p>
            <w:pPr>
              <w:pStyle w:val="45"/>
              <w:widowControl w:val="0"/>
              <w:ind w:firstLine="480"/>
              <w:rPr>
                <w:spacing w:val="-1"/>
              </w:rPr>
            </w:pPr>
            <w:r>
              <w:t>根据《中华人民共和国环境保护法》、《中华人民共和国环境影响评价法》</w:t>
            </w:r>
            <w:r>
              <w:rPr>
                <w:spacing w:val="-2"/>
              </w:rPr>
              <w:t>等有关法律法规以及</w:t>
            </w:r>
            <w:r>
              <w:t>《建设项目环境影响评价分类管理名录》（2021年版）等相关规定</w:t>
            </w:r>
            <w:r>
              <w:rPr>
                <w:spacing w:val="-3"/>
              </w:rPr>
              <w:t>，项目</w:t>
            </w:r>
            <w:r>
              <w:rPr>
                <w:rFonts w:hint="eastAsia"/>
                <w:spacing w:val="-3"/>
              </w:rPr>
              <w:t>位于城市建成区，</w:t>
            </w:r>
            <w:r>
              <w:rPr>
                <w:spacing w:val="-1"/>
              </w:rPr>
              <w:t>应编制环境影响报告表，具体见表</w:t>
            </w:r>
            <w:r>
              <w:rPr>
                <w:spacing w:val="-53"/>
              </w:rPr>
              <w:t xml:space="preserve"> </w:t>
            </w:r>
            <w:r>
              <w:rPr>
                <w:spacing w:val="-1"/>
              </w:rPr>
              <w:t>2</w:t>
            </w:r>
            <w:r>
              <w:rPr>
                <w:rFonts w:hint="eastAsia"/>
                <w:spacing w:val="-1"/>
              </w:rPr>
              <w:t>.1</w:t>
            </w:r>
            <w:r>
              <w:rPr>
                <w:spacing w:val="-1"/>
              </w:rPr>
              <w:t>-1。</w:t>
            </w:r>
          </w:p>
          <w:p>
            <w:pPr>
              <w:pStyle w:val="45"/>
              <w:widowControl w:val="0"/>
              <w:ind w:firstLine="480"/>
            </w:pPr>
            <w:r>
              <w:t>因此，建设单位委托本环评单位编制该项目的环境影响评价文件（见附件 1）。本环评单位接受委托后，立即派技术人员踏勘现场和收集相关资料， 并依照《中华人民共和国环境保护法》、《中华人民共和国环境影响评价法》 等相关规定编制成报告表，建设单位报生态环境主管部门审批。</w:t>
            </w:r>
          </w:p>
          <w:p>
            <w:pPr>
              <w:pStyle w:val="42"/>
              <w:spacing w:before="120"/>
              <w:rPr>
                <w:spacing w:val="-1"/>
              </w:rPr>
            </w:pPr>
            <w:r>
              <w:t>表</w:t>
            </w:r>
            <w:r>
              <w:rPr>
                <w:spacing w:val="-40"/>
              </w:rPr>
              <w:t xml:space="preserve"> </w:t>
            </w:r>
            <w:r>
              <w:t>2.1-1   建设环境影响评价分类管理</w:t>
            </w:r>
            <w:r>
              <w:rPr>
                <w:spacing w:val="6"/>
              </w:rPr>
              <w:t>名录（摘录）</w:t>
            </w:r>
          </w:p>
          <w:tbl>
            <w:tblPr>
              <w:tblStyle w:val="47"/>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570"/>
              <w:gridCol w:w="2519"/>
              <w:gridCol w:w="3328"/>
              <w:gridCol w:w="88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82" w:type="pct"/>
                  <w:tcBorders>
                    <w:tl2br w:val="single" w:color="auto" w:sz="4" w:space="0"/>
                  </w:tcBorders>
                  <w:vAlign w:val="center"/>
                </w:tcPr>
                <w:p>
                  <w:pPr>
                    <w:widowControl/>
                    <w:jc w:val="right"/>
                    <w:rPr>
                      <w:rFonts w:ascii="Times New Roman" w:hAnsi="Times New Roman" w:eastAsia="宋体" w:cs="Times New Roman"/>
                      <w:color w:val="000000"/>
                      <w:spacing w:val="7"/>
                      <w:sz w:val="21"/>
                      <w:szCs w:val="21"/>
                    </w:rPr>
                  </w:pPr>
                  <w:r>
                    <w:rPr>
                      <w:rFonts w:ascii="Times New Roman" w:hAnsi="Times New Roman" w:eastAsia="宋体" w:cs="Times New Roman"/>
                      <w:color w:val="000000"/>
                      <w:spacing w:val="7"/>
                      <w:sz w:val="21"/>
                      <w:szCs w:val="21"/>
                    </w:rPr>
                    <w:t>环评类别</w:t>
                  </w:r>
                </w:p>
                <w:p>
                  <w:pPr>
                    <w:widowControl/>
                    <w:jc w:val="left"/>
                    <w:rPr>
                      <w:rFonts w:ascii="Times New Roman" w:hAnsi="Times New Roman" w:eastAsia="宋体" w:cs="Times New Roman"/>
                      <w:color w:val="000000"/>
                      <w:sz w:val="21"/>
                      <w:szCs w:val="21"/>
                    </w:rPr>
                  </w:pPr>
                  <w:r>
                    <w:rPr>
                      <w:rFonts w:ascii="Times New Roman" w:hAnsi="Times New Roman" w:eastAsia="宋体" w:cs="Times New Roman"/>
                      <w:color w:val="000000"/>
                      <w:spacing w:val="6"/>
                      <w:sz w:val="21"/>
                      <w:szCs w:val="21"/>
                    </w:rPr>
                    <w:t>项目类别</w:t>
                  </w:r>
                </w:p>
              </w:tc>
              <w:tc>
                <w:tcPr>
                  <w:tcW w:w="1355" w:type="pct"/>
                  <w:vAlign w:val="center"/>
                </w:tcPr>
                <w:p>
                  <w:pPr>
                    <w:widowControl/>
                    <w:jc w:val="center"/>
                    <w:rPr>
                      <w:rFonts w:ascii="Times New Roman" w:hAnsi="Times New Roman" w:eastAsia="宋体" w:cs="Times New Roman"/>
                      <w:color w:val="000000"/>
                      <w:sz w:val="21"/>
                      <w:szCs w:val="21"/>
                    </w:rPr>
                  </w:pPr>
                  <w:r>
                    <w:rPr>
                      <w:rFonts w:ascii="Times New Roman" w:hAnsi="Times New Roman" w:eastAsia="宋体" w:cs="Times New Roman"/>
                      <w:color w:val="000000"/>
                      <w:spacing w:val="7"/>
                      <w:sz w:val="21"/>
                      <w:szCs w:val="21"/>
                    </w:rPr>
                    <w:t>报告书</w:t>
                  </w:r>
                </w:p>
              </w:tc>
              <w:tc>
                <w:tcPr>
                  <w:tcW w:w="1790" w:type="pct"/>
                  <w:vAlign w:val="center"/>
                </w:tcPr>
                <w:p>
                  <w:pPr>
                    <w:widowControl/>
                    <w:jc w:val="center"/>
                    <w:rPr>
                      <w:rFonts w:ascii="Times New Roman" w:hAnsi="Times New Roman" w:eastAsia="宋体" w:cs="Times New Roman"/>
                      <w:color w:val="000000"/>
                      <w:sz w:val="21"/>
                      <w:szCs w:val="21"/>
                    </w:rPr>
                  </w:pPr>
                  <w:r>
                    <w:rPr>
                      <w:rFonts w:ascii="Times New Roman" w:hAnsi="Times New Roman" w:eastAsia="宋体" w:cs="Times New Roman"/>
                      <w:color w:val="000000"/>
                      <w:spacing w:val="7"/>
                      <w:sz w:val="21"/>
                      <w:szCs w:val="21"/>
                    </w:rPr>
                    <w:t>报告表</w:t>
                  </w:r>
                </w:p>
              </w:tc>
              <w:tc>
                <w:tcPr>
                  <w:tcW w:w="472" w:type="pct"/>
                  <w:vAlign w:val="center"/>
                </w:tcPr>
                <w:p>
                  <w:pPr>
                    <w:widowControl/>
                    <w:jc w:val="center"/>
                    <w:rPr>
                      <w:rFonts w:ascii="Times New Roman" w:hAnsi="Times New Roman" w:eastAsia="宋体" w:cs="Times New Roman"/>
                      <w:color w:val="000000"/>
                      <w:sz w:val="21"/>
                      <w:szCs w:val="21"/>
                    </w:rPr>
                  </w:pPr>
                  <w:r>
                    <w:rPr>
                      <w:rFonts w:ascii="Times New Roman" w:hAnsi="Times New Roman" w:eastAsia="宋体" w:cs="Times New Roman"/>
                      <w:color w:val="000000"/>
                      <w:spacing w:val="5"/>
                      <w:sz w:val="21"/>
                      <w:szCs w:val="21"/>
                    </w:rPr>
                    <w:t>登记表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000" w:type="pct"/>
                  <w:gridSpan w:val="4"/>
                  <w:vAlign w:val="center"/>
                </w:tcPr>
                <w:p>
                  <w:pPr>
                    <w:widowControl/>
                    <w:jc w:val="center"/>
                    <w:rPr>
                      <w:rFonts w:ascii="Times New Roman" w:hAnsi="Times New Roman" w:eastAsia="宋体" w:cs="Times New Roman"/>
                      <w:color w:val="000000"/>
                      <w:sz w:val="21"/>
                      <w:szCs w:val="21"/>
                      <w:lang w:eastAsia="zh-CN"/>
                    </w:rPr>
                  </w:pPr>
                  <w:r>
                    <w:rPr>
                      <w:rFonts w:ascii="Times New Roman" w:hAnsi="Times New Roman" w:eastAsia="宋体" w:cs="Times New Roman"/>
                      <w:b/>
                      <w:bCs/>
                      <w:color w:val="000000"/>
                      <w:spacing w:val="7"/>
                      <w:sz w:val="21"/>
                      <w:szCs w:val="21"/>
                      <w:lang w:eastAsia="zh-CN"/>
                    </w:rPr>
                    <w:t>五十、社会事业与服务业</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82" w:type="pct"/>
                  <w:vAlign w:val="center"/>
                </w:tcPr>
                <w:p>
                  <w:pPr>
                    <w:widowControl/>
                    <w:jc w:val="center"/>
                    <w:rPr>
                      <w:rFonts w:ascii="Times New Roman" w:hAnsi="Times New Roman" w:eastAsia="宋体" w:cs="Times New Roman"/>
                      <w:color w:val="000000"/>
                      <w:sz w:val="21"/>
                      <w:szCs w:val="24"/>
                      <w:lang w:eastAsia="zh-CN"/>
                      <w14:ligatures w14:val="standardContextual"/>
                    </w:rPr>
                  </w:pPr>
                  <w:r>
                    <w:rPr>
                      <w:rFonts w:ascii="Times New Roman" w:hAnsi="Times New Roman" w:eastAsia="宋体" w:cs="Times New Roman"/>
                      <w:color w:val="000000"/>
                      <w:spacing w:val="4"/>
                      <w:sz w:val="21"/>
                      <w:szCs w:val="24"/>
                      <w:lang w:eastAsia="zh-CN"/>
                      <w14:ligatures w14:val="standardContextual"/>
                    </w:rPr>
                    <w:t>加油、加气站</w:t>
                  </w:r>
                  <w:r>
                    <w:rPr>
                      <w:rFonts w:hint="eastAsia" w:ascii="Times New Roman" w:hAnsi="Times New Roman" w:eastAsia="宋体" w:cs="Times New Roman"/>
                      <w:color w:val="000000"/>
                      <w:spacing w:val="4"/>
                      <w:sz w:val="21"/>
                      <w:szCs w:val="24"/>
                      <w:lang w:eastAsia="zh-CN"/>
                      <w14:ligatures w14:val="standardContextual"/>
                    </w:rPr>
                    <w:t>119</w:t>
                  </w:r>
                </w:p>
              </w:tc>
              <w:tc>
                <w:tcPr>
                  <w:tcW w:w="1355" w:type="pct"/>
                  <w:vAlign w:val="center"/>
                </w:tcPr>
                <w:p>
                  <w:pPr>
                    <w:widowControl/>
                    <w:jc w:val="center"/>
                    <w:rPr>
                      <w:rFonts w:ascii="Times New Roman" w:hAnsi="Times New Roman" w:eastAsia="宋体" w:cs="Times New Roman"/>
                      <w:color w:val="000000"/>
                      <w:sz w:val="21"/>
                      <w:szCs w:val="24"/>
                      <w:lang w:eastAsia="zh-CN"/>
                      <w14:ligatures w14:val="standardContextual"/>
                    </w:rPr>
                  </w:pPr>
                  <w:r>
                    <w:rPr>
                      <w:rFonts w:hint="eastAsia" w:ascii="Times New Roman" w:hAnsi="Times New Roman" w:eastAsia="宋体" w:cs="Times New Roman"/>
                      <w:color w:val="000000"/>
                      <w:spacing w:val="6"/>
                      <w:sz w:val="21"/>
                      <w:szCs w:val="24"/>
                      <w:lang w:eastAsia="zh-CN"/>
                      <w14:ligatures w14:val="standardContextual"/>
                    </w:rPr>
                    <w:t>/</w:t>
                  </w:r>
                </w:p>
              </w:tc>
              <w:tc>
                <w:tcPr>
                  <w:tcW w:w="1790" w:type="pct"/>
                  <w:vAlign w:val="center"/>
                </w:tcPr>
                <w:p>
                  <w:pPr>
                    <w:pStyle w:val="39"/>
                  </w:pPr>
                  <w:r>
                    <w:rPr>
                      <w:rFonts w:hint="eastAsia"/>
                      <w:b/>
                      <w:bCs/>
                    </w:rPr>
                    <w:t>城市建成区新建、扩建加油站</w:t>
                  </w:r>
                  <w:r>
                    <w:rPr>
                      <w:rFonts w:hint="eastAsia"/>
                    </w:rPr>
                    <w:t>；涉及环境敏感区的</w:t>
                  </w:r>
                </w:p>
              </w:tc>
              <w:tc>
                <w:tcPr>
                  <w:tcW w:w="472" w:type="pct"/>
                  <w:vAlign w:val="center"/>
                </w:tcPr>
                <w:p>
                  <w:pPr>
                    <w:widowControl/>
                    <w:jc w:val="center"/>
                    <w:rPr>
                      <w:rFonts w:ascii="Times New Roman" w:hAnsi="Times New Roman" w:eastAsia="宋体" w:cs="Times New Roman"/>
                      <w:color w:val="000000"/>
                      <w:sz w:val="21"/>
                      <w:szCs w:val="21"/>
                      <w:lang w:eastAsia="zh-CN"/>
                    </w:rPr>
                  </w:pPr>
                  <w:r>
                    <w:rPr>
                      <w:rFonts w:ascii="Times New Roman" w:hAnsi="Times New Roman" w:eastAsia="宋体" w:cs="Times New Roman"/>
                      <w:color w:val="000000"/>
                      <w:spacing w:val="2"/>
                      <w:position w:val="1"/>
                      <w:sz w:val="21"/>
                      <w:szCs w:val="21"/>
                      <w:lang w:eastAsia="zh-CN"/>
                    </w:rPr>
                    <w:t>/</w:t>
                  </w:r>
                </w:p>
              </w:tc>
            </w:tr>
          </w:tbl>
          <w:p>
            <w:pPr>
              <w:spacing w:line="460" w:lineRule="exact"/>
              <w:ind w:firstLine="482" w:firstLineChars="200"/>
              <w:jc w:val="both"/>
              <w:rPr>
                <w:rFonts w:ascii="Times New Roman" w:hAnsi="Times New Roman" w:eastAsia="宋体" w:cs="Times New Roman"/>
                <w:b/>
                <w:bCs/>
                <w:sz w:val="24"/>
                <w:lang w:eastAsia="zh-CN"/>
              </w:rPr>
            </w:pPr>
            <w:r>
              <w:rPr>
                <w:rFonts w:hint="eastAsia" w:ascii="Times New Roman" w:hAnsi="Times New Roman" w:eastAsia="宋体" w:cs="Times New Roman"/>
                <w:b/>
                <w:bCs/>
                <w:sz w:val="24"/>
                <w:lang w:eastAsia="zh-CN"/>
              </w:rPr>
              <w:t>2、项目组成</w:t>
            </w:r>
          </w:p>
          <w:p>
            <w:pPr>
              <w:spacing w:line="460" w:lineRule="exact"/>
              <w:ind w:firstLine="480" w:firstLineChars="200"/>
              <w:jc w:val="both"/>
              <w:rPr>
                <w:rFonts w:ascii="Times New Roman" w:hAnsi="Times New Roman" w:eastAsia="宋体" w:cs="Times New Roman"/>
                <w:sz w:val="24"/>
                <w:lang w:eastAsia="zh-CN"/>
              </w:rPr>
            </w:pPr>
            <w:r>
              <w:rPr>
                <w:rFonts w:hint="eastAsia" w:ascii="Times New Roman" w:hAnsi="Times New Roman" w:eastAsia="宋体" w:cs="Times New Roman"/>
                <w:sz w:val="24"/>
                <w:lang w:eastAsia="zh-CN"/>
              </w:rPr>
              <w:t>项目主体建筑为一栋加油站综合站房、一栋加油遮雨罩棚，两栋商业用房组成。主要构筑物为地下储油罐、隔油池等。项目的具体组成见表2.1-2。</w:t>
            </w:r>
          </w:p>
          <w:p>
            <w:pPr>
              <w:pStyle w:val="42"/>
              <w:spacing w:before="120"/>
            </w:pPr>
            <w:r>
              <w:rPr>
                <w:rFonts w:hint="eastAsia"/>
              </w:rPr>
              <w:t>表2.1-2  项目工程组成</w:t>
            </w:r>
          </w:p>
          <w:tbl>
            <w:tblPr>
              <w:tblStyle w:val="47"/>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51"/>
              <w:gridCol w:w="1591"/>
              <w:gridCol w:w="2253"/>
              <w:gridCol w:w="469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4" w:type="pct"/>
                  <w:vAlign w:val="center"/>
                </w:tcPr>
                <w:p>
                  <w:pPr>
                    <w:pStyle w:val="39"/>
                  </w:pPr>
                  <w:r>
                    <w:rPr>
                      <w:rFonts w:hint="eastAsia"/>
                    </w:rPr>
                    <w:t>工程类别</w:t>
                  </w:r>
                </w:p>
              </w:tc>
              <w:tc>
                <w:tcPr>
                  <w:tcW w:w="856" w:type="pct"/>
                  <w:vAlign w:val="center"/>
                </w:tcPr>
                <w:p>
                  <w:pPr>
                    <w:pStyle w:val="39"/>
                  </w:pPr>
                  <w:r>
                    <w:rPr>
                      <w:rFonts w:hint="eastAsia"/>
                    </w:rPr>
                    <w:t>工程名称</w:t>
                  </w:r>
                </w:p>
              </w:tc>
              <w:tc>
                <w:tcPr>
                  <w:tcW w:w="3740" w:type="pct"/>
                  <w:gridSpan w:val="2"/>
                  <w:vAlign w:val="center"/>
                </w:tcPr>
                <w:p>
                  <w:pPr>
                    <w:pStyle w:val="39"/>
                  </w:pPr>
                  <w:r>
                    <w:rPr>
                      <w:rFonts w:hint="eastAsia"/>
                    </w:rPr>
                    <w:t>建设规模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4" w:type="pct"/>
                  <w:vAlign w:val="center"/>
                </w:tcPr>
                <w:p>
                  <w:pPr>
                    <w:pStyle w:val="39"/>
                  </w:pPr>
                  <w:r>
                    <w:rPr>
                      <w:rFonts w:hint="eastAsia"/>
                    </w:rPr>
                    <w:t>主体工程</w:t>
                  </w:r>
                </w:p>
              </w:tc>
              <w:tc>
                <w:tcPr>
                  <w:tcW w:w="856" w:type="pct"/>
                  <w:vAlign w:val="center"/>
                </w:tcPr>
                <w:p>
                  <w:pPr>
                    <w:pStyle w:val="39"/>
                  </w:pPr>
                  <w:r>
                    <w:rPr>
                      <w:rFonts w:hint="eastAsia"/>
                    </w:rPr>
                    <w:t>加油站罩棚</w:t>
                  </w:r>
                </w:p>
              </w:tc>
              <w:tc>
                <w:tcPr>
                  <w:tcW w:w="3740" w:type="pct"/>
                  <w:gridSpan w:val="2"/>
                  <w:vAlign w:val="center"/>
                </w:tcPr>
                <w:p>
                  <w:pPr>
                    <w:pStyle w:val="39"/>
                  </w:pPr>
                  <w:r>
                    <w:rPr>
                      <w:rFonts w:hint="eastAsia"/>
                    </w:rPr>
                    <w:t>1F，占地面积309.57平方米，高9.39米；</w:t>
                  </w:r>
                </w:p>
                <w:p>
                  <w:pPr>
                    <w:pStyle w:val="39"/>
                  </w:pPr>
                  <w:r>
                    <w:rPr>
                      <w:rFonts w:hint="eastAsia"/>
                    </w:rPr>
                    <w:t>为双排柱四通道单层建筑物，建设自封式税控四枪加油机，共 6 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4" w:type="pct"/>
                  <w:vMerge w:val="restart"/>
                  <w:vAlign w:val="center"/>
                </w:tcPr>
                <w:p>
                  <w:pPr>
                    <w:pStyle w:val="39"/>
                  </w:pPr>
                  <w:r>
                    <w:rPr>
                      <w:rFonts w:hint="eastAsia"/>
                    </w:rPr>
                    <w:t>辅助工程</w:t>
                  </w:r>
                </w:p>
              </w:tc>
              <w:tc>
                <w:tcPr>
                  <w:tcW w:w="856" w:type="pct"/>
                  <w:vAlign w:val="center"/>
                </w:tcPr>
                <w:p>
                  <w:pPr>
                    <w:pStyle w:val="39"/>
                  </w:pPr>
                  <w:r>
                    <w:rPr>
                      <w:rFonts w:hint="eastAsia"/>
                    </w:rPr>
                    <w:t>综合站房</w:t>
                  </w:r>
                </w:p>
              </w:tc>
              <w:tc>
                <w:tcPr>
                  <w:tcW w:w="3740" w:type="pct"/>
                  <w:gridSpan w:val="2"/>
                  <w:vAlign w:val="center"/>
                </w:tcPr>
                <w:p>
                  <w:pPr>
                    <w:pStyle w:val="39"/>
                  </w:pPr>
                  <w:r>
                    <w:rPr>
                      <w:rFonts w:hint="eastAsia"/>
                    </w:rPr>
                    <w:t>2F，占地面积397.72平方米，高8.76米；</w:t>
                  </w:r>
                </w:p>
                <w:p>
                  <w:pPr>
                    <w:pStyle w:val="39"/>
                  </w:pPr>
                  <w:r>
                    <w:rPr>
                      <w:rFonts w:hint="eastAsia"/>
                    </w:rPr>
                    <w:t>营业厅、公共厕所、办公室、配电室及值班室等组成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4" w:type="pct"/>
                  <w:vMerge w:val="continue"/>
                  <w:vAlign w:val="center"/>
                </w:tcPr>
                <w:p>
                  <w:pPr>
                    <w:pStyle w:val="39"/>
                  </w:pPr>
                </w:p>
              </w:tc>
              <w:tc>
                <w:tcPr>
                  <w:tcW w:w="856" w:type="pct"/>
                  <w:vAlign w:val="center"/>
                </w:tcPr>
                <w:p>
                  <w:pPr>
                    <w:pStyle w:val="39"/>
                  </w:pPr>
                  <w:r>
                    <w:rPr>
                      <w:rFonts w:hint="eastAsia"/>
                    </w:rPr>
                    <w:t>1#商业用房</w:t>
                  </w:r>
                </w:p>
              </w:tc>
              <w:tc>
                <w:tcPr>
                  <w:tcW w:w="1212" w:type="pct"/>
                  <w:vAlign w:val="center"/>
                </w:tcPr>
                <w:p>
                  <w:pPr>
                    <w:pStyle w:val="39"/>
                  </w:pPr>
                  <w:r>
                    <w:rPr>
                      <w:rFonts w:hint="eastAsia"/>
                    </w:rPr>
                    <w:t>2F</w:t>
                  </w:r>
                  <w:r>
                    <w:t>，</w:t>
                  </w:r>
                  <w:r>
                    <w:rPr>
                      <w:rFonts w:hint="eastAsia"/>
                    </w:rPr>
                    <w:t>占地面积308.49平方米，高9.7米</w:t>
                  </w:r>
                </w:p>
              </w:tc>
              <w:tc>
                <w:tcPr>
                  <w:tcW w:w="2528" w:type="pct"/>
                  <w:vMerge w:val="restart"/>
                  <w:vAlign w:val="center"/>
                </w:tcPr>
                <w:p>
                  <w:pPr>
                    <w:pStyle w:val="39"/>
                  </w:pPr>
                  <w:r>
                    <w:rPr>
                      <w:rFonts w:hint="eastAsia"/>
                    </w:rPr>
                    <w:t>用于零售等商业用途</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4" w:type="pct"/>
                  <w:vMerge w:val="continue"/>
                  <w:vAlign w:val="center"/>
                </w:tcPr>
                <w:p>
                  <w:pPr>
                    <w:pStyle w:val="39"/>
                  </w:pPr>
                </w:p>
              </w:tc>
              <w:tc>
                <w:tcPr>
                  <w:tcW w:w="856" w:type="pct"/>
                  <w:vAlign w:val="center"/>
                </w:tcPr>
                <w:p>
                  <w:pPr>
                    <w:pStyle w:val="39"/>
                  </w:pPr>
                  <w:r>
                    <w:rPr>
                      <w:rFonts w:hint="eastAsia"/>
                    </w:rPr>
                    <w:t>2#商业用房</w:t>
                  </w:r>
                </w:p>
              </w:tc>
              <w:tc>
                <w:tcPr>
                  <w:tcW w:w="1212" w:type="pct"/>
                  <w:vAlign w:val="center"/>
                </w:tcPr>
                <w:p>
                  <w:pPr>
                    <w:pStyle w:val="39"/>
                  </w:pPr>
                  <w:r>
                    <w:rPr>
                      <w:rFonts w:hint="eastAsia"/>
                    </w:rPr>
                    <w:t>2F</w:t>
                  </w:r>
                  <w:r>
                    <w:t>，</w:t>
                  </w:r>
                  <w:r>
                    <w:rPr>
                      <w:rFonts w:hint="eastAsia"/>
                    </w:rPr>
                    <w:t>占地面积383.71平方米，高9.7米</w:t>
                  </w:r>
                </w:p>
              </w:tc>
              <w:tc>
                <w:tcPr>
                  <w:tcW w:w="2528" w:type="pct"/>
                  <w:vMerge w:val="continue"/>
                  <w:vAlign w:val="center"/>
                </w:tcPr>
                <w:p>
                  <w:pPr>
                    <w:pStyle w:val="39"/>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4" w:type="pct"/>
                  <w:vAlign w:val="center"/>
                </w:tcPr>
                <w:p>
                  <w:pPr>
                    <w:pStyle w:val="39"/>
                  </w:pPr>
                  <w:r>
                    <w:rPr>
                      <w:rFonts w:hint="eastAsia"/>
                    </w:rPr>
                    <w:t>储运工程</w:t>
                  </w:r>
                </w:p>
              </w:tc>
              <w:tc>
                <w:tcPr>
                  <w:tcW w:w="856" w:type="pct"/>
                  <w:vAlign w:val="center"/>
                </w:tcPr>
                <w:p>
                  <w:pPr>
                    <w:pStyle w:val="39"/>
                  </w:pPr>
                  <w:r>
                    <w:rPr>
                      <w:rFonts w:hint="eastAsia"/>
                    </w:rPr>
                    <w:t>埋地油罐</w:t>
                  </w:r>
                </w:p>
              </w:tc>
              <w:tc>
                <w:tcPr>
                  <w:tcW w:w="3740" w:type="pct"/>
                  <w:gridSpan w:val="2"/>
                  <w:vAlign w:val="center"/>
                </w:tcPr>
                <w:p>
                  <w:pPr>
                    <w:pStyle w:val="39"/>
                  </w:pPr>
                  <w:r>
                    <w:rPr>
                      <w:rFonts w:hint="eastAsia"/>
                    </w:rPr>
                    <w:t>加油站油品有 0#柴油、92#、95#、98#汽油四种，均采用双层埋地油罐储存。罐总容量为87.5立方米（其中0#柴油罐30立方米一个，0#柴油罐25立方米一个，柴油按半折算为27.5立方米；92#汽油罐20立方米一个，95#汽油罐20立方米一个，98#汽油罐20立方米一个）。</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4" w:type="pct"/>
                  <w:vMerge w:val="restart"/>
                  <w:vAlign w:val="center"/>
                </w:tcPr>
                <w:p>
                  <w:pPr>
                    <w:pStyle w:val="39"/>
                  </w:pPr>
                  <w:r>
                    <w:rPr>
                      <w:rFonts w:hint="eastAsia"/>
                    </w:rPr>
                    <w:t>公用工程</w:t>
                  </w:r>
                </w:p>
              </w:tc>
              <w:tc>
                <w:tcPr>
                  <w:tcW w:w="856" w:type="pct"/>
                  <w:vAlign w:val="center"/>
                </w:tcPr>
                <w:p>
                  <w:pPr>
                    <w:pStyle w:val="39"/>
                  </w:pPr>
                  <w:r>
                    <w:rPr>
                      <w:rFonts w:hint="eastAsia"/>
                    </w:rPr>
                    <w:t>给排水系统</w:t>
                  </w:r>
                </w:p>
              </w:tc>
              <w:tc>
                <w:tcPr>
                  <w:tcW w:w="3740" w:type="pct"/>
                  <w:gridSpan w:val="2"/>
                  <w:vAlign w:val="center"/>
                </w:tcPr>
                <w:p>
                  <w:pPr>
                    <w:pStyle w:val="39"/>
                  </w:pPr>
                  <w:r>
                    <w:t>由市政供水</w:t>
                  </w:r>
                  <w:r>
                    <w:rPr>
                      <w:rFonts w:hint="eastAsia"/>
                    </w:rPr>
                    <w:t>；</w:t>
                  </w:r>
                  <w:r>
                    <w:t>排水采用雨污水分流制排水方式。站棚、站房屋面雨水经屋面雨水斗收集，经过雨水立管、埋地雨水管道后排入市政雨水管道。项目含油废水经隔油池预处理</w:t>
                  </w:r>
                  <w:r>
                    <w:rPr>
                      <w:rFonts w:hint="eastAsia"/>
                    </w:rPr>
                    <w:t>后</w:t>
                  </w:r>
                  <w:r>
                    <w:t>由市政污水管网排入福清融元污水处理厂集中处理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4" w:type="pct"/>
                  <w:vMerge w:val="continue"/>
                  <w:vAlign w:val="center"/>
                </w:tcPr>
                <w:p>
                  <w:pPr>
                    <w:pStyle w:val="39"/>
                  </w:pPr>
                </w:p>
              </w:tc>
              <w:tc>
                <w:tcPr>
                  <w:tcW w:w="856" w:type="pct"/>
                  <w:vAlign w:val="center"/>
                </w:tcPr>
                <w:p>
                  <w:pPr>
                    <w:pStyle w:val="39"/>
                  </w:pPr>
                  <w:r>
                    <w:t>供电</w:t>
                  </w:r>
                  <w:r>
                    <w:rPr>
                      <w:rFonts w:hint="eastAsia"/>
                    </w:rPr>
                    <w:t>系统</w:t>
                  </w:r>
                </w:p>
              </w:tc>
              <w:tc>
                <w:tcPr>
                  <w:tcW w:w="3740" w:type="pct"/>
                  <w:gridSpan w:val="2"/>
                  <w:vAlign w:val="center"/>
                </w:tcPr>
                <w:p>
                  <w:pPr>
                    <w:pStyle w:val="39"/>
                  </w:pPr>
                  <w:r>
                    <w:rPr>
                      <w:rFonts w:hint="eastAsia"/>
                    </w:rPr>
                    <w:t>市政电网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4" w:type="pct"/>
                  <w:vMerge w:val="restart"/>
                  <w:vAlign w:val="center"/>
                </w:tcPr>
                <w:p>
                  <w:pPr>
                    <w:pStyle w:val="39"/>
                  </w:pPr>
                  <w:r>
                    <w:rPr>
                      <w:rFonts w:hint="eastAsia"/>
                    </w:rPr>
                    <w:t>环保工程</w:t>
                  </w:r>
                </w:p>
              </w:tc>
              <w:tc>
                <w:tcPr>
                  <w:tcW w:w="856" w:type="pct"/>
                  <w:vAlign w:val="center"/>
                </w:tcPr>
                <w:p>
                  <w:pPr>
                    <w:pStyle w:val="39"/>
                  </w:pPr>
                  <w:r>
                    <w:rPr>
                      <w:rFonts w:hint="eastAsia"/>
                    </w:rPr>
                    <w:t>废气处理设施</w:t>
                  </w:r>
                </w:p>
              </w:tc>
              <w:tc>
                <w:tcPr>
                  <w:tcW w:w="3740" w:type="pct"/>
                  <w:gridSpan w:val="2"/>
                  <w:vAlign w:val="center"/>
                </w:tcPr>
                <w:p>
                  <w:pPr>
                    <w:pStyle w:val="39"/>
                  </w:pPr>
                  <w:r>
                    <w:t>项目采用卸油一次油气回收、加油二次油气回收和储油三次回收系统</w:t>
                  </w:r>
                  <w:r>
                    <w:rPr>
                      <w:rFonts w:hint="eastAsia"/>
                    </w:rPr>
                    <w:t>，处理装置通气口高度4m</w:t>
                  </w:r>
                  <w:r>
                    <w:t>；安装棚顶降温喷雾装置系统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4" w:type="pct"/>
                  <w:vMerge w:val="continue"/>
                  <w:vAlign w:val="center"/>
                </w:tcPr>
                <w:p>
                  <w:pPr>
                    <w:pStyle w:val="39"/>
                  </w:pPr>
                </w:p>
              </w:tc>
              <w:tc>
                <w:tcPr>
                  <w:tcW w:w="856" w:type="pct"/>
                  <w:vAlign w:val="center"/>
                </w:tcPr>
                <w:p>
                  <w:pPr>
                    <w:pStyle w:val="39"/>
                  </w:pPr>
                  <w:r>
                    <w:rPr>
                      <w:rFonts w:hint="eastAsia"/>
                    </w:rPr>
                    <w:t>废水处理设施</w:t>
                  </w:r>
                </w:p>
              </w:tc>
              <w:tc>
                <w:tcPr>
                  <w:tcW w:w="3740" w:type="pct"/>
                  <w:gridSpan w:val="2"/>
                  <w:vAlign w:val="center"/>
                </w:tcPr>
                <w:p>
                  <w:pPr>
                    <w:pStyle w:val="39"/>
                  </w:pPr>
                  <w:r>
                    <w:t>加油棚地面冲洗水</w:t>
                  </w:r>
                  <w:r>
                    <w:rPr>
                      <w:rFonts w:hint="eastAsia"/>
                    </w:rPr>
                    <w:t>和初期雨水</w:t>
                  </w:r>
                  <w:r>
                    <w:t>汇集至集油沟经隔油池处理后排入市政污水管网</w:t>
                  </w:r>
                  <w:r>
                    <w:rPr>
                      <w:rFonts w:hint="eastAsia"/>
                    </w:rPr>
                    <w:t>；生活污水经三级化粪池处理后</w:t>
                  </w:r>
                  <w:r>
                    <w:t>排入市政污水管网</w:t>
                  </w:r>
                  <w:r>
                    <w:rPr>
                      <w:rFonts w:hint="eastAsia"/>
                    </w:rPr>
                    <w:t>，</w:t>
                  </w:r>
                  <w:r>
                    <w:t>送往福清融元污水处理厂集中处理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4" w:type="pct"/>
                  <w:vMerge w:val="continue"/>
                  <w:vAlign w:val="center"/>
                </w:tcPr>
                <w:p>
                  <w:pPr>
                    <w:pStyle w:val="39"/>
                  </w:pPr>
                </w:p>
              </w:tc>
              <w:tc>
                <w:tcPr>
                  <w:tcW w:w="856" w:type="pct"/>
                  <w:vAlign w:val="center"/>
                </w:tcPr>
                <w:p>
                  <w:pPr>
                    <w:pStyle w:val="39"/>
                  </w:pPr>
                  <w:r>
                    <w:rPr>
                      <w:rFonts w:hint="eastAsia"/>
                    </w:rPr>
                    <w:t>固废贮存设施</w:t>
                  </w:r>
                </w:p>
              </w:tc>
              <w:tc>
                <w:tcPr>
                  <w:tcW w:w="3740" w:type="pct"/>
                  <w:gridSpan w:val="2"/>
                  <w:vAlign w:val="center"/>
                </w:tcPr>
                <w:p>
                  <w:pPr>
                    <w:pStyle w:val="39"/>
                  </w:pPr>
                  <w:r>
                    <w:t>生活垃圾统一收集后由当地环卫部门清运；隔油池处理时产生少量废油、污泥和油罐清理产生少量的油渣，均为危险废物，</w:t>
                  </w:r>
                  <w:r>
                    <w:rPr>
                      <w:rFonts w:hint="eastAsia"/>
                    </w:rPr>
                    <w:t>委托有资质单位定期清理后直接运出，不在站内暂存。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4" w:type="pct"/>
                  <w:vMerge w:val="continue"/>
                  <w:vAlign w:val="center"/>
                </w:tcPr>
                <w:p>
                  <w:pPr>
                    <w:pStyle w:val="39"/>
                  </w:pPr>
                </w:p>
              </w:tc>
              <w:tc>
                <w:tcPr>
                  <w:tcW w:w="856" w:type="pct"/>
                  <w:vAlign w:val="center"/>
                </w:tcPr>
                <w:p>
                  <w:pPr>
                    <w:pStyle w:val="39"/>
                  </w:pPr>
                  <w:r>
                    <w:rPr>
                      <w:rFonts w:hint="eastAsia"/>
                    </w:rPr>
                    <w:t>噪声防治设施</w:t>
                  </w:r>
                </w:p>
              </w:tc>
              <w:tc>
                <w:tcPr>
                  <w:tcW w:w="3740" w:type="pct"/>
                  <w:gridSpan w:val="2"/>
                  <w:vAlign w:val="center"/>
                </w:tcPr>
                <w:p>
                  <w:pPr>
                    <w:pStyle w:val="39"/>
                  </w:pPr>
                  <w:r>
                    <w:t>选用低噪声设备，并对噪声较高设备安装减振垫</w:t>
                  </w:r>
                </w:p>
              </w:tc>
            </w:tr>
          </w:tbl>
          <w:p>
            <w:pPr>
              <w:spacing w:line="460" w:lineRule="exact"/>
              <w:ind w:firstLine="482" w:firstLineChars="200"/>
              <w:jc w:val="both"/>
              <w:rPr>
                <w:rFonts w:ascii="Times New Roman" w:hAnsi="Times New Roman" w:eastAsia="宋体" w:cs="Times New Roman"/>
                <w:b/>
                <w:bCs/>
                <w:sz w:val="24"/>
                <w:lang w:eastAsia="zh-CN"/>
              </w:rPr>
            </w:pPr>
            <w:r>
              <w:rPr>
                <w:rFonts w:hint="eastAsia" w:ascii="Times New Roman" w:hAnsi="Times New Roman" w:eastAsia="宋体" w:cs="Times New Roman"/>
                <w:b/>
                <w:bCs/>
                <w:sz w:val="24"/>
                <w:lang w:eastAsia="zh-CN"/>
              </w:rPr>
              <w:t>3、主要产品及产能</w:t>
            </w:r>
          </w:p>
          <w:p>
            <w:pPr>
              <w:spacing w:line="460" w:lineRule="exact"/>
              <w:ind w:firstLine="480" w:firstLineChars="200"/>
              <w:jc w:val="both"/>
              <w:rPr>
                <w:rFonts w:ascii="Times New Roman" w:hAnsi="Times New Roman" w:eastAsia="宋体" w:cs="Times New Roman"/>
                <w:sz w:val="24"/>
                <w:lang w:eastAsia="zh-CN"/>
              </w:rPr>
            </w:pPr>
            <w:r>
              <w:rPr>
                <w:rFonts w:hint="eastAsia" w:ascii="Times New Roman" w:hAnsi="Times New Roman" w:eastAsia="宋体" w:cs="Times New Roman"/>
                <w:sz w:val="24"/>
                <w:lang w:eastAsia="zh-CN"/>
              </w:rPr>
              <w:t>项目产品方案详见表2.1-3。</w:t>
            </w:r>
          </w:p>
          <w:p>
            <w:pPr>
              <w:pStyle w:val="42"/>
              <w:spacing w:before="120"/>
            </w:pPr>
            <w:r>
              <w:rPr>
                <w:rFonts w:hint="eastAsia"/>
              </w:rPr>
              <w:t>表2.1-3  项目产品方案</w:t>
            </w:r>
          </w:p>
          <w:tbl>
            <w:tblPr>
              <w:tblStyle w:val="4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850"/>
              <w:gridCol w:w="3456"/>
              <w:gridCol w:w="299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1532" w:type="pct"/>
                  <w:vAlign w:val="center"/>
                </w:tcPr>
                <w:p>
                  <w:pPr>
                    <w:pStyle w:val="39"/>
                  </w:pPr>
                  <w:r>
                    <w:t>产品名</w:t>
                  </w:r>
                  <w:r>
                    <w:rPr>
                      <w:rFonts w:hint="eastAsia"/>
                    </w:rPr>
                    <w:t>称</w:t>
                  </w:r>
                </w:p>
              </w:tc>
              <w:tc>
                <w:tcPr>
                  <w:tcW w:w="1858" w:type="pct"/>
                  <w:vAlign w:val="center"/>
                </w:tcPr>
                <w:p>
                  <w:pPr>
                    <w:pStyle w:val="39"/>
                  </w:pPr>
                  <w:r>
                    <w:t>设计</w:t>
                  </w:r>
                  <w:r>
                    <w:rPr>
                      <w:rFonts w:hint="eastAsia"/>
                    </w:rPr>
                    <w:t>销售</w:t>
                  </w:r>
                  <w:r>
                    <w:t>规模</w:t>
                  </w:r>
                </w:p>
              </w:tc>
              <w:tc>
                <w:tcPr>
                  <w:tcW w:w="1610" w:type="pct"/>
                  <w:vAlign w:val="center"/>
                </w:tcPr>
                <w:p>
                  <w:pPr>
                    <w:pStyle w:val="39"/>
                  </w:pPr>
                  <w:r>
                    <w:t>年工作时间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1532" w:type="pct"/>
                  <w:vAlign w:val="center"/>
                </w:tcPr>
                <w:p>
                  <w:pPr>
                    <w:pStyle w:val="39"/>
                  </w:pPr>
                  <w:r>
                    <w:rPr>
                      <w:rFonts w:hint="eastAsia"/>
                    </w:rPr>
                    <w:t>柴油</w:t>
                  </w:r>
                </w:p>
              </w:tc>
              <w:tc>
                <w:tcPr>
                  <w:tcW w:w="1858" w:type="pct"/>
                  <w:vAlign w:val="center"/>
                </w:tcPr>
                <w:p>
                  <w:pPr>
                    <w:pStyle w:val="39"/>
                  </w:pPr>
                  <w:r>
                    <w:rPr>
                      <w:rFonts w:hint="eastAsia"/>
                    </w:rPr>
                    <w:t>6500</w:t>
                  </w:r>
                  <w:r>
                    <w:t>t/a</w:t>
                  </w:r>
                </w:p>
              </w:tc>
              <w:tc>
                <w:tcPr>
                  <w:tcW w:w="1610" w:type="pct"/>
                  <w:vMerge w:val="restart"/>
                  <w:vAlign w:val="center"/>
                </w:tcPr>
                <w:p>
                  <w:pPr>
                    <w:pStyle w:val="39"/>
                  </w:pPr>
                  <w:r>
                    <w:rPr>
                      <w:rFonts w:hint="eastAsia"/>
                    </w:rPr>
                    <w:t>8760</w:t>
                  </w:r>
                  <w:r>
                    <w:t>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32" w:type="pct"/>
                  <w:vAlign w:val="center"/>
                </w:tcPr>
                <w:p>
                  <w:pPr>
                    <w:pStyle w:val="39"/>
                  </w:pPr>
                  <w:r>
                    <w:rPr>
                      <w:rFonts w:hint="eastAsia"/>
                    </w:rPr>
                    <w:t>汽油</w:t>
                  </w:r>
                </w:p>
              </w:tc>
              <w:tc>
                <w:tcPr>
                  <w:tcW w:w="1858" w:type="pct"/>
                  <w:vAlign w:val="center"/>
                </w:tcPr>
                <w:p>
                  <w:pPr>
                    <w:pStyle w:val="39"/>
                  </w:pPr>
                  <w:r>
                    <w:rPr>
                      <w:rFonts w:hint="eastAsia"/>
                    </w:rPr>
                    <w:t>3500</w:t>
                  </w:r>
                  <w:r>
                    <w:t>t/a</w:t>
                  </w:r>
                </w:p>
              </w:tc>
              <w:tc>
                <w:tcPr>
                  <w:tcW w:w="1610" w:type="pct"/>
                  <w:vMerge w:val="continue"/>
                  <w:vAlign w:val="center"/>
                </w:tcPr>
                <w:p>
                  <w:pPr>
                    <w:pStyle w:val="39"/>
                  </w:pPr>
                </w:p>
              </w:tc>
            </w:tr>
          </w:tbl>
          <w:p>
            <w:pPr>
              <w:jc w:val="both"/>
              <w:rPr>
                <w:rFonts w:ascii="Times New Roman" w:hAnsi="Times New Roman" w:eastAsia="宋体" w:cs="宋体"/>
                <w:b/>
                <w:bCs/>
                <w:sz w:val="24"/>
                <w:szCs w:val="24"/>
                <w:lang w:eastAsia="zh-CN"/>
              </w:rPr>
            </w:pPr>
            <w:r>
              <w:rPr>
                <w:rFonts w:hint="eastAsia" w:ascii="Times New Roman" w:hAnsi="Times New Roman" w:eastAsia="宋体" w:cs="宋体"/>
                <w:b/>
                <w:bCs/>
                <w:sz w:val="24"/>
                <w:szCs w:val="24"/>
                <w:lang w:eastAsia="zh-CN"/>
              </w:rPr>
              <w:t>注：本项目每天运营24h（八小时三班轮换工作制），每年365天，全年工作8760h。</w:t>
            </w:r>
          </w:p>
          <w:p>
            <w:pPr>
              <w:spacing w:line="440" w:lineRule="exact"/>
              <w:ind w:firstLine="482" w:firstLineChars="200"/>
              <w:jc w:val="both"/>
              <w:rPr>
                <w:rFonts w:ascii="Times New Roman" w:hAnsi="Times New Roman" w:eastAsia="宋体" w:cs="Times New Roman"/>
                <w:b/>
                <w:bCs/>
                <w:sz w:val="24"/>
                <w:lang w:eastAsia="zh-CN"/>
              </w:rPr>
            </w:pPr>
            <w:r>
              <w:rPr>
                <w:rFonts w:hint="eastAsia" w:ascii="Times New Roman" w:hAnsi="Times New Roman" w:eastAsia="宋体" w:cs="Times New Roman"/>
                <w:b/>
                <w:bCs/>
                <w:sz w:val="24"/>
                <w:lang w:eastAsia="zh-CN"/>
              </w:rPr>
              <w:t>4、主要原辅材料及其理化性质</w:t>
            </w:r>
          </w:p>
          <w:p>
            <w:pPr>
              <w:spacing w:line="460" w:lineRule="exact"/>
              <w:ind w:firstLine="480" w:firstLineChars="200"/>
              <w:jc w:val="both"/>
              <w:rPr>
                <w:rFonts w:ascii="Times New Roman" w:hAnsi="Times New Roman" w:eastAsia="宋体" w:cs="Times New Roman"/>
                <w:sz w:val="24"/>
                <w:lang w:eastAsia="zh-CN"/>
              </w:rPr>
            </w:pPr>
            <w:r>
              <w:rPr>
                <w:rFonts w:hint="eastAsia" w:ascii="Times New Roman" w:hAnsi="Times New Roman" w:eastAsia="宋体" w:cs="Times New Roman"/>
                <w:sz w:val="24"/>
                <w:lang w:eastAsia="zh-CN"/>
              </w:rPr>
              <w:t>本项目主要原辅材料消耗情况见表2.1-4。</w:t>
            </w:r>
          </w:p>
          <w:p>
            <w:pPr>
              <w:pStyle w:val="42"/>
              <w:spacing w:before="120"/>
            </w:pPr>
            <w:r>
              <w:rPr>
                <w:rFonts w:hint="eastAsia"/>
              </w:rPr>
              <w:t>表2.1-4  主要原辅材料消耗情况</w:t>
            </w:r>
          </w:p>
          <w:tbl>
            <w:tblPr>
              <w:tblStyle w:val="4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37"/>
              <w:gridCol w:w="2070"/>
              <w:gridCol w:w="1444"/>
              <w:gridCol w:w="1853"/>
              <w:gridCol w:w="1763"/>
              <w:gridCol w:w="133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0" w:type="pct"/>
                  <w:vAlign w:val="center"/>
                </w:tcPr>
                <w:p>
                  <w:pPr>
                    <w:pStyle w:val="39"/>
                  </w:pPr>
                  <w:r>
                    <w:t>序号</w:t>
                  </w:r>
                </w:p>
              </w:tc>
              <w:tc>
                <w:tcPr>
                  <w:tcW w:w="1113" w:type="pct"/>
                  <w:noWrap/>
                  <w:vAlign w:val="center"/>
                </w:tcPr>
                <w:p>
                  <w:pPr>
                    <w:pStyle w:val="39"/>
                  </w:pPr>
                  <w:r>
                    <w:t>物料名称</w:t>
                  </w:r>
                </w:p>
              </w:tc>
              <w:tc>
                <w:tcPr>
                  <w:tcW w:w="776" w:type="pct"/>
                  <w:noWrap/>
                  <w:vAlign w:val="center"/>
                </w:tcPr>
                <w:p>
                  <w:pPr>
                    <w:pStyle w:val="39"/>
                  </w:pPr>
                  <w:r>
                    <w:t>用量</w:t>
                  </w:r>
                  <w:r>
                    <w:rPr>
                      <w:rFonts w:hint="eastAsia"/>
                    </w:rPr>
                    <w:t>（t/a）</w:t>
                  </w:r>
                </w:p>
              </w:tc>
              <w:tc>
                <w:tcPr>
                  <w:tcW w:w="996" w:type="pct"/>
                  <w:vAlign w:val="center"/>
                </w:tcPr>
                <w:p>
                  <w:pPr>
                    <w:pStyle w:val="39"/>
                  </w:pPr>
                  <w:r>
                    <w:t>最大贮存量</w:t>
                  </w:r>
                  <w:r>
                    <w:rPr>
                      <w:rFonts w:hint="eastAsia"/>
                    </w:rPr>
                    <w:t>（t）</w:t>
                  </w:r>
                </w:p>
              </w:tc>
              <w:tc>
                <w:tcPr>
                  <w:tcW w:w="948" w:type="pct"/>
                  <w:noWrap/>
                  <w:vAlign w:val="center"/>
                </w:tcPr>
                <w:p>
                  <w:pPr>
                    <w:pStyle w:val="39"/>
                  </w:pPr>
                  <w:r>
                    <w:t>物料形态</w:t>
                  </w:r>
                  <w:r>
                    <w:rPr>
                      <w:rFonts w:hint="eastAsia"/>
                    </w:rPr>
                    <w:t>及包装</w:t>
                  </w:r>
                </w:p>
              </w:tc>
              <w:tc>
                <w:tcPr>
                  <w:tcW w:w="717" w:type="pct"/>
                  <w:noWrap/>
                  <w:vAlign w:val="center"/>
                </w:tcPr>
                <w:p>
                  <w:pPr>
                    <w:pStyle w:val="39"/>
                  </w:pPr>
                  <w:r>
                    <w:t>来源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0" w:type="pct"/>
                  <w:vAlign w:val="center"/>
                </w:tcPr>
                <w:p>
                  <w:pPr>
                    <w:pStyle w:val="39"/>
                  </w:pPr>
                  <w:r>
                    <w:t>1</w:t>
                  </w:r>
                </w:p>
              </w:tc>
              <w:tc>
                <w:tcPr>
                  <w:tcW w:w="1113" w:type="pct"/>
                  <w:noWrap/>
                  <w:vAlign w:val="center"/>
                </w:tcPr>
                <w:p>
                  <w:pPr>
                    <w:pStyle w:val="39"/>
                  </w:pPr>
                  <w:r>
                    <w:rPr>
                      <w:rFonts w:hint="eastAsia"/>
                    </w:rPr>
                    <w:t>0#柴油</w:t>
                  </w:r>
                </w:p>
              </w:tc>
              <w:tc>
                <w:tcPr>
                  <w:tcW w:w="776" w:type="pct"/>
                  <w:noWrap/>
                  <w:vAlign w:val="center"/>
                </w:tcPr>
                <w:p>
                  <w:pPr>
                    <w:pStyle w:val="39"/>
                  </w:pPr>
                  <w:r>
                    <w:rPr>
                      <w:rFonts w:hint="eastAsia"/>
                    </w:rPr>
                    <w:t>6500</w:t>
                  </w:r>
                </w:p>
              </w:tc>
              <w:tc>
                <w:tcPr>
                  <w:tcW w:w="996" w:type="pct"/>
                  <w:vAlign w:val="center"/>
                </w:tcPr>
                <w:p>
                  <w:pPr>
                    <w:pStyle w:val="39"/>
                  </w:pPr>
                  <w:r>
                    <w:rPr>
                      <w:rFonts w:hint="eastAsia"/>
                    </w:rPr>
                    <w:t>49.5</w:t>
                  </w:r>
                </w:p>
              </w:tc>
              <w:tc>
                <w:tcPr>
                  <w:tcW w:w="948" w:type="pct"/>
                  <w:vMerge w:val="restart"/>
                  <w:noWrap/>
                  <w:vAlign w:val="center"/>
                </w:tcPr>
                <w:p>
                  <w:pPr>
                    <w:pStyle w:val="39"/>
                  </w:pPr>
                  <w:r>
                    <w:rPr>
                      <w:rFonts w:hint="eastAsia"/>
                    </w:rPr>
                    <w:t>液态</w:t>
                  </w:r>
                </w:p>
              </w:tc>
              <w:tc>
                <w:tcPr>
                  <w:tcW w:w="717" w:type="pct"/>
                  <w:vMerge w:val="restart"/>
                  <w:noWrap/>
                  <w:vAlign w:val="center"/>
                </w:tcPr>
                <w:p>
                  <w:pPr>
                    <w:pStyle w:val="39"/>
                  </w:pPr>
                  <w:r>
                    <w:rPr>
                      <w:rFonts w:hint="eastAsia"/>
                    </w:rPr>
                    <w:t>罐车运输</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0" w:type="pct"/>
                  <w:vMerge w:val="restart"/>
                  <w:vAlign w:val="center"/>
                </w:tcPr>
                <w:p>
                  <w:pPr>
                    <w:pStyle w:val="39"/>
                  </w:pPr>
                  <w:r>
                    <w:t>2</w:t>
                  </w:r>
                </w:p>
              </w:tc>
              <w:tc>
                <w:tcPr>
                  <w:tcW w:w="1113" w:type="pct"/>
                  <w:noWrap/>
                  <w:vAlign w:val="center"/>
                </w:tcPr>
                <w:p>
                  <w:pPr>
                    <w:pStyle w:val="39"/>
                    <w:rPr>
                      <w:rFonts w:cs="宋体"/>
                    </w:rPr>
                  </w:pPr>
                  <w:r>
                    <w:rPr>
                      <w:rFonts w:hint="eastAsia"/>
                    </w:rPr>
                    <w:t>92#汽油</w:t>
                  </w:r>
                </w:p>
              </w:tc>
              <w:tc>
                <w:tcPr>
                  <w:tcW w:w="776" w:type="pct"/>
                  <w:vMerge w:val="restart"/>
                  <w:noWrap/>
                  <w:vAlign w:val="center"/>
                </w:tcPr>
                <w:p>
                  <w:pPr>
                    <w:pStyle w:val="39"/>
                    <w:rPr>
                      <w:rFonts w:cs="宋体"/>
                    </w:rPr>
                  </w:pPr>
                  <w:r>
                    <w:rPr>
                      <w:rFonts w:hint="eastAsia" w:cs="宋体"/>
                    </w:rPr>
                    <w:t>3500</w:t>
                  </w:r>
                </w:p>
              </w:tc>
              <w:tc>
                <w:tcPr>
                  <w:tcW w:w="996" w:type="pct"/>
                  <w:vAlign w:val="center"/>
                </w:tcPr>
                <w:p>
                  <w:pPr>
                    <w:pStyle w:val="39"/>
                    <w:rPr>
                      <w:rFonts w:cs="宋体"/>
                    </w:rPr>
                  </w:pPr>
                  <w:r>
                    <w:rPr>
                      <w:rFonts w:hint="eastAsia" w:cs="宋体"/>
                    </w:rPr>
                    <w:t>18</w:t>
                  </w:r>
                </w:p>
              </w:tc>
              <w:tc>
                <w:tcPr>
                  <w:tcW w:w="948" w:type="pct"/>
                  <w:vMerge w:val="continue"/>
                  <w:noWrap/>
                  <w:vAlign w:val="center"/>
                </w:tcPr>
                <w:p>
                  <w:pPr>
                    <w:pStyle w:val="39"/>
                    <w:rPr>
                      <w:rFonts w:cs="宋体"/>
                    </w:rPr>
                  </w:pPr>
                </w:p>
              </w:tc>
              <w:tc>
                <w:tcPr>
                  <w:tcW w:w="717" w:type="pct"/>
                  <w:vMerge w:val="continue"/>
                  <w:noWrap/>
                  <w:vAlign w:val="center"/>
                </w:tcPr>
                <w:p>
                  <w:pPr>
                    <w:pStyle w:val="39"/>
                    <w:rPr>
                      <w:rFonts w:cs="宋体"/>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0" w:type="pct"/>
                  <w:vMerge w:val="continue"/>
                  <w:vAlign w:val="center"/>
                </w:tcPr>
                <w:p>
                  <w:pPr>
                    <w:pStyle w:val="39"/>
                  </w:pPr>
                </w:p>
              </w:tc>
              <w:tc>
                <w:tcPr>
                  <w:tcW w:w="1113" w:type="pct"/>
                  <w:noWrap/>
                  <w:vAlign w:val="center"/>
                </w:tcPr>
                <w:p>
                  <w:pPr>
                    <w:pStyle w:val="39"/>
                  </w:pPr>
                  <w:r>
                    <w:rPr>
                      <w:rFonts w:hint="eastAsia"/>
                    </w:rPr>
                    <w:t>95#汽油</w:t>
                  </w:r>
                </w:p>
              </w:tc>
              <w:tc>
                <w:tcPr>
                  <w:tcW w:w="776" w:type="pct"/>
                  <w:vMerge w:val="continue"/>
                  <w:noWrap/>
                  <w:vAlign w:val="center"/>
                </w:tcPr>
                <w:p>
                  <w:pPr>
                    <w:pStyle w:val="39"/>
                  </w:pPr>
                </w:p>
              </w:tc>
              <w:tc>
                <w:tcPr>
                  <w:tcW w:w="996" w:type="pct"/>
                  <w:vAlign w:val="center"/>
                </w:tcPr>
                <w:p>
                  <w:pPr>
                    <w:pStyle w:val="39"/>
                  </w:pPr>
                  <w:r>
                    <w:rPr>
                      <w:rFonts w:hint="eastAsia"/>
                    </w:rPr>
                    <w:t>18</w:t>
                  </w:r>
                </w:p>
              </w:tc>
              <w:tc>
                <w:tcPr>
                  <w:tcW w:w="948" w:type="pct"/>
                  <w:vMerge w:val="continue"/>
                  <w:noWrap/>
                  <w:vAlign w:val="center"/>
                </w:tcPr>
                <w:p>
                  <w:pPr>
                    <w:pStyle w:val="39"/>
                  </w:pPr>
                </w:p>
              </w:tc>
              <w:tc>
                <w:tcPr>
                  <w:tcW w:w="717" w:type="pct"/>
                  <w:vMerge w:val="continue"/>
                  <w:noWrap/>
                  <w:vAlign w:val="center"/>
                </w:tcPr>
                <w:p>
                  <w:pPr>
                    <w:pStyle w:val="39"/>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0" w:type="pct"/>
                  <w:vMerge w:val="continue"/>
                  <w:vAlign w:val="center"/>
                </w:tcPr>
                <w:p>
                  <w:pPr>
                    <w:pStyle w:val="39"/>
                  </w:pPr>
                </w:p>
              </w:tc>
              <w:tc>
                <w:tcPr>
                  <w:tcW w:w="1113" w:type="pct"/>
                  <w:noWrap/>
                  <w:vAlign w:val="center"/>
                </w:tcPr>
                <w:p>
                  <w:pPr>
                    <w:pStyle w:val="39"/>
                  </w:pPr>
                  <w:r>
                    <w:rPr>
                      <w:rFonts w:hint="eastAsia"/>
                    </w:rPr>
                    <w:t>98#汽油</w:t>
                  </w:r>
                </w:p>
              </w:tc>
              <w:tc>
                <w:tcPr>
                  <w:tcW w:w="776" w:type="pct"/>
                  <w:vMerge w:val="continue"/>
                  <w:noWrap/>
                  <w:vAlign w:val="center"/>
                </w:tcPr>
                <w:p>
                  <w:pPr>
                    <w:pStyle w:val="39"/>
                  </w:pPr>
                </w:p>
              </w:tc>
              <w:tc>
                <w:tcPr>
                  <w:tcW w:w="996" w:type="pct"/>
                  <w:vAlign w:val="center"/>
                </w:tcPr>
                <w:p>
                  <w:pPr>
                    <w:pStyle w:val="39"/>
                  </w:pPr>
                  <w:r>
                    <w:rPr>
                      <w:rFonts w:hint="eastAsia"/>
                    </w:rPr>
                    <w:t>18</w:t>
                  </w:r>
                </w:p>
              </w:tc>
              <w:tc>
                <w:tcPr>
                  <w:tcW w:w="948" w:type="pct"/>
                  <w:vMerge w:val="continue"/>
                  <w:noWrap/>
                  <w:vAlign w:val="center"/>
                </w:tcPr>
                <w:p>
                  <w:pPr>
                    <w:pStyle w:val="39"/>
                  </w:pPr>
                </w:p>
              </w:tc>
              <w:tc>
                <w:tcPr>
                  <w:tcW w:w="717" w:type="pct"/>
                  <w:vMerge w:val="continue"/>
                  <w:noWrap/>
                  <w:vAlign w:val="center"/>
                </w:tcPr>
                <w:p>
                  <w:pPr>
                    <w:pStyle w:val="39"/>
                  </w:pPr>
                </w:p>
              </w:tc>
            </w:tr>
          </w:tbl>
          <w:p>
            <w:pPr>
              <w:spacing w:line="460" w:lineRule="exact"/>
              <w:ind w:firstLine="480" w:firstLineChars="200"/>
              <w:jc w:val="both"/>
              <w:rPr>
                <w:rFonts w:ascii="Times New Roman" w:hAnsi="Times New Roman" w:eastAsia="宋体" w:cs="Times New Roman"/>
                <w:sz w:val="24"/>
                <w:lang w:eastAsia="zh-CN"/>
              </w:rPr>
            </w:pPr>
            <w:r>
              <w:rPr>
                <w:rFonts w:hint="eastAsia" w:ascii="Times New Roman" w:hAnsi="Times New Roman" w:eastAsia="宋体" w:cs="Times New Roman"/>
                <w:sz w:val="24"/>
                <w:lang w:eastAsia="zh-CN"/>
              </w:rPr>
              <w:t>主要原辅料理化性质及其危险特性见表2.1-5。</w:t>
            </w:r>
          </w:p>
          <w:p>
            <w:pPr>
              <w:pStyle w:val="42"/>
              <w:spacing w:before="120"/>
            </w:pPr>
            <w:r>
              <w:rPr>
                <w:rFonts w:hint="eastAsia"/>
              </w:rPr>
              <w:t>表2.1-5  主要原辅料理化性质及其危险特性</w:t>
            </w:r>
          </w:p>
          <w:tbl>
            <w:tblPr>
              <w:tblStyle w:val="47"/>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80"/>
              <w:gridCol w:w="699"/>
              <w:gridCol w:w="3546"/>
              <w:gridCol w:w="2039"/>
              <w:gridCol w:w="233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6" w:type="pct"/>
                  <w:vAlign w:val="center"/>
                </w:tcPr>
                <w:p>
                  <w:pPr>
                    <w:pStyle w:val="26"/>
                    <w:widowControl/>
                    <w:snapToGrid w:val="0"/>
                    <w:spacing w:line="240" w:lineRule="auto"/>
                    <w:rPr>
                      <w:rFonts w:ascii="Times New Roman" w:hAnsi="Times New Roman" w:eastAsia="宋体" w:cs="宋体"/>
                      <w:sz w:val="21"/>
                      <w:szCs w:val="21"/>
                    </w:rPr>
                  </w:pPr>
                  <w:r>
                    <w:rPr>
                      <w:rFonts w:hint="eastAsia" w:ascii="Times New Roman" w:hAnsi="Times New Roman" w:eastAsia="宋体" w:cs="宋体"/>
                      <w:b/>
                      <w:sz w:val="21"/>
                      <w:szCs w:val="21"/>
                    </w:rPr>
                    <w:t>序号</w:t>
                  </w:r>
                </w:p>
              </w:tc>
              <w:tc>
                <w:tcPr>
                  <w:tcW w:w="376" w:type="pct"/>
                  <w:vAlign w:val="center"/>
                </w:tcPr>
                <w:p>
                  <w:pPr>
                    <w:snapToGrid w:val="0"/>
                    <w:jc w:val="center"/>
                    <w:rPr>
                      <w:rFonts w:ascii="Times New Roman" w:hAnsi="Times New Roman" w:eastAsia="宋体" w:cs="宋体"/>
                      <w:sz w:val="21"/>
                      <w:szCs w:val="21"/>
                    </w:rPr>
                  </w:pPr>
                  <w:r>
                    <w:rPr>
                      <w:rFonts w:hint="eastAsia" w:ascii="Times New Roman" w:hAnsi="Times New Roman" w:eastAsia="宋体" w:cs="宋体"/>
                      <w:b/>
                      <w:sz w:val="21"/>
                      <w:szCs w:val="21"/>
                    </w:rPr>
                    <w:t>名称</w:t>
                  </w:r>
                </w:p>
              </w:tc>
              <w:tc>
                <w:tcPr>
                  <w:tcW w:w="1906" w:type="pct"/>
                  <w:vAlign w:val="center"/>
                </w:tcPr>
                <w:p>
                  <w:pPr>
                    <w:snapToGrid w:val="0"/>
                    <w:jc w:val="center"/>
                    <w:rPr>
                      <w:rFonts w:ascii="Times New Roman" w:hAnsi="Times New Roman" w:eastAsia="宋体" w:cs="宋体"/>
                      <w:sz w:val="21"/>
                      <w:szCs w:val="21"/>
                    </w:rPr>
                  </w:pPr>
                  <w:r>
                    <w:rPr>
                      <w:rFonts w:hint="eastAsia" w:ascii="Times New Roman" w:hAnsi="Times New Roman" w:eastAsia="宋体" w:cs="宋体"/>
                      <w:b/>
                      <w:sz w:val="21"/>
                      <w:szCs w:val="21"/>
                      <w:lang w:eastAsia="zh-CN"/>
                    </w:rPr>
                    <w:t>理化性质</w:t>
                  </w:r>
                </w:p>
              </w:tc>
              <w:tc>
                <w:tcPr>
                  <w:tcW w:w="1096" w:type="pct"/>
                  <w:vAlign w:val="center"/>
                </w:tcPr>
                <w:p>
                  <w:pPr>
                    <w:snapToGrid w:val="0"/>
                    <w:jc w:val="center"/>
                    <w:rPr>
                      <w:rFonts w:ascii="Times New Roman" w:hAnsi="Times New Roman" w:eastAsia="宋体" w:cs="宋体"/>
                      <w:sz w:val="21"/>
                      <w:szCs w:val="21"/>
                    </w:rPr>
                  </w:pPr>
                  <w:r>
                    <w:rPr>
                      <w:rFonts w:hint="eastAsia" w:ascii="Times New Roman" w:hAnsi="Times New Roman" w:eastAsia="宋体" w:cs="宋体"/>
                      <w:b/>
                      <w:sz w:val="21"/>
                      <w:szCs w:val="21"/>
                      <w:lang w:eastAsia="zh-CN"/>
                    </w:rPr>
                    <w:t>危险性</w:t>
                  </w:r>
                </w:p>
              </w:tc>
              <w:tc>
                <w:tcPr>
                  <w:tcW w:w="1253" w:type="pct"/>
                  <w:vAlign w:val="center"/>
                </w:tcPr>
                <w:p>
                  <w:pPr>
                    <w:snapToGrid w:val="0"/>
                    <w:jc w:val="center"/>
                    <w:rPr>
                      <w:rFonts w:ascii="Times New Roman" w:hAnsi="Times New Roman" w:eastAsia="宋体" w:cs="宋体"/>
                      <w:sz w:val="21"/>
                      <w:szCs w:val="21"/>
                    </w:rPr>
                  </w:pPr>
                  <w:r>
                    <w:rPr>
                      <w:rFonts w:hint="eastAsia" w:ascii="Times New Roman" w:hAnsi="Times New Roman" w:eastAsia="宋体" w:cs="宋体"/>
                      <w:b/>
                      <w:sz w:val="21"/>
                      <w:szCs w:val="21"/>
                      <w:lang w:eastAsia="zh-CN"/>
                    </w:rPr>
                    <w:t>毒性及危害性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6" w:type="pct"/>
                  <w:vAlign w:val="center"/>
                </w:tcPr>
                <w:p>
                  <w:pPr>
                    <w:snapToGrid w:val="0"/>
                    <w:jc w:val="center"/>
                    <w:rPr>
                      <w:rFonts w:ascii="Times New Roman" w:hAnsi="Times New Roman" w:eastAsia="宋体" w:cs="宋体"/>
                      <w:sz w:val="21"/>
                      <w:szCs w:val="21"/>
                    </w:rPr>
                  </w:pPr>
                  <w:r>
                    <w:rPr>
                      <w:rFonts w:ascii="Times New Roman" w:hAnsi="Times New Roman" w:eastAsia="宋体" w:cs="Times New Roman"/>
                      <w:sz w:val="21"/>
                      <w:szCs w:val="21"/>
                    </w:rPr>
                    <w:t>1</w:t>
                  </w:r>
                </w:p>
              </w:tc>
              <w:tc>
                <w:tcPr>
                  <w:tcW w:w="376" w:type="pct"/>
                  <w:vAlign w:val="center"/>
                </w:tcPr>
                <w:p>
                  <w:pPr>
                    <w:autoSpaceDN w:val="0"/>
                    <w:jc w:val="center"/>
                    <w:textAlignment w:val="center"/>
                    <w:rPr>
                      <w:rFonts w:ascii="Times New Roman" w:hAnsi="Times New Roman" w:eastAsia="宋体" w:cs="宋体"/>
                      <w:sz w:val="21"/>
                      <w:szCs w:val="21"/>
                    </w:rPr>
                  </w:pPr>
                  <w:r>
                    <w:rPr>
                      <w:rFonts w:ascii="Times New Roman" w:hAnsi="Times New Roman" w:eastAsia="宋体" w:cs="Times New Roman"/>
                      <w:sz w:val="21"/>
                      <w:szCs w:val="21"/>
                    </w:rPr>
                    <w:t>汽油</w:t>
                  </w:r>
                </w:p>
              </w:tc>
              <w:tc>
                <w:tcPr>
                  <w:tcW w:w="1906" w:type="pct"/>
                  <w:vAlign w:val="center"/>
                </w:tcPr>
                <w:p>
                  <w:pPr>
                    <w:autoSpaceDN w:val="0"/>
                    <w:jc w:val="center"/>
                    <w:textAlignment w:val="center"/>
                    <w:rPr>
                      <w:rFonts w:ascii="Times New Roman" w:hAnsi="Times New Roman" w:eastAsia="宋体" w:cs="宋体"/>
                      <w:sz w:val="21"/>
                      <w:szCs w:val="21"/>
                      <w:lang w:eastAsia="zh-CN"/>
                    </w:rPr>
                  </w:pPr>
                  <w:r>
                    <w:rPr>
                      <w:rFonts w:ascii="Times New Roman" w:hAnsi="Times New Roman" w:eastAsia="宋体" w:cs="Times New Roman"/>
                      <w:sz w:val="21"/>
                      <w:szCs w:val="21"/>
                      <w:lang w:eastAsia="zh-CN"/>
                    </w:rPr>
                    <w:t>无色或淡黄色易挥发液体，具有特殊臭味；熔点</w:t>
                  </w:r>
                  <w:r>
                    <w:rPr>
                      <w:rFonts w:hint="eastAsia" w:ascii="Times New Roman" w:hAnsi="Times New Roman" w:eastAsia="宋体" w:cs="Times New Roman"/>
                      <w:sz w:val="21"/>
                      <w:szCs w:val="21"/>
                      <w:lang w:eastAsia="zh-CN"/>
                    </w:rPr>
                    <w:t>&lt;</w:t>
                  </w:r>
                  <w:r>
                    <w:rPr>
                      <w:rFonts w:ascii="Times New Roman" w:hAnsi="Times New Roman" w:eastAsia="宋体" w:cs="Times New Roman"/>
                      <w:sz w:val="21"/>
                      <w:szCs w:val="21"/>
                      <w:lang w:eastAsia="zh-CN"/>
                    </w:rPr>
                    <w:t>-60℃，沸点40~200</w:t>
                  </w:r>
                  <w:r>
                    <w:rPr>
                      <w:rFonts w:hint="eastAsia" w:ascii="Times New Roman" w:hAnsi="Times New Roman" w:eastAsia="宋体" w:cs="宋体"/>
                      <w:sz w:val="21"/>
                      <w:szCs w:val="21"/>
                      <w:lang w:eastAsia="zh-CN"/>
                    </w:rPr>
                    <w:t>℃</w:t>
                  </w:r>
                  <w:r>
                    <w:rPr>
                      <w:rFonts w:ascii="Times New Roman" w:hAnsi="Times New Roman" w:eastAsia="宋体" w:cs="Times New Roman"/>
                      <w:sz w:val="21"/>
                      <w:szCs w:val="21"/>
                      <w:lang w:eastAsia="zh-CN"/>
                    </w:rPr>
                    <w:t>；相对密度（水=1）0.70~0.79；闪点-50</w:t>
                  </w:r>
                  <w:r>
                    <w:rPr>
                      <w:rFonts w:hint="eastAsia" w:ascii="Times New Roman" w:hAnsi="Times New Roman" w:eastAsia="宋体" w:cs="宋体"/>
                      <w:sz w:val="21"/>
                      <w:szCs w:val="21"/>
                      <w:lang w:eastAsia="zh-CN"/>
                    </w:rPr>
                    <w:t>℃</w:t>
                  </w:r>
                  <w:r>
                    <w:rPr>
                      <w:rFonts w:ascii="Times New Roman" w:hAnsi="Times New Roman" w:eastAsia="宋体" w:cs="Times New Roman"/>
                      <w:sz w:val="21"/>
                      <w:szCs w:val="21"/>
                      <w:lang w:eastAsia="zh-CN"/>
                    </w:rPr>
                    <w:t>，引燃温度415~530</w:t>
                  </w:r>
                  <w:r>
                    <w:rPr>
                      <w:rFonts w:hint="eastAsia" w:ascii="Times New Roman" w:hAnsi="Times New Roman" w:eastAsia="宋体" w:cs="宋体"/>
                      <w:sz w:val="21"/>
                      <w:szCs w:val="21"/>
                      <w:lang w:eastAsia="ja-JP"/>
                    </w:rPr>
                    <w:t>℃</w:t>
                  </w:r>
                  <w:r>
                    <w:rPr>
                      <w:rFonts w:ascii="Times New Roman" w:hAnsi="Times New Roman" w:eastAsia="宋体" w:cs="Times New Roman"/>
                      <w:sz w:val="21"/>
                      <w:szCs w:val="21"/>
                      <w:lang w:eastAsia="ja-JP"/>
                    </w:rPr>
                    <w:t>；不溶于水，易溶于苯</w:t>
                  </w:r>
                  <w:r>
                    <w:rPr>
                      <w:rFonts w:ascii="Times New Roman" w:hAnsi="Times New Roman" w:eastAsia="宋体" w:cs="Times New Roman"/>
                      <w:sz w:val="21"/>
                      <w:szCs w:val="21"/>
                      <w:lang w:eastAsia="zh-CN"/>
                    </w:rPr>
                    <w:t>、二硫化碳、醇、脂肪。</w:t>
                  </w:r>
                </w:p>
              </w:tc>
              <w:tc>
                <w:tcPr>
                  <w:tcW w:w="1096" w:type="pct"/>
                  <w:vAlign w:val="center"/>
                </w:tcPr>
                <w:p>
                  <w:pPr>
                    <w:autoSpaceDN w:val="0"/>
                    <w:jc w:val="center"/>
                    <w:textAlignment w:val="center"/>
                    <w:rPr>
                      <w:rFonts w:ascii="Times New Roman" w:hAnsi="Times New Roman" w:eastAsia="宋体" w:cs="宋体"/>
                      <w:sz w:val="21"/>
                      <w:szCs w:val="21"/>
                      <w:lang w:eastAsia="zh-CN"/>
                    </w:rPr>
                  </w:pPr>
                  <w:r>
                    <w:rPr>
                      <w:rFonts w:ascii="Times New Roman" w:hAnsi="Times New Roman" w:eastAsia="宋体" w:cs="Times New Roman"/>
                      <w:sz w:val="21"/>
                      <w:szCs w:val="21"/>
                      <w:lang w:eastAsia="zh-CN"/>
                    </w:rPr>
                    <w:t>易燃，其蒸气与空气可形成爆炸性混合物。遇明火、高热极易燃烧爆炸。与氧化剂能发生强烈反应。</w:t>
                  </w:r>
                </w:p>
              </w:tc>
              <w:tc>
                <w:tcPr>
                  <w:tcW w:w="1253" w:type="pct"/>
                  <w:vAlign w:val="center"/>
                </w:tcPr>
                <w:p>
                  <w:pPr>
                    <w:autoSpaceDN w:val="0"/>
                    <w:jc w:val="center"/>
                    <w:textAlignment w:val="center"/>
                    <w:rPr>
                      <w:rFonts w:ascii="Times New Roman" w:hAnsi="Times New Roman" w:eastAsia="宋体" w:cs="Times New Roman"/>
                      <w:sz w:val="21"/>
                      <w:szCs w:val="21"/>
                    </w:rPr>
                  </w:pPr>
                  <w:r>
                    <w:rPr>
                      <w:rFonts w:ascii="Times New Roman" w:hAnsi="Times New Roman" w:eastAsia="宋体" w:cs="Times New Roman"/>
                      <w:sz w:val="21"/>
                      <w:szCs w:val="21"/>
                    </w:rPr>
                    <w:t>LD</w:t>
                  </w:r>
                  <w:r>
                    <w:rPr>
                      <w:rFonts w:ascii="Times New Roman" w:hAnsi="Times New Roman" w:eastAsia="宋体" w:cs="Times New Roman"/>
                      <w:sz w:val="21"/>
                      <w:szCs w:val="21"/>
                      <w:vertAlign w:val="subscript"/>
                    </w:rPr>
                    <w:t>50</w:t>
                  </w:r>
                  <w:r>
                    <w:rPr>
                      <w:rFonts w:ascii="Times New Roman" w:hAnsi="Times New Roman" w:eastAsia="宋体" w:cs="Times New Roman"/>
                      <w:sz w:val="21"/>
                      <w:szCs w:val="21"/>
                    </w:rPr>
                    <w:t>:67000mg/kg（小鼠经口）；</w:t>
                  </w:r>
                </w:p>
                <w:p>
                  <w:pPr>
                    <w:autoSpaceDN w:val="0"/>
                    <w:jc w:val="center"/>
                    <w:textAlignment w:val="center"/>
                    <w:rPr>
                      <w:rFonts w:ascii="Times New Roman" w:hAnsi="Times New Roman" w:eastAsia="宋体" w:cs="宋体"/>
                      <w:sz w:val="21"/>
                      <w:szCs w:val="21"/>
                    </w:rPr>
                  </w:pPr>
                  <w:r>
                    <w:rPr>
                      <w:rFonts w:ascii="Times New Roman" w:hAnsi="Times New Roman" w:eastAsia="宋体" w:cs="Times New Roman"/>
                      <w:sz w:val="21"/>
                      <w:szCs w:val="21"/>
                    </w:rPr>
                    <w:t>LC</w:t>
                  </w:r>
                  <w:r>
                    <w:rPr>
                      <w:rFonts w:ascii="Times New Roman" w:hAnsi="Times New Roman" w:eastAsia="宋体" w:cs="Times New Roman"/>
                      <w:sz w:val="21"/>
                      <w:szCs w:val="21"/>
                      <w:vertAlign w:val="subscript"/>
                    </w:rPr>
                    <w:t>50</w:t>
                  </w:r>
                  <w:r>
                    <w:rPr>
                      <w:rFonts w:ascii="Times New Roman" w:hAnsi="Times New Roman" w:eastAsia="宋体" w:cs="Times New Roman"/>
                      <w:sz w:val="21"/>
                      <w:szCs w:val="21"/>
                    </w:rPr>
                    <w:t>:103000mg/m</w:t>
                  </w:r>
                  <w:r>
                    <w:rPr>
                      <w:rFonts w:ascii="Times New Roman" w:hAnsi="Times New Roman" w:eastAsia="宋体" w:cs="Times New Roman"/>
                      <w:sz w:val="21"/>
                      <w:szCs w:val="21"/>
                      <w:vertAlign w:val="superscript"/>
                    </w:rPr>
                    <w:t>3</w:t>
                  </w:r>
                  <w:r>
                    <w:rPr>
                      <w:rFonts w:ascii="Times New Roman" w:hAnsi="Times New Roman" w:eastAsia="宋体" w:cs="Times New Roman"/>
                      <w:sz w:val="21"/>
                      <w:szCs w:val="21"/>
                    </w:rPr>
                    <w:t>,2小时（小鼠吸入）；</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6" w:type="pct"/>
                  <w:vAlign w:val="center"/>
                </w:tcPr>
                <w:p>
                  <w:pPr>
                    <w:snapToGrid w:val="0"/>
                    <w:jc w:val="center"/>
                    <w:rPr>
                      <w:rFonts w:ascii="Times New Roman" w:hAnsi="Times New Roman" w:eastAsia="宋体" w:cs="宋体"/>
                      <w:sz w:val="21"/>
                      <w:szCs w:val="21"/>
                    </w:rPr>
                  </w:pPr>
                  <w:r>
                    <w:rPr>
                      <w:rFonts w:ascii="Times New Roman" w:hAnsi="Times New Roman" w:eastAsia="宋体" w:cs="Times New Roman"/>
                      <w:sz w:val="21"/>
                      <w:szCs w:val="21"/>
                    </w:rPr>
                    <w:t>2</w:t>
                  </w:r>
                </w:p>
              </w:tc>
              <w:tc>
                <w:tcPr>
                  <w:tcW w:w="376" w:type="pct"/>
                  <w:vAlign w:val="center"/>
                </w:tcPr>
                <w:p>
                  <w:pPr>
                    <w:autoSpaceDN w:val="0"/>
                    <w:jc w:val="center"/>
                    <w:textAlignment w:val="center"/>
                    <w:rPr>
                      <w:rFonts w:ascii="Times New Roman" w:hAnsi="Times New Roman" w:eastAsia="宋体" w:cs="宋体"/>
                      <w:sz w:val="21"/>
                      <w:szCs w:val="21"/>
                    </w:rPr>
                  </w:pPr>
                  <w:r>
                    <w:rPr>
                      <w:rFonts w:ascii="Times New Roman" w:hAnsi="Times New Roman" w:eastAsia="宋体" w:cs="Times New Roman"/>
                      <w:sz w:val="21"/>
                      <w:szCs w:val="21"/>
                    </w:rPr>
                    <w:t>柴油</w:t>
                  </w:r>
                </w:p>
              </w:tc>
              <w:tc>
                <w:tcPr>
                  <w:tcW w:w="1906" w:type="pct"/>
                  <w:vAlign w:val="center"/>
                </w:tcPr>
                <w:p>
                  <w:pPr>
                    <w:autoSpaceDN w:val="0"/>
                    <w:jc w:val="center"/>
                    <w:textAlignment w:val="center"/>
                    <w:rPr>
                      <w:rFonts w:ascii="Times New Roman" w:hAnsi="Times New Roman" w:eastAsia="宋体" w:cs="宋体"/>
                      <w:sz w:val="21"/>
                      <w:szCs w:val="21"/>
                      <w:lang w:eastAsia="zh-CN"/>
                    </w:rPr>
                  </w:pPr>
                  <w:r>
                    <w:rPr>
                      <w:rFonts w:ascii="Times New Roman" w:hAnsi="Times New Roman" w:eastAsia="宋体" w:cs="Times New Roman"/>
                      <w:sz w:val="21"/>
                      <w:szCs w:val="21"/>
                      <w:lang w:eastAsia="zh-CN"/>
                    </w:rPr>
                    <w:t>易燃易挥发，不溶于水，易溶于醇和其他有机溶剂；是组分复杂的混合物，沸点范围有180</w:t>
                  </w:r>
                  <w:r>
                    <w:rPr>
                      <w:rFonts w:hint="eastAsia" w:ascii="Times New Roman" w:hAnsi="Times New Roman" w:eastAsia="宋体" w:cs="宋体"/>
                      <w:sz w:val="21"/>
                      <w:szCs w:val="21"/>
                      <w:lang w:eastAsia="zh-CN"/>
                    </w:rPr>
                    <w:t>℃</w:t>
                  </w:r>
                  <w:r>
                    <w:rPr>
                      <w:rFonts w:ascii="Times New Roman" w:hAnsi="Times New Roman" w:eastAsia="宋体" w:cs="Times New Roman"/>
                      <w:sz w:val="21"/>
                      <w:szCs w:val="21"/>
                      <w:lang w:eastAsia="zh-CN"/>
                    </w:rPr>
                    <w:t>~370</w:t>
                  </w:r>
                  <w:r>
                    <w:rPr>
                      <w:rFonts w:hint="eastAsia" w:ascii="Times New Roman" w:hAnsi="Times New Roman" w:eastAsia="宋体" w:cs="宋体"/>
                      <w:sz w:val="21"/>
                      <w:szCs w:val="21"/>
                      <w:lang w:eastAsia="zh-CN"/>
                    </w:rPr>
                    <w:t>℃</w:t>
                  </w:r>
                  <w:r>
                    <w:rPr>
                      <w:rFonts w:ascii="Times New Roman" w:hAnsi="Times New Roman" w:eastAsia="宋体" w:cs="Times New Roman"/>
                      <w:sz w:val="21"/>
                      <w:szCs w:val="21"/>
                      <w:lang w:eastAsia="zh-CN"/>
                    </w:rPr>
                    <w:t>和350</w:t>
                  </w:r>
                  <w:r>
                    <w:rPr>
                      <w:rFonts w:hint="eastAsia" w:ascii="Times New Roman" w:hAnsi="Times New Roman" w:eastAsia="宋体" w:cs="宋体"/>
                      <w:sz w:val="21"/>
                      <w:szCs w:val="21"/>
                      <w:lang w:eastAsia="zh-CN"/>
                    </w:rPr>
                    <w:t>℃</w:t>
                  </w:r>
                  <w:r>
                    <w:rPr>
                      <w:rFonts w:ascii="Times New Roman" w:hAnsi="Times New Roman" w:eastAsia="宋体" w:cs="Times New Roman"/>
                      <w:sz w:val="21"/>
                      <w:szCs w:val="21"/>
                      <w:lang w:eastAsia="zh-CN"/>
                    </w:rPr>
                    <w:t>~410</w:t>
                  </w:r>
                  <w:r>
                    <w:rPr>
                      <w:rFonts w:hint="eastAsia" w:ascii="Times New Roman" w:hAnsi="Times New Roman" w:eastAsia="宋体" w:cs="宋体"/>
                      <w:sz w:val="21"/>
                      <w:szCs w:val="21"/>
                      <w:lang w:eastAsia="zh-CN"/>
                    </w:rPr>
                    <w:t>℃</w:t>
                  </w:r>
                  <w:r>
                    <w:rPr>
                      <w:rFonts w:ascii="Times New Roman" w:hAnsi="Times New Roman" w:eastAsia="宋体" w:cs="Times New Roman"/>
                      <w:sz w:val="21"/>
                      <w:szCs w:val="21"/>
                      <w:lang w:eastAsia="zh-CN"/>
                    </w:rPr>
                    <w:t>两类。</w:t>
                  </w:r>
                </w:p>
              </w:tc>
              <w:tc>
                <w:tcPr>
                  <w:tcW w:w="1096" w:type="pct"/>
                  <w:vAlign w:val="center"/>
                </w:tcPr>
                <w:p>
                  <w:pPr>
                    <w:autoSpaceDN w:val="0"/>
                    <w:jc w:val="center"/>
                    <w:textAlignment w:val="center"/>
                    <w:rPr>
                      <w:rFonts w:ascii="Times New Roman" w:hAnsi="Times New Roman" w:eastAsia="宋体" w:cs="宋体"/>
                      <w:sz w:val="21"/>
                      <w:szCs w:val="21"/>
                      <w:lang w:eastAsia="zh-CN"/>
                    </w:rPr>
                  </w:pPr>
                  <w:r>
                    <w:rPr>
                      <w:rFonts w:ascii="Times New Roman" w:hAnsi="Times New Roman" w:eastAsia="宋体" w:cs="Times New Roman"/>
                      <w:sz w:val="21"/>
                      <w:szCs w:val="21"/>
                      <w:lang w:eastAsia="zh-CN"/>
                    </w:rPr>
                    <w:t>闪点57</w:t>
                  </w:r>
                  <w:r>
                    <w:rPr>
                      <w:rFonts w:hint="eastAsia" w:ascii="Times New Roman" w:hAnsi="Times New Roman" w:eastAsia="宋体" w:cs="宋体"/>
                      <w:sz w:val="21"/>
                      <w:szCs w:val="21"/>
                      <w:lang w:eastAsia="zh-CN"/>
                    </w:rPr>
                    <w:t>℃</w:t>
                  </w:r>
                  <w:r>
                    <w:rPr>
                      <w:rFonts w:ascii="Times New Roman" w:hAnsi="Times New Roman" w:eastAsia="宋体" w:cs="Times New Roman"/>
                      <w:sz w:val="21"/>
                      <w:szCs w:val="21"/>
                      <w:lang w:eastAsia="zh-CN"/>
                    </w:rPr>
                    <w:t>，引燃温度220</w:t>
                  </w:r>
                  <w:r>
                    <w:rPr>
                      <w:rFonts w:hint="eastAsia" w:ascii="Times New Roman" w:hAnsi="Times New Roman" w:eastAsia="宋体" w:cs="宋体"/>
                      <w:sz w:val="21"/>
                      <w:szCs w:val="21"/>
                      <w:lang w:eastAsia="zh-CN"/>
                    </w:rPr>
                    <w:t>℃</w:t>
                  </w:r>
                  <w:r>
                    <w:rPr>
                      <w:rFonts w:ascii="Times New Roman" w:hAnsi="Times New Roman" w:eastAsia="宋体" w:cs="Times New Roman"/>
                      <w:sz w:val="21"/>
                      <w:szCs w:val="21"/>
                      <w:lang w:eastAsia="zh-CN"/>
                    </w:rPr>
                    <w:t>，爆炸极限0.7~5%。</w:t>
                  </w:r>
                </w:p>
              </w:tc>
              <w:tc>
                <w:tcPr>
                  <w:tcW w:w="1253" w:type="pct"/>
                  <w:vAlign w:val="center"/>
                </w:tcPr>
                <w:p>
                  <w:pPr>
                    <w:autoSpaceDN w:val="0"/>
                    <w:jc w:val="center"/>
                    <w:textAlignment w:val="center"/>
                    <w:rPr>
                      <w:rFonts w:ascii="Times New Roman" w:hAnsi="Times New Roman" w:eastAsia="宋体" w:cs="宋体"/>
                      <w:sz w:val="21"/>
                      <w:szCs w:val="21"/>
                      <w:lang w:eastAsia="zh-CN"/>
                    </w:rPr>
                  </w:pPr>
                  <w:r>
                    <w:rPr>
                      <w:rFonts w:ascii="Times New Roman" w:hAnsi="Times New Roman" w:eastAsia="宋体" w:cs="Times New Roman"/>
                      <w:sz w:val="21"/>
                      <w:szCs w:val="21"/>
                      <w:lang w:eastAsia="zh-CN"/>
                    </w:rPr>
                    <w:t>LD</w:t>
                  </w:r>
                  <w:r>
                    <w:rPr>
                      <w:rFonts w:ascii="Times New Roman" w:hAnsi="Times New Roman" w:eastAsia="宋体" w:cs="Times New Roman"/>
                      <w:sz w:val="21"/>
                      <w:szCs w:val="21"/>
                      <w:vertAlign w:val="subscript"/>
                      <w:lang w:eastAsia="zh-CN"/>
                    </w:rPr>
                    <w:t>50</w:t>
                  </w:r>
                  <w:r>
                    <w:rPr>
                      <w:rFonts w:ascii="Times New Roman" w:hAnsi="Times New Roman" w:eastAsia="宋体" w:cs="Times New Roman"/>
                      <w:sz w:val="21"/>
                      <w:szCs w:val="21"/>
                      <w:lang w:eastAsia="zh-CN"/>
                    </w:rPr>
                    <w:t>:7500mg/kg（大鼠经口）；</w:t>
                  </w:r>
                </w:p>
              </w:tc>
            </w:tr>
          </w:tbl>
          <w:p>
            <w:pPr>
              <w:spacing w:line="440" w:lineRule="exact"/>
              <w:ind w:firstLine="482" w:firstLineChars="200"/>
              <w:jc w:val="both"/>
              <w:rPr>
                <w:rFonts w:ascii="Times New Roman" w:hAnsi="Times New Roman" w:eastAsia="宋体" w:cs="Times New Roman"/>
                <w:b/>
                <w:bCs/>
                <w:sz w:val="24"/>
                <w:lang w:eastAsia="zh-CN"/>
              </w:rPr>
            </w:pPr>
          </w:p>
          <w:p>
            <w:pPr>
              <w:spacing w:line="440" w:lineRule="exact"/>
              <w:ind w:firstLine="482" w:firstLineChars="200"/>
              <w:jc w:val="both"/>
              <w:rPr>
                <w:rFonts w:ascii="Times New Roman" w:hAnsi="Times New Roman" w:eastAsia="宋体" w:cs="Times New Roman"/>
                <w:b/>
                <w:bCs/>
                <w:sz w:val="24"/>
                <w:lang w:eastAsia="zh-CN"/>
              </w:rPr>
            </w:pPr>
            <w:r>
              <w:rPr>
                <w:rFonts w:hint="eastAsia" w:ascii="Times New Roman" w:hAnsi="Times New Roman" w:eastAsia="宋体" w:cs="Times New Roman"/>
                <w:b/>
                <w:bCs/>
                <w:sz w:val="24"/>
                <w:lang w:eastAsia="zh-CN"/>
              </w:rPr>
              <w:t>5、主要生产单元、生产工艺、生产设施及设施参数</w:t>
            </w:r>
          </w:p>
          <w:p>
            <w:pPr>
              <w:spacing w:line="460" w:lineRule="exact"/>
              <w:ind w:firstLine="480" w:firstLineChars="200"/>
              <w:jc w:val="both"/>
              <w:rPr>
                <w:rFonts w:ascii="Times New Roman" w:hAnsi="Times New Roman" w:eastAsia="宋体" w:cs="Times New Roman"/>
                <w:sz w:val="24"/>
                <w:lang w:eastAsia="zh-CN"/>
              </w:rPr>
            </w:pPr>
            <w:r>
              <w:rPr>
                <w:rFonts w:hint="eastAsia" w:ascii="Times New Roman" w:hAnsi="Times New Roman" w:eastAsia="宋体" w:cs="Times New Roman"/>
                <w:sz w:val="24"/>
                <w:lang w:eastAsia="zh-CN"/>
              </w:rPr>
              <w:t>本项目主体工程、生产设施及设施参数情况见表2.1-6。</w:t>
            </w:r>
          </w:p>
          <w:p>
            <w:pPr>
              <w:pStyle w:val="42"/>
              <w:spacing w:before="120"/>
            </w:pPr>
            <w:r>
              <w:rPr>
                <w:rFonts w:hint="eastAsia"/>
              </w:rPr>
              <w:t>表2.1-6  加油站排污单位主体工程、生产工艺、生产设施及设施参数一览表</w:t>
            </w:r>
          </w:p>
          <w:tbl>
            <w:tblPr>
              <w:tblStyle w:val="4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618"/>
              <w:gridCol w:w="1611"/>
              <w:gridCol w:w="1172"/>
              <w:gridCol w:w="1471"/>
              <w:gridCol w:w="1564"/>
              <w:gridCol w:w="186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0" w:type="pct"/>
                  <w:vMerge w:val="restart"/>
                  <w:vAlign w:val="center"/>
                </w:tcPr>
                <w:p>
                  <w:pPr>
                    <w:pStyle w:val="39"/>
                  </w:pPr>
                  <w:r>
                    <w:rPr>
                      <w:rFonts w:hint="eastAsia"/>
                    </w:rPr>
                    <w:t>主体工程</w:t>
                  </w:r>
                </w:p>
              </w:tc>
              <w:tc>
                <w:tcPr>
                  <w:tcW w:w="866" w:type="pct"/>
                  <w:vMerge w:val="restart"/>
                  <w:vAlign w:val="center"/>
                </w:tcPr>
                <w:p>
                  <w:pPr>
                    <w:pStyle w:val="39"/>
                  </w:pPr>
                  <w:r>
                    <w:rPr>
                      <w:rFonts w:hint="eastAsia"/>
                    </w:rPr>
                    <w:t>生产设施名称</w:t>
                  </w:r>
                </w:p>
              </w:tc>
              <w:tc>
                <w:tcPr>
                  <w:tcW w:w="630" w:type="pct"/>
                  <w:vMerge w:val="restart"/>
                  <w:vAlign w:val="center"/>
                </w:tcPr>
                <w:p>
                  <w:pPr>
                    <w:pStyle w:val="39"/>
                  </w:pPr>
                  <w:r>
                    <w:rPr>
                      <w:rFonts w:hint="eastAsia"/>
                    </w:rPr>
                    <w:t>数量</w:t>
                  </w:r>
                </w:p>
              </w:tc>
              <w:tc>
                <w:tcPr>
                  <w:tcW w:w="2634" w:type="pct"/>
                  <w:gridSpan w:val="3"/>
                  <w:vAlign w:val="center"/>
                </w:tcPr>
                <w:p>
                  <w:pPr>
                    <w:pStyle w:val="39"/>
                  </w:pPr>
                  <w:r>
                    <w:rPr>
                      <w:rFonts w:hint="eastAsia"/>
                    </w:rPr>
                    <w:t>设施参数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0" w:type="pct"/>
                  <w:vMerge w:val="continue"/>
                  <w:vAlign w:val="center"/>
                </w:tcPr>
                <w:p>
                  <w:pPr>
                    <w:pStyle w:val="39"/>
                  </w:pPr>
                </w:p>
              </w:tc>
              <w:tc>
                <w:tcPr>
                  <w:tcW w:w="866" w:type="pct"/>
                  <w:vMerge w:val="continue"/>
                  <w:vAlign w:val="center"/>
                </w:tcPr>
                <w:p>
                  <w:pPr>
                    <w:pStyle w:val="39"/>
                  </w:pPr>
                </w:p>
              </w:tc>
              <w:tc>
                <w:tcPr>
                  <w:tcW w:w="630" w:type="pct"/>
                  <w:vMerge w:val="continue"/>
                  <w:vAlign w:val="center"/>
                </w:tcPr>
                <w:p>
                  <w:pPr>
                    <w:pStyle w:val="39"/>
                  </w:pPr>
                </w:p>
              </w:tc>
              <w:tc>
                <w:tcPr>
                  <w:tcW w:w="791" w:type="pct"/>
                  <w:vAlign w:val="center"/>
                </w:tcPr>
                <w:p>
                  <w:pPr>
                    <w:pStyle w:val="39"/>
                  </w:pPr>
                  <w:r>
                    <w:rPr>
                      <w:rFonts w:hint="eastAsia"/>
                    </w:rPr>
                    <w:t>参数名称</w:t>
                  </w:r>
                </w:p>
              </w:tc>
              <w:tc>
                <w:tcPr>
                  <w:tcW w:w="841" w:type="pct"/>
                  <w:vAlign w:val="center"/>
                </w:tcPr>
                <w:p>
                  <w:pPr>
                    <w:pStyle w:val="39"/>
                  </w:pPr>
                  <w:r>
                    <w:rPr>
                      <w:rFonts w:hint="eastAsia"/>
                    </w:rPr>
                    <w:t>设计值</w:t>
                  </w:r>
                </w:p>
              </w:tc>
              <w:tc>
                <w:tcPr>
                  <w:tcW w:w="1002" w:type="pct"/>
                  <w:vAlign w:val="center"/>
                </w:tcPr>
                <w:p>
                  <w:pPr>
                    <w:pStyle w:val="39"/>
                  </w:pPr>
                  <w:r>
                    <w:rPr>
                      <w:rFonts w:hint="eastAsia"/>
                    </w:rPr>
                    <w:t>计量单位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0" w:type="pct"/>
                  <w:vMerge w:val="restart"/>
                  <w:vAlign w:val="center"/>
                </w:tcPr>
                <w:p>
                  <w:pPr>
                    <w:pStyle w:val="39"/>
                  </w:pPr>
                  <w:r>
                    <w:rPr>
                      <w:rFonts w:hint="eastAsia"/>
                    </w:rPr>
                    <w:t>储罐区</w:t>
                  </w:r>
                </w:p>
              </w:tc>
              <w:tc>
                <w:tcPr>
                  <w:tcW w:w="866" w:type="pct"/>
                  <w:vMerge w:val="restart"/>
                  <w:vAlign w:val="center"/>
                </w:tcPr>
                <w:p>
                  <w:pPr>
                    <w:pStyle w:val="39"/>
                  </w:pPr>
                  <w:r>
                    <w:rPr>
                      <w:rFonts w:hint="eastAsia"/>
                    </w:rPr>
                    <w:t>0#柴油储罐</w:t>
                  </w:r>
                </w:p>
              </w:tc>
              <w:tc>
                <w:tcPr>
                  <w:tcW w:w="630" w:type="pct"/>
                  <w:vMerge w:val="restart"/>
                  <w:vAlign w:val="center"/>
                </w:tcPr>
                <w:p>
                  <w:pPr>
                    <w:pStyle w:val="39"/>
                  </w:pPr>
                  <w:r>
                    <w:rPr>
                      <w:rFonts w:hint="eastAsia"/>
                    </w:rPr>
                    <w:t>2</w:t>
                  </w:r>
                </w:p>
              </w:tc>
              <w:tc>
                <w:tcPr>
                  <w:tcW w:w="791" w:type="pct"/>
                  <w:vAlign w:val="center"/>
                </w:tcPr>
                <w:p>
                  <w:pPr>
                    <w:pStyle w:val="39"/>
                  </w:pPr>
                  <w:r>
                    <w:rPr>
                      <w:rFonts w:hint="eastAsia"/>
                    </w:rPr>
                    <w:t>材质</w:t>
                  </w:r>
                </w:p>
              </w:tc>
              <w:tc>
                <w:tcPr>
                  <w:tcW w:w="841" w:type="pct"/>
                  <w:vAlign w:val="center"/>
                </w:tcPr>
                <w:p>
                  <w:pPr>
                    <w:pStyle w:val="39"/>
                  </w:pPr>
                  <w:r>
                    <w:rPr>
                      <w:rFonts w:hint="eastAsia"/>
                    </w:rPr>
                    <w:t>卧式钢制</w:t>
                  </w:r>
                </w:p>
              </w:tc>
              <w:tc>
                <w:tcPr>
                  <w:tcW w:w="1002" w:type="pct"/>
                  <w:vAlign w:val="center"/>
                </w:tcPr>
                <w:p>
                  <w:pPr>
                    <w:pStyle w:val="39"/>
                  </w:pPr>
                  <w:r>
                    <w:rPr>
                      <w:rFonts w:hint="eastAsi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0" w:type="pct"/>
                  <w:vMerge w:val="continue"/>
                  <w:vAlign w:val="center"/>
                </w:tcPr>
                <w:p>
                  <w:pPr>
                    <w:pStyle w:val="39"/>
                  </w:pPr>
                </w:p>
              </w:tc>
              <w:tc>
                <w:tcPr>
                  <w:tcW w:w="866" w:type="pct"/>
                  <w:vMerge w:val="continue"/>
                  <w:vAlign w:val="center"/>
                </w:tcPr>
                <w:p>
                  <w:pPr>
                    <w:pStyle w:val="39"/>
                  </w:pPr>
                </w:p>
              </w:tc>
              <w:tc>
                <w:tcPr>
                  <w:tcW w:w="630" w:type="pct"/>
                  <w:vMerge w:val="continue"/>
                  <w:vAlign w:val="center"/>
                </w:tcPr>
                <w:p>
                  <w:pPr>
                    <w:pStyle w:val="39"/>
                  </w:pPr>
                </w:p>
              </w:tc>
              <w:tc>
                <w:tcPr>
                  <w:tcW w:w="791" w:type="pct"/>
                  <w:vAlign w:val="center"/>
                </w:tcPr>
                <w:p>
                  <w:pPr>
                    <w:pStyle w:val="39"/>
                  </w:pPr>
                  <w:r>
                    <w:rPr>
                      <w:rFonts w:hint="eastAsia"/>
                    </w:rPr>
                    <w:t>公称容积</w:t>
                  </w:r>
                </w:p>
              </w:tc>
              <w:tc>
                <w:tcPr>
                  <w:tcW w:w="841" w:type="pct"/>
                  <w:vAlign w:val="center"/>
                </w:tcPr>
                <w:p>
                  <w:pPr>
                    <w:pStyle w:val="39"/>
                  </w:pPr>
                  <w:r>
                    <w:rPr>
                      <w:rFonts w:hint="eastAsia"/>
                    </w:rPr>
                    <w:t>30/25</w:t>
                  </w:r>
                </w:p>
              </w:tc>
              <w:tc>
                <w:tcPr>
                  <w:tcW w:w="1002" w:type="pct"/>
                  <w:vAlign w:val="center"/>
                </w:tcPr>
                <w:p>
                  <w:pPr>
                    <w:pStyle w:val="39"/>
                  </w:pPr>
                  <w:r>
                    <w:rPr>
                      <w:rFonts w:hint="eastAsia"/>
                    </w:rPr>
                    <w:t>立方米</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0" w:type="pct"/>
                  <w:vMerge w:val="continue"/>
                  <w:vAlign w:val="center"/>
                </w:tcPr>
                <w:p>
                  <w:pPr>
                    <w:pStyle w:val="39"/>
                  </w:pPr>
                </w:p>
              </w:tc>
              <w:tc>
                <w:tcPr>
                  <w:tcW w:w="866" w:type="pct"/>
                  <w:vMerge w:val="continue"/>
                  <w:vAlign w:val="center"/>
                </w:tcPr>
                <w:p>
                  <w:pPr>
                    <w:pStyle w:val="39"/>
                  </w:pPr>
                </w:p>
              </w:tc>
              <w:tc>
                <w:tcPr>
                  <w:tcW w:w="630" w:type="pct"/>
                  <w:vMerge w:val="continue"/>
                  <w:vAlign w:val="center"/>
                </w:tcPr>
                <w:p>
                  <w:pPr>
                    <w:pStyle w:val="39"/>
                  </w:pPr>
                </w:p>
              </w:tc>
              <w:tc>
                <w:tcPr>
                  <w:tcW w:w="791" w:type="pct"/>
                  <w:vAlign w:val="center"/>
                </w:tcPr>
                <w:p>
                  <w:pPr>
                    <w:pStyle w:val="39"/>
                  </w:pPr>
                  <w:r>
                    <w:rPr>
                      <w:rFonts w:hint="eastAsia"/>
                    </w:rPr>
                    <w:t>储存物料</w:t>
                  </w:r>
                </w:p>
              </w:tc>
              <w:tc>
                <w:tcPr>
                  <w:tcW w:w="841" w:type="pct"/>
                  <w:vAlign w:val="center"/>
                </w:tcPr>
                <w:p>
                  <w:pPr>
                    <w:pStyle w:val="39"/>
                  </w:pPr>
                  <w:r>
                    <w:rPr>
                      <w:rFonts w:hint="eastAsia"/>
                    </w:rPr>
                    <w:t>柴油</w:t>
                  </w:r>
                </w:p>
              </w:tc>
              <w:tc>
                <w:tcPr>
                  <w:tcW w:w="1002" w:type="pct"/>
                  <w:vAlign w:val="center"/>
                </w:tcPr>
                <w:p>
                  <w:pPr>
                    <w:pStyle w:val="39"/>
                  </w:pPr>
                  <w:r>
                    <w:rPr>
                      <w:rFonts w:hint="eastAsi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0" w:type="pct"/>
                  <w:vMerge w:val="continue"/>
                  <w:vAlign w:val="center"/>
                </w:tcPr>
                <w:p>
                  <w:pPr>
                    <w:pStyle w:val="39"/>
                  </w:pPr>
                </w:p>
              </w:tc>
              <w:tc>
                <w:tcPr>
                  <w:tcW w:w="866" w:type="pct"/>
                  <w:vMerge w:val="continue"/>
                  <w:vAlign w:val="center"/>
                </w:tcPr>
                <w:p>
                  <w:pPr>
                    <w:pStyle w:val="39"/>
                  </w:pPr>
                </w:p>
              </w:tc>
              <w:tc>
                <w:tcPr>
                  <w:tcW w:w="630" w:type="pct"/>
                  <w:vMerge w:val="continue"/>
                  <w:vAlign w:val="center"/>
                </w:tcPr>
                <w:p>
                  <w:pPr>
                    <w:pStyle w:val="39"/>
                  </w:pPr>
                </w:p>
              </w:tc>
              <w:tc>
                <w:tcPr>
                  <w:tcW w:w="791" w:type="pct"/>
                  <w:vAlign w:val="center"/>
                </w:tcPr>
                <w:p>
                  <w:pPr>
                    <w:pStyle w:val="39"/>
                  </w:pPr>
                  <w:r>
                    <w:rPr>
                      <w:rFonts w:hint="eastAsia"/>
                    </w:rPr>
                    <w:t>罐型</w:t>
                  </w:r>
                </w:p>
              </w:tc>
              <w:tc>
                <w:tcPr>
                  <w:tcW w:w="841" w:type="pct"/>
                  <w:vAlign w:val="center"/>
                </w:tcPr>
                <w:p>
                  <w:pPr>
                    <w:pStyle w:val="39"/>
                  </w:pPr>
                  <w:r>
                    <w:rPr>
                      <w:rFonts w:hint="eastAsia"/>
                    </w:rPr>
                    <w:t>双层罐</w:t>
                  </w:r>
                </w:p>
              </w:tc>
              <w:tc>
                <w:tcPr>
                  <w:tcW w:w="1002" w:type="pct"/>
                  <w:vAlign w:val="center"/>
                </w:tcPr>
                <w:p>
                  <w:pPr>
                    <w:pStyle w:val="39"/>
                  </w:pPr>
                  <w:r>
                    <w:rPr>
                      <w:rFonts w:hint="eastAsi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0" w:type="pct"/>
                  <w:vMerge w:val="continue"/>
                  <w:vAlign w:val="center"/>
                </w:tcPr>
                <w:p>
                  <w:pPr>
                    <w:pStyle w:val="39"/>
                  </w:pPr>
                </w:p>
              </w:tc>
              <w:tc>
                <w:tcPr>
                  <w:tcW w:w="866" w:type="pct"/>
                  <w:vMerge w:val="restart"/>
                  <w:vAlign w:val="center"/>
                </w:tcPr>
                <w:p>
                  <w:pPr>
                    <w:pStyle w:val="39"/>
                  </w:pPr>
                  <w:r>
                    <w:rPr>
                      <w:rFonts w:hint="eastAsia"/>
                    </w:rPr>
                    <w:t>92#/95#/98#汽油储罐</w:t>
                  </w:r>
                </w:p>
              </w:tc>
              <w:tc>
                <w:tcPr>
                  <w:tcW w:w="630" w:type="pct"/>
                  <w:vMerge w:val="restart"/>
                  <w:vAlign w:val="center"/>
                </w:tcPr>
                <w:p>
                  <w:pPr>
                    <w:pStyle w:val="39"/>
                  </w:pPr>
                  <w:r>
                    <w:rPr>
                      <w:rFonts w:hint="eastAsia"/>
                    </w:rPr>
                    <w:t>3</w:t>
                  </w:r>
                </w:p>
              </w:tc>
              <w:tc>
                <w:tcPr>
                  <w:tcW w:w="791" w:type="pct"/>
                  <w:vAlign w:val="center"/>
                </w:tcPr>
                <w:p>
                  <w:pPr>
                    <w:pStyle w:val="39"/>
                  </w:pPr>
                  <w:r>
                    <w:rPr>
                      <w:rFonts w:hint="eastAsia"/>
                    </w:rPr>
                    <w:t>材质</w:t>
                  </w:r>
                </w:p>
              </w:tc>
              <w:tc>
                <w:tcPr>
                  <w:tcW w:w="841" w:type="pct"/>
                  <w:vAlign w:val="center"/>
                </w:tcPr>
                <w:p>
                  <w:pPr>
                    <w:pStyle w:val="39"/>
                  </w:pPr>
                  <w:r>
                    <w:rPr>
                      <w:rFonts w:hint="eastAsia"/>
                    </w:rPr>
                    <w:t>卧式钢制</w:t>
                  </w:r>
                </w:p>
              </w:tc>
              <w:tc>
                <w:tcPr>
                  <w:tcW w:w="1002" w:type="pct"/>
                  <w:vAlign w:val="center"/>
                </w:tcPr>
                <w:p>
                  <w:pPr>
                    <w:pStyle w:val="39"/>
                  </w:pPr>
                  <w:r>
                    <w:rPr>
                      <w:rFonts w:hint="eastAsi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0" w:type="pct"/>
                  <w:vMerge w:val="continue"/>
                  <w:vAlign w:val="center"/>
                </w:tcPr>
                <w:p>
                  <w:pPr>
                    <w:pStyle w:val="39"/>
                  </w:pPr>
                </w:p>
              </w:tc>
              <w:tc>
                <w:tcPr>
                  <w:tcW w:w="866" w:type="pct"/>
                  <w:vMerge w:val="continue"/>
                  <w:vAlign w:val="center"/>
                </w:tcPr>
                <w:p>
                  <w:pPr>
                    <w:pStyle w:val="39"/>
                  </w:pPr>
                </w:p>
              </w:tc>
              <w:tc>
                <w:tcPr>
                  <w:tcW w:w="630" w:type="pct"/>
                  <w:vMerge w:val="continue"/>
                  <w:vAlign w:val="center"/>
                </w:tcPr>
                <w:p>
                  <w:pPr>
                    <w:pStyle w:val="39"/>
                  </w:pPr>
                </w:p>
              </w:tc>
              <w:tc>
                <w:tcPr>
                  <w:tcW w:w="791" w:type="pct"/>
                  <w:vAlign w:val="center"/>
                </w:tcPr>
                <w:p>
                  <w:pPr>
                    <w:pStyle w:val="39"/>
                  </w:pPr>
                  <w:r>
                    <w:rPr>
                      <w:rFonts w:hint="eastAsia"/>
                    </w:rPr>
                    <w:t>公称容积</w:t>
                  </w:r>
                </w:p>
              </w:tc>
              <w:tc>
                <w:tcPr>
                  <w:tcW w:w="841" w:type="pct"/>
                  <w:vAlign w:val="center"/>
                </w:tcPr>
                <w:p>
                  <w:pPr>
                    <w:pStyle w:val="39"/>
                  </w:pPr>
                  <w:r>
                    <w:rPr>
                      <w:rFonts w:hint="eastAsia"/>
                    </w:rPr>
                    <w:t>20</w:t>
                  </w:r>
                </w:p>
              </w:tc>
              <w:tc>
                <w:tcPr>
                  <w:tcW w:w="1002" w:type="pct"/>
                  <w:vAlign w:val="center"/>
                </w:tcPr>
                <w:p>
                  <w:pPr>
                    <w:pStyle w:val="39"/>
                  </w:pPr>
                  <w:r>
                    <w:rPr>
                      <w:rFonts w:hint="eastAsia"/>
                    </w:rPr>
                    <w:t>立方米</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0" w:type="pct"/>
                  <w:vMerge w:val="continue"/>
                  <w:vAlign w:val="center"/>
                </w:tcPr>
                <w:p>
                  <w:pPr>
                    <w:pStyle w:val="39"/>
                  </w:pPr>
                </w:p>
              </w:tc>
              <w:tc>
                <w:tcPr>
                  <w:tcW w:w="866" w:type="pct"/>
                  <w:vMerge w:val="continue"/>
                  <w:vAlign w:val="center"/>
                </w:tcPr>
                <w:p>
                  <w:pPr>
                    <w:pStyle w:val="39"/>
                  </w:pPr>
                </w:p>
              </w:tc>
              <w:tc>
                <w:tcPr>
                  <w:tcW w:w="630" w:type="pct"/>
                  <w:vMerge w:val="continue"/>
                  <w:vAlign w:val="center"/>
                </w:tcPr>
                <w:p>
                  <w:pPr>
                    <w:pStyle w:val="39"/>
                  </w:pPr>
                </w:p>
              </w:tc>
              <w:tc>
                <w:tcPr>
                  <w:tcW w:w="791" w:type="pct"/>
                  <w:vAlign w:val="center"/>
                </w:tcPr>
                <w:p>
                  <w:pPr>
                    <w:pStyle w:val="39"/>
                  </w:pPr>
                  <w:r>
                    <w:rPr>
                      <w:rFonts w:hint="eastAsia"/>
                    </w:rPr>
                    <w:t>储存物料</w:t>
                  </w:r>
                </w:p>
              </w:tc>
              <w:tc>
                <w:tcPr>
                  <w:tcW w:w="841" w:type="pct"/>
                  <w:vAlign w:val="center"/>
                </w:tcPr>
                <w:p>
                  <w:pPr>
                    <w:pStyle w:val="39"/>
                  </w:pPr>
                  <w:r>
                    <w:rPr>
                      <w:rFonts w:hint="eastAsia"/>
                    </w:rPr>
                    <w:t>汽油</w:t>
                  </w:r>
                </w:p>
              </w:tc>
              <w:tc>
                <w:tcPr>
                  <w:tcW w:w="1002" w:type="pct"/>
                  <w:vAlign w:val="center"/>
                </w:tcPr>
                <w:p>
                  <w:pPr>
                    <w:pStyle w:val="39"/>
                  </w:pPr>
                  <w:r>
                    <w:rPr>
                      <w:rFonts w:hint="eastAsi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0" w:type="pct"/>
                  <w:vMerge w:val="continue"/>
                  <w:vAlign w:val="center"/>
                </w:tcPr>
                <w:p>
                  <w:pPr>
                    <w:pStyle w:val="39"/>
                  </w:pPr>
                </w:p>
              </w:tc>
              <w:tc>
                <w:tcPr>
                  <w:tcW w:w="866" w:type="pct"/>
                  <w:vMerge w:val="continue"/>
                  <w:vAlign w:val="center"/>
                </w:tcPr>
                <w:p>
                  <w:pPr>
                    <w:pStyle w:val="39"/>
                  </w:pPr>
                </w:p>
              </w:tc>
              <w:tc>
                <w:tcPr>
                  <w:tcW w:w="630" w:type="pct"/>
                  <w:vMerge w:val="continue"/>
                  <w:vAlign w:val="center"/>
                </w:tcPr>
                <w:p>
                  <w:pPr>
                    <w:pStyle w:val="39"/>
                  </w:pPr>
                </w:p>
              </w:tc>
              <w:tc>
                <w:tcPr>
                  <w:tcW w:w="791" w:type="pct"/>
                  <w:vAlign w:val="center"/>
                </w:tcPr>
                <w:p>
                  <w:pPr>
                    <w:pStyle w:val="39"/>
                  </w:pPr>
                  <w:r>
                    <w:rPr>
                      <w:rFonts w:hint="eastAsia"/>
                    </w:rPr>
                    <w:t>罐型</w:t>
                  </w:r>
                </w:p>
              </w:tc>
              <w:tc>
                <w:tcPr>
                  <w:tcW w:w="841" w:type="pct"/>
                  <w:vAlign w:val="center"/>
                </w:tcPr>
                <w:p>
                  <w:pPr>
                    <w:pStyle w:val="39"/>
                  </w:pPr>
                  <w:r>
                    <w:rPr>
                      <w:rFonts w:hint="eastAsia"/>
                    </w:rPr>
                    <w:t>双层罐</w:t>
                  </w:r>
                </w:p>
              </w:tc>
              <w:tc>
                <w:tcPr>
                  <w:tcW w:w="1002" w:type="pct"/>
                  <w:vAlign w:val="center"/>
                </w:tcPr>
                <w:p>
                  <w:pPr>
                    <w:pStyle w:val="39"/>
                  </w:pPr>
                  <w:r>
                    <w:rPr>
                      <w:rFonts w:hint="eastAsi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0" w:type="pct"/>
                  <w:vAlign w:val="center"/>
                </w:tcPr>
                <w:p>
                  <w:pPr>
                    <w:pStyle w:val="39"/>
                  </w:pPr>
                  <w:r>
                    <w:rPr>
                      <w:rFonts w:hint="eastAsia"/>
                    </w:rPr>
                    <w:t>加油区</w:t>
                  </w:r>
                </w:p>
              </w:tc>
              <w:tc>
                <w:tcPr>
                  <w:tcW w:w="866" w:type="pct"/>
                  <w:vAlign w:val="center"/>
                </w:tcPr>
                <w:p>
                  <w:pPr>
                    <w:pStyle w:val="39"/>
                  </w:pPr>
                  <w:r>
                    <w:rPr>
                      <w:rFonts w:hint="eastAsia"/>
                    </w:rPr>
                    <w:t>加油机</w:t>
                  </w:r>
                </w:p>
              </w:tc>
              <w:tc>
                <w:tcPr>
                  <w:tcW w:w="630" w:type="pct"/>
                  <w:vAlign w:val="center"/>
                </w:tcPr>
                <w:p>
                  <w:pPr>
                    <w:pStyle w:val="39"/>
                  </w:pPr>
                  <w:r>
                    <w:rPr>
                      <w:rFonts w:hint="eastAsia"/>
                    </w:rPr>
                    <w:t>6</w:t>
                  </w:r>
                </w:p>
              </w:tc>
              <w:tc>
                <w:tcPr>
                  <w:tcW w:w="791" w:type="pct"/>
                  <w:vAlign w:val="center"/>
                </w:tcPr>
                <w:p>
                  <w:pPr>
                    <w:pStyle w:val="39"/>
                  </w:pPr>
                  <w:r>
                    <w:rPr>
                      <w:rFonts w:hint="eastAsia"/>
                    </w:rPr>
                    <w:t>单台枪数</w:t>
                  </w:r>
                </w:p>
              </w:tc>
              <w:tc>
                <w:tcPr>
                  <w:tcW w:w="841" w:type="pct"/>
                  <w:vAlign w:val="center"/>
                </w:tcPr>
                <w:p>
                  <w:pPr>
                    <w:pStyle w:val="39"/>
                  </w:pPr>
                  <w:r>
                    <w:rPr>
                      <w:rFonts w:hint="eastAsia"/>
                    </w:rPr>
                    <w:t>4</w:t>
                  </w:r>
                </w:p>
              </w:tc>
              <w:tc>
                <w:tcPr>
                  <w:tcW w:w="1002" w:type="pct"/>
                  <w:vAlign w:val="center"/>
                </w:tcPr>
                <w:p>
                  <w:pPr>
                    <w:pStyle w:val="39"/>
                  </w:pPr>
                  <w:r>
                    <w:rPr>
                      <w:rFonts w:hint="eastAsia"/>
                    </w:rPr>
                    <w:t>个</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0" w:type="pct"/>
                  <w:vMerge w:val="restart"/>
                  <w:vAlign w:val="center"/>
                </w:tcPr>
                <w:p>
                  <w:pPr>
                    <w:pStyle w:val="39"/>
                  </w:pPr>
                  <w:r>
                    <w:rPr>
                      <w:rFonts w:hint="eastAsia"/>
                    </w:rPr>
                    <w:t>污水处理设施</w:t>
                  </w:r>
                </w:p>
              </w:tc>
              <w:tc>
                <w:tcPr>
                  <w:tcW w:w="866" w:type="pct"/>
                  <w:vAlign w:val="center"/>
                </w:tcPr>
                <w:p>
                  <w:pPr>
                    <w:pStyle w:val="39"/>
                  </w:pPr>
                  <w:r>
                    <w:rPr>
                      <w:rFonts w:hint="eastAsia"/>
                    </w:rPr>
                    <w:t>化粪池</w:t>
                  </w:r>
                </w:p>
              </w:tc>
              <w:tc>
                <w:tcPr>
                  <w:tcW w:w="630" w:type="pct"/>
                  <w:vAlign w:val="center"/>
                </w:tcPr>
                <w:p>
                  <w:pPr>
                    <w:pStyle w:val="39"/>
                  </w:pPr>
                  <w:r>
                    <w:rPr>
                      <w:rFonts w:hint="eastAsia"/>
                    </w:rPr>
                    <w:t>1</w:t>
                  </w:r>
                </w:p>
              </w:tc>
              <w:tc>
                <w:tcPr>
                  <w:tcW w:w="791" w:type="pct"/>
                  <w:vAlign w:val="center"/>
                </w:tcPr>
                <w:p>
                  <w:pPr>
                    <w:pStyle w:val="39"/>
                  </w:pPr>
                  <w:r>
                    <w:rPr>
                      <w:rFonts w:hint="eastAsia"/>
                    </w:rPr>
                    <w:t>容积</w:t>
                  </w:r>
                </w:p>
              </w:tc>
              <w:tc>
                <w:tcPr>
                  <w:tcW w:w="841" w:type="pct"/>
                  <w:vAlign w:val="center"/>
                </w:tcPr>
                <w:p>
                  <w:pPr>
                    <w:pStyle w:val="39"/>
                    <w:rPr>
                      <w:highlight w:val="yellow"/>
                    </w:rPr>
                  </w:pPr>
                  <w:r>
                    <w:rPr>
                      <w:rFonts w:hint="eastAsia"/>
                    </w:rPr>
                    <w:t>8.5</w:t>
                  </w:r>
                </w:p>
              </w:tc>
              <w:tc>
                <w:tcPr>
                  <w:tcW w:w="1002" w:type="pct"/>
                  <w:vAlign w:val="center"/>
                </w:tcPr>
                <w:p>
                  <w:pPr>
                    <w:pStyle w:val="39"/>
                  </w:pPr>
                  <w:r>
                    <w:rPr>
                      <w:rFonts w:hint="eastAsia"/>
                    </w:rPr>
                    <w:t>立方米</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0" w:type="pct"/>
                  <w:vMerge w:val="continue"/>
                  <w:vAlign w:val="center"/>
                </w:tcPr>
                <w:p>
                  <w:pPr>
                    <w:pStyle w:val="39"/>
                  </w:pPr>
                </w:p>
              </w:tc>
              <w:tc>
                <w:tcPr>
                  <w:tcW w:w="866" w:type="pct"/>
                  <w:vAlign w:val="center"/>
                </w:tcPr>
                <w:p>
                  <w:pPr>
                    <w:pStyle w:val="39"/>
                  </w:pPr>
                  <w:r>
                    <w:rPr>
                      <w:rFonts w:hint="eastAsia"/>
                    </w:rPr>
                    <w:t>隔油池</w:t>
                  </w:r>
                </w:p>
              </w:tc>
              <w:tc>
                <w:tcPr>
                  <w:tcW w:w="630" w:type="pct"/>
                  <w:vAlign w:val="center"/>
                </w:tcPr>
                <w:p>
                  <w:pPr>
                    <w:pStyle w:val="39"/>
                  </w:pPr>
                  <w:r>
                    <w:rPr>
                      <w:rFonts w:hint="eastAsia"/>
                    </w:rPr>
                    <w:t>1</w:t>
                  </w:r>
                </w:p>
              </w:tc>
              <w:tc>
                <w:tcPr>
                  <w:tcW w:w="791" w:type="pct"/>
                  <w:vAlign w:val="center"/>
                </w:tcPr>
                <w:p>
                  <w:pPr>
                    <w:pStyle w:val="39"/>
                  </w:pPr>
                  <w:r>
                    <w:rPr>
                      <w:rFonts w:hint="eastAsia"/>
                    </w:rPr>
                    <w:t>容积</w:t>
                  </w:r>
                </w:p>
              </w:tc>
              <w:tc>
                <w:tcPr>
                  <w:tcW w:w="841" w:type="pct"/>
                  <w:vAlign w:val="center"/>
                </w:tcPr>
                <w:p>
                  <w:pPr>
                    <w:pStyle w:val="39"/>
                    <w:rPr>
                      <w:highlight w:val="yellow"/>
                    </w:rPr>
                  </w:pPr>
                  <w:r>
                    <w:rPr>
                      <w:rFonts w:hint="eastAsia"/>
                    </w:rPr>
                    <w:t>6</w:t>
                  </w:r>
                </w:p>
              </w:tc>
              <w:tc>
                <w:tcPr>
                  <w:tcW w:w="1002" w:type="pct"/>
                  <w:vAlign w:val="center"/>
                </w:tcPr>
                <w:p>
                  <w:pPr>
                    <w:pStyle w:val="39"/>
                  </w:pPr>
                  <w:r>
                    <w:rPr>
                      <w:rFonts w:hint="eastAsia"/>
                    </w:rPr>
                    <w:t>立方米</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0" w:type="pct"/>
                  <w:vAlign w:val="center"/>
                </w:tcPr>
                <w:p>
                  <w:pPr>
                    <w:pStyle w:val="39"/>
                  </w:pPr>
                  <w:r>
                    <w:rPr>
                      <w:rFonts w:hint="eastAsia"/>
                    </w:rPr>
                    <w:t>废气处理设施</w:t>
                  </w:r>
                </w:p>
              </w:tc>
              <w:tc>
                <w:tcPr>
                  <w:tcW w:w="866" w:type="pct"/>
                  <w:vAlign w:val="center"/>
                </w:tcPr>
                <w:p>
                  <w:pPr>
                    <w:pStyle w:val="39"/>
                  </w:pPr>
                  <w:r>
                    <w:rPr>
                      <w:rFonts w:hint="eastAsia"/>
                    </w:rPr>
                    <w:t>三级油气回收系统</w:t>
                  </w:r>
                </w:p>
              </w:tc>
              <w:tc>
                <w:tcPr>
                  <w:tcW w:w="630" w:type="pct"/>
                  <w:vAlign w:val="center"/>
                </w:tcPr>
                <w:p>
                  <w:pPr>
                    <w:pStyle w:val="39"/>
                  </w:pPr>
                  <w:r>
                    <w:rPr>
                      <w:rFonts w:hint="eastAsia"/>
                    </w:rPr>
                    <w:t>1</w:t>
                  </w:r>
                </w:p>
              </w:tc>
              <w:tc>
                <w:tcPr>
                  <w:tcW w:w="791" w:type="pct"/>
                  <w:vAlign w:val="center"/>
                </w:tcPr>
                <w:p>
                  <w:pPr>
                    <w:pStyle w:val="39"/>
                  </w:pPr>
                  <w:r>
                    <w:rPr>
                      <w:rFonts w:hint="eastAsia"/>
                    </w:rPr>
                    <w:t>收集效率</w:t>
                  </w:r>
                </w:p>
              </w:tc>
              <w:tc>
                <w:tcPr>
                  <w:tcW w:w="841" w:type="pct"/>
                  <w:vAlign w:val="center"/>
                </w:tcPr>
                <w:p>
                  <w:pPr>
                    <w:pStyle w:val="39"/>
                  </w:pPr>
                  <w:r>
                    <w:rPr>
                      <w:rFonts w:hint="eastAsia"/>
                    </w:rPr>
                    <w:t>95~99.9</w:t>
                  </w:r>
                </w:p>
              </w:tc>
              <w:tc>
                <w:tcPr>
                  <w:tcW w:w="1002" w:type="pct"/>
                  <w:vAlign w:val="center"/>
                </w:tcPr>
                <w:p>
                  <w:pPr>
                    <w:pStyle w:val="39"/>
                  </w:pPr>
                  <w:r>
                    <w:rPr>
                      <w:rFonts w:hint="eastAsia"/>
                    </w:rPr>
                    <w:t>%</w:t>
                  </w:r>
                </w:p>
              </w:tc>
            </w:tr>
          </w:tbl>
          <w:p>
            <w:pPr>
              <w:spacing w:line="460" w:lineRule="exact"/>
              <w:ind w:firstLine="482" w:firstLineChars="200"/>
              <w:jc w:val="both"/>
              <w:rPr>
                <w:rFonts w:ascii="Times New Roman" w:hAnsi="Times New Roman" w:eastAsia="宋体" w:cs="Times New Roman"/>
                <w:b/>
                <w:bCs/>
                <w:sz w:val="24"/>
                <w:highlight w:val="yellow"/>
                <w:lang w:eastAsia="zh-CN"/>
              </w:rPr>
            </w:pPr>
            <w:r>
              <w:rPr>
                <w:rFonts w:hint="eastAsia" w:ascii="Times New Roman" w:hAnsi="Times New Roman" w:eastAsia="宋体" w:cs="Times New Roman"/>
                <w:b/>
                <w:bCs/>
                <w:sz w:val="24"/>
                <w:lang w:eastAsia="zh-CN"/>
              </w:rPr>
              <w:t>6、水平衡分析</w:t>
            </w:r>
          </w:p>
          <w:p>
            <w:pPr>
              <w:pStyle w:val="45"/>
              <w:widowControl w:val="0"/>
              <w:ind w:firstLine="480"/>
              <w:rPr>
                <w:snapToGrid w:val="0"/>
                <w:color w:val="000000"/>
              </w:rPr>
            </w:pPr>
            <w:bookmarkStart w:id="6" w:name="_Hlk186038615"/>
            <w:r>
              <w:rPr>
                <w:rFonts w:hint="eastAsia"/>
                <w:snapToGrid w:val="0"/>
                <w:color w:val="000000"/>
              </w:rPr>
              <w:t>①生活用水</w:t>
            </w:r>
          </w:p>
          <w:p>
            <w:pPr>
              <w:pStyle w:val="45"/>
              <w:widowControl w:val="0"/>
              <w:ind w:firstLine="480"/>
              <w:rPr>
                <w:snapToGrid w:val="0"/>
              </w:rPr>
            </w:pPr>
            <w:r>
              <w:rPr>
                <w:rFonts w:hint="eastAsia"/>
              </w:rPr>
              <w:t>本项目</w:t>
            </w:r>
            <w:r>
              <w:t>劳动定员</w:t>
            </w:r>
            <w:r>
              <w:rPr>
                <w:rFonts w:hint="eastAsia"/>
              </w:rPr>
              <w:t>为8</w:t>
            </w:r>
            <w:r>
              <w:t>人，</w:t>
            </w:r>
            <w:r>
              <w:rPr>
                <w:rFonts w:hint="eastAsia"/>
              </w:rPr>
              <w:t>厂区内不设置食宿，</w:t>
            </w:r>
            <w:r>
              <w:rPr>
                <w:lang w:val="en-US"/>
              </w:rPr>
              <w:t>根据《建筑给水排水设计规范》(GB50015-2019)可知，</w:t>
            </w:r>
            <w:r>
              <w:rPr>
                <w:bCs/>
              </w:rPr>
              <w:t>生活用水量按</w:t>
            </w:r>
            <w:r>
              <w:rPr>
                <w:rFonts w:hint="eastAsia"/>
                <w:bCs/>
              </w:rPr>
              <w:t>50</w:t>
            </w:r>
            <w:r>
              <w:rPr>
                <w:bCs/>
              </w:rPr>
              <w:t>L/人·d计，则全年生活用水量为</w:t>
            </w:r>
            <w:r>
              <w:rPr>
                <w:rFonts w:hint="eastAsia"/>
                <w:bCs/>
              </w:rPr>
              <w:t>146m</w:t>
            </w:r>
            <w:r>
              <w:rPr>
                <w:rFonts w:hint="eastAsia"/>
                <w:bCs/>
                <w:vertAlign w:val="superscript"/>
              </w:rPr>
              <w:t>3</w:t>
            </w:r>
            <w:r>
              <w:rPr>
                <w:bCs/>
              </w:rPr>
              <w:t>/a</w:t>
            </w:r>
            <w:r>
              <w:rPr>
                <w:rFonts w:hint="eastAsia"/>
                <w:snapToGrid w:val="0"/>
              </w:rPr>
              <w:t>。排水按80%计，则</w:t>
            </w:r>
            <w:r>
              <w:rPr>
                <w:rFonts w:hint="eastAsia"/>
                <w:snapToGrid w:val="0"/>
                <w:lang w:val="en-US"/>
              </w:rPr>
              <w:t>生活污水产生量为116.8m</w:t>
            </w:r>
            <w:r>
              <w:rPr>
                <w:rFonts w:hint="eastAsia"/>
                <w:snapToGrid w:val="0"/>
                <w:vertAlign w:val="superscript"/>
                <w:lang w:val="en-US"/>
              </w:rPr>
              <w:t>3</w:t>
            </w:r>
            <w:r>
              <w:rPr>
                <w:rFonts w:hint="eastAsia"/>
                <w:snapToGrid w:val="0"/>
                <w:lang w:val="en-US"/>
              </w:rPr>
              <w:t>/a，</w:t>
            </w:r>
          </w:p>
          <w:p>
            <w:pPr>
              <w:pStyle w:val="45"/>
              <w:widowControl w:val="0"/>
              <w:ind w:firstLine="480"/>
              <w:rPr>
                <w:rFonts w:hint="eastAsia" w:ascii="宋体" w:hAnsi="宋体" w:cs="宋体"/>
                <w:snapToGrid w:val="0"/>
              </w:rPr>
            </w:pPr>
            <w:r>
              <w:rPr>
                <w:rFonts w:hint="eastAsia" w:ascii="宋体" w:hAnsi="宋体" w:cs="宋体"/>
                <w:snapToGrid w:val="0"/>
              </w:rPr>
              <w:t>②对外公共厕所用水</w:t>
            </w:r>
          </w:p>
          <w:p>
            <w:pPr>
              <w:pStyle w:val="45"/>
              <w:widowControl w:val="0"/>
              <w:ind w:firstLine="480"/>
              <w:rPr>
                <w:rFonts w:cs="宋体"/>
                <w:snapToGrid w:val="0"/>
              </w:rPr>
            </w:pPr>
            <w:r>
              <w:rPr>
                <w:rFonts w:hint="eastAsia" w:cs="宋体"/>
                <w:snapToGrid w:val="0"/>
              </w:rPr>
              <w:t>本项目对外开放的公共厕所按预计接纳的最大客流量200人/d计算，用水量按15L/人</w:t>
            </w:r>
            <w:r>
              <w:rPr>
                <w:snapToGrid w:val="0"/>
              </w:rPr>
              <w:t>·</w:t>
            </w:r>
            <w:r>
              <w:rPr>
                <w:rFonts w:hint="eastAsia" w:cs="宋体"/>
                <w:snapToGrid w:val="0"/>
              </w:rPr>
              <w:t>d计，则公厕的生活用水量为1095m</w:t>
            </w:r>
            <w:r>
              <w:rPr>
                <w:rFonts w:hint="eastAsia" w:cs="宋体"/>
                <w:snapToGrid w:val="0"/>
                <w:vertAlign w:val="superscript"/>
              </w:rPr>
              <w:t>3</w:t>
            </w:r>
            <w:r>
              <w:rPr>
                <w:rFonts w:hint="eastAsia" w:cs="宋体"/>
                <w:snapToGrid w:val="0"/>
              </w:rPr>
              <w:t>/a。</w:t>
            </w:r>
            <w:r>
              <w:rPr>
                <w:rFonts w:hint="eastAsia" w:cs="宋体"/>
                <w:snapToGrid w:val="0"/>
                <w:lang w:val="en-US"/>
              </w:rPr>
              <w:t>排水按80%计，则</w:t>
            </w:r>
            <w:r>
              <w:rPr>
                <w:rFonts w:hint="eastAsia"/>
                <w:snapToGrid w:val="0"/>
                <w:lang w:val="en-US"/>
              </w:rPr>
              <w:t>公厕废水产生量为876m</w:t>
            </w:r>
            <w:r>
              <w:rPr>
                <w:rFonts w:hint="eastAsia"/>
                <w:snapToGrid w:val="0"/>
                <w:vertAlign w:val="superscript"/>
                <w:lang w:val="en-US"/>
              </w:rPr>
              <w:t>3</w:t>
            </w:r>
            <w:r>
              <w:rPr>
                <w:rFonts w:hint="eastAsia"/>
                <w:snapToGrid w:val="0"/>
                <w:lang w:val="en-US"/>
              </w:rPr>
              <w:t>/a。</w:t>
            </w:r>
          </w:p>
          <w:p>
            <w:pPr>
              <w:pStyle w:val="45"/>
              <w:widowControl w:val="0"/>
              <w:ind w:firstLine="480"/>
              <w:rPr>
                <w:snapToGrid w:val="0"/>
                <w:lang w:bidi="ar-SA"/>
                <w14:ligatures w14:val="none"/>
              </w:rPr>
            </w:pPr>
            <w:r>
              <w:rPr>
                <w:rFonts w:hint="eastAsia" w:ascii="宋体" w:hAnsi="宋体" w:cs="宋体"/>
                <w:snapToGrid w:val="0"/>
              </w:rPr>
              <w:t>③</w:t>
            </w:r>
            <w:r>
              <w:t>加油棚地面冲洗水</w:t>
            </w:r>
          </w:p>
          <w:p>
            <w:pPr>
              <w:pStyle w:val="45"/>
              <w:widowControl w:val="0"/>
              <w:ind w:firstLine="480"/>
            </w:pPr>
            <w:r>
              <w:t>项目油罐车运输、装卸过程和加油过程中存在着少量油料滴、漏在地面的现象。为了保护站场清洁，项目运营过程需对站内加油棚的地面进行</w:t>
            </w:r>
            <w:r>
              <w:rPr>
                <w:rFonts w:hint="eastAsia"/>
                <w:lang w:eastAsia="zh-CN"/>
              </w:rPr>
              <w:t>冲洗</w:t>
            </w:r>
            <w:r>
              <w:t>，根据建设单位介绍，预计平均冲洗4次/月，参照《建筑给水排水设计规范》 (GB50015-2019)可知，地面冲洗用水量按3L/m</w:t>
            </w:r>
            <w:r>
              <w:rPr>
                <w:vertAlign w:val="superscript"/>
              </w:rPr>
              <w:t>2</w:t>
            </w:r>
            <w:r>
              <w:t xml:space="preserve"> 计，加油棚占地面积</w:t>
            </w:r>
            <w:r>
              <w:rPr>
                <w:rFonts w:hint="eastAsia"/>
              </w:rPr>
              <w:t>309.57</w:t>
            </w:r>
            <w:r>
              <w:t>m</w:t>
            </w:r>
            <w:r>
              <w:rPr>
                <w:vertAlign w:val="superscript"/>
              </w:rPr>
              <w:t>2</w:t>
            </w:r>
            <w:r>
              <w:t>，每次用水量约为</w:t>
            </w:r>
            <w:r>
              <w:rPr>
                <w:rFonts w:hint="eastAsia"/>
              </w:rPr>
              <w:t>0.929</w:t>
            </w:r>
            <w:r>
              <w:t>t，则冲洗地面用水量</w:t>
            </w:r>
            <w:r>
              <w:rPr>
                <w:rFonts w:hint="eastAsia"/>
              </w:rPr>
              <w:t>44.59</w:t>
            </w:r>
            <w:r>
              <w:t>m</w:t>
            </w:r>
            <w:r>
              <w:rPr>
                <w:vertAlign w:val="superscript"/>
              </w:rPr>
              <w:t>3</w:t>
            </w:r>
            <w:r>
              <w:t>/a，</w:t>
            </w:r>
            <w:r>
              <w:rPr>
                <w:rFonts w:hint="eastAsia"/>
              </w:rPr>
              <w:t>排水量</w:t>
            </w:r>
            <w:r>
              <w:t>按90%计算，则冲洗废水排放量为</w:t>
            </w:r>
            <w:r>
              <w:rPr>
                <w:rFonts w:hint="eastAsia"/>
              </w:rPr>
              <w:t>40.13</w:t>
            </w:r>
            <w:r>
              <w:t>m3/a(0</w:t>
            </w:r>
            <w:r>
              <w:rPr>
                <w:rFonts w:hint="eastAsia"/>
              </w:rPr>
              <w:t>.836</w:t>
            </w:r>
            <w:r>
              <w:t>m</w:t>
            </w:r>
            <w:r>
              <w:rPr>
                <w:vertAlign w:val="superscript"/>
              </w:rPr>
              <w:t>3</w:t>
            </w:r>
            <w:r>
              <w:t>/次)。</w:t>
            </w:r>
          </w:p>
          <w:p>
            <w:pPr>
              <w:pStyle w:val="45"/>
              <w:widowControl w:val="0"/>
              <w:ind w:firstLine="480"/>
              <w:rPr>
                <w:snapToGrid w:val="0"/>
              </w:rPr>
            </w:pPr>
            <w:r>
              <w:rPr>
                <w:rFonts w:hint="eastAsia"/>
                <w:snapToGrid w:val="0"/>
              </w:rPr>
              <w:t>④</w:t>
            </w:r>
            <w:r>
              <w:rPr>
                <w:snapToGrid w:val="0"/>
              </w:rPr>
              <w:t>棚顶降温喷淋系统用水</w:t>
            </w:r>
          </w:p>
          <w:p>
            <w:pPr>
              <w:pStyle w:val="45"/>
              <w:widowControl w:val="0"/>
              <w:ind w:firstLine="480"/>
            </w:pPr>
            <w:r>
              <w:rPr>
                <w:snapToGrid w:val="0"/>
                <w:lang w:val="en-US" w:bidi="ar-SA"/>
              </w:rPr>
              <w:t>项目加油棚顶拟安装降温喷淋系统，加油棚顶降温喷淋系统用水全部被站区高温及地面高温蒸发，不外排。地面细小颗粒物经地面定期冲洗，进入隔油池处理后，变成污泥，最后作为危险废物</w:t>
            </w:r>
            <w:r>
              <w:rPr>
                <w:snapToGrid w:val="0"/>
                <w:spacing w:val="-3"/>
                <w:lang w:val="en-US" w:bidi="ar-SA"/>
              </w:rPr>
              <w:t>处置。根据建设单位提供资料，项目加油站单个喷头喷雾量约</w:t>
            </w:r>
            <w:r>
              <w:rPr>
                <w:rFonts w:eastAsia="Times New Roman"/>
                <w:snapToGrid w:val="0"/>
                <w:spacing w:val="-3"/>
                <w:lang w:val="en-US" w:bidi="ar-SA"/>
              </w:rPr>
              <w:t>3</w:t>
            </w:r>
            <w:r>
              <w:rPr>
                <w:snapToGrid w:val="0"/>
                <w:spacing w:val="-3"/>
                <w:lang w:val="en-US" w:bidi="ar-SA"/>
              </w:rPr>
              <w:t>升</w:t>
            </w:r>
            <w:r>
              <w:rPr>
                <w:rFonts w:eastAsia="Times New Roman"/>
                <w:snapToGrid w:val="0"/>
                <w:spacing w:val="-3"/>
                <w:lang w:val="en-US" w:bidi="ar-SA"/>
              </w:rPr>
              <w:t>/</w:t>
            </w:r>
            <w:r>
              <w:rPr>
                <w:snapToGrid w:val="0"/>
                <w:spacing w:val="-3"/>
                <w:lang w:val="en-US" w:bidi="ar-SA"/>
              </w:rPr>
              <w:t>小时，一</w:t>
            </w:r>
            <w:r>
              <w:rPr>
                <w:snapToGrid w:val="0"/>
                <w:spacing w:val="2"/>
                <w:lang w:val="en-US" w:bidi="ar-SA"/>
              </w:rPr>
              <w:t>个加油棚约</w:t>
            </w:r>
            <w:r>
              <w:rPr>
                <w:rFonts w:hint="eastAsia" w:eastAsiaTheme="minorEastAsia"/>
                <w:snapToGrid w:val="0"/>
                <w:spacing w:val="2"/>
                <w:lang w:val="en-US" w:bidi="ar-SA"/>
              </w:rPr>
              <w:t>50</w:t>
            </w:r>
            <w:r>
              <w:rPr>
                <w:snapToGrid w:val="0"/>
                <w:spacing w:val="2"/>
                <w:lang w:val="en-US" w:bidi="ar-SA"/>
              </w:rPr>
              <w:t>个喷头，一天约</w:t>
            </w:r>
            <w:r>
              <w:rPr>
                <w:rFonts w:eastAsia="Times New Roman"/>
                <w:snapToGrid w:val="0"/>
                <w:spacing w:val="2"/>
                <w:lang w:val="en-US" w:bidi="ar-SA"/>
              </w:rPr>
              <w:t>10</w:t>
            </w:r>
            <w:r>
              <w:rPr>
                <w:snapToGrid w:val="0"/>
                <w:spacing w:val="2"/>
                <w:lang w:val="en-US" w:bidi="ar-SA"/>
              </w:rPr>
              <w:t>小时</w:t>
            </w:r>
            <w:r>
              <w:rPr>
                <w:snapToGrid w:val="0"/>
                <w:spacing w:val="1"/>
                <w:lang w:val="en-US" w:bidi="ar-SA"/>
              </w:rPr>
              <w:t>喷雾，</w:t>
            </w:r>
            <w:r>
              <w:rPr>
                <w:rFonts w:hint="eastAsia"/>
                <w:snapToGrid w:val="0"/>
                <w:spacing w:val="1"/>
                <w:lang w:val="en-US" w:bidi="ar-SA"/>
              </w:rPr>
              <w:t>一年中除去降雨按</w:t>
            </w:r>
            <w:r>
              <w:rPr>
                <w:rFonts w:hint="eastAsia" w:eastAsiaTheme="minorEastAsia"/>
                <w:snapToGrid w:val="0"/>
                <w:spacing w:val="1"/>
                <w:lang w:val="en-US" w:bidi="ar-SA"/>
              </w:rPr>
              <w:t>100</w:t>
            </w:r>
            <w:r>
              <w:rPr>
                <w:snapToGrid w:val="0"/>
                <w:spacing w:val="1"/>
                <w:lang w:val="en-US" w:bidi="ar-SA"/>
              </w:rPr>
              <w:t>天需喷</w:t>
            </w:r>
            <w:r>
              <w:rPr>
                <w:snapToGrid w:val="0"/>
                <w:spacing w:val="-4"/>
                <w:lang w:val="en-US" w:bidi="ar-SA"/>
              </w:rPr>
              <w:t>雾，合计年耗水量约</w:t>
            </w:r>
            <w:r>
              <w:rPr>
                <w:snapToGrid w:val="0"/>
                <w:spacing w:val="-40"/>
                <w:lang w:val="en-US" w:bidi="ar-SA"/>
              </w:rPr>
              <w:t xml:space="preserve"> </w:t>
            </w:r>
            <w:r>
              <w:rPr>
                <w:rFonts w:hint="eastAsia" w:eastAsiaTheme="minorEastAsia"/>
                <w:snapToGrid w:val="0"/>
                <w:spacing w:val="-4"/>
                <w:lang w:val="en-US" w:bidi="ar-SA"/>
              </w:rPr>
              <w:t>150</w:t>
            </w:r>
            <w:r>
              <w:rPr>
                <w:rFonts w:eastAsia="Times New Roman"/>
                <w:snapToGrid w:val="0"/>
                <w:spacing w:val="-4"/>
                <w:lang w:val="en-US" w:bidi="ar-SA"/>
              </w:rPr>
              <w:t>m</w:t>
            </w:r>
            <w:r>
              <w:rPr>
                <w:rFonts w:eastAsia="Times New Roman"/>
                <w:snapToGrid w:val="0"/>
                <w:spacing w:val="-4"/>
                <w:position w:val="7"/>
                <w:sz w:val="15"/>
                <w:szCs w:val="15"/>
                <w:lang w:val="en-US" w:bidi="ar-SA"/>
              </w:rPr>
              <w:t>3</w:t>
            </w:r>
            <w:r>
              <w:rPr>
                <w:rFonts w:eastAsia="Times New Roman"/>
                <w:snapToGrid w:val="0"/>
                <w:spacing w:val="-8"/>
                <w:position w:val="7"/>
                <w:sz w:val="15"/>
                <w:szCs w:val="15"/>
                <w:lang w:val="en-US" w:bidi="ar-SA"/>
              </w:rPr>
              <w:t xml:space="preserve"> </w:t>
            </w:r>
            <w:r>
              <w:rPr>
                <w:snapToGrid w:val="0"/>
                <w:spacing w:val="-4"/>
                <w:lang w:val="en-US" w:bidi="ar-SA"/>
              </w:rPr>
              <w:t>，</w:t>
            </w:r>
            <w:r>
              <w:rPr>
                <w:snapToGrid w:val="0"/>
                <w:spacing w:val="-69"/>
                <w:lang w:val="en-US" w:bidi="ar-SA"/>
              </w:rPr>
              <w:t xml:space="preserve"> </w:t>
            </w:r>
            <w:r>
              <w:rPr>
                <w:snapToGrid w:val="0"/>
                <w:spacing w:val="-4"/>
                <w:lang w:val="en-US" w:bidi="ar-SA"/>
              </w:rPr>
              <w:t>日均耗水量</w:t>
            </w:r>
            <w:r>
              <w:rPr>
                <w:rFonts w:hint="eastAsia" w:eastAsiaTheme="minorEastAsia"/>
                <w:snapToGrid w:val="0"/>
                <w:spacing w:val="-4"/>
                <w:lang w:val="en-US" w:bidi="ar-SA"/>
              </w:rPr>
              <w:t>1.5</w:t>
            </w:r>
            <w:r>
              <w:rPr>
                <w:rFonts w:eastAsia="Times New Roman"/>
                <w:snapToGrid w:val="0"/>
                <w:spacing w:val="-4"/>
                <w:lang w:val="en-US" w:bidi="ar-SA"/>
              </w:rPr>
              <w:t>m</w:t>
            </w:r>
            <w:r>
              <w:rPr>
                <w:rFonts w:eastAsia="Times New Roman"/>
                <w:snapToGrid w:val="0"/>
                <w:spacing w:val="-4"/>
                <w:position w:val="7"/>
                <w:sz w:val="15"/>
                <w:szCs w:val="15"/>
                <w:lang w:val="en-US" w:bidi="ar-SA"/>
              </w:rPr>
              <w:t>3</w:t>
            </w:r>
            <w:r>
              <w:rPr>
                <w:snapToGrid w:val="0"/>
                <w:spacing w:val="-4"/>
                <w:lang w:val="en-US" w:bidi="ar-SA"/>
              </w:rPr>
              <w:t>。</w:t>
            </w:r>
          </w:p>
          <w:p>
            <w:pPr>
              <w:pStyle w:val="45"/>
              <w:widowControl w:val="0"/>
              <w:ind w:firstLine="480"/>
            </w:pPr>
            <w:r>
              <w:rPr>
                <w:rFonts w:hint="eastAsia" w:ascii="宋体" w:hAnsi="宋体" w:cs="宋体"/>
              </w:rPr>
              <w:t>⑤</w:t>
            </w:r>
            <w:r>
              <w:rPr>
                <w:rFonts w:hint="eastAsia"/>
              </w:rPr>
              <w:t>初期雨水</w:t>
            </w:r>
          </w:p>
          <w:p>
            <w:pPr>
              <w:pStyle w:val="45"/>
              <w:widowControl w:val="0"/>
              <w:ind w:firstLine="480"/>
            </w:pPr>
            <w:r>
              <w:t>在降雨初期，雨水中可能会带走空气中的粉尘</w:t>
            </w:r>
            <w:r>
              <w:rPr>
                <w:rFonts w:hint="eastAsia"/>
              </w:rPr>
              <w:t>、</w:t>
            </w:r>
            <w:r>
              <w:t>地面的灰尘</w:t>
            </w:r>
            <w:r>
              <w:rPr>
                <w:rFonts w:hint="eastAsia"/>
              </w:rPr>
              <w:t>以及少量油污</w:t>
            </w:r>
            <w:r>
              <w:t>，初期雨水要作为污水进行处理。初期雨水主要是指生产区等雨水，依据《给水排水工程快速设计手册-2-排水工程》确定本项目初期雨水收集时间为15min，设计雨水流量Q计算公式如下：</w:t>
            </w:r>
          </w:p>
          <w:p>
            <w:pPr>
              <w:adjustRightInd w:val="0"/>
              <w:snapToGrid w:val="0"/>
              <w:spacing w:line="460" w:lineRule="exact"/>
              <w:ind w:firstLine="480" w:firstLineChars="200"/>
              <w:jc w:val="both"/>
              <w:rPr>
                <w:rFonts w:ascii="Times New Roman" w:hAnsi="Times New Roman" w:eastAsia="宋体" w:cs="Times New Roman"/>
                <w:sz w:val="24"/>
                <w:szCs w:val="24"/>
                <w:lang w:eastAsia="zh-CN"/>
              </w:rPr>
            </w:pPr>
            <w:r>
              <w:rPr>
                <w:rFonts w:ascii="Times New Roman" w:hAnsi="Times New Roman" w:eastAsia="宋体" w:cs="Times New Roman"/>
                <w:sz w:val="24"/>
                <w:szCs w:val="24"/>
                <w:lang w:eastAsia="zh-CN"/>
              </w:rPr>
              <w:t>雨水设计流量Q：</w:t>
            </w:r>
          </w:p>
          <w:p>
            <w:pPr>
              <w:adjustRightInd w:val="0"/>
              <w:snapToGrid w:val="0"/>
              <w:spacing w:line="460" w:lineRule="exact"/>
              <w:jc w:val="center"/>
              <w:rPr>
                <w:rFonts w:ascii="Times New Roman" w:hAnsi="Times New Roman" w:eastAsia="宋体" w:cs="Times New Roman"/>
                <w:sz w:val="24"/>
                <w:szCs w:val="24"/>
                <w:lang w:eastAsia="zh-CN"/>
              </w:rPr>
            </w:pPr>
            <w:r>
              <w:rPr>
                <w:rFonts w:ascii="Times New Roman" w:hAnsi="Times New Roman" w:eastAsia="宋体" w:cs="Times New Roman"/>
                <w:sz w:val="24"/>
                <w:szCs w:val="24"/>
                <w:lang w:eastAsia="zh-CN"/>
              </w:rPr>
              <w:t>Q=</w:t>
            </w:r>
            <w:r>
              <w:rPr>
                <w:rFonts w:ascii="Times New Roman" w:hAnsi="Times New Roman" w:eastAsia="宋体" w:cs="Times New Roman"/>
                <w:sz w:val="24"/>
                <w:szCs w:val="24"/>
              </w:rPr>
              <w:t>Ψ</w:t>
            </w:r>
            <w:r>
              <w:rPr>
                <w:rFonts w:ascii="Times New Roman" w:hAnsi="Times New Roman" w:eastAsia="宋体" w:cs="Times New Roman"/>
                <w:sz w:val="24"/>
                <w:szCs w:val="24"/>
                <w:lang w:eastAsia="zh-CN"/>
              </w:rPr>
              <w:t>×</w:t>
            </w:r>
            <w:r>
              <w:rPr>
                <w:rFonts w:hint="eastAsia" w:ascii="Times New Roman" w:hAnsi="Times New Roman" w:eastAsia="宋体" w:cs="Times New Roman"/>
                <w:i/>
                <w:iCs/>
                <w:sz w:val="24"/>
                <w:szCs w:val="24"/>
                <w:lang w:eastAsia="zh-CN"/>
              </w:rPr>
              <w:t>i</w:t>
            </w:r>
            <w:r>
              <w:rPr>
                <w:rFonts w:ascii="Times New Roman" w:hAnsi="Times New Roman" w:eastAsia="宋体" w:cs="Times New Roman"/>
                <w:sz w:val="24"/>
                <w:szCs w:val="24"/>
                <w:lang w:eastAsia="zh-CN"/>
              </w:rPr>
              <w:t>×F</w:t>
            </w:r>
          </w:p>
          <w:p>
            <w:pPr>
              <w:adjustRightInd w:val="0"/>
              <w:snapToGrid w:val="0"/>
              <w:spacing w:line="460" w:lineRule="exact"/>
              <w:ind w:firstLine="480" w:firstLineChars="200"/>
              <w:jc w:val="both"/>
              <w:rPr>
                <w:rFonts w:ascii="Times New Roman" w:hAnsi="Times New Roman" w:eastAsia="宋体" w:cs="Times New Roman"/>
                <w:sz w:val="24"/>
                <w:szCs w:val="24"/>
                <w:lang w:eastAsia="zh-CN"/>
              </w:rPr>
            </w:pPr>
            <w:r>
              <w:rPr>
                <w:rFonts w:ascii="Times New Roman" w:hAnsi="Times New Roman" w:eastAsia="宋体" w:cs="Times New Roman"/>
                <w:sz w:val="24"/>
                <w:szCs w:val="24"/>
                <w:lang w:eastAsia="zh-CN"/>
              </w:rPr>
              <w:t>式中：Q为雨水设计流量（L/s）；</w:t>
            </w:r>
          </w:p>
          <w:p>
            <w:pPr>
              <w:adjustRightInd w:val="0"/>
              <w:snapToGrid w:val="0"/>
              <w:spacing w:line="460" w:lineRule="exact"/>
              <w:ind w:firstLine="1200" w:firstLineChars="500"/>
              <w:jc w:val="both"/>
              <w:rPr>
                <w:rFonts w:ascii="Times New Roman" w:hAnsi="Times New Roman" w:eastAsia="宋体" w:cs="Times New Roman"/>
                <w:sz w:val="24"/>
                <w:szCs w:val="24"/>
                <w:lang w:eastAsia="zh-CN"/>
              </w:rPr>
            </w:pPr>
            <w:r>
              <w:rPr>
                <w:rFonts w:hint="eastAsia" w:ascii="Times New Roman" w:hAnsi="Times New Roman" w:eastAsia="宋体" w:cs="Times New Roman"/>
                <w:i/>
                <w:iCs/>
                <w:sz w:val="24"/>
                <w:szCs w:val="24"/>
                <w:lang w:eastAsia="zh-CN"/>
              </w:rPr>
              <w:t>i</w:t>
            </w:r>
            <w:r>
              <w:rPr>
                <w:rFonts w:ascii="Times New Roman" w:hAnsi="Times New Roman" w:eastAsia="宋体" w:cs="Times New Roman"/>
                <w:sz w:val="24"/>
                <w:szCs w:val="24"/>
                <w:lang w:eastAsia="zh-CN"/>
              </w:rPr>
              <w:t>为设计暴雨强度（L/s• h</w:t>
            </w:r>
            <w:r>
              <w:rPr>
                <w:rFonts w:hint="eastAsia" w:ascii="Times New Roman" w:hAnsi="Times New Roman" w:eastAsia="宋体" w:cs="Times New Roman"/>
                <w:sz w:val="24"/>
                <w:szCs w:val="24"/>
                <w:lang w:eastAsia="zh-CN"/>
              </w:rPr>
              <w:t>a</w:t>
            </w:r>
            <w:r>
              <w:rPr>
                <w:rFonts w:ascii="Times New Roman" w:hAnsi="Times New Roman" w:eastAsia="宋体" w:cs="Times New Roman"/>
                <w:sz w:val="24"/>
                <w:szCs w:val="24"/>
                <w:lang w:eastAsia="zh-CN"/>
              </w:rPr>
              <w:t>）；</w:t>
            </w:r>
          </w:p>
          <w:p>
            <w:pPr>
              <w:adjustRightInd w:val="0"/>
              <w:snapToGrid w:val="0"/>
              <w:spacing w:line="460" w:lineRule="exact"/>
              <w:ind w:firstLine="1200" w:firstLineChars="500"/>
              <w:jc w:val="both"/>
              <w:rPr>
                <w:rFonts w:ascii="Times New Roman" w:hAnsi="Times New Roman" w:eastAsia="宋体" w:cs="Times New Roman"/>
                <w:sz w:val="24"/>
                <w:szCs w:val="24"/>
                <w:lang w:eastAsia="zh-CN"/>
              </w:rPr>
            </w:pPr>
            <w:r>
              <w:rPr>
                <w:rFonts w:ascii="Times New Roman" w:hAnsi="Times New Roman" w:eastAsia="宋体" w:cs="Times New Roman"/>
                <w:sz w:val="24"/>
                <w:szCs w:val="24"/>
              </w:rPr>
              <w:t>Ψ</w:t>
            </w:r>
            <w:r>
              <w:rPr>
                <w:rFonts w:ascii="Times New Roman" w:hAnsi="Times New Roman" w:eastAsia="宋体" w:cs="Times New Roman"/>
                <w:sz w:val="24"/>
                <w:szCs w:val="24"/>
                <w:lang w:eastAsia="zh-CN"/>
              </w:rPr>
              <w:t>为径流系数，取0.9；</w:t>
            </w:r>
          </w:p>
          <w:p>
            <w:pPr>
              <w:adjustRightInd w:val="0"/>
              <w:snapToGrid w:val="0"/>
              <w:spacing w:line="460" w:lineRule="exact"/>
              <w:ind w:firstLine="1200" w:firstLineChars="500"/>
              <w:jc w:val="both"/>
              <w:rPr>
                <w:rFonts w:ascii="Times New Roman" w:hAnsi="Times New Roman" w:eastAsia="宋体" w:cs="Times New Roman"/>
                <w:sz w:val="24"/>
                <w:szCs w:val="24"/>
                <w:lang w:eastAsia="zh-CN"/>
              </w:rPr>
            </w:pPr>
            <w:r>
              <w:rPr>
                <w:rFonts w:ascii="Times New Roman" w:hAnsi="Times New Roman" w:eastAsia="宋体" w:cs="Times New Roman"/>
                <w:sz w:val="24"/>
                <w:szCs w:val="24"/>
                <w:lang w:eastAsia="zh-CN"/>
              </w:rPr>
              <w:t>F为汇水面积（h</w:t>
            </w:r>
            <w:r>
              <w:rPr>
                <w:rFonts w:hint="eastAsia" w:ascii="Times New Roman" w:hAnsi="Times New Roman" w:eastAsia="宋体" w:cs="Times New Roman"/>
                <w:sz w:val="24"/>
                <w:szCs w:val="24"/>
                <w:lang w:eastAsia="zh-CN"/>
              </w:rPr>
              <w:t>a</w:t>
            </w:r>
            <w:r>
              <w:rPr>
                <w:rFonts w:ascii="Times New Roman" w:hAnsi="Times New Roman" w:eastAsia="宋体" w:cs="Times New Roman"/>
                <w:sz w:val="24"/>
                <w:szCs w:val="24"/>
                <w:lang w:eastAsia="zh-CN"/>
              </w:rPr>
              <w:t>）；</w:t>
            </w:r>
          </w:p>
          <w:p>
            <w:pPr>
              <w:adjustRightInd w:val="0"/>
              <w:snapToGrid w:val="0"/>
              <w:spacing w:line="460" w:lineRule="exact"/>
              <w:ind w:firstLine="480" w:firstLineChars="200"/>
              <w:jc w:val="both"/>
              <w:rPr>
                <w:rFonts w:ascii="Times New Roman" w:hAnsi="Times New Roman" w:eastAsia="宋体" w:cs="Times New Roman"/>
                <w:sz w:val="24"/>
                <w:szCs w:val="24"/>
                <w:highlight w:val="yellow"/>
                <w:lang w:eastAsia="zh-CN"/>
              </w:rPr>
            </w:pPr>
            <w:r>
              <w:rPr>
                <w:rFonts w:ascii="Times New Roman" w:hAnsi="Times New Roman" w:eastAsia="宋体" w:cs="Times New Roman"/>
                <w:sz w:val="24"/>
                <w:szCs w:val="24"/>
                <w:lang w:eastAsia="zh-CN"/>
              </w:rPr>
              <w:t>经查有关资料，</w:t>
            </w:r>
            <w:r>
              <w:rPr>
                <w:rFonts w:hint="eastAsia" w:ascii="Times New Roman" w:hAnsi="Times New Roman" w:eastAsia="宋体" w:cs="Times New Roman"/>
                <w:sz w:val="24"/>
                <w:szCs w:val="24"/>
                <w:lang w:eastAsia="zh-CN"/>
              </w:rPr>
              <w:t>福清市</w:t>
            </w:r>
            <w:r>
              <w:rPr>
                <w:rFonts w:ascii="Times New Roman" w:hAnsi="Times New Roman" w:eastAsia="宋体" w:cs="Times New Roman"/>
                <w:sz w:val="24"/>
                <w:szCs w:val="24"/>
                <w:lang w:eastAsia="zh-CN"/>
              </w:rPr>
              <w:t>暴雨强度</w:t>
            </w:r>
            <w:r>
              <w:rPr>
                <w:rFonts w:hint="eastAsia" w:ascii="Times New Roman" w:hAnsi="Times New Roman" w:eastAsia="宋体" w:cs="Times New Roman"/>
                <w:sz w:val="24"/>
                <w:szCs w:val="24"/>
                <w:lang w:eastAsia="zh-CN"/>
              </w:rPr>
              <w:t>为202.044</w:t>
            </w:r>
            <w:r>
              <w:rPr>
                <w:rFonts w:ascii="Times New Roman" w:hAnsi="Times New Roman" w:eastAsia="宋体" w:cs="Times New Roman"/>
                <w:sz w:val="24"/>
                <w:szCs w:val="24"/>
                <w:lang w:eastAsia="zh-CN"/>
              </w:rPr>
              <w:t>L/s• h</w:t>
            </w:r>
            <w:r>
              <w:rPr>
                <w:rFonts w:hint="eastAsia" w:ascii="Times New Roman" w:hAnsi="Times New Roman" w:eastAsia="宋体" w:cs="Times New Roman"/>
                <w:sz w:val="24"/>
                <w:szCs w:val="24"/>
                <w:lang w:eastAsia="zh-CN"/>
              </w:rPr>
              <w:t>a，</w:t>
            </w:r>
            <w:r>
              <w:rPr>
                <w:rFonts w:ascii="Times New Roman" w:hAnsi="Times New Roman" w:eastAsia="宋体" w:cs="Times New Roman"/>
                <w:sz w:val="24"/>
                <w:szCs w:val="24"/>
                <w:lang w:eastAsia="zh-CN"/>
              </w:rPr>
              <w:t>年均暴雨次数约</w:t>
            </w:r>
            <w:r>
              <w:rPr>
                <w:rFonts w:hint="eastAsia" w:ascii="Times New Roman" w:hAnsi="Times New Roman" w:eastAsia="宋体" w:cs="Times New Roman"/>
                <w:sz w:val="24"/>
                <w:szCs w:val="24"/>
                <w:lang w:eastAsia="zh-CN"/>
              </w:rPr>
              <w:t>20</w:t>
            </w:r>
            <w:r>
              <w:rPr>
                <w:rFonts w:ascii="Times New Roman" w:hAnsi="Times New Roman" w:eastAsia="宋体" w:cs="Times New Roman"/>
                <w:sz w:val="24"/>
                <w:szCs w:val="24"/>
                <w:lang w:eastAsia="zh-CN"/>
              </w:rPr>
              <w:t>次，项目汇水面积按</w:t>
            </w:r>
            <w:r>
              <w:rPr>
                <w:rFonts w:hint="eastAsia" w:ascii="Times New Roman" w:hAnsi="Times New Roman" w:eastAsia="宋体" w:cs="Times New Roman"/>
                <w:sz w:val="24"/>
                <w:szCs w:val="24"/>
                <w:lang w:eastAsia="zh-CN"/>
              </w:rPr>
              <w:t>站内加油、卸油区露天面积</w:t>
            </w:r>
            <w:r>
              <w:rPr>
                <w:rFonts w:ascii="Times New Roman" w:hAnsi="Times New Roman" w:eastAsia="宋体" w:cs="Times New Roman"/>
                <w:sz w:val="24"/>
                <w:szCs w:val="24"/>
                <w:lang w:eastAsia="zh-CN"/>
              </w:rPr>
              <w:t>，约为</w:t>
            </w:r>
            <w:r>
              <w:rPr>
                <w:rFonts w:hint="eastAsia" w:ascii="Times New Roman" w:hAnsi="Times New Roman" w:eastAsia="宋体" w:cs="Times New Roman"/>
                <w:sz w:val="24"/>
                <w:szCs w:val="24"/>
                <w:lang w:eastAsia="zh-CN"/>
              </w:rPr>
              <w:t>138</w:t>
            </w:r>
            <w:r>
              <w:rPr>
                <w:rFonts w:ascii="Times New Roman" w:hAnsi="Times New Roman" w:eastAsia="宋体" w:cs="Times New Roman"/>
                <w:sz w:val="24"/>
                <w:szCs w:val="24"/>
                <w:lang w:eastAsia="zh-CN"/>
              </w:rPr>
              <w:t>m</w:t>
            </w:r>
            <w:r>
              <w:rPr>
                <w:rFonts w:ascii="Times New Roman" w:hAnsi="Times New Roman" w:eastAsia="宋体" w:cs="Times New Roman"/>
                <w:sz w:val="24"/>
                <w:szCs w:val="24"/>
                <w:vertAlign w:val="superscript"/>
                <w:lang w:eastAsia="zh-CN"/>
              </w:rPr>
              <w:t>2</w:t>
            </w:r>
            <w:r>
              <w:rPr>
                <w:rFonts w:ascii="Times New Roman" w:hAnsi="Times New Roman" w:eastAsia="宋体" w:cs="Times New Roman"/>
                <w:sz w:val="24"/>
                <w:szCs w:val="24"/>
                <w:lang w:eastAsia="zh-CN"/>
              </w:rPr>
              <w:t>，初期降雨时间取15min，重现期为</w:t>
            </w:r>
            <w:r>
              <w:rPr>
                <w:rFonts w:hint="eastAsia" w:ascii="Times New Roman" w:hAnsi="Times New Roman" w:eastAsia="宋体" w:cs="Times New Roman"/>
                <w:sz w:val="24"/>
                <w:szCs w:val="24"/>
                <w:lang w:eastAsia="zh-CN"/>
              </w:rPr>
              <w:t>1</w:t>
            </w:r>
            <w:r>
              <w:rPr>
                <w:rFonts w:ascii="Times New Roman" w:hAnsi="Times New Roman" w:eastAsia="宋体" w:cs="Times New Roman"/>
                <w:sz w:val="24"/>
                <w:szCs w:val="24"/>
                <w:lang w:eastAsia="zh-CN"/>
              </w:rPr>
              <w:t>年，项目建成后，初期雨水约</w:t>
            </w:r>
            <w:r>
              <w:rPr>
                <w:rFonts w:hint="eastAsia" w:ascii="Times New Roman" w:hAnsi="Times New Roman" w:eastAsia="宋体" w:cs="Times New Roman"/>
                <w:sz w:val="24"/>
                <w:szCs w:val="24"/>
                <w:lang w:eastAsia="zh-CN"/>
              </w:rPr>
              <w:t>2.51</w:t>
            </w:r>
            <w:r>
              <w:rPr>
                <w:rFonts w:ascii="Times New Roman" w:hAnsi="Times New Roman" w:eastAsia="宋体" w:cs="Times New Roman"/>
                <w:sz w:val="24"/>
                <w:szCs w:val="24"/>
                <w:lang w:eastAsia="zh-CN"/>
              </w:rPr>
              <w:t>m</w:t>
            </w:r>
            <w:r>
              <w:rPr>
                <w:rFonts w:ascii="Times New Roman" w:hAnsi="Times New Roman" w:eastAsia="宋体" w:cs="Times New Roman"/>
                <w:sz w:val="24"/>
                <w:szCs w:val="24"/>
                <w:vertAlign w:val="superscript"/>
                <w:lang w:eastAsia="zh-CN"/>
              </w:rPr>
              <w:t>3</w:t>
            </w:r>
            <w:r>
              <w:rPr>
                <w:rFonts w:hint="eastAsia" w:ascii="Times New Roman" w:hAnsi="Times New Roman" w:eastAsia="宋体" w:cs="Times New Roman"/>
                <w:sz w:val="24"/>
                <w:szCs w:val="24"/>
                <w:lang w:eastAsia="zh-CN"/>
              </w:rPr>
              <w:t>/次、50.2</w:t>
            </w:r>
            <w:r>
              <w:rPr>
                <w:rFonts w:ascii="Times New Roman" w:hAnsi="Times New Roman" w:eastAsia="宋体" w:cs="Times New Roman"/>
                <w:sz w:val="24"/>
                <w:szCs w:val="24"/>
                <w:lang w:eastAsia="zh-CN"/>
              </w:rPr>
              <w:t>m</w:t>
            </w:r>
            <w:r>
              <w:rPr>
                <w:rFonts w:ascii="Times New Roman" w:hAnsi="Times New Roman" w:eastAsia="宋体" w:cs="Times New Roman"/>
                <w:sz w:val="24"/>
                <w:szCs w:val="24"/>
                <w:vertAlign w:val="superscript"/>
                <w:lang w:eastAsia="zh-CN"/>
              </w:rPr>
              <w:t>3</w:t>
            </w:r>
            <w:r>
              <w:rPr>
                <w:rFonts w:ascii="Times New Roman" w:hAnsi="Times New Roman" w:eastAsia="宋体" w:cs="Times New Roman"/>
                <w:sz w:val="24"/>
                <w:szCs w:val="24"/>
                <w:lang w:eastAsia="zh-CN"/>
              </w:rPr>
              <w:t>/a，主要污染因子及其浓度分别为COD：</w:t>
            </w:r>
            <w:r>
              <w:rPr>
                <w:rFonts w:hint="eastAsia" w:ascii="Times New Roman" w:hAnsi="Times New Roman" w:eastAsia="宋体" w:cs="Times New Roman"/>
                <w:sz w:val="24"/>
                <w:szCs w:val="24"/>
                <w:lang w:eastAsia="zh-CN"/>
              </w:rPr>
              <w:t>350</w:t>
            </w:r>
            <w:r>
              <w:rPr>
                <w:rFonts w:ascii="Times New Roman" w:hAnsi="Times New Roman" w:eastAsia="宋体" w:cs="Times New Roman"/>
                <w:sz w:val="24"/>
                <w:szCs w:val="24"/>
                <w:lang w:eastAsia="zh-CN"/>
              </w:rPr>
              <w:t>mg/L、SS：</w:t>
            </w:r>
            <w:r>
              <w:rPr>
                <w:rFonts w:hint="eastAsia" w:ascii="Times New Roman" w:hAnsi="Times New Roman" w:eastAsia="宋体" w:cs="Times New Roman"/>
                <w:sz w:val="24"/>
                <w:szCs w:val="24"/>
                <w:lang w:eastAsia="zh-CN"/>
              </w:rPr>
              <w:t>3</w:t>
            </w:r>
            <w:r>
              <w:rPr>
                <w:rFonts w:ascii="Times New Roman" w:hAnsi="Times New Roman" w:eastAsia="宋体" w:cs="Times New Roman"/>
                <w:sz w:val="24"/>
                <w:szCs w:val="24"/>
                <w:lang w:eastAsia="zh-CN"/>
              </w:rPr>
              <w:t>00mg/L、石油类：</w:t>
            </w:r>
            <w:r>
              <w:rPr>
                <w:rFonts w:hint="eastAsia" w:ascii="Times New Roman" w:hAnsi="Times New Roman" w:eastAsia="宋体" w:cs="Times New Roman"/>
                <w:sz w:val="24"/>
                <w:szCs w:val="24"/>
                <w:lang w:eastAsia="zh-CN"/>
              </w:rPr>
              <w:t>35</w:t>
            </w:r>
            <w:r>
              <w:rPr>
                <w:rFonts w:ascii="Times New Roman" w:hAnsi="Times New Roman" w:eastAsia="宋体" w:cs="Times New Roman"/>
                <w:sz w:val="24"/>
                <w:szCs w:val="24"/>
                <w:lang w:eastAsia="zh-CN"/>
              </w:rPr>
              <w:t xml:space="preserve"> mg/L。</w:t>
            </w:r>
            <w:r>
              <w:rPr>
                <w:rFonts w:hint="eastAsia" w:ascii="Times New Roman" w:hAnsi="Times New Roman" w:eastAsia="宋体" w:cs="Times New Roman"/>
                <w:sz w:val="24"/>
                <w:szCs w:val="24"/>
                <w:lang w:eastAsia="zh-CN"/>
              </w:rPr>
              <w:t>初期雨水经</w:t>
            </w:r>
            <w:r>
              <w:rPr>
                <w:rFonts w:ascii="Times New Roman" w:hAnsi="Times New Roman" w:eastAsia="宋体" w:cs="Times New Roman"/>
                <w:sz w:val="24"/>
                <w:szCs w:val="24"/>
                <w:lang w:eastAsia="zh-CN"/>
              </w:rPr>
              <w:t>隔油池预处理后与活污水统一经化粪池处理后由市政污水管网排入福清融元污水处理厂集中处理</w:t>
            </w:r>
            <w:r>
              <w:rPr>
                <w:rFonts w:hint="eastAsia" w:ascii="Times New Roman" w:hAnsi="Times New Roman" w:eastAsia="宋体" w:cs="Times New Roman"/>
                <w:sz w:val="24"/>
                <w:szCs w:val="24"/>
                <w:lang w:eastAsia="zh-CN"/>
              </w:rPr>
              <w:t>。</w:t>
            </w:r>
          </w:p>
          <w:p>
            <w:pPr>
              <w:spacing w:line="460" w:lineRule="exact"/>
              <w:ind w:firstLine="480" w:firstLineChars="200"/>
              <w:jc w:val="both"/>
              <w:rPr>
                <w:rFonts w:ascii="Times New Roman" w:hAnsi="Times New Roman" w:eastAsia="宋体" w:cs="Times New Roman"/>
                <w:sz w:val="24"/>
                <w:szCs w:val="24"/>
                <w:lang w:eastAsia="zh-CN"/>
              </w:rPr>
            </w:pPr>
            <w:r>
              <w:rPr>
                <w:rFonts w:ascii="Times New Roman" w:hAnsi="Times New Roman" w:eastAsia="宋体" w:cs="Times New Roman"/>
                <w:sz w:val="24"/>
                <w:szCs w:val="24"/>
                <w:lang w:eastAsia="zh-CN"/>
              </w:rPr>
              <w:t>项目</w:t>
            </w:r>
            <w:r>
              <w:rPr>
                <w:rFonts w:hint="eastAsia" w:ascii="Times New Roman" w:hAnsi="Times New Roman" w:eastAsia="宋体" w:cs="Times New Roman"/>
                <w:sz w:val="24"/>
                <w:szCs w:val="24"/>
                <w:lang w:eastAsia="zh-CN"/>
              </w:rPr>
              <w:t>全厂</w:t>
            </w:r>
            <w:r>
              <w:rPr>
                <w:rFonts w:ascii="Times New Roman" w:hAnsi="Times New Roman" w:eastAsia="宋体" w:cs="Times New Roman"/>
                <w:sz w:val="24"/>
                <w:szCs w:val="24"/>
                <w:lang w:eastAsia="zh-CN"/>
              </w:rPr>
              <w:t>水平衡见图</w:t>
            </w:r>
            <w:r>
              <w:rPr>
                <w:rFonts w:hint="eastAsia" w:ascii="Times New Roman" w:hAnsi="Times New Roman" w:eastAsia="宋体" w:cs="Times New Roman"/>
                <w:sz w:val="24"/>
                <w:szCs w:val="24"/>
                <w:lang w:eastAsia="zh-CN"/>
              </w:rPr>
              <w:t>2.1-1</w:t>
            </w:r>
            <w:r>
              <w:rPr>
                <w:rFonts w:ascii="Times New Roman" w:hAnsi="Times New Roman" w:eastAsia="宋体" w:cs="Times New Roman"/>
                <w:sz w:val="24"/>
                <w:szCs w:val="24"/>
                <w:lang w:eastAsia="zh-CN"/>
              </w:rPr>
              <w:t>。</w:t>
            </w:r>
          </w:p>
          <w:p>
            <w:pPr>
              <w:pStyle w:val="44"/>
              <w:widowControl w:val="0"/>
              <w:rPr>
                <w:highlight w:val="yellow"/>
              </w:rPr>
            </w:pPr>
            <w:r>
              <w:object>
                <v:shape id="_x0000_i1025" o:spt="75" type="#_x0000_t75" style="height:245.35pt;width:477.15pt;" o:ole="t" filled="f" o:preferrelative="t" stroked="f" coordsize="21600,21600">
                  <v:path/>
                  <v:fill on="f" focussize="0,0"/>
                  <v:stroke on="f" joinstyle="miter"/>
                  <v:imagedata r:id="rId17" o:title=""/>
                  <o:lock v:ext="edit" aspectratio="f"/>
                  <w10:wrap type="none"/>
                  <w10:anchorlock/>
                </v:shape>
                <o:OLEObject Type="Embed" ProgID="Visio.DrawingMacroEnabled.15" ShapeID="_x0000_i1025" DrawAspect="Content" ObjectID="_1468075725" r:id="rId16">
                  <o:LockedField>false</o:LockedField>
                </o:OLEObject>
              </w:object>
            </w:r>
            <w:r>
              <w:t>图</w:t>
            </w:r>
            <w:r>
              <w:rPr>
                <w:rFonts w:hint="eastAsia"/>
              </w:rPr>
              <w:t>2.1-1</w:t>
            </w:r>
            <w:r>
              <w:t xml:space="preserve">  项</w:t>
            </w:r>
            <w:r>
              <w:rPr>
                <w:rFonts w:hint="eastAsia"/>
              </w:rPr>
              <w:t>目全厂</w:t>
            </w:r>
            <w:r>
              <w:t>水平衡图（单位：m</w:t>
            </w:r>
            <w:r>
              <w:rPr>
                <w:vertAlign w:val="superscript"/>
              </w:rPr>
              <w:t>3</w:t>
            </w:r>
            <w:r>
              <w:t>/a）</w:t>
            </w:r>
          </w:p>
          <w:bookmarkEnd w:id="6"/>
          <w:p>
            <w:pPr>
              <w:spacing w:line="460" w:lineRule="exact"/>
              <w:ind w:firstLine="482" w:firstLineChars="200"/>
              <w:jc w:val="both"/>
              <w:rPr>
                <w:rFonts w:ascii="Times New Roman" w:hAnsi="Times New Roman" w:eastAsia="宋体" w:cs="Times New Roman"/>
                <w:sz w:val="24"/>
                <w:szCs w:val="24"/>
                <w:lang w:eastAsia="zh-CN"/>
              </w:rPr>
            </w:pPr>
            <w:r>
              <w:rPr>
                <w:rFonts w:hint="eastAsia" w:ascii="Times New Roman" w:hAnsi="Times New Roman" w:eastAsia="宋体" w:cs="Times New Roman"/>
                <w:b/>
                <w:bCs/>
                <w:sz w:val="24"/>
                <w:lang w:eastAsia="zh-CN"/>
              </w:rPr>
              <w:t>7、劳动定员及工作制度</w:t>
            </w:r>
          </w:p>
          <w:p>
            <w:pPr>
              <w:spacing w:line="460" w:lineRule="exact"/>
              <w:ind w:firstLine="480" w:firstLineChars="200"/>
              <w:jc w:val="both"/>
              <w:rPr>
                <w:rFonts w:ascii="Times New Roman" w:hAnsi="Times New Roman" w:eastAsia="宋体" w:cs="Times New Roman"/>
                <w:sz w:val="24"/>
                <w:highlight w:val="yellow"/>
                <w:lang w:eastAsia="zh-CN"/>
              </w:rPr>
            </w:pPr>
            <w:r>
              <w:rPr>
                <w:rFonts w:hint="eastAsia" w:ascii="Times New Roman" w:hAnsi="Times New Roman" w:eastAsia="宋体" w:cs="Times New Roman"/>
                <w:sz w:val="24"/>
                <w:szCs w:val="24"/>
                <w:lang w:eastAsia="zh-CN"/>
              </w:rPr>
              <w:t>本项目</w:t>
            </w:r>
            <w:r>
              <w:rPr>
                <w:rFonts w:ascii="Times New Roman" w:hAnsi="Times New Roman" w:eastAsia="宋体" w:cs="Times New Roman"/>
                <w:sz w:val="24"/>
                <w:szCs w:val="24"/>
                <w:lang w:eastAsia="zh-CN"/>
              </w:rPr>
              <w:t>劳动定员</w:t>
            </w:r>
            <w:r>
              <w:rPr>
                <w:rFonts w:hint="eastAsia" w:ascii="Times New Roman" w:hAnsi="Times New Roman" w:eastAsia="宋体" w:cs="Times New Roman"/>
                <w:sz w:val="24"/>
                <w:szCs w:val="24"/>
                <w:lang w:eastAsia="zh-CN"/>
              </w:rPr>
              <w:t>为8</w:t>
            </w:r>
            <w:r>
              <w:rPr>
                <w:rFonts w:ascii="Times New Roman" w:hAnsi="Times New Roman" w:eastAsia="宋体" w:cs="Times New Roman"/>
                <w:sz w:val="24"/>
                <w:szCs w:val="24"/>
                <w:lang w:eastAsia="zh-CN"/>
              </w:rPr>
              <w:t>人，</w:t>
            </w:r>
            <w:r>
              <w:rPr>
                <w:rFonts w:hint="eastAsia" w:ascii="Times New Roman" w:hAnsi="Times New Roman" w:eastAsia="宋体" w:cs="Times New Roman"/>
                <w:sz w:val="24"/>
                <w:szCs w:val="24"/>
                <w:lang w:eastAsia="zh-CN"/>
              </w:rPr>
              <w:t>不设置食宿</w:t>
            </w:r>
            <w:r>
              <w:rPr>
                <w:rFonts w:hint="eastAsia" w:ascii="Times New Roman" w:hAnsi="Times New Roman" w:eastAsia="宋体" w:cs="Times New Roman"/>
                <w:sz w:val="24"/>
                <w:lang w:eastAsia="zh-CN"/>
              </w:rPr>
              <w:t>。每天工作24小时，八小时三班轮换工作制，年工作365天。</w:t>
            </w:r>
          </w:p>
          <w:p>
            <w:pPr>
              <w:spacing w:line="460" w:lineRule="exact"/>
              <w:ind w:firstLine="482" w:firstLineChars="200"/>
              <w:jc w:val="both"/>
              <w:rPr>
                <w:rFonts w:ascii="Times New Roman" w:hAnsi="Times New Roman" w:eastAsia="宋体" w:cs="Times New Roman"/>
                <w:b/>
                <w:bCs/>
                <w:sz w:val="24"/>
                <w:lang w:eastAsia="zh-CN"/>
              </w:rPr>
            </w:pPr>
            <w:r>
              <w:rPr>
                <w:rFonts w:hint="eastAsia" w:ascii="Times New Roman" w:hAnsi="Times New Roman" w:eastAsia="宋体" w:cs="Times New Roman"/>
                <w:b/>
                <w:bCs/>
                <w:sz w:val="24"/>
                <w:lang w:eastAsia="zh-CN"/>
              </w:rPr>
              <w:t>8、厂区平面布置</w:t>
            </w:r>
          </w:p>
          <w:p>
            <w:pPr>
              <w:spacing w:line="460" w:lineRule="exact"/>
              <w:ind w:firstLine="480" w:firstLineChars="200"/>
              <w:jc w:val="both"/>
              <w:rPr>
                <w:rFonts w:ascii="Times New Roman" w:hAnsi="Times New Roman" w:eastAsia="宋体"/>
                <w:sz w:val="24"/>
                <w:lang w:eastAsia="zh-CN"/>
              </w:rPr>
            </w:pPr>
            <w:r>
              <w:rPr>
                <w:rFonts w:hint="eastAsia" w:ascii="Times New Roman" w:hAnsi="Times New Roman" w:eastAsia="宋体"/>
                <w:sz w:val="24"/>
                <w:lang w:eastAsia="zh-CN"/>
              </w:rPr>
              <w:t>本站站内最高标高为6.50m，最低标高为6.10m，最大高差0.4m；站内地势较为平整。本设计充分结合地形、地物及交通情况以及业主单位的企业文化，在满足工艺需要的条件下，平面布置如下：场地中部作为加油场地，设六个加油岛，每个加油岛设一台加油机；加油棚正下方布置储油罐区，加油棚后方布置有站房，按企业管理标准设置；厕所布置站房右侧，场地两侧各设置一栋二层商业。场地四周均作绿化，各个建、构筑物之间按《汽车加油加气加氢站技术标准》GB 50156-2021 保留安全间距。加油站在元华路设有出入口，站内道路为水泥混凝土路面</w:t>
            </w:r>
            <w:r>
              <w:rPr>
                <w:rFonts w:ascii="Times New Roman" w:hAnsi="Times New Roman" w:eastAsia="宋体"/>
                <w:sz w:val="24"/>
                <w:lang w:eastAsia="zh-CN"/>
              </w:rPr>
              <w:t>，厂区</w:t>
            </w:r>
            <w:r>
              <w:rPr>
                <w:rFonts w:hint="eastAsia" w:ascii="Times New Roman" w:hAnsi="Times New Roman" w:eastAsia="宋体"/>
                <w:sz w:val="24"/>
                <w:lang w:eastAsia="zh-CN"/>
              </w:rPr>
              <w:t>具体</w:t>
            </w:r>
            <w:r>
              <w:rPr>
                <w:rFonts w:ascii="Times New Roman" w:hAnsi="Times New Roman" w:eastAsia="宋体"/>
                <w:sz w:val="24"/>
                <w:lang w:eastAsia="zh-CN"/>
              </w:rPr>
              <w:t>平面布置情况</w:t>
            </w:r>
            <w:r>
              <w:rPr>
                <w:rFonts w:hint="eastAsia" w:ascii="Times New Roman" w:hAnsi="Times New Roman" w:eastAsia="宋体"/>
                <w:sz w:val="24"/>
                <w:lang w:eastAsia="zh-CN"/>
              </w:rPr>
              <w:t>见</w:t>
            </w:r>
            <w:r>
              <w:rPr>
                <w:rFonts w:ascii="Times New Roman" w:hAnsi="Times New Roman" w:eastAsia="宋体"/>
                <w:sz w:val="24"/>
                <w:lang w:eastAsia="zh-CN"/>
              </w:rPr>
              <w:t>附图</w:t>
            </w:r>
            <w:r>
              <w:rPr>
                <w:rFonts w:hint="eastAsia" w:ascii="Times New Roman" w:hAnsi="Times New Roman" w:eastAsia="宋体"/>
                <w:sz w:val="24"/>
                <w:lang w:eastAsia="zh-CN"/>
              </w:rPr>
              <w:t>2</w:t>
            </w:r>
            <w:r>
              <w:rPr>
                <w:rFonts w:ascii="Times New Roman" w:hAnsi="Times New Roman" w:eastAsia="宋体"/>
                <w:sz w:val="24"/>
                <w:lang w:eastAsia="zh-CN"/>
              </w:rPr>
              <w:t>。</w:t>
            </w:r>
          </w:p>
          <w:p>
            <w:pPr>
              <w:spacing w:line="460" w:lineRule="exact"/>
              <w:ind w:firstLine="480" w:firstLineChars="200"/>
              <w:jc w:val="both"/>
              <w:rPr>
                <w:rFonts w:ascii="Times New Roman" w:hAnsi="Times New Roman" w:eastAsia="宋体"/>
                <w:sz w:val="24"/>
                <w:lang w:eastAsia="zh-CN"/>
              </w:rPr>
            </w:pPr>
          </w:p>
          <w:p>
            <w:pPr>
              <w:jc w:val="left"/>
              <w:rPr>
                <w:rFonts w:hint="eastAsia" w:ascii="宋体" w:hAnsi="宋体" w:cs="宋体" w:eastAsiaTheme="majorEastAsia"/>
                <w:b/>
                <w:bCs/>
                <w:sz w:val="24"/>
                <w:lang w:eastAsia="zh-CN"/>
              </w:rPr>
            </w:pPr>
          </w:p>
        </w:tc>
      </w:tr>
    </w:tbl>
    <w:p>
      <w:pPr>
        <w:rPr>
          <w:lang w:eastAsia="zh-CN"/>
        </w:rPr>
        <w:sectPr>
          <w:footerReference r:id="rId5" w:type="default"/>
          <w:pgSz w:w="11910" w:h="16840"/>
          <w:pgMar w:top="1440" w:right="1080" w:bottom="1440" w:left="1080" w:header="0" w:footer="813" w:gutter="0"/>
          <w:pgNumType w:start="12"/>
          <w:cols w:space="720" w:num="1"/>
        </w:sectPr>
      </w:pPr>
    </w:p>
    <w:tbl>
      <w:tblPr>
        <w:tblStyle w:val="18"/>
        <w:tblW w:w="4941"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83"/>
        <w:gridCol w:w="92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862" w:hRule="atLeast"/>
          <w:jc w:val="center"/>
        </w:trPr>
        <w:tc>
          <w:tcPr>
            <w:tcW w:w="296" w:type="pct"/>
            <w:vAlign w:val="center"/>
          </w:tcPr>
          <w:p>
            <w:pPr>
              <w:jc w:val="center"/>
              <w:rPr>
                <w:rFonts w:ascii="Times New Roman" w:hAnsi="Times New Roman" w:eastAsia="宋体" w:cs="宋体"/>
                <w:spacing w:val="-1"/>
                <w:sz w:val="24"/>
                <w:szCs w:val="24"/>
                <w:lang w:eastAsia="zh-CN"/>
              </w:rPr>
            </w:pPr>
            <w:r>
              <w:rPr>
                <w:rFonts w:hint="eastAsia" w:ascii="Times New Roman" w:hAnsi="Times New Roman" w:eastAsia="宋体" w:cs="宋体"/>
                <w:spacing w:val="-1"/>
                <w:sz w:val="24"/>
                <w:szCs w:val="24"/>
                <w:lang w:eastAsia="zh-CN"/>
              </w:rPr>
              <w:t>工艺流程和产排污环节</w:t>
            </w:r>
          </w:p>
        </w:tc>
        <w:tc>
          <w:tcPr>
            <w:tcW w:w="4703" w:type="pct"/>
            <w:vAlign w:val="center"/>
          </w:tcPr>
          <w:p>
            <w:pPr>
              <w:spacing w:line="460" w:lineRule="exact"/>
              <w:ind w:firstLine="480" w:firstLineChars="200"/>
              <w:jc w:val="both"/>
              <w:rPr>
                <w:rFonts w:ascii="Times New Roman" w:hAnsi="Times New Roman" w:eastAsia="宋体" w:cs="Times New Roman"/>
                <w:sz w:val="24"/>
                <w:szCs w:val="24"/>
                <w:lang w:eastAsia="zh-CN"/>
              </w:rPr>
            </w:pPr>
            <w:r>
              <w:rPr>
                <w:rFonts w:ascii="Times New Roman" w:hAnsi="Times New Roman" w:eastAsia="宋体" w:cs="Times New Roman"/>
                <w:sz w:val="24"/>
                <w:szCs w:val="24"/>
                <w:lang w:eastAsia="zh-CN"/>
              </w:rPr>
              <w:t>本项目主要</w:t>
            </w:r>
            <w:r>
              <w:rPr>
                <w:rFonts w:hint="eastAsia" w:ascii="Times New Roman" w:hAnsi="Times New Roman" w:eastAsia="宋体" w:cs="Times New Roman"/>
                <w:sz w:val="24"/>
                <w:szCs w:val="24"/>
                <w:lang w:eastAsia="zh-CN"/>
              </w:rPr>
              <w:t>为机动车燃油零售</w:t>
            </w:r>
            <w:r>
              <w:rPr>
                <w:rFonts w:ascii="Times New Roman" w:hAnsi="Times New Roman" w:eastAsia="宋体" w:cs="Times New Roman"/>
                <w:sz w:val="24"/>
                <w:szCs w:val="24"/>
                <w:lang w:eastAsia="zh-CN"/>
              </w:rPr>
              <w:t>，具体生产工艺及产污流程如下。</w:t>
            </w:r>
          </w:p>
          <w:p>
            <w:pPr>
              <w:pStyle w:val="44"/>
              <w:widowControl w:val="0"/>
            </w:pPr>
            <w:r>
              <w:drawing>
                <wp:inline distT="0" distB="0" distL="0" distR="0">
                  <wp:extent cx="5746115" cy="2821940"/>
                  <wp:effectExtent l="0" t="0" r="6985" b="0"/>
                  <wp:docPr id="3337085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70850" name="图片 1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a:xfrm>
                            <a:off x="0" y="0"/>
                            <a:ext cx="5746115" cy="2821940"/>
                          </a:xfrm>
                          <a:prstGeom prst="rect">
                            <a:avLst/>
                          </a:prstGeom>
                          <a:noFill/>
                          <a:ln>
                            <a:noFill/>
                          </a:ln>
                        </pic:spPr>
                      </pic:pic>
                    </a:graphicData>
                  </a:graphic>
                </wp:inline>
              </w:drawing>
            </w:r>
          </w:p>
          <w:p>
            <w:pPr>
              <w:pStyle w:val="44"/>
              <w:widowControl w:val="0"/>
            </w:pPr>
            <w:r>
              <w:rPr>
                <w:rFonts w:hint="eastAsia"/>
              </w:rPr>
              <w:t>图2.2-1  加油站工艺流程及产污环节</w:t>
            </w:r>
          </w:p>
          <w:p>
            <w:pPr>
              <w:pStyle w:val="45"/>
              <w:widowControl w:val="0"/>
              <w:ind w:firstLine="480"/>
            </w:pPr>
            <w:r>
              <w:rPr>
                <w:rFonts w:hint="eastAsia"/>
              </w:rPr>
              <w:t>工艺流程及产污环节简述：</w:t>
            </w:r>
          </w:p>
          <w:p>
            <w:pPr>
              <w:pStyle w:val="45"/>
              <w:widowControl w:val="0"/>
              <w:ind w:firstLine="480"/>
            </w:pPr>
            <w:r>
              <w:rPr>
                <w:rFonts w:hint="eastAsia"/>
              </w:rPr>
              <w:t>【成品油运输】：本项目从事成品油加油服务，不进行油品生产，柴/汽油均采用专业成品油油罐车运送至该加油站。</w:t>
            </w:r>
          </w:p>
          <w:p>
            <w:pPr>
              <w:pStyle w:val="45"/>
              <w:widowControl w:val="0"/>
              <w:ind w:firstLine="480"/>
            </w:pPr>
            <w:r>
              <w:rPr>
                <w:rFonts w:hint="eastAsia"/>
              </w:rPr>
              <w:t>【自流卸油】：本项目加油站采用自流密闭卸油方式，成品油罐车停靠在卸车区，将油罐车卸油口与埋地储罐通过快速接头软管连接，打开储罐的开启阀门，关闭其他储罐阀门，利用位差将成品油自流输送至相应的地下储罐储存。</w:t>
            </w:r>
          </w:p>
          <w:p>
            <w:pPr>
              <w:pStyle w:val="45"/>
              <w:widowControl w:val="0"/>
              <w:ind w:firstLine="480"/>
            </w:pPr>
            <w:r>
              <w:rPr>
                <w:rFonts w:hint="eastAsia"/>
              </w:rPr>
              <w:t>【卸油油气回收系统】：在加油站卸油区，从油罐车的卸油口到地下储罐、地下储罐到油罐车通气接头，分别通过快速接头软管连接，形成相对密闭的油气回路系统。当油罐车卸油时，利用位差，重力自流卸油，使油罐车内部压强减小，地下储罐内部压强增大，通过压差将卸油时地下储罐排出的油气回收到油罐车内，防止油气排放造成大气污染。</w:t>
            </w:r>
          </w:p>
          <w:p>
            <w:pPr>
              <w:pStyle w:val="45"/>
              <w:widowControl w:val="0"/>
              <w:ind w:firstLine="480"/>
            </w:pPr>
            <w:r>
              <w:rPr>
                <w:rFonts w:hint="eastAsia"/>
              </w:rPr>
              <w:t>【</w:t>
            </w:r>
            <w:r>
              <w:rPr>
                <w:bCs/>
              </w:rPr>
              <w:t>加油</w:t>
            </w:r>
            <w:r>
              <w:rPr>
                <w:rFonts w:hint="eastAsia"/>
              </w:rPr>
              <w:t>】：通过加油机内置油泵将油品由储罐输送至加油机内，经加油机流量计计量后通过加油枪给车辆加油。每个加油枪设单独管线，同时加油机自带油气回收系统，将车辆加油时产生的油气经该回收系统收集到低标号的地下储罐。</w:t>
            </w:r>
          </w:p>
          <w:p>
            <w:pPr>
              <w:pStyle w:val="45"/>
              <w:widowControl w:val="0"/>
              <w:ind w:firstLine="480"/>
            </w:pPr>
            <w:r>
              <w:rPr>
                <w:rFonts w:hint="eastAsia"/>
              </w:rPr>
              <w:t>【</w:t>
            </w:r>
            <w:r>
              <w:rPr>
                <w:bCs/>
              </w:rPr>
              <w:t>加油油气回收系统</w:t>
            </w:r>
            <w:r>
              <w:rPr>
                <w:rFonts w:hint="eastAsia"/>
              </w:rPr>
              <w:t>】：加油站加油人员为车辆加油时，使用具有油气回收构造的加油枪以及加油站专用型油气回收系统，可使正在加油车辆的油箱所排出的油气，经由管线回收到地下储罐。</w:t>
            </w:r>
          </w:p>
          <w:p>
            <w:pPr>
              <w:pStyle w:val="45"/>
              <w:widowControl w:val="0"/>
              <w:ind w:firstLine="480"/>
              <w:rPr>
                <w:snapToGrid w:val="0"/>
              </w:rPr>
            </w:pPr>
            <w:r>
              <w:rPr>
                <w:rFonts w:hint="eastAsia"/>
                <w:snapToGrid w:val="0"/>
                <w:lang w:val="en-US"/>
              </w:rPr>
              <w:t>【</w:t>
            </w:r>
            <w:r>
              <w:rPr>
                <w:rFonts w:hint="eastAsia"/>
                <w:bCs/>
                <w:snapToGrid w:val="0"/>
              </w:rPr>
              <w:t>储油</w:t>
            </w:r>
            <w:r>
              <w:rPr>
                <w:rFonts w:hint="eastAsia"/>
                <w:snapToGrid w:val="0"/>
                <w:lang w:val="en-US"/>
              </w:rPr>
              <w:t>】：</w:t>
            </w:r>
            <w:r>
              <w:rPr>
                <w:snapToGrid w:val="0"/>
              </w:rPr>
              <w:t>汽油在地下油罐中常压储存，每个油罐顶部均需设置通气管，管口应高出</w:t>
            </w:r>
            <w:r>
              <w:rPr>
                <w:snapToGrid w:val="0"/>
                <w:spacing w:val="12"/>
              </w:rPr>
              <w:t xml:space="preserve"> </w:t>
            </w:r>
            <w:r>
              <w:rPr>
                <w:snapToGrid w:val="0"/>
                <w:spacing w:val="-7"/>
              </w:rPr>
              <w:t>加油棚屋面</w:t>
            </w:r>
            <w:r>
              <w:rPr>
                <w:rFonts w:eastAsia="Times New Roman"/>
                <w:snapToGrid w:val="0"/>
                <w:spacing w:val="-7"/>
              </w:rPr>
              <w:t>4.0m</w:t>
            </w:r>
            <w:r>
              <w:rPr>
                <w:snapToGrid w:val="0"/>
                <w:spacing w:val="-7"/>
              </w:rPr>
              <w:t>及以上，且直径不应小于</w:t>
            </w:r>
            <w:r>
              <w:rPr>
                <w:rFonts w:eastAsia="Times New Roman"/>
                <w:snapToGrid w:val="0"/>
                <w:spacing w:val="-7"/>
              </w:rPr>
              <w:t>DN50</w:t>
            </w:r>
            <w:r>
              <w:rPr>
                <w:snapToGrid w:val="0"/>
                <w:spacing w:val="-7"/>
              </w:rPr>
              <w:t>。油罐通气管口均设阻火器外，</w:t>
            </w:r>
            <w:r>
              <w:rPr>
                <w:snapToGrid w:val="0"/>
                <w:spacing w:val="-4"/>
              </w:rPr>
              <w:t>尚应装设呼吸阀。呼吸阀的工作正压宜为</w:t>
            </w:r>
            <w:r>
              <w:rPr>
                <w:snapToGrid w:val="0"/>
                <w:spacing w:val="-55"/>
              </w:rPr>
              <w:t xml:space="preserve"> </w:t>
            </w:r>
            <w:r>
              <w:rPr>
                <w:rFonts w:eastAsia="Times New Roman"/>
                <w:snapToGrid w:val="0"/>
                <w:spacing w:val="-4"/>
              </w:rPr>
              <w:t>2KPa</w:t>
            </w:r>
            <w:r>
              <w:rPr>
                <w:snapToGrid w:val="0"/>
                <w:spacing w:val="-4"/>
              </w:rPr>
              <w:t>～</w:t>
            </w:r>
            <w:r>
              <w:rPr>
                <w:rFonts w:eastAsia="Times New Roman"/>
                <w:snapToGrid w:val="0"/>
                <w:spacing w:val="-4"/>
              </w:rPr>
              <w:t>3KPa</w:t>
            </w:r>
            <w:r>
              <w:rPr>
                <w:snapToGrid w:val="0"/>
                <w:spacing w:val="-4"/>
              </w:rPr>
              <w:t>，工作负压宜为</w:t>
            </w:r>
            <w:r>
              <w:rPr>
                <w:snapToGrid w:val="0"/>
                <w:spacing w:val="-32"/>
              </w:rPr>
              <w:t xml:space="preserve"> </w:t>
            </w:r>
            <w:r>
              <w:rPr>
                <w:rFonts w:eastAsia="Times New Roman"/>
                <w:snapToGrid w:val="0"/>
                <w:spacing w:val="-4"/>
              </w:rPr>
              <w:t>1.</w:t>
            </w:r>
            <w:r>
              <w:rPr>
                <w:rFonts w:eastAsia="Times New Roman"/>
                <w:snapToGrid w:val="0"/>
                <w:spacing w:val="-5"/>
              </w:rPr>
              <w:t>5KPa</w:t>
            </w:r>
            <w:r>
              <w:rPr>
                <w:snapToGrid w:val="0"/>
                <w:spacing w:val="-5"/>
              </w:rPr>
              <w:t>~</w:t>
            </w:r>
            <w:r>
              <w:rPr>
                <w:snapToGrid w:val="0"/>
              </w:rPr>
              <w:t xml:space="preserve"> </w:t>
            </w:r>
            <w:r>
              <w:rPr>
                <w:rFonts w:eastAsia="Times New Roman"/>
                <w:snapToGrid w:val="0"/>
              </w:rPr>
              <w:t>2KPa</w:t>
            </w:r>
            <w:r>
              <w:rPr>
                <w:snapToGrid w:val="0"/>
              </w:rPr>
              <w:t>。</w:t>
            </w:r>
          </w:p>
          <w:p>
            <w:pPr>
              <w:pStyle w:val="45"/>
              <w:widowControl w:val="0"/>
              <w:ind w:firstLine="480"/>
              <w:rPr>
                <w:snapToGrid w:val="0"/>
              </w:rPr>
            </w:pPr>
            <w:r>
              <w:rPr>
                <w:snapToGrid w:val="0"/>
              </w:rPr>
              <w:t>本工程储油罐为内钢外玻璃纤维增强塑料双层油罐，油罐卸油管安装有防溢流阀，连接远程卸油口。当油料达到油罐容量</w:t>
            </w:r>
            <w:r>
              <w:rPr>
                <w:snapToGrid w:val="0"/>
                <w:spacing w:val="-50"/>
              </w:rPr>
              <w:t xml:space="preserve"> </w:t>
            </w:r>
            <w:r>
              <w:rPr>
                <w:rFonts w:eastAsia="Times New Roman"/>
                <w:snapToGrid w:val="0"/>
              </w:rPr>
              <w:t>9</w:t>
            </w:r>
            <w:r>
              <w:rPr>
                <w:rFonts w:eastAsia="Times New Roman"/>
                <w:snapToGrid w:val="0"/>
                <w:spacing w:val="-2"/>
              </w:rPr>
              <w:t>5%</w:t>
            </w:r>
            <w:r>
              <w:rPr>
                <w:snapToGrid w:val="0"/>
                <w:spacing w:val="-2"/>
              </w:rPr>
              <w:t>时，能自动停止油料继续</w:t>
            </w:r>
            <w:r>
              <w:rPr>
                <w:snapToGrid w:val="0"/>
                <w:spacing w:val="-3"/>
              </w:rPr>
              <w:t>进罐。</w:t>
            </w:r>
          </w:p>
          <w:p>
            <w:pPr>
              <w:pStyle w:val="45"/>
              <w:widowControl w:val="0"/>
              <w:ind w:firstLine="480"/>
              <w:rPr>
                <w:snapToGrid w:val="0"/>
              </w:rPr>
            </w:pPr>
            <w:r>
              <w:rPr>
                <w:snapToGrid w:val="0"/>
              </w:rPr>
              <w:t>项目储油采用三次油气回收，对储油罐内呼出的油气进行处理。随着加油量增加油罐压力会不断上升。当汽油储罐压力升高到一定值时时，三次油气回收设备启动，以一定的流量从汽油储罐抽取汽油油气，转变为液态回到储油罐中，同时降低罐内压力。</w:t>
            </w:r>
          </w:p>
          <w:p>
            <w:pPr>
              <w:pStyle w:val="45"/>
              <w:widowControl w:val="0"/>
              <w:ind w:firstLine="480"/>
              <w:rPr>
                <w:snapToGrid w:val="0"/>
              </w:rPr>
            </w:pPr>
            <w:r>
              <w:rPr>
                <w:snapToGrid w:val="0"/>
              </w:rPr>
              <w:t>项目产污环节说明一览表详见下表</w:t>
            </w:r>
            <w:r>
              <w:rPr>
                <w:rFonts w:eastAsia="Times New Roman"/>
                <w:snapToGrid w:val="0"/>
              </w:rPr>
              <w:t>2.</w:t>
            </w:r>
            <w:r>
              <w:rPr>
                <w:rFonts w:hint="eastAsia" w:eastAsiaTheme="minorEastAsia"/>
                <w:snapToGrid w:val="0"/>
              </w:rPr>
              <w:t>2</w:t>
            </w:r>
            <w:r>
              <w:rPr>
                <w:rFonts w:eastAsia="Times New Roman"/>
                <w:snapToGrid w:val="0"/>
              </w:rPr>
              <w:t>-1</w:t>
            </w:r>
            <w:r>
              <w:rPr>
                <w:snapToGrid w:val="0"/>
              </w:rPr>
              <w:t>。</w:t>
            </w:r>
          </w:p>
          <w:p>
            <w:pPr>
              <w:pStyle w:val="42"/>
              <w:spacing w:before="120"/>
              <w:rPr>
                <w:snapToGrid w:val="0"/>
              </w:rPr>
            </w:pPr>
            <w:r>
              <w:rPr>
                <w:snapToGrid w:val="0"/>
              </w:rPr>
              <w:t>表</w:t>
            </w:r>
            <w:r>
              <w:rPr>
                <w:rFonts w:eastAsia="Times New Roman"/>
                <w:snapToGrid w:val="0"/>
              </w:rPr>
              <w:t>2.</w:t>
            </w:r>
            <w:r>
              <w:rPr>
                <w:rFonts w:hint="eastAsia" w:eastAsiaTheme="minorEastAsia"/>
                <w:snapToGrid w:val="0"/>
              </w:rPr>
              <w:t>2</w:t>
            </w:r>
            <w:r>
              <w:rPr>
                <w:rFonts w:eastAsia="Times New Roman"/>
                <w:snapToGrid w:val="0"/>
              </w:rPr>
              <w:t>-1</w:t>
            </w:r>
            <w:r>
              <w:rPr>
                <w:rFonts w:eastAsia="Times New Roman"/>
                <w:snapToGrid w:val="0"/>
                <w:spacing w:val="13"/>
              </w:rPr>
              <w:t xml:space="preserve">    </w:t>
            </w:r>
            <w:r>
              <w:rPr>
                <w:snapToGrid w:val="0"/>
              </w:rPr>
              <w:t>项目产污环节说明一览表</w:t>
            </w:r>
          </w:p>
          <w:tbl>
            <w:tblPr>
              <w:tblStyle w:val="47"/>
              <w:tblW w:w="906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38"/>
              <w:gridCol w:w="552"/>
              <w:gridCol w:w="1275"/>
              <w:gridCol w:w="1843"/>
              <w:gridCol w:w="445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8" w:type="dxa"/>
                  <w:vAlign w:val="center"/>
                </w:tcPr>
                <w:p>
                  <w:pPr>
                    <w:pStyle w:val="39"/>
                  </w:pPr>
                  <w:bookmarkStart w:id="7" w:name="_Hlk186207882"/>
                  <w:r>
                    <w:t>污染物类别</w:t>
                  </w:r>
                </w:p>
              </w:tc>
              <w:tc>
                <w:tcPr>
                  <w:tcW w:w="1827" w:type="dxa"/>
                  <w:gridSpan w:val="2"/>
                  <w:vAlign w:val="center"/>
                </w:tcPr>
                <w:p>
                  <w:pPr>
                    <w:pStyle w:val="39"/>
                  </w:pPr>
                  <w:r>
                    <w:t>产污环节</w:t>
                  </w:r>
                </w:p>
              </w:tc>
              <w:tc>
                <w:tcPr>
                  <w:tcW w:w="1843" w:type="dxa"/>
                  <w:vAlign w:val="center"/>
                </w:tcPr>
                <w:p>
                  <w:pPr>
                    <w:pStyle w:val="39"/>
                  </w:pPr>
                  <w:r>
                    <w:t>主要污染因子</w:t>
                  </w:r>
                </w:p>
              </w:tc>
              <w:tc>
                <w:tcPr>
                  <w:tcW w:w="4456" w:type="dxa"/>
                  <w:vAlign w:val="center"/>
                </w:tcPr>
                <w:p>
                  <w:pPr>
                    <w:pStyle w:val="39"/>
                  </w:pPr>
                  <w:r>
                    <w:t>拟采取的污染防治措施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8" w:type="dxa"/>
                  <w:vMerge w:val="restart"/>
                  <w:vAlign w:val="center"/>
                </w:tcPr>
                <w:p>
                  <w:pPr>
                    <w:pStyle w:val="39"/>
                  </w:pPr>
                  <w:r>
                    <w:t>废水</w:t>
                  </w:r>
                </w:p>
              </w:tc>
              <w:tc>
                <w:tcPr>
                  <w:tcW w:w="1827" w:type="dxa"/>
                  <w:gridSpan w:val="2"/>
                  <w:vAlign w:val="center"/>
                </w:tcPr>
                <w:p>
                  <w:pPr>
                    <w:pStyle w:val="39"/>
                  </w:pPr>
                  <w:r>
                    <w:t>加油棚地面冲洗</w:t>
                  </w:r>
                  <w:r>
                    <w:rPr>
                      <w:rFonts w:hint="eastAsia"/>
                    </w:rPr>
                    <w:t>及初期雨水</w:t>
                  </w:r>
                </w:p>
              </w:tc>
              <w:tc>
                <w:tcPr>
                  <w:tcW w:w="1843" w:type="dxa"/>
                  <w:tcBorders>
                    <w:bottom w:val="single" w:color="auto" w:sz="4" w:space="0"/>
                  </w:tcBorders>
                  <w:vAlign w:val="center"/>
                </w:tcPr>
                <w:p>
                  <w:pPr>
                    <w:pStyle w:val="39"/>
                  </w:pPr>
                  <w:r>
                    <w:t>pH、SS、COD、石油类</w:t>
                  </w:r>
                </w:p>
              </w:tc>
              <w:tc>
                <w:tcPr>
                  <w:tcW w:w="4456" w:type="dxa"/>
                  <w:tcBorders>
                    <w:bottom w:val="single" w:color="auto" w:sz="4" w:space="0"/>
                  </w:tcBorders>
                  <w:vAlign w:val="center"/>
                </w:tcPr>
                <w:p>
                  <w:pPr>
                    <w:pStyle w:val="39"/>
                  </w:pPr>
                  <w:r>
                    <w:t>冲洗废水经隔油池预处理后通过市政污水管网纳入福清融元污水处理厂集中处理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8" w:type="dxa"/>
                  <w:vMerge w:val="continue"/>
                  <w:vAlign w:val="center"/>
                </w:tcPr>
                <w:p>
                  <w:pPr>
                    <w:pStyle w:val="39"/>
                  </w:pPr>
                </w:p>
              </w:tc>
              <w:tc>
                <w:tcPr>
                  <w:tcW w:w="1827" w:type="dxa"/>
                  <w:gridSpan w:val="2"/>
                  <w:vAlign w:val="center"/>
                </w:tcPr>
                <w:p>
                  <w:pPr>
                    <w:pStyle w:val="39"/>
                  </w:pPr>
                  <w:r>
                    <w:t>员工、司乘人员生活</w:t>
                  </w:r>
                  <w:r>
                    <w:rPr>
                      <w:rFonts w:hint="eastAsia"/>
                    </w:rPr>
                    <w:t>污水</w:t>
                  </w:r>
                </w:p>
              </w:tc>
              <w:tc>
                <w:tcPr>
                  <w:tcW w:w="1843" w:type="dxa"/>
                  <w:tcBorders>
                    <w:top w:val="single" w:color="auto" w:sz="4" w:space="0"/>
                  </w:tcBorders>
                  <w:vAlign w:val="center"/>
                </w:tcPr>
                <w:p>
                  <w:pPr>
                    <w:pStyle w:val="39"/>
                  </w:pPr>
                  <w:r>
                    <w:t>pH、COD、BOD</w:t>
                  </w:r>
                  <w:r>
                    <w:rPr>
                      <w:vertAlign w:val="subscript"/>
                    </w:rPr>
                    <w:t>5</w:t>
                  </w:r>
                  <w:r>
                    <w:t>、SS、氨氮</w:t>
                  </w:r>
                </w:p>
              </w:tc>
              <w:tc>
                <w:tcPr>
                  <w:tcW w:w="4456" w:type="dxa"/>
                  <w:tcBorders>
                    <w:top w:val="single" w:color="auto" w:sz="4" w:space="0"/>
                  </w:tcBorders>
                  <w:vAlign w:val="center"/>
                </w:tcPr>
                <w:p>
                  <w:pPr>
                    <w:pStyle w:val="39"/>
                  </w:pPr>
                  <w:r>
                    <w:t>生活污水</w:t>
                  </w:r>
                  <w:r>
                    <w:rPr>
                      <w:rFonts w:hint="eastAsia"/>
                    </w:rPr>
                    <w:t>经</w:t>
                  </w:r>
                  <w:r>
                    <w:t>化粪池预处理后通过市政污水管网纳入福清融元污水处理厂集中处理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8" w:type="dxa"/>
                  <w:vMerge w:val="restart"/>
                  <w:vAlign w:val="center"/>
                </w:tcPr>
                <w:p>
                  <w:pPr>
                    <w:pStyle w:val="39"/>
                  </w:pPr>
                  <w:r>
                    <w:t>废气</w:t>
                  </w:r>
                </w:p>
              </w:tc>
              <w:tc>
                <w:tcPr>
                  <w:tcW w:w="552" w:type="dxa"/>
                  <w:vAlign w:val="center"/>
                </w:tcPr>
                <w:p>
                  <w:pPr>
                    <w:pStyle w:val="39"/>
                  </w:pPr>
                  <w:r>
                    <w:t>卸油</w:t>
                  </w:r>
                </w:p>
              </w:tc>
              <w:tc>
                <w:tcPr>
                  <w:tcW w:w="1275" w:type="dxa"/>
                  <w:vAlign w:val="center"/>
                </w:tcPr>
                <w:p>
                  <w:pPr>
                    <w:pStyle w:val="39"/>
                  </w:pPr>
                  <w:r>
                    <w:t>卸油大呼吸</w:t>
                  </w:r>
                </w:p>
              </w:tc>
              <w:tc>
                <w:tcPr>
                  <w:tcW w:w="1843" w:type="dxa"/>
                  <w:vMerge w:val="restart"/>
                  <w:vAlign w:val="center"/>
                </w:tcPr>
                <w:p>
                  <w:pPr>
                    <w:pStyle w:val="39"/>
                  </w:pPr>
                  <w:r>
                    <w:t>非甲烷总烃</w:t>
                  </w:r>
                </w:p>
              </w:tc>
              <w:tc>
                <w:tcPr>
                  <w:tcW w:w="4456" w:type="dxa"/>
                  <w:vAlign w:val="center"/>
                </w:tcPr>
                <w:p>
                  <w:pPr>
                    <w:pStyle w:val="39"/>
                  </w:pPr>
                  <w:r>
                    <w:t>采用重力自流式密闭卸油，配套卸油(一次)油气回收系统，将地下油罐内油气通过导管导入油罐车内，保持压力平衡，形成油气循环，该系统油气回收效率为95%，未进入回收系统的油气(5%)通过地下油罐4m高通气管外排</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36" w:hRule="atLeast"/>
                <w:jc w:val="center"/>
              </w:trPr>
              <w:tc>
                <w:tcPr>
                  <w:tcW w:w="938" w:type="dxa"/>
                  <w:vMerge w:val="continue"/>
                  <w:vAlign w:val="center"/>
                </w:tcPr>
                <w:p>
                  <w:pPr>
                    <w:pStyle w:val="39"/>
                  </w:pPr>
                </w:p>
              </w:tc>
              <w:tc>
                <w:tcPr>
                  <w:tcW w:w="552" w:type="dxa"/>
                  <w:vMerge w:val="restart"/>
                  <w:vAlign w:val="center"/>
                </w:tcPr>
                <w:p>
                  <w:pPr>
                    <w:pStyle w:val="39"/>
                  </w:pPr>
                  <w:r>
                    <w:t>加油</w:t>
                  </w:r>
                </w:p>
              </w:tc>
              <w:tc>
                <w:tcPr>
                  <w:tcW w:w="1275" w:type="dxa"/>
                  <w:vAlign w:val="center"/>
                </w:tcPr>
                <w:p>
                  <w:pPr>
                    <w:pStyle w:val="39"/>
                  </w:pPr>
                  <w:r>
                    <w:t>加油损失</w:t>
                  </w:r>
                </w:p>
              </w:tc>
              <w:tc>
                <w:tcPr>
                  <w:tcW w:w="1843" w:type="dxa"/>
                  <w:vMerge w:val="continue"/>
                  <w:vAlign w:val="center"/>
                </w:tcPr>
                <w:p>
                  <w:pPr>
                    <w:pStyle w:val="39"/>
                  </w:pPr>
                </w:p>
              </w:tc>
              <w:tc>
                <w:tcPr>
                  <w:tcW w:w="4456" w:type="dxa"/>
                  <w:vAlign w:val="center"/>
                </w:tcPr>
                <w:p>
                  <w:pPr>
                    <w:pStyle w:val="39"/>
                  </w:pPr>
                  <w:r>
                    <w:t>采用自封式加油枪，容器加满时自动关闭油枪，减少损失</w:t>
                  </w:r>
                  <w:r>
                    <w:rPr>
                      <w:rFonts w:hint="eastAsia"/>
                    </w:rPr>
                    <w:t>；</w:t>
                  </w:r>
                  <w:r>
                    <w:t>配套加油(二次)油气回收系统，将汽油加油过程挥发的油气回收至地下油罐内，保持地下油罐压平衡，形成油气循环，该系统油气回收效率为85%，未进入回收系统的油气(15%)通过车辆油箱加油孔外排</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8" w:type="dxa"/>
                  <w:vMerge w:val="continue"/>
                  <w:vAlign w:val="center"/>
                </w:tcPr>
                <w:p>
                  <w:pPr>
                    <w:pStyle w:val="39"/>
                  </w:pPr>
                </w:p>
              </w:tc>
              <w:tc>
                <w:tcPr>
                  <w:tcW w:w="552" w:type="dxa"/>
                  <w:vMerge w:val="continue"/>
                  <w:vAlign w:val="center"/>
                </w:tcPr>
                <w:p>
                  <w:pPr>
                    <w:pStyle w:val="39"/>
                  </w:pPr>
                </w:p>
              </w:tc>
              <w:tc>
                <w:tcPr>
                  <w:tcW w:w="1275" w:type="dxa"/>
                  <w:vAlign w:val="center"/>
                </w:tcPr>
                <w:p>
                  <w:pPr>
                    <w:pStyle w:val="39"/>
                  </w:pPr>
                  <w:r>
                    <w:t>加油枪滴油损失</w:t>
                  </w:r>
                </w:p>
              </w:tc>
              <w:tc>
                <w:tcPr>
                  <w:tcW w:w="1843" w:type="dxa"/>
                  <w:vMerge w:val="continue"/>
                  <w:vAlign w:val="center"/>
                </w:tcPr>
                <w:p>
                  <w:pPr>
                    <w:pStyle w:val="39"/>
                  </w:pPr>
                </w:p>
              </w:tc>
              <w:tc>
                <w:tcPr>
                  <w:tcW w:w="4456" w:type="dxa"/>
                  <w:vAlign w:val="center"/>
                </w:tcPr>
                <w:p>
                  <w:pPr>
                    <w:pStyle w:val="39"/>
                  </w:pPr>
                  <w:r>
                    <w:t>采用不滴油加油枪，减少滴油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8" w:type="dxa"/>
                  <w:vMerge w:val="continue"/>
                  <w:vAlign w:val="center"/>
                </w:tcPr>
                <w:p>
                  <w:pPr>
                    <w:pStyle w:val="39"/>
                  </w:pPr>
                </w:p>
              </w:tc>
              <w:tc>
                <w:tcPr>
                  <w:tcW w:w="552" w:type="dxa"/>
                  <w:vAlign w:val="center"/>
                </w:tcPr>
                <w:p>
                  <w:pPr>
                    <w:pStyle w:val="39"/>
                  </w:pPr>
                  <w:r>
                    <w:t>储油</w:t>
                  </w:r>
                </w:p>
              </w:tc>
              <w:tc>
                <w:tcPr>
                  <w:tcW w:w="1275" w:type="dxa"/>
                  <w:vAlign w:val="center"/>
                </w:tcPr>
                <w:p>
                  <w:pPr>
                    <w:pStyle w:val="39"/>
                  </w:pPr>
                  <w:r>
                    <w:t>油罐</w:t>
                  </w:r>
                  <w:r>
                    <w:rPr>
                      <w:rFonts w:hint="eastAsia"/>
                    </w:rPr>
                    <w:t>小</w:t>
                  </w:r>
                  <w:r>
                    <w:t>呼吸</w:t>
                  </w:r>
                </w:p>
              </w:tc>
              <w:tc>
                <w:tcPr>
                  <w:tcW w:w="1843" w:type="dxa"/>
                  <w:vMerge w:val="continue"/>
                  <w:vAlign w:val="center"/>
                </w:tcPr>
                <w:p>
                  <w:pPr>
                    <w:pStyle w:val="39"/>
                  </w:pPr>
                </w:p>
              </w:tc>
              <w:tc>
                <w:tcPr>
                  <w:tcW w:w="4456" w:type="dxa"/>
                  <w:vAlign w:val="center"/>
                </w:tcPr>
                <w:p>
                  <w:pPr>
                    <w:pStyle w:val="39"/>
                  </w:pPr>
                  <w:r>
                    <w:t>项目储油采用三次油气回收系统，对储油罐内呼出的油气进行处理，三次油气回收设备启动，将油罐内的油气转化为液态回到集液罐或储油罐中，该系统油气回收效率为</w:t>
                  </w:r>
                  <w:r>
                    <w:rPr>
                      <w:rFonts w:hint="eastAsia"/>
                    </w:rPr>
                    <w:t>90</w:t>
                  </w:r>
                  <w:r>
                    <w:t>%，未进入回收系统的油气(</w:t>
                  </w:r>
                  <w:r>
                    <w:rPr>
                      <w:rFonts w:hint="eastAsia"/>
                    </w:rPr>
                    <w:t>10</w:t>
                  </w:r>
                  <w:r>
                    <w:t>%)通过地下油罐4m高通气管外排</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90" w:type="dxa"/>
                  <w:gridSpan w:val="2"/>
                  <w:vAlign w:val="center"/>
                </w:tcPr>
                <w:p>
                  <w:pPr>
                    <w:pStyle w:val="39"/>
                  </w:pPr>
                  <w:r>
                    <w:t>噪声</w:t>
                  </w:r>
                </w:p>
              </w:tc>
              <w:tc>
                <w:tcPr>
                  <w:tcW w:w="1275" w:type="dxa"/>
                  <w:vAlign w:val="center"/>
                </w:tcPr>
                <w:p>
                  <w:pPr>
                    <w:pStyle w:val="39"/>
                  </w:pPr>
                  <w:r>
                    <w:t>设备、交通噪声</w:t>
                  </w:r>
                </w:p>
              </w:tc>
              <w:tc>
                <w:tcPr>
                  <w:tcW w:w="1843" w:type="dxa"/>
                  <w:vAlign w:val="center"/>
                </w:tcPr>
                <w:p>
                  <w:pPr>
                    <w:pStyle w:val="39"/>
                  </w:pPr>
                  <w:r>
                    <w:t>Leq</w:t>
                  </w:r>
                </w:p>
              </w:tc>
              <w:tc>
                <w:tcPr>
                  <w:tcW w:w="4456" w:type="dxa"/>
                  <w:vAlign w:val="center"/>
                </w:tcPr>
                <w:p>
                  <w:pPr>
                    <w:pStyle w:val="39"/>
                  </w:pPr>
                  <w:r>
                    <w:t>选用低噪设备、对噪声较高设备安装减振垫、加强车辆管理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90" w:type="dxa"/>
                  <w:gridSpan w:val="2"/>
                  <w:vMerge w:val="restart"/>
                  <w:vAlign w:val="center"/>
                </w:tcPr>
                <w:p>
                  <w:pPr>
                    <w:pStyle w:val="39"/>
                  </w:pPr>
                  <w:r>
                    <w:t>固废</w:t>
                  </w:r>
                </w:p>
              </w:tc>
              <w:tc>
                <w:tcPr>
                  <w:tcW w:w="1275" w:type="dxa"/>
                  <w:vAlign w:val="center"/>
                </w:tcPr>
                <w:p>
                  <w:pPr>
                    <w:pStyle w:val="39"/>
                  </w:pPr>
                  <w:r>
                    <w:t>职工生活</w:t>
                  </w:r>
                </w:p>
              </w:tc>
              <w:tc>
                <w:tcPr>
                  <w:tcW w:w="1843" w:type="dxa"/>
                  <w:vAlign w:val="center"/>
                </w:tcPr>
                <w:p>
                  <w:pPr>
                    <w:pStyle w:val="39"/>
                  </w:pPr>
                  <w:r>
                    <w:t>生活垃圾</w:t>
                  </w:r>
                </w:p>
              </w:tc>
              <w:tc>
                <w:tcPr>
                  <w:tcW w:w="4456" w:type="dxa"/>
                  <w:vAlign w:val="center"/>
                </w:tcPr>
                <w:p>
                  <w:pPr>
                    <w:pStyle w:val="39"/>
                  </w:pPr>
                  <w:r>
                    <w:t>由环卫部门定期清运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90" w:type="dxa"/>
                  <w:gridSpan w:val="2"/>
                  <w:vMerge w:val="continue"/>
                  <w:vAlign w:val="center"/>
                </w:tcPr>
                <w:p>
                  <w:pPr>
                    <w:pStyle w:val="39"/>
                  </w:pPr>
                </w:p>
              </w:tc>
              <w:tc>
                <w:tcPr>
                  <w:tcW w:w="1275" w:type="dxa"/>
                  <w:vAlign w:val="center"/>
                </w:tcPr>
                <w:p>
                  <w:pPr>
                    <w:pStyle w:val="39"/>
                  </w:pPr>
                  <w:r>
                    <w:t>油罐清理</w:t>
                  </w:r>
                </w:p>
              </w:tc>
              <w:tc>
                <w:tcPr>
                  <w:tcW w:w="1843" w:type="dxa"/>
                  <w:vAlign w:val="center"/>
                </w:tcPr>
                <w:p>
                  <w:pPr>
                    <w:pStyle w:val="39"/>
                  </w:pPr>
                  <w:r>
                    <w:t>废油渣</w:t>
                  </w:r>
                </w:p>
              </w:tc>
              <w:tc>
                <w:tcPr>
                  <w:tcW w:w="4456" w:type="dxa"/>
                  <w:vMerge w:val="restart"/>
                  <w:vAlign w:val="center"/>
                </w:tcPr>
                <w:p>
                  <w:pPr>
                    <w:pStyle w:val="39"/>
                  </w:pPr>
                  <w:r>
                    <w:t>委托有资质单位定期清理</w:t>
                  </w:r>
                  <w:r>
                    <w:rPr>
                      <w:rFonts w:hint="eastAsia"/>
                    </w:rPr>
                    <w:t>后直接运出，不在站内暂存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90" w:type="dxa"/>
                  <w:gridSpan w:val="2"/>
                  <w:vMerge w:val="continue"/>
                  <w:vAlign w:val="center"/>
                </w:tcPr>
                <w:p>
                  <w:pPr>
                    <w:pStyle w:val="39"/>
                  </w:pPr>
                </w:p>
              </w:tc>
              <w:tc>
                <w:tcPr>
                  <w:tcW w:w="1275" w:type="dxa"/>
                  <w:vAlign w:val="center"/>
                </w:tcPr>
                <w:p>
                  <w:pPr>
                    <w:pStyle w:val="39"/>
                  </w:pPr>
                  <w:r>
                    <w:t>隔油池清理</w:t>
                  </w:r>
                </w:p>
              </w:tc>
              <w:tc>
                <w:tcPr>
                  <w:tcW w:w="1843" w:type="dxa"/>
                  <w:vAlign w:val="center"/>
                </w:tcPr>
                <w:p>
                  <w:pPr>
                    <w:pStyle w:val="39"/>
                  </w:pPr>
                  <w:r>
                    <w:t>废油、污泥</w:t>
                  </w:r>
                </w:p>
              </w:tc>
              <w:tc>
                <w:tcPr>
                  <w:tcW w:w="4456" w:type="dxa"/>
                  <w:vMerge w:val="continue"/>
                  <w:vAlign w:val="center"/>
                </w:tcPr>
                <w:p>
                  <w:pPr>
                    <w:pStyle w:val="39"/>
                  </w:pPr>
                </w:p>
              </w:tc>
            </w:tr>
            <w:bookmarkEnd w:id="7"/>
          </w:tbl>
          <w:p>
            <w:pPr>
              <w:pStyle w:val="45"/>
              <w:widowControl w:val="0"/>
              <w:ind w:firstLine="480"/>
              <w:rPr>
                <w:snapToGrid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92" w:hRule="atLeast"/>
          <w:jc w:val="center"/>
        </w:trPr>
        <w:tc>
          <w:tcPr>
            <w:tcW w:w="296" w:type="pct"/>
            <w:vAlign w:val="center"/>
          </w:tcPr>
          <w:p>
            <w:pPr>
              <w:jc w:val="center"/>
              <w:rPr>
                <w:rFonts w:ascii="Times New Roman" w:hAnsi="Times New Roman" w:eastAsia="宋体" w:cs="宋体"/>
                <w:spacing w:val="-1"/>
                <w:sz w:val="24"/>
                <w:szCs w:val="24"/>
                <w:lang w:eastAsia="zh-CN"/>
              </w:rPr>
            </w:pPr>
            <w:r>
              <w:rPr>
                <w:rFonts w:hint="eastAsia" w:ascii="Times New Roman" w:hAnsi="Times New Roman" w:eastAsia="宋体" w:cs="宋体"/>
                <w:spacing w:val="-1"/>
                <w:sz w:val="24"/>
                <w:szCs w:val="24"/>
                <w:lang w:eastAsia="zh-CN"/>
              </w:rPr>
              <w:t>与项目有关的原有环境污染问题</w:t>
            </w:r>
          </w:p>
        </w:tc>
        <w:tc>
          <w:tcPr>
            <w:tcW w:w="4703" w:type="pct"/>
            <w:vAlign w:val="center"/>
          </w:tcPr>
          <w:p>
            <w:pPr>
              <w:pStyle w:val="21"/>
              <w:spacing w:line="460" w:lineRule="exact"/>
              <w:jc w:val="center"/>
              <w:rPr>
                <w:rFonts w:ascii="Times New Roman" w:hAnsi="Times New Roman" w:eastAsia="宋体"/>
                <w:lang w:eastAsia="zh-CN"/>
              </w:rPr>
            </w:pPr>
            <w:r>
              <w:rPr>
                <w:rFonts w:hint="eastAsia" w:ascii="Times New Roman" w:hAnsi="Times New Roman" w:eastAsia="宋体"/>
                <w:lang w:eastAsia="zh-CN"/>
              </w:rPr>
              <w:t>本项目为新建项目，没有与项目有关的原有环境污染问题。</w:t>
            </w:r>
          </w:p>
        </w:tc>
      </w:tr>
    </w:tbl>
    <w:p>
      <w:pPr>
        <w:rPr>
          <w:rFonts w:ascii="Times New Roman" w:hAnsi="Times New Roman" w:eastAsia="宋体"/>
          <w:sz w:val="24"/>
          <w:szCs w:val="24"/>
          <w:lang w:eastAsia="zh-CN"/>
        </w:rPr>
        <w:sectPr>
          <w:pgSz w:w="11910" w:h="16840"/>
          <w:pgMar w:top="1440" w:right="1080" w:bottom="1440" w:left="1080" w:header="0" w:footer="813" w:gutter="0"/>
          <w:cols w:space="720" w:num="1"/>
        </w:sectPr>
      </w:pPr>
    </w:p>
    <w:p>
      <w:pPr>
        <w:pStyle w:val="3"/>
        <w:spacing w:before="0" w:line="360" w:lineRule="auto"/>
        <w:jc w:val="center"/>
        <w:rPr>
          <w:rFonts w:hint="eastAsia" w:ascii="宋体" w:hAnsi="宋体" w:eastAsia="宋体" w:cs="宋体"/>
          <w:b/>
          <w:bCs/>
          <w:lang w:eastAsia="zh-CN"/>
        </w:rPr>
      </w:pPr>
      <w:bookmarkStart w:id="8" w:name="_Toc18493"/>
      <w:r>
        <w:rPr>
          <w:rFonts w:hint="eastAsia" w:ascii="宋体" w:hAnsi="宋体" w:eastAsia="宋体" w:cs="宋体"/>
          <w:b/>
          <w:bCs/>
          <w:lang w:eastAsia="zh-CN"/>
        </w:rPr>
        <w:t>三、区域环境质量现状、环境保护目标及评价标准</w:t>
      </w:r>
      <w:bookmarkEnd w:id="8"/>
    </w:p>
    <w:tbl>
      <w:tblPr>
        <w:tblStyle w:val="18"/>
        <w:tblW w:w="494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01"/>
        <w:gridCol w:w="92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05" w:type="pct"/>
            <w:vAlign w:val="center"/>
          </w:tcPr>
          <w:p>
            <w:pPr>
              <w:jc w:val="center"/>
              <w:rPr>
                <w:rFonts w:ascii="Times New Roman" w:hAnsi="Times New Roman" w:eastAsia="宋体" w:cs="Times New Roman"/>
                <w:spacing w:val="-1"/>
                <w:sz w:val="24"/>
                <w:szCs w:val="24"/>
                <w:lang w:eastAsia="zh-CN"/>
              </w:rPr>
            </w:pPr>
            <w:r>
              <w:rPr>
                <w:rFonts w:ascii="Times New Roman" w:hAnsi="Times New Roman" w:eastAsia="宋体" w:cs="Times New Roman"/>
                <w:spacing w:val="-1"/>
                <w:sz w:val="24"/>
                <w:szCs w:val="24"/>
                <w:lang w:eastAsia="zh-CN"/>
              </w:rPr>
              <w:t>区域环境质量现状</w:t>
            </w:r>
          </w:p>
        </w:tc>
        <w:tc>
          <w:tcPr>
            <w:tcW w:w="4694" w:type="pct"/>
          </w:tcPr>
          <w:p>
            <w:pPr>
              <w:pStyle w:val="45"/>
              <w:widowControl w:val="0"/>
              <w:ind w:firstLine="482"/>
              <w:rPr>
                <w:b/>
                <w:bCs/>
              </w:rPr>
            </w:pPr>
            <w:r>
              <w:rPr>
                <w:b/>
                <w:bCs/>
              </w:rPr>
              <w:t>1、大气环境</w:t>
            </w:r>
          </w:p>
          <w:p>
            <w:pPr>
              <w:pStyle w:val="45"/>
              <w:widowControl w:val="0"/>
              <w:ind w:firstLine="480"/>
            </w:pPr>
            <w:r>
              <w:t>根据《2023年福州市环境状况公报》，全省68个城市(9个设区城市、平潭综合实验区和58个县级城市)环境空气中细颗粒物、可吸入颗粒物、二氧化硫和二氧化氮年均浓度分别为16微克/立方米、31微克/立方米、5微克/立方米和12微克/立方米，臭氧和一氧化碳特定百分位数平均值分别为113微克/立方米和0.8毫克/立方米。按照《环境空气质量标准》(CB3095-2012)评价，空气质量优良天数比例99.4%。</w:t>
            </w:r>
          </w:p>
          <w:p>
            <w:pPr>
              <w:topLinePunct/>
              <w:adjustRightInd w:val="0"/>
              <w:snapToGrid w:val="0"/>
              <w:spacing w:line="360" w:lineRule="auto"/>
              <w:ind w:firstLine="480" w:firstLineChars="200"/>
              <w:jc w:val="both"/>
              <w:rPr>
                <w:rFonts w:ascii="Times New Roman" w:hAnsi="Times New Roman" w:eastAsia="宋体" w:cs="Times New Roman"/>
                <w:color w:val="000000"/>
                <w:sz w:val="21"/>
                <w:szCs w:val="20"/>
                <w:lang w:eastAsia="zh-CN"/>
              </w:rPr>
            </w:pPr>
            <w:r>
              <w:rPr>
                <w:rFonts w:ascii="Times New Roman" w:hAnsi="Times New Roman" w:eastAsia="宋体" w:cs="Times New Roman"/>
                <w:color w:val="000000"/>
                <w:sz w:val="24"/>
                <w:szCs w:val="24"/>
                <w:lang w:eastAsia="zh-CN"/>
              </w:rPr>
              <w:t>根据福州市福清生态环境局发布的2023年1月至2023年12月空气质量月报数据，详见表3.1-1，空气环境中SO</w:t>
            </w:r>
            <w:r>
              <w:rPr>
                <w:rFonts w:ascii="Times New Roman" w:hAnsi="Times New Roman" w:eastAsia="宋体" w:cs="Times New Roman"/>
                <w:color w:val="000000"/>
                <w:sz w:val="24"/>
                <w:szCs w:val="24"/>
                <w:vertAlign w:val="subscript"/>
                <w:lang w:eastAsia="zh-CN"/>
              </w:rPr>
              <w:t>2</w:t>
            </w:r>
            <w:r>
              <w:rPr>
                <w:rFonts w:ascii="Times New Roman" w:hAnsi="Times New Roman" w:eastAsia="宋体" w:cs="Times New Roman"/>
                <w:color w:val="000000"/>
                <w:sz w:val="24"/>
                <w:szCs w:val="24"/>
                <w:lang w:eastAsia="zh-CN"/>
              </w:rPr>
              <w:t>、NO</w:t>
            </w:r>
            <w:r>
              <w:rPr>
                <w:rFonts w:ascii="Times New Roman" w:hAnsi="Times New Roman" w:eastAsia="宋体" w:cs="Times New Roman"/>
                <w:color w:val="000000"/>
                <w:sz w:val="24"/>
                <w:szCs w:val="24"/>
                <w:vertAlign w:val="subscript"/>
                <w:lang w:eastAsia="zh-CN"/>
              </w:rPr>
              <w:t>2</w:t>
            </w:r>
            <w:r>
              <w:rPr>
                <w:rFonts w:ascii="Times New Roman" w:hAnsi="Times New Roman" w:eastAsia="宋体" w:cs="Times New Roman"/>
                <w:color w:val="000000"/>
                <w:sz w:val="24"/>
                <w:szCs w:val="24"/>
                <w:lang w:eastAsia="zh-CN"/>
              </w:rPr>
              <w:t>、PM</w:t>
            </w:r>
            <w:r>
              <w:rPr>
                <w:rFonts w:ascii="Times New Roman" w:hAnsi="Times New Roman" w:eastAsia="宋体" w:cs="Times New Roman"/>
                <w:color w:val="000000"/>
                <w:sz w:val="24"/>
                <w:szCs w:val="24"/>
                <w:vertAlign w:val="subscript"/>
                <w:lang w:eastAsia="zh-CN"/>
              </w:rPr>
              <w:t>10</w:t>
            </w:r>
            <w:r>
              <w:rPr>
                <w:rFonts w:ascii="Times New Roman" w:hAnsi="Times New Roman" w:eastAsia="宋体" w:cs="Times New Roman"/>
                <w:color w:val="000000"/>
                <w:sz w:val="24"/>
                <w:szCs w:val="24"/>
                <w:lang w:eastAsia="zh-CN"/>
              </w:rPr>
              <w:t>和PM</w:t>
            </w:r>
            <w:r>
              <w:rPr>
                <w:rFonts w:ascii="Times New Roman" w:hAnsi="Times New Roman" w:eastAsia="宋体" w:cs="Times New Roman"/>
                <w:color w:val="000000"/>
                <w:sz w:val="24"/>
                <w:szCs w:val="24"/>
                <w:vertAlign w:val="subscript"/>
                <w:lang w:eastAsia="zh-CN"/>
              </w:rPr>
              <w:t>2.5</w:t>
            </w:r>
            <w:r>
              <w:rPr>
                <w:rFonts w:ascii="Times New Roman" w:hAnsi="Times New Roman" w:eastAsia="宋体" w:cs="Times New Roman"/>
                <w:color w:val="000000"/>
                <w:sz w:val="24"/>
                <w:szCs w:val="24"/>
                <w:lang w:eastAsia="zh-CN"/>
              </w:rPr>
              <w:t>均未超过国家二级标准，CO日均值第95百分数和O</w:t>
            </w:r>
            <w:r>
              <w:rPr>
                <w:rFonts w:ascii="Times New Roman" w:hAnsi="Times New Roman" w:eastAsia="宋体" w:cs="Times New Roman"/>
                <w:color w:val="000000"/>
                <w:sz w:val="24"/>
                <w:szCs w:val="24"/>
                <w:vertAlign w:val="subscript"/>
                <w:lang w:eastAsia="zh-CN"/>
              </w:rPr>
              <w:t>3</w:t>
            </w:r>
            <w:r>
              <w:rPr>
                <w:rFonts w:ascii="Times New Roman" w:hAnsi="Times New Roman" w:eastAsia="宋体" w:cs="Times New Roman"/>
                <w:color w:val="000000"/>
                <w:sz w:val="24"/>
                <w:szCs w:val="24"/>
                <w:lang w:eastAsia="zh-CN"/>
              </w:rPr>
              <w:t>最大8小时值第90百分数未超过国家二级标准。</w:t>
            </w:r>
          </w:p>
          <w:p>
            <w:pPr>
              <w:pStyle w:val="42"/>
              <w:spacing w:before="120"/>
            </w:pPr>
            <w:r>
              <w:t>表3.1-1  2023年福清市空气质量月报数据</w:t>
            </w:r>
          </w:p>
          <w:tbl>
            <w:tblPr>
              <w:tblStyle w:val="49"/>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441"/>
              <w:gridCol w:w="1199"/>
              <w:gridCol w:w="1199"/>
              <w:gridCol w:w="1199"/>
              <w:gridCol w:w="1655"/>
              <w:gridCol w:w="1128"/>
              <w:gridCol w:w="120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98" w:type="pct"/>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时间</w:t>
                  </w:r>
                </w:p>
              </w:tc>
              <w:tc>
                <w:tcPr>
                  <w:tcW w:w="664" w:type="pct"/>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SO</w:t>
                  </w:r>
                  <w:r>
                    <w:rPr>
                      <w:rFonts w:ascii="Times New Roman" w:hAnsi="Times New Roman" w:eastAsia="宋体" w:cs="Times New Roman"/>
                      <w:color w:val="000000" w:themeColor="text1"/>
                      <w:sz w:val="21"/>
                      <w:szCs w:val="21"/>
                      <w:vertAlign w:val="subscript"/>
                      <w14:textFill>
                        <w14:solidFill>
                          <w14:schemeClr w14:val="tx1"/>
                        </w14:solidFill>
                      </w14:textFill>
                    </w:rPr>
                    <w:t>2</w:t>
                  </w:r>
                </w:p>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（mg/m</w:t>
                  </w:r>
                  <w:r>
                    <w:rPr>
                      <w:rFonts w:ascii="Times New Roman" w:hAnsi="Times New Roman" w:eastAsia="宋体" w:cs="Times New Roman"/>
                      <w:color w:val="000000" w:themeColor="text1"/>
                      <w:sz w:val="21"/>
                      <w:szCs w:val="21"/>
                      <w:vertAlign w:val="superscript"/>
                      <w14:textFill>
                        <w14:solidFill>
                          <w14:schemeClr w14:val="tx1"/>
                        </w14:solidFill>
                      </w14:textFill>
                    </w:rPr>
                    <w:t>3</w:t>
                  </w:r>
                  <w:r>
                    <w:rPr>
                      <w:rFonts w:ascii="Times New Roman" w:hAnsi="Times New Roman" w:eastAsia="宋体" w:cs="Times New Roman"/>
                      <w:color w:val="000000" w:themeColor="text1"/>
                      <w:sz w:val="21"/>
                      <w:szCs w:val="21"/>
                      <w14:textFill>
                        <w14:solidFill>
                          <w14:schemeClr w14:val="tx1"/>
                        </w14:solidFill>
                      </w14:textFill>
                    </w:rPr>
                    <w:t>）</w:t>
                  </w:r>
                </w:p>
              </w:tc>
              <w:tc>
                <w:tcPr>
                  <w:tcW w:w="664" w:type="pct"/>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NO</w:t>
                  </w:r>
                  <w:r>
                    <w:rPr>
                      <w:rFonts w:ascii="Times New Roman" w:hAnsi="Times New Roman" w:eastAsia="宋体" w:cs="Times New Roman"/>
                      <w:color w:val="000000" w:themeColor="text1"/>
                      <w:sz w:val="21"/>
                      <w:szCs w:val="21"/>
                      <w:vertAlign w:val="subscript"/>
                      <w14:textFill>
                        <w14:solidFill>
                          <w14:schemeClr w14:val="tx1"/>
                        </w14:solidFill>
                      </w14:textFill>
                    </w:rPr>
                    <w:t>2</w:t>
                  </w:r>
                </w:p>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（mg/m</w:t>
                  </w:r>
                  <w:r>
                    <w:rPr>
                      <w:rFonts w:ascii="Times New Roman" w:hAnsi="Times New Roman" w:eastAsia="宋体" w:cs="Times New Roman"/>
                      <w:color w:val="000000" w:themeColor="text1"/>
                      <w:sz w:val="21"/>
                      <w:szCs w:val="21"/>
                      <w:vertAlign w:val="superscript"/>
                      <w14:textFill>
                        <w14:solidFill>
                          <w14:schemeClr w14:val="tx1"/>
                        </w14:solidFill>
                      </w14:textFill>
                    </w:rPr>
                    <w:t>3</w:t>
                  </w:r>
                  <w:r>
                    <w:rPr>
                      <w:rFonts w:ascii="Times New Roman" w:hAnsi="Times New Roman" w:eastAsia="宋体" w:cs="Times New Roman"/>
                      <w:color w:val="000000" w:themeColor="text1"/>
                      <w:sz w:val="21"/>
                      <w:szCs w:val="21"/>
                      <w14:textFill>
                        <w14:solidFill>
                          <w14:schemeClr w14:val="tx1"/>
                        </w14:solidFill>
                      </w14:textFill>
                    </w:rPr>
                    <w:t>）</w:t>
                  </w:r>
                </w:p>
              </w:tc>
              <w:tc>
                <w:tcPr>
                  <w:tcW w:w="664" w:type="pct"/>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PM</w:t>
                  </w:r>
                  <w:r>
                    <w:rPr>
                      <w:rFonts w:ascii="Times New Roman" w:hAnsi="Times New Roman" w:eastAsia="宋体" w:cs="Times New Roman"/>
                      <w:color w:val="000000" w:themeColor="text1"/>
                      <w:sz w:val="21"/>
                      <w:szCs w:val="21"/>
                      <w:vertAlign w:val="subscript"/>
                      <w14:textFill>
                        <w14:solidFill>
                          <w14:schemeClr w14:val="tx1"/>
                        </w14:solidFill>
                      </w14:textFill>
                    </w:rPr>
                    <w:t>10</w:t>
                  </w:r>
                </w:p>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（mg/m</w:t>
                  </w:r>
                  <w:r>
                    <w:rPr>
                      <w:rFonts w:ascii="Times New Roman" w:hAnsi="Times New Roman" w:eastAsia="宋体" w:cs="Times New Roman"/>
                      <w:color w:val="000000" w:themeColor="text1"/>
                      <w:sz w:val="21"/>
                      <w:szCs w:val="21"/>
                      <w:vertAlign w:val="superscript"/>
                      <w14:textFill>
                        <w14:solidFill>
                          <w14:schemeClr w14:val="tx1"/>
                        </w14:solidFill>
                      </w14:textFill>
                    </w:rPr>
                    <w:t>3</w:t>
                  </w:r>
                  <w:r>
                    <w:rPr>
                      <w:rFonts w:ascii="Times New Roman" w:hAnsi="Times New Roman" w:eastAsia="宋体" w:cs="Times New Roman"/>
                      <w:color w:val="000000" w:themeColor="text1"/>
                      <w:sz w:val="21"/>
                      <w:szCs w:val="21"/>
                      <w14:textFill>
                        <w14:solidFill>
                          <w14:schemeClr w14:val="tx1"/>
                        </w14:solidFill>
                      </w14:textFill>
                    </w:rPr>
                    <w:t>）</w:t>
                  </w:r>
                </w:p>
              </w:tc>
              <w:tc>
                <w:tcPr>
                  <w:tcW w:w="917" w:type="pct"/>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PM</w:t>
                  </w:r>
                  <w:r>
                    <w:rPr>
                      <w:rFonts w:ascii="Times New Roman" w:hAnsi="Times New Roman" w:eastAsia="宋体" w:cs="Times New Roman"/>
                      <w:color w:val="000000" w:themeColor="text1"/>
                      <w:sz w:val="21"/>
                      <w:szCs w:val="21"/>
                      <w:vertAlign w:val="subscript"/>
                      <w14:textFill>
                        <w14:solidFill>
                          <w14:schemeClr w14:val="tx1"/>
                        </w14:solidFill>
                      </w14:textFill>
                    </w:rPr>
                    <w:t>2.5</w:t>
                  </w:r>
                  <w:r>
                    <w:rPr>
                      <w:rFonts w:ascii="Times New Roman" w:hAnsi="Times New Roman" w:eastAsia="宋体" w:cs="Times New Roman"/>
                      <w:color w:val="000000" w:themeColor="text1"/>
                      <w:sz w:val="21"/>
                      <w:szCs w:val="21"/>
                      <w14:textFill>
                        <w14:solidFill>
                          <w14:schemeClr w14:val="tx1"/>
                        </w14:solidFill>
                      </w14:textFill>
                    </w:rPr>
                    <w:t>（mg/m</w:t>
                  </w:r>
                  <w:r>
                    <w:rPr>
                      <w:rFonts w:ascii="Times New Roman" w:hAnsi="Times New Roman" w:eastAsia="宋体" w:cs="Times New Roman"/>
                      <w:color w:val="000000" w:themeColor="text1"/>
                      <w:sz w:val="21"/>
                      <w:szCs w:val="21"/>
                      <w:vertAlign w:val="superscript"/>
                      <w14:textFill>
                        <w14:solidFill>
                          <w14:schemeClr w14:val="tx1"/>
                        </w14:solidFill>
                      </w14:textFill>
                    </w:rPr>
                    <w:t>3</w:t>
                  </w:r>
                  <w:r>
                    <w:rPr>
                      <w:rFonts w:ascii="Times New Roman" w:hAnsi="Times New Roman" w:eastAsia="宋体" w:cs="Times New Roman"/>
                      <w:color w:val="000000" w:themeColor="text1"/>
                      <w:sz w:val="21"/>
                      <w:szCs w:val="21"/>
                      <w14:textFill>
                        <w14:solidFill>
                          <w14:schemeClr w14:val="tx1"/>
                        </w14:solidFill>
                      </w14:textFill>
                    </w:rPr>
                    <w:t>）</w:t>
                  </w:r>
                </w:p>
              </w:tc>
              <w:tc>
                <w:tcPr>
                  <w:tcW w:w="625" w:type="pct"/>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CO</w:t>
                  </w:r>
                </w:p>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（mg/m</w:t>
                  </w:r>
                  <w:r>
                    <w:rPr>
                      <w:rFonts w:ascii="Times New Roman" w:hAnsi="Times New Roman" w:eastAsia="宋体" w:cs="Times New Roman"/>
                      <w:color w:val="000000" w:themeColor="text1"/>
                      <w:sz w:val="21"/>
                      <w:szCs w:val="21"/>
                      <w:vertAlign w:val="superscript"/>
                      <w14:textFill>
                        <w14:solidFill>
                          <w14:schemeClr w14:val="tx1"/>
                        </w14:solidFill>
                      </w14:textFill>
                    </w:rPr>
                    <w:t>3</w:t>
                  </w:r>
                  <w:r>
                    <w:rPr>
                      <w:rFonts w:ascii="Times New Roman" w:hAnsi="Times New Roman" w:eastAsia="宋体" w:cs="Times New Roman"/>
                      <w:color w:val="000000" w:themeColor="text1"/>
                      <w:sz w:val="21"/>
                      <w:szCs w:val="21"/>
                      <w14:textFill>
                        <w14:solidFill>
                          <w14:schemeClr w14:val="tx1"/>
                        </w14:solidFill>
                      </w14:textFill>
                    </w:rPr>
                    <w:t>）</w:t>
                  </w:r>
                </w:p>
              </w:tc>
              <w:tc>
                <w:tcPr>
                  <w:tcW w:w="665" w:type="pct"/>
                  <w:vAlign w:val="center"/>
                </w:tcPr>
                <w:p>
                  <w:pPr>
                    <w:topLinePunct/>
                    <w:jc w:val="center"/>
                    <w:rPr>
                      <w:rFonts w:ascii="Times New Roman" w:hAnsi="Times New Roman" w:eastAsia="宋体" w:cs="Times New Roman"/>
                      <w:color w:val="000000" w:themeColor="text1"/>
                      <w:sz w:val="21"/>
                      <w:szCs w:val="21"/>
                      <w:vertAlign w:val="subscript"/>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O</w:t>
                  </w:r>
                  <w:r>
                    <w:rPr>
                      <w:rFonts w:ascii="Times New Roman" w:hAnsi="Times New Roman" w:eastAsia="宋体" w:cs="Times New Roman"/>
                      <w:color w:val="000000" w:themeColor="text1"/>
                      <w:sz w:val="21"/>
                      <w:szCs w:val="21"/>
                      <w:vertAlign w:val="subscript"/>
                      <w14:textFill>
                        <w14:solidFill>
                          <w14:schemeClr w14:val="tx1"/>
                        </w14:solidFill>
                      </w14:textFill>
                    </w:rPr>
                    <w:t>3</w:t>
                  </w:r>
                </w:p>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（mg/m</w:t>
                  </w:r>
                  <w:r>
                    <w:rPr>
                      <w:rFonts w:ascii="Times New Roman" w:hAnsi="Times New Roman" w:eastAsia="宋体" w:cs="Times New Roman"/>
                      <w:color w:val="000000" w:themeColor="text1"/>
                      <w:sz w:val="21"/>
                      <w:szCs w:val="21"/>
                      <w:vertAlign w:val="superscript"/>
                      <w14:textFill>
                        <w14:solidFill>
                          <w14:schemeClr w14:val="tx1"/>
                        </w14:solidFill>
                      </w14:textFill>
                    </w:rPr>
                    <w:t>3</w:t>
                  </w:r>
                  <w:r>
                    <w:rPr>
                      <w:rFonts w:ascii="Times New Roman" w:hAnsi="Times New Roman" w:eastAsia="宋体" w:cs="Times New Roman"/>
                      <w:color w:val="000000" w:themeColor="text1"/>
                      <w:sz w:val="21"/>
                      <w:szCs w:val="21"/>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98" w:type="pct"/>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2023年1月</w:t>
                  </w:r>
                </w:p>
              </w:tc>
              <w:tc>
                <w:tcPr>
                  <w:tcW w:w="664" w:type="pct"/>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0.003</w:t>
                  </w:r>
                </w:p>
              </w:tc>
              <w:tc>
                <w:tcPr>
                  <w:tcW w:w="664" w:type="pct"/>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0.016</w:t>
                  </w:r>
                </w:p>
              </w:tc>
              <w:tc>
                <w:tcPr>
                  <w:tcW w:w="664" w:type="pct"/>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0.032</w:t>
                  </w:r>
                </w:p>
              </w:tc>
              <w:tc>
                <w:tcPr>
                  <w:tcW w:w="917" w:type="pct"/>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0.017</w:t>
                  </w:r>
                </w:p>
              </w:tc>
              <w:tc>
                <w:tcPr>
                  <w:tcW w:w="625" w:type="pct"/>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0.6</w:t>
                  </w:r>
                </w:p>
              </w:tc>
              <w:tc>
                <w:tcPr>
                  <w:tcW w:w="665" w:type="pct"/>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98" w:type="pct"/>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2023年2月</w:t>
                  </w:r>
                </w:p>
              </w:tc>
              <w:tc>
                <w:tcPr>
                  <w:tcW w:w="664" w:type="pct"/>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0.005</w:t>
                  </w:r>
                </w:p>
              </w:tc>
              <w:tc>
                <w:tcPr>
                  <w:tcW w:w="664" w:type="pct"/>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0.020</w:t>
                  </w:r>
                </w:p>
              </w:tc>
              <w:tc>
                <w:tcPr>
                  <w:tcW w:w="664" w:type="pct"/>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0.033</w:t>
                  </w:r>
                </w:p>
              </w:tc>
              <w:tc>
                <w:tcPr>
                  <w:tcW w:w="917" w:type="pct"/>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0.018</w:t>
                  </w:r>
                </w:p>
              </w:tc>
              <w:tc>
                <w:tcPr>
                  <w:tcW w:w="625" w:type="pct"/>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0.8</w:t>
                  </w:r>
                </w:p>
              </w:tc>
              <w:tc>
                <w:tcPr>
                  <w:tcW w:w="665" w:type="pct"/>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0.105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98" w:type="pct"/>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2023年3月</w:t>
                  </w:r>
                </w:p>
              </w:tc>
              <w:tc>
                <w:tcPr>
                  <w:tcW w:w="664" w:type="pct"/>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0.005</w:t>
                  </w:r>
                </w:p>
              </w:tc>
              <w:tc>
                <w:tcPr>
                  <w:tcW w:w="664" w:type="pct"/>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0.024</w:t>
                  </w:r>
                </w:p>
              </w:tc>
              <w:tc>
                <w:tcPr>
                  <w:tcW w:w="664" w:type="pct"/>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0.042</w:t>
                  </w:r>
                </w:p>
              </w:tc>
              <w:tc>
                <w:tcPr>
                  <w:tcW w:w="917" w:type="pct"/>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0.020</w:t>
                  </w:r>
                </w:p>
              </w:tc>
              <w:tc>
                <w:tcPr>
                  <w:tcW w:w="625" w:type="pct"/>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0.8</w:t>
                  </w:r>
                </w:p>
              </w:tc>
              <w:tc>
                <w:tcPr>
                  <w:tcW w:w="665" w:type="pct"/>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0.130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98" w:type="pct"/>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2023年4月</w:t>
                  </w:r>
                </w:p>
              </w:tc>
              <w:tc>
                <w:tcPr>
                  <w:tcW w:w="664" w:type="pct"/>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0.003</w:t>
                  </w:r>
                </w:p>
              </w:tc>
              <w:tc>
                <w:tcPr>
                  <w:tcW w:w="664" w:type="pct"/>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0.019</w:t>
                  </w:r>
                </w:p>
              </w:tc>
              <w:tc>
                <w:tcPr>
                  <w:tcW w:w="664" w:type="pct"/>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0.047</w:t>
                  </w:r>
                </w:p>
              </w:tc>
              <w:tc>
                <w:tcPr>
                  <w:tcW w:w="917" w:type="pct"/>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0.020</w:t>
                  </w:r>
                </w:p>
              </w:tc>
              <w:tc>
                <w:tcPr>
                  <w:tcW w:w="625" w:type="pct"/>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0.9</w:t>
                  </w:r>
                </w:p>
              </w:tc>
              <w:tc>
                <w:tcPr>
                  <w:tcW w:w="665" w:type="pct"/>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0.151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98" w:type="pct"/>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2023年5月</w:t>
                  </w:r>
                </w:p>
              </w:tc>
              <w:tc>
                <w:tcPr>
                  <w:tcW w:w="664" w:type="pct"/>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0.002</w:t>
                  </w:r>
                </w:p>
              </w:tc>
              <w:tc>
                <w:tcPr>
                  <w:tcW w:w="664" w:type="pct"/>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0.013</w:t>
                  </w:r>
                </w:p>
              </w:tc>
              <w:tc>
                <w:tcPr>
                  <w:tcW w:w="664" w:type="pct"/>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0.037</w:t>
                  </w:r>
                </w:p>
              </w:tc>
              <w:tc>
                <w:tcPr>
                  <w:tcW w:w="917" w:type="pct"/>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0.017</w:t>
                  </w:r>
                </w:p>
              </w:tc>
              <w:tc>
                <w:tcPr>
                  <w:tcW w:w="625" w:type="pct"/>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0.9</w:t>
                  </w:r>
                </w:p>
              </w:tc>
              <w:tc>
                <w:tcPr>
                  <w:tcW w:w="665" w:type="pct"/>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0.137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98" w:type="pct"/>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2023年6月</w:t>
                  </w:r>
                </w:p>
              </w:tc>
              <w:tc>
                <w:tcPr>
                  <w:tcW w:w="664" w:type="pct"/>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0.002</w:t>
                  </w:r>
                </w:p>
              </w:tc>
              <w:tc>
                <w:tcPr>
                  <w:tcW w:w="664" w:type="pct"/>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0.011</w:t>
                  </w:r>
                </w:p>
              </w:tc>
              <w:tc>
                <w:tcPr>
                  <w:tcW w:w="664" w:type="pct"/>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0.026</w:t>
                  </w:r>
                </w:p>
              </w:tc>
              <w:tc>
                <w:tcPr>
                  <w:tcW w:w="917" w:type="pct"/>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0.012</w:t>
                  </w:r>
                </w:p>
              </w:tc>
              <w:tc>
                <w:tcPr>
                  <w:tcW w:w="625" w:type="pct"/>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0.6</w:t>
                  </w:r>
                </w:p>
              </w:tc>
              <w:tc>
                <w:tcPr>
                  <w:tcW w:w="665" w:type="pct"/>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0.123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98" w:type="pct"/>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2023年7月</w:t>
                  </w:r>
                </w:p>
              </w:tc>
              <w:tc>
                <w:tcPr>
                  <w:tcW w:w="664" w:type="pct"/>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0.002</w:t>
                  </w:r>
                </w:p>
              </w:tc>
              <w:tc>
                <w:tcPr>
                  <w:tcW w:w="664" w:type="pct"/>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0.008</w:t>
                  </w:r>
                </w:p>
              </w:tc>
              <w:tc>
                <w:tcPr>
                  <w:tcW w:w="664" w:type="pct"/>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0.027</w:t>
                  </w:r>
                </w:p>
              </w:tc>
              <w:tc>
                <w:tcPr>
                  <w:tcW w:w="917" w:type="pct"/>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0.010</w:t>
                  </w:r>
                </w:p>
              </w:tc>
              <w:tc>
                <w:tcPr>
                  <w:tcW w:w="625" w:type="pct"/>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0.6</w:t>
                  </w:r>
                </w:p>
              </w:tc>
              <w:tc>
                <w:tcPr>
                  <w:tcW w:w="665" w:type="pct"/>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0.128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98" w:type="pct"/>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2023年8月</w:t>
                  </w:r>
                </w:p>
              </w:tc>
              <w:tc>
                <w:tcPr>
                  <w:tcW w:w="664" w:type="pct"/>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0.002</w:t>
                  </w:r>
                </w:p>
              </w:tc>
              <w:tc>
                <w:tcPr>
                  <w:tcW w:w="664" w:type="pct"/>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0.011</w:t>
                  </w:r>
                </w:p>
              </w:tc>
              <w:tc>
                <w:tcPr>
                  <w:tcW w:w="664" w:type="pct"/>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0.027</w:t>
                  </w:r>
                </w:p>
              </w:tc>
              <w:tc>
                <w:tcPr>
                  <w:tcW w:w="917" w:type="pct"/>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0.012</w:t>
                  </w:r>
                </w:p>
              </w:tc>
              <w:tc>
                <w:tcPr>
                  <w:tcW w:w="625" w:type="pct"/>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0.6</w:t>
                  </w:r>
                </w:p>
              </w:tc>
              <w:tc>
                <w:tcPr>
                  <w:tcW w:w="665" w:type="pct"/>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0.124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98" w:type="pct"/>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2023年9月</w:t>
                  </w:r>
                </w:p>
              </w:tc>
              <w:tc>
                <w:tcPr>
                  <w:tcW w:w="664" w:type="pct"/>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0.002</w:t>
                  </w:r>
                </w:p>
              </w:tc>
              <w:tc>
                <w:tcPr>
                  <w:tcW w:w="664" w:type="pct"/>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0.007</w:t>
                  </w:r>
                </w:p>
              </w:tc>
              <w:tc>
                <w:tcPr>
                  <w:tcW w:w="664" w:type="pct"/>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0.022</w:t>
                  </w:r>
                </w:p>
              </w:tc>
              <w:tc>
                <w:tcPr>
                  <w:tcW w:w="917" w:type="pct"/>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0.011</w:t>
                  </w:r>
                </w:p>
              </w:tc>
              <w:tc>
                <w:tcPr>
                  <w:tcW w:w="625" w:type="pct"/>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0.6</w:t>
                  </w:r>
                </w:p>
              </w:tc>
              <w:tc>
                <w:tcPr>
                  <w:tcW w:w="665" w:type="pct"/>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0.115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98" w:type="pct"/>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2023年10月</w:t>
                  </w:r>
                </w:p>
              </w:tc>
              <w:tc>
                <w:tcPr>
                  <w:tcW w:w="664" w:type="pct"/>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0.002</w:t>
                  </w:r>
                </w:p>
              </w:tc>
              <w:tc>
                <w:tcPr>
                  <w:tcW w:w="664" w:type="pct"/>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0.008</w:t>
                  </w:r>
                </w:p>
              </w:tc>
              <w:tc>
                <w:tcPr>
                  <w:tcW w:w="664" w:type="pct"/>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0.028</w:t>
                  </w:r>
                </w:p>
              </w:tc>
              <w:tc>
                <w:tcPr>
                  <w:tcW w:w="917" w:type="pct"/>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0.014</w:t>
                  </w:r>
                </w:p>
              </w:tc>
              <w:tc>
                <w:tcPr>
                  <w:tcW w:w="625" w:type="pct"/>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0.6</w:t>
                  </w:r>
                </w:p>
              </w:tc>
              <w:tc>
                <w:tcPr>
                  <w:tcW w:w="665" w:type="pct"/>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0.137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98" w:type="pct"/>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2023年11月</w:t>
                  </w:r>
                </w:p>
              </w:tc>
              <w:tc>
                <w:tcPr>
                  <w:tcW w:w="664" w:type="pct"/>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0.002</w:t>
                  </w:r>
                </w:p>
              </w:tc>
              <w:tc>
                <w:tcPr>
                  <w:tcW w:w="664" w:type="pct"/>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0.009</w:t>
                  </w:r>
                </w:p>
              </w:tc>
              <w:tc>
                <w:tcPr>
                  <w:tcW w:w="664" w:type="pct"/>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0.030</w:t>
                  </w:r>
                </w:p>
              </w:tc>
              <w:tc>
                <w:tcPr>
                  <w:tcW w:w="917" w:type="pct"/>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0.015</w:t>
                  </w:r>
                </w:p>
              </w:tc>
              <w:tc>
                <w:tcPr>
                  <w:tcW w:w="625" w:type="pct"/>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0.6</w:t>
                  </w:r>
                </w:p>
              </w:tc>
              <w:tc>
                <w:tcPr>
                  <w:tcW w:w="665" w:type="pct"/>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0.120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98" w:type="pct"/>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2023年12月</w:t>
                  </w:r>
                </w:p>
              </w:tc>
              <w:tc>
                <w:tcPr>
                  <w:tcW w:w="664" w:type="pct"/>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0.003</w:t>
                  </w:r>
                </w:p>
              </w:tc>
              <w:tc>
                <w:tcPr>
                  <w:tcW w:w="664" w:type="pct"/>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0.019</w:t>
                  </w:r>
                </w:p>
              </w:tc>
              <w:tc>
                <w:tcPr>
                  <w:tcW w:w="664" w:type="pct"/>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0.030</w:t>
                  </w:r>
                </w:p>
              </w:tc>
              <w:tc>
                <w:tcPr>
                  <w:tcW w:w="917" w:type="pct"/>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0.018</w:t>
                  </w:r>
                </w:p>
              </w:tc>
              <w:tc>
                <w:tcPr>
                  <w:tcW w:w="625" w:type="pct"/>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0.9</w:t>
                  </w:r>
                </w:p>
              </w:tc>
              <w:tc>
                <w:tcPr>
                  <w:tcW w:w="665" w:type="pct"/>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0.112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98" w:type="pct"/>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国家二级</w:t>
                  </w:r>
                </w:p>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标准</w:t>
                  </w:r>
                </w:p>
              </w:tc>
              <w:tc>
                <w:tcPr>
                  <w:tcW w:w="664" w:type="pct"/>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0.06</w:t>
                  </w:r>
                </w:p>
              </w:tc>
              <w:tc>
                <w:tcPr>
                  <w:tcW w:w="664" w:type="pct"/>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0.04</w:t>
                  </w:r>
                </w:p>
              </w:tc>
              <w:tc>
                <w:tcPr>
                  <w:tcW w:w="664" w:type="pct"/>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0.07</w:t>
                  </w:r>
                </w:p>
              </w:tc>
              <w:tc>
                <w:tcPr>
                  <w:tcW w:w="917" w:type="pct"/>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0.035</w:t>
                  </w:r>
                </w:p>
              </w:tc>
              <w:tc>
                <w:tcPr>
                  <w:tcW w:w="625" w:type="pct"/>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4</w:t>
                  </w:r>
                </w:p>
              </w:tc>
              <w:tc>
                <w:tcPr>
                  <w:tcW w:w="665" w:type="pct"/>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0.16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98" w:type="pct"/>
                  <w:vAlign w:val="center"/>
                </w:tcPr>
                <w:p>
                  <w:pPr>
                    <w:topLinePunct/>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备注</w:t>
                  </w:r>
                </w:p>
              </w:tc>
              <w:tc>
                <w:tcPr>
                  <w:tcW w:w="4201" w:type="pct"/>
                  <w:gridSpan w:val="6"/>
                  <w:vAlign w:val="center"/>
                </w:tcPr>
                <w:p>
                  <w:pPr>
                    <w:topLinePunct/>
                    <w:jc w:val="center"/>
                    <w:rPr>
                      <w:rFonts w:ascii="Times New Roman" w:hAnsi="Times New Roman" w:eastAsia="宋体" w:cs="Times New Roman"/>
                      <w:color w:val="000000" w:themeColor="text1"/>
                      <w:sz w:val="21"/>
                      <w:szCs w:val="21"/>
                      <w:lang w:eastAsia="zh-CN"/>
                      <w14:textFill>
                        <w14:solidFill>
                          <w14:schemeClr w14:val="tx1"/>
                        </w14:solidFill>
                      </w14:textFill>
                    </w:rPr>
                  </w:pPr>
                  <w:r>
                    <w:rPr>
                      <w:rFonts w:ascii="Times New Roman" w:hAnsi="Times New Roman" w:eastAsia="宋体" w:cs="Times New Roman"/>
                      <w:color w:val="000000" w:themeColor="text1"/>
                      <w:sz w:val="21"/>
                      <w:szCs w:val="21"/>
                      <w:lang w:eastAsia="zh-CN"/>
                      <w14:textFill>
                        <w14:solidFill>
                          <w14:schemeClr w14:val="tx1"/>
                        </w14:solidFill>
                      </w14:textFill>
                    </w:rPr>
                    <w:t>*CO为日均值第95百分位数，O</w:t>
                  </w:r>
                  <w:r>
                    <w:rPr>
                      <w:rFonts w:ascii="Times New Roman" w:hAnsi="Times New Roman" w:eastAsia="宋体" w:cs="Times New Roman"/>
                      <w:color w:val="000000" w:themeColor="text1"/>
                      <w:sz w:val="21"/>
                      <w:szCs w:val="21"/>
                      <w:vertAlign w:val="subscript"/>
                      <w:lang w:eastAsia="zh-CN"/>
                      <w14:textFill>
                        <w14:solidFill>
                          <w14:schemeClr w14:val="tx1"/>
                        </w14:solidFill>
                      </w14:textFill>
                    </w:rPr>
                    <w:t>3</w:t>
                  </w:r>
                  <w:r>
                    <w:rPr>
                      <w:rFonts w:ascii="Times New Roman" w:hAnsi="Times New Roman" w:eastAsia="宋体" w:cs="Times New Roman"/>
                      <w:color w:val="000000" w:themeColor="text1"/>
                      <w:sz w:val="21"/>
                      <w:szCs w:val="21"/>
                      <w:lang w:eastAsia="zh-CN"/>
                      <w14:textFill>
                        <w14:solidFill>
                          <w14:schemeClr w14:val="tx1"/>
                        </w14:solidFill>
                      </w14:textFill>
                    </w:rPr>
                    <w:t>为日最大8小时值第90百分位数。</w:t>
                  </w:r>
                </w:p>
              </w:tc>
            </w:tr>
          </w:tbl>
          <w:p>
            <w:pPr>
              <w:pStyle w:val="45"/>
              <w:widowControl w:val="0"/>
              <w:ind w:firstLine="480"/>
            </w:pPr>
            <w:r>
              <w:rPr>
                <w:rFonts w:hint="eastAsia"/>
              </w:rPr>
              <w:t>综上所述，</w:t>
            </w:r>
            <w:r>
              <w:t>福清市大气环境质量现状符合《环境空气质量标准》（GB3095-2012）的二级标准要求，城市环境空气质量达标，为达标区。</w:t>
            </w:r>
          </w:p>
          <w:p>
            <w:pPr>
              <w:pStyle w:val="45"/>
              <w:widowControl w:val="0"/>
              <w:ind w:firstLine="482"/>
              <w:rPr>
                <w:b/>
                <w:bCs/>
              </w:rPr>
            </w:pPr>
            <w:r>
              <w:rPr>
                <w:b/>
                <w:bCs/>
              </w:rPr>
              <w:t>2、地表水环境</w:t>
            </w:r>
          </w:p>
          <w:p>
            <w:pPr>
              <w:pStyle w:val="45"/>
              <w:widowControl w:val="0"/>
              <w:ind w:firstLine="478"/>
            </w:pPr>
            <w:r>
              <w:rPr>
                <w:rFonts w:ascii="Calibri" w:hAnsi="Calibri"/>
                <w:spacing w:val="-1"/>
              </w:rPr>
              <w:t>项目周边地表水</w:t>
            </w:r>
            <w:r>
              <w:rPr>
                <w:rFonts w:hint="eastAsia" w:ascii="Calibri" w:hAnsi="Calibri"/>
                <w:spacing w:val="-1"/>
              </w:rPr>
              <w:t>为</w:t>
            </w:r>
            <w:r>
              <w:rPr>
                <w:rFonts w:ascii="Calibri" w:hAnsi="Calibri"/>
                <w:spacing w:val="-1"/>
              </w:rPr>
              <w:t>龙江，</w:t>
            </w:r>
            <w:r>
              <w:t>根据《2023年福州市环境状况公报》，纳入福建省地表水环境质量考核的375个断面(含国考断面)，按照评价标准Ⅰ~Ⅲ类水质比例99.5%，同比上升0.8个百分点；其中Ⅰ~Ⅱ类水质比例65.3%，同比上升9.8个百分点；Ⅳ类占0.5%；无V类和劣V类断面。</w:t>
            </w:r>
          </w:p>
          <w:p>
            <w:pPr>
              <w:pStyle w:val="45"/>
              <w:widowControl w:val="0"/>
              <w:ind w:firstLine="480"/>
            </w:pPr>
            <w:r>
              <w:t>2023年，全省9个设区城市主要流域水质均为优。除漳州外，其余8个城市Ⅰ~Ⅲ类水质断面比例均为100%。各设区城市主要流域水质按照水质指数从相对较好开始排名，具体为：南平、宁德、泉州、三明、龙岩、莆田、厦门、福州、漳州。</w:t>
            </w:r>
            <w:r>
              <w:rPr>
                <w:rFonts w:ascii="Calibri" w:hAnsi="Calibri"/>
                <w:spacing w:val="16"/>
              </w:rPr>
              <w:t>由此可知龙江水质可达到《</w:t>
            </w:r>
            <w:r>
              <w:rPr>
                <w:rFonts w:ascii="Calibri" w:hAnsi="Calibri"/>
                <w:spacing w:val="-56"/>
              </w:rPr>
              <w:t xml:space="preserve"> </w:t>
            </w:r>
            <w:r>
              <w:rPr>
                <w:rFonts w:ascii="Calibri" w:hAnsi="Calibri"/>
                <w:spacing w:val="16"/>
              </w:rPr>
              <w:t>地表</w:t>
            </w:r>
            <w:r>
              <w:rPr>
                <w:rFonts w:ascii="Calibri" w:hAnsi="Calibri"/>
                <w:spacing w:val="15"/>
              </w:rPr>
              <w:t>水环境质量标准</w:t>
            </w:r>
            <w:r>
              <w:rPr>
                <w:rFonts w:ascii="Calibri" w:hAnsi="Calibri"/>
                <w:spacing w:val="-67"/>
              </w:rPr>
              <w:t xml:space="preserve"> </w:t>
            </w:r>
            <w:r>
              <w:rPr>
                <w:rFonts w:ascii="Calibri" w:hAnsi="Calibri"/>
                <w:spacing w:val="15"/>
              </w:rPr>
              <w:t>》</w:t>
            </w:r>
            <w:r>
              <w:rPr>
                <w:rFonts w:ascii="Calibri" w:hAnsi="Calibri"/>
              </w:rPr>
              <w:t xml:space="preserve"> </w:t>
            </w:r>
            <w:r>
              <w:rPr>
                <w:rFonts w:eastAsia="Times New Roman"/>
                <w:spacing w:val="-1"/>
              </w:rPr>
              <w:t xml:space="preserve">(GB3838-2002) </w:t>
            </w:r>
            <w:r>
              <w:rPr>
                <w:rFonts w:hint="eastAsia" w:ascii="宋体" w:hAnsi="宋体" w:cs="宋体"/>
                <w:spacing w:val="-1"/>
              </w:rPr>
              <w:t>Ⅲ</w:t>
            </w:r>
            <w:r>
              <w:rPr>
                <w:rFonts w:ascii="Calibri" w:hAnsi="Calibri"/>
                <w:spacing w:val="-1"/>
              </w:rPr>
              <w:t>类水标准。</w:t>
            </w:r>
          </w:p>
          <w:p>
            <w:pPr>
              <w:pStyle w:val="45"/>
              <w:widowControl w:val="0"/>
              <w:ind w:firstLine="482"/>
              <w:rPr>
                <w:b/>
                <w:bCs/>
              </w:rPr>
            </w:pPr>
            <w:r>
              <w:rPr>
                <w:b/>
                <w:bCs/>
              </w:rPr>
              <w:t>3、声环境</w:t>
            </w:r>
          </w:p>
          <w:p>
            <w:pPr>
              <w:pStyle w:val="45"/>
              <w:widowControl w:val="0"/>
              <w:ind w:firstLine="480"/>
              <w:rPr>
                <w:rFonts w:ascii="Calibri" w:hAnsi="Calibri"/>
                <w:spacing w:val="-3"/>
                <w:szCs w:val="20"/>
              </w:rPr>
            </w:pPr>
            <w:r>
              <w:t>厂界外周边50米范围内存在声环境保护目标</w:t>
            </w:r>
            <w:r>
              <w:rPr>
                <w:rFonts w:hint="eastAsia"/>
              </w:rPr>
              <w:t>，应</w:t>
            </w:r>
            <w:r>
              <w:t>监测保护目标声环境质量现状并评价达标情况。</w:t>
            </w:r>
            <w:r>
              <w:rPr>
                <w:rFonts w:hint="eastAsia"/>
              </w:rPr>
              <w:t>项目厂界</w:t>
            </w:r>
            <w:r>
              <w:rPr>
                <w:lang w:val="en-US"/>
              </w:rPr>
              <w:t>50米范围内</w:t>
            </w:r>
            <w:r>
              <w:rPr>
                <w:rFonts w:hint="eastAsia"/>
                <w:lang w:val="en-US"/>
              </w:rPr>
              <w:t>的</w:t>
            </w:r>
            <w:r>
              <w:rPr>
                <w:lang w:val="en-US"/>
              </w:rPr>
              <w:t>声环境保护目标</w:t>
            </w:r>
            <w:r>
              <w:rPr>
                <w:rFonts w:hint="eastAsia"/>
                <w:lang w:val="en-US"/>
              </w:rPr>
              <w:t>为北侧和东侧的刘东村，其位于城市主干道两侧30米内，</w:t>
            </w:r>
            <w:r>
              <w:rPr>
                <w:lang w:val="en-US"/>
              </w:rPr>
              <w:t>声环境质量</w:t>
            </w:r>
            <w:r>
              <w:rPr>
                <w:rFonts w:hint="eastAsia"/>
                <w:lang w:val="en-US"/>
              </w:rPr>
              <w:t>执行</w:t>
            </w:r>
            <w:r>
              <w:rPr>
                <w:lang w:val="en-US"/>
              </w:rPr>
              <w:t>《声环境质量标准》（GB3096-2008）中的</w:t>
            </w:r>
            <w:r>
              <w:rPr>
                <w:rFonts w:hint="eastAsia"/>
                <w:lang w:val="en-US"/>
              </w:rPr>
              <w:t>4a</w:t>
            </w:r>
            <w:r>
              <w:rPr>
                <w:lang w:val="en-US"/>
              </w:rPr>
              <w:t>类标准</w:t>
            </w:r>
            <w:r>
              <w:rPr>
                <w:rFonts w:hint="eastAsia"/>
                <w:lang w:val="en-US"/>
              </w:rPr>
              <w:t>。</w:t>
            </w:r>
          </w:p>
          <w:p>
            <w:pPr>
              <w:pStyle w:val="45"/>
              <w:widowControl w:val="0"/>
              <w:ind w:firstLine="474"/>
              <w:rPr>
                <w:color w:val="000000"/>
                <w:spacing w:val="-2"/>
              </w:rPr>
            </w:pPr>
            <w:r>
              <w:rPr>
                <w:rFonts w:ascii="Calibri" w:hAnsi="Calibri"/>
                <w:color w:val="000000"/>
                <w:spacing w:val="-3"/>
              </w:rPr>
              <w:t>根据</w:t>
            </w:r>
            <w:r>
              <w:rPr>
                <w:rFonts w:hint="eastAsia"/>
                <w:color w:val="000000"/>
                <w:spacing w:val="-6"/>
              </w:rPr>
              <w:t>福建创投环境检测有限公司</w:t>
            </w:r>
            <w:r>
              <w:rPr>
                <w:color w:val="000000"/>
                <w:spacing w:val="-6"/>
              </w:rPr>
              <w:t>于</w:t>
            </w:r>
            <w:r>
              <w:t>2024</w:t>
            </w:r>
            <w:r>
              <w:rPr>
                <w:rFonts w:hint="eastAsia"/>
              </w:rPr>
              <w:t>年</w:t>
            </w:r>
            <w:r>
              <w:t>12</w:t>
            </w:r>
            <w:r>
              <w:rPr>
                <w:rFonts w:hint="eastAsia"/>
              </w:rPr>
              <w:t>月</w:t>
            </w:r>
            <w:r>
              <w:t>20</w:t>
            </w:r>
            <w:r>
              <w:rPr>
                <w:rFonts w:hint="eastAsia"/>
              </w:rPr>
              <w:t>日</w:t>
            </w:r>
            <w:r>
              <w:rPr>
                <w:color w:val="000000"/>
                <w:spacing w:val="-2"/>
              </w:rPr>
              <w:t>对</w:t>
            </w:r>
            <w:r>
              <w:rPr>
                <w:rFonts w:hint="eastAsia"/>
                <w:color w:val="000000"/>
                <w:spacing w:val="-2"/>
              </w:rPr>
              <w:t>周边</w:t>
            </w:r>
            <w:r>
              <w:rPr>
                <w:color w:val="000000"/>
                <w:spacing w:val="-2"/>
              </w:rPr>
              <w:t>敏感点的噪声监测结果详见</w:t>
            </w:r>
            <w:r>
              <w:rPr>
                <w:rFonts w:hint="eastAsia"/>
                <w:color w:val="000000"/>
                <w:spacing w:val="-2"/>
              </w:rPr>
              <w:t>3.1-2：</w:t>
            </w:r>
          </w:p>
          <w:p>
            <w:pPr>
              <w:pStyle w:val="42"/>
              <w:spacing w:before="120"/>
            </w:pPr>
            <w:r>
              <w:t>表</w:t>
            </w:r>
            <w:r>
              <w:rPr>
                <w:rFonts w:hint="eastAsia"/>
              </w:rPr>
              <w:t>3.1-2  敏感点</w:t>
            </w:r>
            <w:r>
              <w:t>噪声监测结果一览表</w:t>
            </w:r>
          </w:p>
          <w:tbl>
            <w:tblPr>
              <w:tblStyle w:val="49"/>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62"/>
              <w:gridCol w:w="861"/>
              <w:gridCol w:w="2588"/>
              <w:gridCol w:w="1147"/>
              <w:gridCol w:w="1742"/>
              <w:gridCol w:w="152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3" w:type="pct"/>
                  <w:vAlign w:val="center"/>
                </w:tcPr>
                <w:p>
                  <w:pPr>
                    <w:pStyle w:val="39"/>
                  </w:pPr>
                  <w:r>
                    <w:t>检测日期</w:t>
                  </w:r>
                </w:p>
              </w:tc>
              <w:tc>
                <w:tcPr>
                  <w:tcW w:w="476" w:type="pct"/>
                  <w:vAlign w:val="center"/>
                </w:tcPr>
                <w:p>
                  <w:pPr>
                    <w:pStyle w:val="39"/>
                  </w:pPr>
                  <w:r>
                    <w:t>检测</w:t>
                  </w:r>
                </w:p>
                <w:p>
                  <w:pPr>
                    <w:pStyle w:val="39"/>
                  </w:pPr>
                  <w:r>
                    <w:t>时段</w:t>
                  </w:r>
                </w:p>
              </w:tc>
              <w:tc>
                <w:tcPr>
                  <w:tcW w:w="1433" w:type="pct"/>
                  <w:vAlign w:val="center"/>
                </w:tcPr>
                <w:p>
                  <w:pPr>
                    <w:pStyle w:val="39"/>
                  </w:pPr>
                  <w:r>
                    <w:t>检测点位</w:t>
                  </w:r>
                </w:p>
              </w:tc>
              <w:tc>
                <w:tcPr>
                  <w:tcW w:w="635" w:type="pct"/>
                  <w:vAlign w:val="center"/>
                </w:tcPr>
                <w:p>
                  <w:pPr>
                    <w:pStyle w:val="39"/>
                  </w:pPr>
                  <w:r>
                    <w:t>单位</w:t>
                  </w:r>
                </w:p>
              </w:tc>
              <w:tc>
                <w:tcPr>
                  <w:tcW w:w="965" w:type="pct"/>
                  <w:vAlign w:val="center"/>
                </w:tcPr>
                <w:p>
                  <w:pPr>
                    <w:pStyle w:val="39"/>
                  </w:pPr>
                  <w:r>
                    <w:t>检测数据（Leq）</w:t>
                  </w:r>
                </w:p>
              </w:tc>
              <w:tc>
                <w:tcPr>
                  <w:tcW w:w="847" w:type="pct"/>
                  <w:vAlign w:val="center"/>
                </w:tcPr>
                <w:p>
                  <w:pPr>
                    <w:pStyle w:val="39"/>
                  </w:pPr>
                  <w:r>
                    <w:t>限值（Leq）</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3" w:type="pct"/>
                  <w:vMerge w:val="restart"/>
                  <w:vAlign w:val="center"/>
                </w:tcPr>
                <w:p>
                  <w:pPr>
                    <w:pStyle w:val="39"/>
                  </w:pPr>
                  <w:r>
                    <w:t>2024</w:t>
                  </w:r>
                  <w:r>
                    <w:rPr>
                      <w:rFonts w:hint="eastAsia"/>
                    </w:rPr>
                    <w:t>年</w:t>
                  </w:r>
                  <w:r>
                    <w:t>12</w:t>
                  </w:r>
                  <w:r>
                    <w:rPr>
                      <w:rFonts w:hint="eastAsia"/>
                    </w:rPr>
                    <w:t>月</w:t>
                  </w:r>
                  <w:r>
                    <w:t>20</w:t>
                  </w:r>
                  <w:r>
                    <w:rPr>
                      <w:rFonts w:hint="eastAsia"/>
                    </w:rPr>
                    <w:t>日</w:t>
                  </w:r>
                </w:p>
              </w:tc>
              <w:tc>
                <w:tcPr>
                  <w:tcW w:w="476" w:type="pct"/>
                  <w:vMerge w:val="restart"/>
                  <w:vAlign w:val="center"/>
                </w:tcPr>
                <w:p>
                  <w:pPr>
                    <w:pStyle w:val="39"/>
                  </w:pPr>
                  <w:r>
                    <w:t>昼间</w:t>
                  </w:r>
                </w:p>
              </w:tc>
              <w:tc>
                <w:tcPr>
                  <w:tcW w:w="1433" w:type="pct"/>
                  <w:vAlign w:val="center"/>
                </w:tcPr>
                <w:p>
                  <w:pPr>
                    <w:pStyle w:val="39"/>
                  </w:pPr>
                  <w:r>
                    <w:t>N1项目北侧刘东村</w:t>
                  </w:r>
                </w:p>
              </w:tc>
              <w:tc>
                <w:tcPr>
                  <w:tcW w:w="635" w:type="pct"/>
                  <w:vMerge w:val="restart"/>
                  <w:vAlign w:val="center"/>
                </w:tcPr>
                <w:p>
                  <w:pPr>
                    <w:pStyle w:val="39"/>
                  </w:pPr>
                  <w:r>
                    <w:t>dB（A）</w:t>
                  </w:r>
                </w:p>
              </w:tc>
              <w:tc>
                <w:tcPr>
                  <w:tcW w:w="965" w:type="pct"/>
                  <w:vAlign w:val="center"/>
                </w:tcPr>
                <w:p>
                  <w:pPr>
                    <w:pStyle w:val="39"/>
                  </w:pPr>
                  <w:r>
                    <w:rPr>
                      <w:rFonts w:hint="eastAsia"/>
                    </w:rPr>
                    <w:t>65</w:t>
                  </w:r>
                </w:p>
              </w:tc>
              <w:tc>
                <w:tcPr>
                  <w:tcW w:w="847" w:type="pct"/>
                  <w:vAlign w:val="center"/>
                </w:tcPr>
                <w:p>
                  <w:pPr>
                    <w:pStyle w:val="39"/>
                  </w:pPr>
                  <w:r>
                    <w:rPr>
                      <w:rFonts w:hint="eastAsia"/>
                    </w:rPr>
                    <w:t>70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2" w:hRule="atLeast"/>
                <w:jc w:val="center"/>
              </w:trPr>
              <w:tc>
                <w:tcPr>
                  <w:tcW w:w="643" w:type="pct"/>
                  <w:vMerge w:val="continue"/>
                  <w:vAlign w:val="center"/>
                </w:tcPr>
                <w:p>
                  <w:pPr>
                    <w:pStyle w:val="39"/>
                  </w:pPr>
                </w:p>
              </w:tc>
              <w:tc>
                <w:tcPr>
                  <w:tcW w:w="476" w:type="pct"/>
                  <w:vMerge w:val="continue"/>
                  <w:vAlign w:val="center"/>
                </w:tcPr>
                <w:p>
                  <w:pPr>
                    <w:pStyle w:val="39"/>
                  </w:pPr>
                </w:p>
              </w:tc>
              <w:tc>
                <w:tcPr>
                  <w:tcW w:w="1433" w:type="pct"/>
                  <w:vAlign w:val="center"/>
                </w:tcPr>
                <w:p>
                  <w:pPr>
                    <w:pStyle w:val="39"/>
                  </w:pPr>
                  <w:r>
                    <w:t>N</w:t>
                  </w:r>
                  <w:r>
                    <w:rPr>
                      <w:rFonts w:hint="eastAsia"/>
                    </w:rPr>
                    <w:t>2</w:t>
                  </w:r>
                  <w:r>
                    <w:t>项目东侧刘东村</w:t>
                  </w:r>
                </w:p>
              </w:tc>
              <w:tc>
                <w:tcPr>
                  <w:tcW w:w="635" w:type="pct"/>
                  <w:vMerge w:val="continue"/>
                  <w:vAlign w:val="center"/>
                </w:tcPr>
                <w:p>
                  <w:pPr>
                    <w:pStyle w:val="39"/>
                  </w:pPr>
                </w:p>
              </w:tc>
              <w:tc>
                <w:tcPr>
                  <w:tcW w:w="965" w:type="pct"/>
                  <w:vAlign w:val="center"/>
                </w:tcPr>
                <w:p>
                  <w:pPr>
                    <w:pStyle w:val="39"/>
                  </w:pPr>
                  <w:r>
                    <w:rPr>
                      <w:rFonts w:hint="eastAsia"/>
                    </w:rPr>
                    <w:t>64</w:t>
                  </w:r>
                </w:p>
              </w:tc>
              <w:tc>
                <w:tcPr>
                  <w:tcW w:w="847" w:type="pct"/>
                  <w:vAlign w:val="center"/>
                </w:tcPr>
                <w:p>
                  <w:pPr>
                    <w:pStyle w:val="39"/>
                  </w:pPr>
                  <w:r>
                    <w:rPr>
                      <w:rFonts w:hint="eastAsia"/>
                    </w:rPr>
                    <w:t>70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3" w:type="pct"/>
                  <w:vMerge w:val="continue"/>
                  <w:vAlign w:val="center"/>
                </w:tcPr>
                <w:p>
                  <w:pPr>
                    <w:pStyle w:val="39"/>
                  </w:pPr>
                </w:p>
              </w:tc>
              <w:tc>
                <w:tcPr>
                  <w:tcW w:w="476" w:type="pct"/>
                  <w:vMerge w:val="restart"/>
                  <w:vAlign w:val="center"/>
                </w:tcPr>
                <w:p>
                  <w:pPr>
                    <w:pStyle w:val="39"/>
                  </w:pPr>
                  <w:r>
                    <w:t>夜间</w:t>
                  </w:r>
                </w:p>
              </w:tc>
              <w:tc>
                <w:tcPr>
                  <w:tcW w:w="1433" w:type="pct"/>
                  <w:vAlign w:val="center"/>
                </w:tcPr>
                <w:p>
                  <w:pPr>
                    <w:pStyle w:val="39"/>
                  </w:pPr>
                  <w:r>
                    <w:t>N1项目北侧刘东村</w:t>
                  </w:r>
                </w:p>
              </w:tc>
              <w:tc>
                <w:tcPr>
                  <w:tcW w:w="635" w:type="pct"/>
                  <w:vMerge w:val="restart"/>
                  <w:vAlign w:val="center"/>
                </w:tcPr>
                <w:p>
                  <w:pPr>
                    <w:pStyle w:val="39"/>
                  </w:pPr>
                  <w:r>
                    <w:t>dB（A）</w:t>
                  </w:r>
                </w:p>
              </w:tc>
              <w:tc>
                <w:tcPr>
                  <w:tcW w:w="965" w:type="pct"/>
                  <w:vAlign w:val="center"/>
                </w:tcPr>
                <w:p>
                  <w:pPr>
                    <w:pStyle w:val="39"/>
                  </w:pPr>
                  <w:r>
                    <w:rPr>
                      <w:rFonts w:hint="eastAsia"/>
                    </w:rPr>
                    <w:t>52</w:t>
                  </w:r>
                </w:p>
              </w:tc>
              <w:tc>
                <w:tcPr>
                  <w:tcW w:w="847" w:type="pct"/>
                  <w:vAlign w:val="center"/>
                </w:tcPr>
                <w:p>
                  <w:pPr>
                    <w:pStyle w:val="39"/>
                  </w:pPr>
                  <w:r>
                    <w:rPr>
                      <w:rFonts w:hint="eastAsia"/>
                    </w:rPr>
                    <w:t>55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3" w:type="pct"/>
                  <w:vMerge w:val="continue"/>
                  <w:vAlign w:val="center"/>
                </w:tcPr>
                <w:p>
                  <w:pPr>
                    <w:pStyle w:val="39"/>
                  </w:pPr>
                </w:p>
              </w:tc>
              <w:tc>
                <w:tcPr>
                  <w:tcW w:w="476" w:type="pct"/>
                  <w:vMerge w:val="continue"/>
                  <w:vAlign w:val="center"/>
                </w:tcPr>
                <w:p>
                  <w:pPr>
                    <w:pStyle w:val="39"/>
                  </w:pPr>
                </w:p>
              </w:tc>
              <w:tc>
                <w:tcPr>
                  <w:tcW w:w="1433" w:type="pct"/>
                  <w:vAlign w:val="center"/>
                </w:tcPr>
                <w:p>
                  <w:pPr>
                    <w:pStyle w:val="39"/>
                  </w:pPr>
                  <w:r>
                    <w:t>N</w:t>
                  </w:r>
                  <w:r>
                    <w:rPr>
                      <w:rFonts w:hint="eastAsia"/>
                    </w:rPr>
                    <w:t>2</w:t>
                  </w:r>
                  <w:r>
                    <w:t>项目东侧刘东村</w:t>
                  </w:r>
                </w:p>
              </w:tc>
              <w:tc>
                <w:tcPr>
                  <w:tcW w:w="635" w:type="pct"/>
                  <w:vMerge w:val="continue"/>
                  <w:vAlign w:val="center"/>
                </w:tcPr>
                <w:p>
                  <w:pPr>
                    <w:pStyle w:val="39"/>
                  </w:pPr>
                </w:p>
              </w:tc>
              <w:tc>
                <w:tcPr>
                  <w:tcW w:w="965" w:type="pct"/>
                  <w:vAlign w:val="center"/>
                </w:tcPr>
                <w:p>
                  <w:pPr>
                    <w:pStyle w:val="39"/>
                  </w:pPr>
                  <w:r>
                    <w:rPr>
                      <w:rFonts w:hint="eastAsia"/>
                    </w:rPr>
                    <w:t>50</w:t>
                  </w:r>
                </w:p>
              </w:tc>
              <w:tc>
                <w:tcPr>
                  <w:tcW w:w="847" w:type="pct"/>
                  <w:vAlign w:val="center"/>
                </w:tcPr>
                <w:p>
                  <w:pPr>
                    <w:pStyle w:val="39"/>
                  </w:pPr>
                  <w:r>
                    <w:rPr>
                      <w:rFonts w:hint="eastAsia"/>
                    </w:rPr>
                    <w:t>55</w:t>
                  </w:r>
                </w:p>
              </w:tc>
            </w:tr>
          </w:tbl>
          <w:p>
            <w:pPr>
              <w:pStyle w:val="43"/>
              <w:spacing w:before="120"/>
              <w:ind w:firstLine="480"/>
            </w:pPr>
            <w:r>
              <w:t>根据上表，周边居民点刘东村的噪声监测结果可达《声环境质量标准》（GB3096-2008）中的</w:t>
            </w:r>
            <w:r>
              <w:rPr>
                <w:rFonts w:hint="eastAsia"/>
              </w:rPr>
              <w:t>4a</w:t>
            </w:r>
            <w:r>
              <w:t>类标准，区域声环境质量现状良好。</w:t>
            </w:r>
          </w:p>
          <w:p>
            <w:pPr>
              <w:pStyle w:val="44"/>
              <w:widowControl w:val="0"/>
            </w:pPr>
            <w:r>
              <w:drawing>
                <wp:inline distT="0" distB="0" distL="0" distR="0">
                  <wp:extent cx="5733415" cy="4216400"/>
                  <wp:effectExtent l="0" t="0" r="635" b="0"/>
                  <wp:docPr id="37353284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532843" name="图片 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a:xfrm>
                            <a:off x="0" y="0"/>
                            <a:ext cx="5733415" cy="4216400"/>
                          </a:xfrm>
                          <a:prstGeom prst="rect">
                            <a:avLst/>
                          </a:prstGeom>
                          <a:noFill/>
                          <a:ln>
                            <a:noFill/>
                          </a:ln>
                        </pic:spPr>
                      </pic:pic>
                    </a:graphicData>
                  </a:graphic>
                </wp:inline>
              </w:drawing>
            </w:r>
          </w:p>
          <w:p>
            <w:pPr>
              <w:pStyle w:val="44"/>
              <w:widowControl w:val="0"/>
            </w:pPr>
            <w:r>
              <w:rPr>
                <w:rFonts w:hint="eastAsia"/>
              </w:rPr>
              <w:t>图3.1-1  声环境评价范围和监测点位示意图</w:t>
            </w:r>
          </w:p>
          <w:p>
            <w:pPr>
              <w:pStyle w:val="45"/>
              <w:widowControl w:val="0"/>
              <w:ind w:firstLine="482"/>
              <w:rPr>
                <w:b/>
                <w:bCs/>
              </w:rPr>
            </w:pPr>
            <w:r>
              <w:rPr>
                <w:b/>
                <w:bCs/>
              </w:rPr>
              <w:t>4、生态环境</w:t>
            </w:r>
          </w:p>
          <w:p>
            <w:pPr>
              <w:pStyle w:val="45"/>
              <w:widowControl w:val="0"/>
              <w:ind w:firstLine="480"/>
            </w:pPr>
            <w:r>
              <w:t>项目用地范围内无生态环境保护目标，无需开展生态现状调查。</w:t>
            </w:r>
          </w:p>
          <w:p>
            <w:pPr>
              <w:pStyle w:val="45"/>
              <w:widowControl w:val="0"/>
              <w:ind w:firstLine="482"/>
              <w:rPr>
                <w:b/>
                <w:bCs/>
              </w:rPr>
            </w:pPr>
            <w:r>
              <w:rPr>
                <w:b/>
                <w:bCs/>
              </w:rPr>
              <w:t>5、电磁辐射</w:t>
            </w:r>
          </w:p>
          <w:p>
            <w:pPr>
              <w:pStyle w:val="45"/>
              <w:widowControl w:val="0"/>
              <w:ind w:firstLine="480"/>
            </w:pPr>
            <w:r>
              <w:t>项目不涉及电磁辐射，无需开展电磁辐射现状调查。</w:t>
            </w:r>
          </w:p>
          <w:p>
            <w:pPr>
              <w:pStyle w:val="45"/>
              <w:widowControl w:val="0"/>
              <w:ind w:firstLine="482"/>
              <w:rPr>
                <w:b/>
                <w:bCs/>
              </w:rPr>
            </w:pPr>
            <w:r>
              <w:rPr>
                <w:rFonts w:hint="eastAsia"/>
                <w:b/>
                <w:bCs/>
              </w:rPr>
              <w:t>6、</w:t>
            </w:r>
            <w:r>
              <w:rPr>
                <w:b/>
                <w:bCs/>
              </w:rPr>
              <w:t>地下水、土壤环境</w:t>
            </w:r>
          </w:p>
          <w:p>
            <w:pPr>
              <w:pStyle w:val="45"/>
              <w:widowControl w:val="0"/>
              <w:ind w:firstLine="480"/>
              <w:rPr>
                <w:snapToGrid w:val="0"/>
              </w:rPr>
            </w:pPr>
            <w:r>
              <w:rPr>
                <w:snapToGrid w:val="0"/>
              </w:rPr>
              <w:t>根据现场勘查，周边以居住区为主，项目边界外</w:t>
            </w:r>
            <w:r>
              <w:rPr>
                <w:rFonts w:eastAsia="Times New Roman"/>
                <w:snapToGrid w:val="0"/>
              </w:rPr>
              <w:t>500</w:t>
            </w:r>
            <w:r>
              <w:rPr>
                <w:snapToGrid w:val="0"/>
              </w:rPr>
              <w:t>米范围内无地下水</w:t>
            </w:r>
            <w:r>
              <w:rPr>
                <w:snapToGrid w:val="0"/>
                <w:spacing w:val="1"/>
              </w:rPr>
              <w:t>集中式饮用水水源和热水、矿泉水、温泉等</w:t>
            </w:r>
            <w:r>
              <w:rPr>
                <w:snapToGrid w:val="0"/>
              </w:rPr>
              <w:t>特殊地下水资等，本项目加油站</w:t>
            </w:r>
            <w:r>
              <w:rPr>
                <w:snapToGrid w:val="0"/>
                <w:spacing w:val="1"/>
              </w:rPr>
              <w:t>加油棚地面拟采取水泥</w:t>
            </w:r>
            <w:r>
              <w:rPr>
                <w:rFonts w:hint="eastAsia"/>
                <w:snapToGrid w:val="0"/>
                <w:spacing w:val="1"/>
              </w:rPr>
              <w:t>硬化</w:t>
            </w:r>
            <w:r>
              <w:rPr>
                <w:snapToGrid w:val="0"/>
                <w:spacing w:val="1"/>
              </w:rPr>
              <w:t>进行防</w:t>
            </w:r>
            <w:r>
              <w:rPr>
                <w:snapToGrid w:val="0"/>
              </w:rPr>
              <w:t>渗，加油棚四周设置导流沟。汽</w:t>
            </w:r>
            <w:r>
              <w:rPr>
                <w:snapToGrid w:val="0"/>
                <w:spacing w:val="1"/>
              </w:rPr>
              <w:t>车卸油采用密闭卸油方式，汽油卸油设置有</w:t>
            </w:r>
            <w:r>
              <w:rPr>
                <w:snapToGrid w:val="0"/>
              </w:rPr>
              <w:t>油气回收系统，卸油时油罐车与</w:t>
            </w:r>
            <w:r>
              <w:rPr>
                <w:snapToGrid w:val="0"/>
                <w:spacing w:val="1"/>
              </w:rPr>
              <w:t>储罐气相连，将卸油时挥发的油气回收到油</w:t>
            </w:r>
            <w:r>
              <w:rPr>
                <w:snapToGrid w:val="0"/>
              </w:rPr>
              <w:t>罐车内，运回油库进行油气回收处理。汽油加油流程设置二次油气回收系统，可避</w:t>
            </w:r>
            <w:r>
              <w:rPr>
                <w:snapToGrid w:val="0"/>
                <w:spacing w:val="-1"/>
              </w:rPr>
              <w:t>免油气直接排到大气。</w:t>
            </w:r>
          </w:p>
          <w:p>
            <w:pPr>
              <w:pStyle w:val="45"/>
              <w:widowControl w:val="0"/>
              <w:ind w:firstLine="480"/>
            </w:pPr>
            <w:r>
              <w:rPr>
                <w:snapToGrid w:val="0"/>
              </w:rPr>
              <w:t>本工程储油罐为</w:t>
            </w:r>
            <w:r>
              <w:rPr>
                <w:rFonts w:hint="eastAsia"/>
                <w:snapToGrid w:val="0"/>
                <w:lang w:val="en-US"/>
              </w:rPr>
              <w:t>钢制</w:t>
            </w:r>
            <w:r>
              <w:rPr>
                <w:snapToGrid w:val="0"/>
              </w:rPr>
              <w:t>双层油罐，</w:t>
            </w:r>
            <w:r>
              <w:rPr>
                <w:rFonts w:hint="eastAsia"/>
                <w:snapToGrid w:val="0"/>
                <w:lang w:val="en-US"/>
              </w:rPr>
              <w:t>油罐外表面作防腐处理，采用抗浮措施，</w:t>
            </w:r>
            <w:r>
              <w:rPr>
                <w:snapToGrid w:val="0"/>
              </w:rPr>
              <w:t>油罐卸油管安装有防溢流阀，连接远程卸油口。当油料达到油罐容量</w:t>
            </w:r>
            <w:r>
              <w:rPr>
                <w:rFonts w:eastAsia="Times New Roman"/>
                <w:snapToGrid w:val="0"/>
              </w:rPr>
              <w:t>9</w:t>
            </w:r>
            <w:r>
              <w:rPr>
                <w:rFonts w:eastAsia="Times New Roman"/>
                <w:snapToGrid w:val="0"/>
                <w:spacing w:val="-1"/>
              </w:rPr>
              <w:t>5%</w:t>
            </w:r>
            <w:r>
              <w:rPr>
                <w:snapToGrid w:val="0"/>
                <w:spacing w:val="-1"/>
              </w:rPr>
              <w:t>时，能自动停止油料</w:t>
            </w:r>
            <w:r>
              <w:rPr>
                <w:snapToGrid w:val="0"/>
                <w:spacing w:val="1"/>
              </w:rPr>
              <w:t>继续进罐，采取以上措施后，项目对地下水</w:t>
            </w:r>
            <w:r>
              <w:rPr>
                <w:snapToGrid w:val="0"/>
              </w:rPr>
              <w:t>、土壤环境影响很小，基本不存</w:t>
            </w:r>
            <w:r>
              <w:rPr>
                <w:snapToGrid w:val="0"/>
                <w:spacing w:val="1"/>
              </w:rPr>
              <w:t>在土壤、地下水环境污染途径，因此，本评</w:t>
            </w:r>
            <w:r>
              <w:rPr>
                <w:snapToGrid w:val="0"/>
              </w:rPr>
              <w:t>价不对项目地下水、土壤环境质</w:t>
            </w:r>
            <w:r>
              <w:rPr>
                <w:snapToGrid w:val="0"/>
                <w:spacing w:val="-2"/>
              </w:rPr>
              <w:t>量进行补充监测。</w:t>
            </w:r>
          </w:p>
          <w:p>
            <w:pPr>
              <w:jc w:val="both"/>
              <w:rPr>
                <w:rFonts w:ascii="Times New Roman" w:hAnsi="Times New Roman" w:eastAsia="宋体" w:cs="Times New Roman"/>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63" w:hRule="atLeast"/>
          <w:jc w:val="center"/>
        </w:trPr>
        <w:tc>
          <w:tcPr>
            <w:tcW w:w="305" w:type="pct"/>
            <w:vAlign w:val="center"/>
          </w:tcPr>
          <w:p>
            <w:pPr>
              <w:jc w:val="center"/>
              <w:rPr>
                <w:rFonts w:ascii="Times New Roman" w:hAnsi="Times New Roman" w:eastAsia="宋体" w:cs="Times New Roman"/>
                <w:spacing w:val="-1"/>
                <w:sz w:val="24"/>
                <w:szCs w:val="24"/>
                <w:lang w:eastAsia="zh-CN"/>
              </w:rPr>
            </w:pPr>
            <w:r>
              <w:rPr>
                <w:rFonts w:ascii="Times New Roman" w:hAnsi="Times New Roman" w:eastAsia="宋体" w:cs="Times New Roman"/>
                <w:spacing w:val="-1"/>
                <w:sz w:val="24"/>
                <w:szCs w:val="24"/>
                <w:lang w:eastAsia="zh-CN"/>
              </w:rPr>
              <w:t>环境保护目标</w:t>
            </w:r>
          </w:p>
        </w:tc>
        <w:tc>
          <w:tcPr>
            <w:tcW w:w="4694" w:type="pct"/>
          </w:tcPr>
          <w:p>
            <w:pPr>
              <w:topLinePunct/>
              <w:spacing w:line="360" w:lineRule="auto"/>
              <w:ind w:firstLine="480" w:firstLineChars="200"/>
              <w:jc w:val="both"/>
              <w:rPr>
                <w:rFonts w:ascii="Times New Roman" w:hAnsi="Times New Roman" w:eastAsia="宋体" w:cs="Times New Roman"/>
                <w:color w:val="000000"/>
                <w:sz w:val="24"/>
                <w:szCs w:val="24"/>
                <w:lang w:eastAsia="zh-CN"/>
              </w:rPr>
            </w:pPr>
            <w:r>
              <w:rPr>
                <w:rFonts w:ascii="Times New Roman" w:hAnsi="Times New Roman" w:eastAsia="宋体" w:cs="Times New Roman"/>
                <w:color w:val="000000"/>
                <w:sz w:val="24"/>
                <w:szCs w:val="24"/>
                <w:lang w:eastAsia="zh-CN"/>
              </w:rPr>
              <w:t>本项目的周边环境敏感目标详见表3.2-1，项目周边环境敏感目标分布图见附图</w:t>
            </w:r>
            <w:r>
              <w:rPr>
                <w:rFonts w:hint="eastAsia" w:ascii="Times New Roman" w:hAnsi="Times New Roman" w:eastAsia="宋体" w:cs="Times New Roman"/>
                <w:color w:val="000000"/>
                <w:sz w:val="24"/>
                <w:szCs w:val="24"/>
                <w:lang w:eastAsia="zh-CN"/>
              </w:rPr>
              <w:t>3</w:t>
            </w:r>
            <w:r>
              <w:rPr>
                <w:rFonts w:ascii="Times New Roman" w:hAnsi="Times New Roman" w:eastAsia="宋体" w:cs="Times New Roman"/>
                <w:color w:val="000000"/>
                <w:sz w:val="24"/>
                <w:szCs w:val="24"/>
                <w:lang w:eastAsia="zh-CN"/>
              </w:rPr>
              <w:t>。</w:t>
            </w:r>
          </w:p>
          <w:p>
            <w:pPr>
              <w:adjustRightInd w:val="0"/>
              <w:snapToGrid w:val="0"/>
              <w:spacing w:before="120" w:beforeLines="50"/>
              <w:jc w:val="center"/>
              <w:rPr>
                <w:rFonts w:ascii="Times New Roman" w:hAnsi="Times New Roman" w:eastAsia="宋体" w:cs="Times New Roman"/>
                <w:b/>
                <w:color w:val="000000"/>
                <w:kern w:val="2"/>
                <w:sz w:val="24"/>
                <w:szCs w:val="24"/>
                <w:lang w:eastAsia="zh-CN"/>
                <w14:ligatures w14:val="standardContextual"/>
              </w:rPr>
            </w:pPr>
            <w:r>
              <w:rPr>
                <w:rFonts w:ascii="Times New Roman" w:hAnsi="Times New Roman" w:eastAsia="宋体" w:cs="Times New Roman"/>
                <w:b/>
                <w:color w:val="000000"/>
                <w:kern w:val="2"/>
                <w:sz w:val="24"/>
                <w:szCs w:val="24"/>
                <w:lang w:eastAsia="zh-CN"/>
                <w14:ligatures w14:val="standardContextual"/>
              </w:rPr>
              <w:t>表3.2-1 项目周边环境敏感目标</w:t>
            </w:r>
          </w:p>
          <w:tbl>
            <w:tblPr>
              <w:tblStyle w:val="49"/>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174"/>
              <w:gridCol w:w="1277"/>
              <w:gridCol w:w="1842"/>
              <w:gridCol w:w="1560"/>
              <w:gridCol w:w="217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1204" w:type="pct"/>
                  <w:vMerge w:val="restart"/>
                  <w:vAlign w:val="center"/>
                </w:tcPr>
                <w:p>
                  <w:pPr>
                    <w:pStyle w:val="39"/>
                    <w:rPr>
                      <w:color w:val="000000" w:themeColor="text1"/>
                      <w14:textFill>
                        <w14:solidFill>
                          <w14:schemeClr w14:val="tx1"/>
                        </w14:solidFill>
                      </w14:textFill>
                    </w:rPr>
                  </w:pPr>
                  <w:r>
                    <w:rPr>
                      <w:color w:val="000000" w:themeColor="text1"/>
                      <w14:textFill>
                        <w14:solidFill>
                          <w14:schemeClr w14:val="tx1"/>
                        </w14:solidFill>
                      </w14:textFill>
                    </w:rPr>
                    <w:t>敏感目标</w:t>
                  </w:r>
                </w:p>
              </w:tc>
              <w:tc>
                <w:tcPr>
                  <w:tcW w:w="2591" w:type="pct"/>
                  <w:gridSpan w:val="3"/>
                  <w:vAlign w:val="center"/>
                </w:tcPr>
                <w:p>
                  <w:pPr>
                    <w:pStyle w:val="39"/>
                    <w:rPr>
                      <w:color w:val="000000" w:themeColor="text1"/>
                      <w:spacing w:val="8"/>
                      <w14:textFill>
                        <w14:solidFill>
                          <w14:schemeClr w14:val="tx1"/>
                        </w14:solidFill>
                      </w14:textFill>
                    </w:rPr>
                  </w:pPr>
                  <w:r>
                    <w:rPr>
                      <w:color w:val="000000" w:themeColor="text1"/>
                      <w:spacing w:val="8"/>
                      <w14:textFill>
                        <w14:solidFill>
                          <w14:schemeClr w14:val="tx1"/>
                        </w14:solidFill>
                      </w14:textFill>
                    </w:rPr>
                    <w:t>敏感目标</w:t>
                  </w:r>
                  <w:r>
                    <w:rPr>
                      <w:rFonts w:hint="eastAsia"/>
                      <w:color w:val="000000" w:themeColor="text1"/>
                      <w:spacing w:val="8"/>
                      <w14:textFill>
                        <w14:solidFill>
                          <w14:schemeClr w14:val="tx1"/>
                        </w14:solidFill>
                      </w14:textFill>
                    </w:rPr>
                    <w:t>情况</w:t>
                  </w:r>
                </w:p>
              </w:tc>
              <w:tc>
                <w:tcPr>
                  <w:tcW w:w="1205" w:type="pct"/>
                  <w:vMerge w:val="restart"/>
                  <w:vAlign w:val="center"/>
                </w:tcPr>
                <w:p>
                  <w:pPr>
                    <w:pStyle w:val="39"/>
                    <w:rPr>
                      <w:color w:val="000000" w:themeColor="text1"/>
                      <w14:textFill>
                        <w14:solidFill>
                          <w14:schemeClr w14:val="tx1"/>
                        </w14:solidFill>
                      </w14:textFill>
                    </w:rPr>
                  </w:pPr>
                  <w:r>
                    <w:rPr>
                      <w:color w:val="000000" w:themeColor="text1"/>
                      <w:spacing w:val="8"/>
                      <w14:textFill>
                        <w14:solidFill>
                          <w14:schemeClr w14:val="tx1"/>
                        </w14:solidFill>
                      </w14:textFill>
                    </w:rPr>
                    <w:t>环境质量目标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04" w:type="pct"/>
                  <w:vMerge w:val="continue"/>
                  <w:vAlign w:val="center"/>
                </w:tcPr>
                <w:p>
                  <w:pPr>
                    <w:pStyle w:val="39"/>
                    <w:rPr>
                      <w:rFonts w:ascii="Arial"/>
                      <w:color w:val="000000" w:themeColor="text1"/>
                      <w14:textFill>
                        <w14:solidFill>
                          <w14:schemeClr w14:val="tx1"/>
                        </w14:solidFill>
                      </w14:textFill>
                    </w:rPr>
                  </w:pPr>
                </w:p>
              </w:tc>
              <w:tc>
                <w:tcPr>
                  <w:tcW w:w="707" w:type="pct"/>
                  <w:vAlign w:val="center"/>
                </w:tcPr>
                <w:p>
                  <w:pPr>
                    <w:pStyle w:val="39"/>
                    <w:rPr>
                      <w:color w:val="000000" w:themeColor="text1"/>
                      <w14:textFill>
                        <w14:solidFill>
                          <w14:schemeClr w14:val="tx1"/>
                        </w14:solidFill>
                      </w14:textFill>
                    </w:rPr>
                  </w:pPr>
                  <w:r>
                    <w:rPr>
                      <w:color w:val="000000" w:themeColor="text1"/>
                      <w:spacing w:val="4"/>
                      <w14:textFill>
                        <w14:solidFill>
                          <w14:schemeClr w14:val="tx1"/>
                        </w14:solidFill>
                      </w14:textFill>
                    </w:rPr>
                    <w:t>方位</w:t>
                  </w:r>
                </w:p>
              </w:tc>
              <w:tc>
                <w:tcPr>
                  <w:tcW w:w="1020" w:type="pct"/>
                  <w:vAlign w:val="center"/>
                </w:tcPr>
                <w:p>
                  <w:pPr>
                    <w:pStyle w:val="39"/>
                    <w:rPr>
                      <w:color w:val="000000" w:themeColor="text1"/>
                      <w14:textFill>
                        <w14:solidFill>
                          <w14:schemeClr w14:val="tx1"/>
                        </w14:solidFill>
                      </w14:textFill>
                    </w:rPr>
                  </w:pPr>
                  <w:r>
                    <w:rPr>
                      <w:rFonts w:hint="eastAsia"/>
                      <w:color w:val="000000" w:themeColor="text1"/>
                      <w:spacing w:val="6"/>
                      <w14:textFill>
                        <w14:solidFill>
                          <w14:schemeClr w14:val="tx1"/>
                        </w14:solidFill>
                      </w14:textFill>
                    </w:rPr>
                    <w:t>离厂界</w:t>
                  </w:r>
                  <w:r>
                    <w:rPr>
                      <w:color w:val="000000" w:themeColor="text1"/>
                      <w:spacing w:val="6"/>
                      <w14:textFill>
                        <w14:solidFill>
                          <w14:schemeClr w14:val="tx1"/>
                        </w14:solidFill>
                      </w14:textFill>
                    </w:rPr>
                    <w:t>最近距离</w:t>
                  </w:r>
                </w:p>
              </w:tc>
              <w:tc>
                <w:tcPr>
                  <w:tcW w:w="864" w:type="pct"/>
                  <w:vAlign w:val="center"/>
                </w:tcPr>
                <w:p>
                  <w:pPr>
                    <w:pStyle w:val="39"/>
                    <w:rPr>
                      <w:rFonts w:ascii="Arial"/>
                      <w:color w:val="000000" w:themeColor="text1"/>
                      <w14:textFill>
                        <w14:solidFill>
                          <w14:schemeClr w14:val="tx1"/>
                        </w14:solidFill>
                      </w14:textFill>
                    </w:rPr>
                  </w:pPr>
                  <w:r>
                    <w:rPr>
                      <w:rFonts w:hint="eastAsia"/>
                      <w:color w:val="000000" w:themeColor="text1"/>
                      <w:spacing w:val="8"/>
                      <w14:textFill>
                        <w14:solidFill>
                          <w14:schemeClr w14:val="tx1"/>
                        </w14:solidFill>
                      </w14:textFill>
                    </w:rPr>
                    <w:t>规模</w:t>
                  </w:r>
                </w:p>
              </w:tc>
              <w:tc>
                <w:tcPr>
                  <w:tcW w:w="1205" w:type="pct"/>
                  <w:vMerge w:val="continue"/>
                  <w:vAlign w:val="center"/>
                </w:tcPr>
                <w:p>
                  <w:pPr>
                    <w:pStyle w:val="39"/>
                    <w:rPr>
                      <w:rFonts w:ascii="Arial"/>
                      <w:color w:val="000000" w:themeColor="text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5"/>
                  <w:vAlign w:val="center"/>
                </w:tcPr>
                <w:p>
                  <w:pPr>
                    <w:pStyle w:val="39"/>
                    <w:rPr>
                      <w:rFonts w:ascii="Arial"/>
                      <w:color w:val="000000" w:themeColor="text1"/>
                      <w14:textFill>
                        <w14:solidFill>
                          <w14:schemeClr w14:val="tx1"/>
                        </w14:solidFill>
                      </w14:textFill>
                    </w:rPr>
                  </w:pPr>
                  <w:r>
                    <w:rPr>
                      <w:rFonts w:hint="eastAsia" w:ascii="Arial"/>
                      <w:color w:val="000000" w:themeColor="text1"/>
                      <w14:textFill>
                        <w14:solidFill>
                          <w14:schemeClr w14:val="tx1"/>
                        </w14:solidFill>
                      </w14:textFill>
                    </w:rPr>
                    <w:t>环境空气</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04" w:type="pct"/>
                  <w:vAlign w:val="center"/>
                </w:tcPr>
                <w:p>
                  <w:pPr>
                    <w:pStyle w:val="39"/>
                    <w:rPr>
                      <w:color w:val="000000" w:themeColor="text1"/>
                      <w14:textFill>
                        <w14:solidFill>
                          <w14:schemeClr w14:val="tx1"/>
                        </w14:solidFill>
                      </w14:textFill>
                    </w:rPr>
                  </w:pPr>
                  <w:r>
                    <w:rPr>
                      <w:rFonts w:hint="eastAsia"/>
                      <w:color w:val="000000" w:themeColor="text1"/>
                      <w14:textFill>
                        <w14:solidFill>
                          <w14:schemeClr w14:val="tx1"/>
                        </w14:solidFill>
                      </w14:textFill>
                    </w:rPr>
                    <w:t>刘东村</w:t>
                  </w:r>
                </w:p>
              </w:tc>
              <w:tc>
                <w:tcPr>
                  <w:tcW w:w="707" w:type="pct"/>
                  <w:vAlign w:val="center"/>
                </w:tcPr>
                <w:p>
                  <w:pPr>
                    <w:pStyle w:val="39"/>
                    <w:rPr>
                      <w:rFonts w:eastAsia="Times New Roman"/>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东</w:t>
                  </w:r>
                </w:p>
              </w:tc>
              <w:tc>
                <w:tcPr>
                  <w:tcW w:w="1020" w:type="pct"/>
                  <w:vAlign w:val="center"/>
                </w:tcPr>
                <w:p>
                  <w:pPr>
                    <w:pStyle w:val="39"/>
                    <w:rPr>
                      <w:rFonts w:eastAsia="Times New Roman"/>
                      <w:color w:val="000000" w:themeColor="text1"/>
                      <w14:textFill>
                        <w14:solidFill>
                          <w14:schemeClr w14:val="tx1"/>
                        </w14:solidFill>
                      </w14:textFill>
                    </w:rPr>
                  </w:pPr>
                  <w:r>
                    <w:rPr>
                      <w:rFonts w:hint="eastAsia" w:ascii="宋体" w:hAnsi="宋体" w:cs="宋体"/>
                      <w:color w:val="000000" w:themeColor="text1"/>
                      <w:spacing w:val="-1"/>
                      <w14:textFill>
                        <w14:solidFill>
                          <w14:schemeClr w14:val="tx1"/>
                        </w14:solidFill>
                      </w14:textFill>
                    </w:rPr>
                    <w:t>约</w:t>
                  </w:r>
                  <w:r>
                    <w:rPr>
                      <w:rFonts w:hint="eastAsia"/>
                      <w:color w:val="000000" w:themeColor="text1"/>
                      <w:spacing w:val="3"/>
                      <w14:textFill>
                        <w14:solidFill>
                          <w14:schemeClr w14:val="tx1"/>
                        </w14:solidFill>
                      </w14:textFill>
                    </w:rPr>
                    <w:t>10</w:t>
                  </w:r>
                  <w:r>
                    <w:rPr>
                      <w:rFonts w:eastAsia="Times New Roman"/>
                      <w:color w:val="000000" w:themeColor="text1"/>
                      <w:spacing w:val="3"/>
                      <w14:textFill>
                        <w14:solidFill>
                          <w14:schemeClr w14:val="tx1"/>
                        </w14:solidFill>
                      </w14:textFill>
                    </w:rPr>
                    <w:t>m</w:t>
                  </w:r>
                </w:p>
              </w:tc>
              <w:tc>
                <w:tcPr>
                  <w:tcW w:w="864" w:type="pct"/>
                  <w:vAlign w:val="center"/>
                </w:tcPr>
                <w:p>
                  <w:pPr>
                    <w:pStyle w:val="39"/>
                    <w:rPr>
                      <w:color w:val="000000" w:themeColor="text1"/>
                      <w:spacing w:val="1"/>
                      <w14:textFill>
                        <w14:solidFill>
                          <w14:schemeClr w14:val="tx1"/>
                        </w14:solidFill>
                      </w14:textFill>
                    </w:rPr>
                  </w:pPr>
                  <w:r>
                    <w:rPr>
                      <w:color w:val="000000" w:themeColor="text1"/>
                      <w:spacing w:val="1"/>
                      <w14:textFill>
                        <w14:solidFill>
                          <w14:schemeClr w14:val="tx1"/>
                        </w14:solidFill>
                      </w14:textFill>
                    </w:rPr>
                    <w:t>约</w:t>
                  </w:r>
                  <w:r>
                    <w:rPr>
                      <w:rFonts w:hint="eastAsia"/>
                      <w:color w:val="000000" w:themeColor="text1"/>
                      <w:spacing w:val="1"/>
                      <w14:textFill>
                        <w14:solidFill>
                          <w14:schemeClr w14:val="tx1"/>
                        </w14:solidFill>
                      </w14:textFill>
                    </w:rPr>
                    <w:t>1000人</w:t>
                  </w:r>
                </w:p>
              </w:tc>
              <w:tc>
                <w:tcPr>
                  <w:tcW w:w="1205" w:type="pct"/>
                  <w:vMerge w:val="restart"/>
                  <w:vAlign w:val="center"/>
                </w:tcPr>
                <w:p>
                  <w:pPr>
                    <w:pStyle w:val="39"/>
                    <w:rPr>
                      <w:color w:val="000000" w:themeColor="text1"/>
                      <w14:textFill>
                        <w14:solidFill>
                          <w14:schemeClr w14:val="tx1"/>
                        </w14:solidFill>
                      </w14:textFill>
                    </w:rPr>
                  </w:pPr>
                  <w:r>
                    <w:rPr>
                      <w:color w:val="000000" w:themeColor="text1"/>
                      <w:spacing w:val="1"/>
                      <w14:textFill>
                        <w14:solidFill>
                          <w14:schemeClr w14:val="tx1"/>
                        </w14:solidFill>
                      </w14:textFill>
                    </w:rPr>
                    <w:t>《环境空气质量标准》（</w:t>
                  </w:r>
                  <w:r>
                    <w:rPr>
                      <w:rFonts w:eastAsia="Times New Roman"/>
                      <w:color w:val="000000" w:themeColor="text1"/>
                      <w14:textFill>
                        <w14:solidFill>
                          <w14:schemeClr w14:val="tx1"/>
                        </w14:solidFill>
                      </w14:textFill>
                    </w:rPr>
                    <w:t>GB</w:t>
                  </w:r>
                  <w:r>
                    <w:rPr>
                      <w:rFonts w:eastAsia="Times New Roman"/>
                      <w:color w:val="000000" w:themeColor="text1"/>
                      <w:spacing w:val="1"/>
                      <w14:textFill>
                        <w14:solidFill>
                          <w14:schemeClr w14:val="tx1"/>
                        </w14:solidFill>
                      </w14:textFill>
                    </w:rPr>
                    <w:t>3095-2012</w:t>
                  </w:r>
                  <w:r>
                    <w:rPr>
                      <w:color w:val="000000" w:themeColor="text1"/>
                      <w:spacing w:val="1"/>
                      <w14:textFill>
                        <w14:solidFill>
                          <w14:schemeClr w14:val="tx1"/>
                        </w14:solidFill>
                      </w14:textFill>
                    </w:rPr>
                    <w:t>）</w:t>
                  </w:r>
                  <w:r>
                    <w:rPr>
                      <w:color w:val="000000" w:themeColor="text1"/>
                      <w:spacing w:val="18"/>
                      <w14:textFill>
                        <w14:solidFill>
                          <w14:schemeClr w14:val="tx1"/>
                        </w14:solidFill>
                      </w14:textFill>
                    </w:rPr>
                    <w:t xml:space="preserve"> </w:t>
                  </w:r>
                  <w:r>
                    <w:rPr>
                      <w:color w:val="000000" w:themeColor="text1"/>
                      <w:spacing w:val="6"/>
                      <w14:textFill>
                        <w14:solidFill>
                          <w14:schemeClr w14:val="tx1"/>
                        </w14:solidFill>
                      </w14:textFill>
                    </w:rPr>
                    <w:t>二级标准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1204" w:type="pct"/>
                  <w:vAlign w:val="center"/>
                </w:tcPr>
                <w:p>
                  <w:pPr>
                    <w:pStyle w:val="39"/>
                    <w:rPr>
                      <w:color w:val="000000" w:themeColor="text1"/>
                      <w:spacing w:val="4"/>
                      <w14:textFill>
                        <w14:solidFill>
                          <w14:schemeClr w14:val="tx1"/>
                        </w14:solidFill>
                      </w14:textFill>
                    </w:rPr>
                  </w:pPr>
                  <w:r>
                    <w:rPr>
                      <w:rFonts w:hint="eastAsia"/>
                      <w:color w:val="000000" w:themeColor="text1"/>
                      <w:spacing w:val="6"/>
                      <w14:textFill>
                        <w14:solidFill>
                          <w14:schemeClr w14:val="tx1"/>
                        </w14:solidFill>
                      </w14:textFill>
                    </w:rPr>
                    <w:t>刘东村</w:t>
                  </w:r>
                </w:p>
              </w:tc>
              <w:tc>
                <w:tcPr>
                  <w:tcW w:w="707" w:type="pct"/>
                  <w:vAlign w:val="center"/>
                </w:tcPr>
                <w:p>
                  <w:pPr>
                    <w:pStyle w:val="39"/>
                    <w:rPr>
                      <w:rFonts w:eastAsia="Times New Roman"/>
                      <w:color w:val="000000" w:themeColor="text1"/>
                      <w14:textFill>
                        <w14:solidFill>
                          <w14:schemeClr w14:val="tx1"/>
                        </w14:solidFill>
                      </w14:textFill>
                    </w:rPr>
                  </w:pPr>
                  <w:r>
                    <w:rPr>
                      <w:rFonts w:hint="eastAsia"/>
                      <w:color w:val="000000" w:themeColor="text1"/>
                      <w:spacing w:val="5"/>
                      <w14:textFill>
                        <w14:solidFill>
                          <w14:schemeClr w14:val="tx1"/>
                        </w14:solidFill>
                      </w14:textFill>
                    </w:rPr>
                    <w:t>北</w:t>
                  </w:r>
                </w:p>
              </w:tc>
              <w:tc>
                <w:tcPr>
                  <w:tcW w:w="1020" w:type="pct"/>
                  <w:vAlign w:val="center"/>
                </w:tcPr>
                <w:p>
                  <w:pPr>
                    <w:pStyle w:val="39"/>
                    <w:rPr>
                      <w:rFonts w:eastAsia="Times New Roman"/>
                      <w:color w:val="000000" w:themeColor="text1"/>
                      <w:spacing w:val="-1"/>
                      <w14:textFill>
                        <w14:solidFill>
                          <w14:schemeClr w14:val="tx1"/>
                        </w14:solidFill>
                      </w14:textFill>
                    </w:rPr>
                  </w:pPr>
                  <w:r>
                    <w:rPr>
                      <w:color w:val="000000" w:themeColor="text1"/>
                      <w14:textFill>
                        <w14:solidFill>
                          <w14:schemeClr w14:val="tx1"/>
                        </w14:solidFill>
                      </w14:textFill>
                    </w:rPr>
                    <w:t>约</w:t>
                  </w:r>
                  <w:r>
                    <w:rPr>
                      <w:rFonts w:hint="eastAsia"/>
                      <w:color w:val="000000" w:themeColor="text1"/>
                      <w14:textFill>
                        <w14:solidFill>
                          <w14:schemeClr w14:val="tx1"/>
                        </w14:solidFill>
                      </w14:textFill>
                    </w:rPr>
                    <w:t>40</w:t>
                  </w:r>
                  <w:r>
                    <w:rPr>
                      <w:color w:val="000000" w:themeColor="text1"/>
                      <w14:textFill>
                        <w14:solidFill>
                          <w14:schemeClr w14:val="tx1"/>
                        </w14:solidFill>
                      </w14:textFill>
                    </w:rPr>
                    <w:t>m</w:t>
                  </w:r>
                </w:p>
              </w:tc>
              <w:tc>
                <w:tcPr>
                  <w:tcW w:w="864" w:type="pct"/>
                  <w:vAlign w:val="center"/>
                </w:tcPr>
                <w:p>
                  <w:pPr>
                    <w:pStyle w:val="39"/>
                    <w:rPr>
                      <w:color w:val="000000" w:themeColor="text1"/>
                      <w:spacing w:val="1"/>
                      <w14:textFill>
                        <w14:solidFill>
                          <w14:schemeClr w14:val="tx1"/>
                        </w14:solidFill>
                      </w14:textFill>
                    </w:rPr>
                  </w:pPr>
                  <w:r>
                    <w:rPr>
                      <w:color w:val="000000" w:themeColor="text1"/>
                      <w:spacing w:val="1"/>
                      <w14:textFill>
                        <w14:solidFill>
                          <w14:schemeClr w14:val="tx1"/>
                        </w14:solidFill>
                      </w14:textFill>
                    </w:rPr>
                    <w:t>约</w:t>
                  </w:r>
                  <w:r>
                    <w:rPr>
                      <w:rFonts w:hint="eastAsia"/>
                      <w:color w:val="000000" w:themeColor="text1"/>
                      <w:spacing w:val="1"/>
                      <w14:textFill>
                        <w14:solidFill>
                          <w14:schemeClr w14:val="tx1"/>
                        </w14:solidFill>
                      </w14:textFill>
                    </w:rPr>
                    <w:t>1000人</w:t>
                  </w:r>
                </w:p>
              </w:tc>
              <w:tc>
                <w:tcPr>
                  <w:tcW w:w="1205" w:type="pct"/>
                  <w:vMerge w:val="continue"/>
                  <w:vAlign w:val="center"/>
                </w:tcPr>
                <w:p>
                  <w:pPr>
                    <w:pStyle w:val="39"/>
                    <w:rPr>
                      <w:color w:val="000000" w:themeColor="text1"/>
                      <w:spacing w:val="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04" w:type="pct"/>
                  <w:vAlign w:val="center"/>
                </w:tcPr>
                <w:p>
                  <w:pPr>
                    <w:pStyle w:val="39"/>
                    <w:rPr>
                      <w:color w:val="000000" w:themeColor="text1"/>
                      <w:spacing w:val="6"/>
                      <w14:textFill>
                        <w14:solidFill>
                          <w14:schemeClr w14:val="tx1"/>
                        </w14:solidFill>
                      </w14:textFill>
                    </w:rPr>
                  </w:pPr>
                  <w:r>
                    <w:rPr>
                      <w:rFonts w:hint="eastAsia"/>
                      <w:color w:val="000000" w:themeColor="text1"/>
                      <w:spacing w:val="6"/>
                      <w14:textFill>
                        <w14:solidFill>
                          <w14:schemeClr w14:val="tx1"/>
                        </w14:solidFill>
                      </w14:textFill>
                    </w:rPr>
                    <w:t>恒大城小区</w:t>
                  </w:r>
                </w:p>
              </w:tc>
              <w:tc>
                <w:tcPr>
                  <w:tcW w:w="707" w:type="pct"/>
                  <w:vAlign w:val="center"/>
                </w:tcPr>
                <w:p>
                  <w:pPr>
                    <w:pStyle w:val="39"/>
                    <w:rPr>
                      <w:rFonts w:eastAsiaTheme="minorEastAsia"/>
                      <w:color w:val="000000" w:themeColor="text1"/>
                      <w:spacing w:val="5"/>
                      <w14:textFill>
                        <w14:solidFill>
                          <w14:schemeClr w14:val="tx1"/>
                        </w14:solidFill>
                      </w14:textFill>
                    </w:rPr>
                  </w:pPr>
                  <w:r>
                    <w:rPr>
                      <w:rFonts w:hint="eastAsia" w:ascii="宋体" w:hAnsi="宋体" w:cs="宋体"/>
                      <w:color w:val="000000" w:themeColor="text1"/>
                      <w:spacing w:val="5"/>
                      <w14:textFill>
                        <w14:solidFill>
                          <w14:schemeClr w14:val="tx1"/>
                        </w14:solidFill>
                      </w14:textFill>
                    </w:rPr>
                    <w:t>西南</w:t>
                  </w:r>
                </w:p>
              </w:tc>
              <w:tc>
                <w:tcPr>
                  <w:tcW w:w="1020" w:type="pct"/>
                  <w:vAlign w:val="center"/>
                </w:tcPr>
                <w:p>
                  <w:pPr>
                    <w:pStyle w:val="39"/>
                    <w:rPr>
                      <w:rFonts w:eastAsia="Times New Roman"/>
                      <w:color w:val="000000" w:themeColor="text1"/>
                      <w:spacing w:val="-1"/>
                      <w14:textFill>
                        <w14:solidFill>
                          <w14:schemeClr w14:val="tx1"/>
                        </w14:solidFill>
                      </w14:textFill>
                    </w:rPr>
                  </w:pPr>
                  <w:r>
                    <w:rPr>
                      <w:rFonts w:hint="eastAsia" w:ascii="宋体" w:hAnsi="宋体" w:cs="宋体"/>
                      <w:color w:val="000000" w:themeColor="text1"/>
                      <w:spacing w:val="-1"/>
                      <w14:textFill>
                        <w14:solidFill>
                          <w14:schemeClr w14:val="tx1"/>
                        </w14:solidFill>
                      </w14:textFill>
                    </w:rPr>
                    <w:t>约</w:t>
                  </w:r>
                  <w:r>
                    <w:rPr>
                      <w:rFonts w:hint="eastAsia" w:eastAsiaTheme="minorEastAsia"/>
                      <w:color w:val="000000" w:themeColor="text1"/>
                      <w:spacing w:val="-1"/>
                      <w14:textFill>
                        <w14:solidFill>
                          <w14:schemeClr w14:val="tx1"/>
                        </w14:solidFill>
                      </w14:textFill>
                    </w:rPr>
                    <w:t>60</w:t>
                  </w:r>
                  <w:r>
                    <w:rPr>
                      <w:rFonts w:eastAsia="Times New Roman"/>
                      <w:color w:val="000000" w:themeColor="text1"/>
                      <w:spacing w:val="-1"/>
                      <w14:textFill>
                        <w14:solidFill>
                          <w14:schemeClr w14:val="tx1"/>
                        </w14:solidFill>
                      </w14:textFill>
                    </w:rPr>
                    <w:t>m</w:t>
                  </w:r>
                </w:p>
              </w:tc>
              <w:tc>
                <w:tcPr>
                  <w:tcW w:w="864" w:type="pct"/>
                  <w:vAlign w:val="center"/>
                </w:tcPr>
                <w:p>
                  <w:pPr>
                    <w:pStyle w:val="39"/>
                    <w:rPr>
                      <w:color w:val="000000" w:themeColor="text1"/>
                      <w:spacing w:val="1"/>
                      <w14:textFill>
                        <w14:solidFill>
                          <w14:schemeClr w14:val="tx1"/>
                        </w14:solidFill>
                      </w14:textFill>
                    </w:rPr>
                  </w:pPr>
                  <w:r>
                    <w:rPr>
                      <w:color w:val="000000" w:themeColor="text1"/>
                      <w:spacing w:val="1"/>
                      <w14:textFill>
                        <w14:solidFill>
                          <w14:schemeClr w14:val="tx1"/>
                        </w14:solidFill>
                      </w14:textFill>
                    </w:rPr>
                    <w:t>约</w:t>
                  </w:r>
                  <w:r>
                    <w:rPr>
                      <w:rFonts w:hint="eastAsia"/>
                      <w:color w:val="000000" w:themeColor="text1"/>
                      <w:spacing w:val="1"/>
                      <w14:textFill>
                        <w14:solidFill>
                          <w14:schemeClr w14:val="tx1"/>
                        </w14:solidFill>
                      </w14:textFill>
                    </w:rPr>
                    <w:t>800人</w:t>
                  </w:r>
                </w:p>
              </w:tc>
              <w:tc>
                <w:tcPr>
                  <w:tcW w:w="1205" w:type="pct"/>
                  <w:vMerge w:val="continue"/>
                  <w:vAlign w:val="center"/>
                </w:tcPr>
                <w:p>
                  <w:pPr>
                    <w:pStyle w:val="39"/>
                    <w:rPr>
                      <w:color w:val="000000" w:themeColor="text1"/>
                      <w:spacing w:val="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04" w:type="pct"/>
                  <w:vAlign w:val="center"/>
                </w:tcPr>
                <w:p>
                  <w:pPr>
                    <w:pStyle w:val="39"/>
                    <w:rPr>
                      <w:color w:val="000000" w:themeColor="text1"/>
                      <w:spacing w:val="6"/>
                      <w14:textFill>
                        <w14:solidFill>
                          <w14:schemeClr w14:val="tx1"/>
                        </w14:solidFill>
                      </w14:textFill>
                    </w:rPr>
                  </w:pPr>
                  <w:r>
                    <w:rPr>
                      <w:rFonts w:hint="eastAsia"/>
                      <w:color w:val="000000" w:themeColor="text1"/>
                      <w:spacing w:val="6"/>
                      <w14:textFill>
                        <w14:solidFill>
                          <w14:schemeClr w14:val="tx1"/>
                        </w14:solidFill>
                      </w14:textFill>
                    </w:rPr>
                    <w:t>三福龙景小区</w:t>
                  </w:r>
                </w:p>
              </w:tc>
              <w:tc>
                <w:tcPr>
                  <w:tcW w:w="707" w:type="pct"/>
                  <w:vAlign w:val="center"/>
                </w:tcPr>
                <w:p>
                  <w:pPr>
                    <w:pStyle w:val="39"/>
                    <w:rPr>
                      <w:color w:val="000000" w:themeColor="text1"/>
                      <w:spacing w:val="5"/>
                      <w14:textFill>
                        <w14:solidFill>
                          <w14:schemeClr w14:val="tx1"/>
                        </w14:solidFill>
                      </w14:textFill>
                    </w:rPr>
                  </w:pPr>
                  <w:r>
                    <w:rPr>
                      <w:rFonts w:hint="eastAsia"/>
                      <w:color w:val="000000" w:themeColor="text1"/>
                      <w:spacing w:val="5"/>
                      <w14:textFill>
                        <w14:solidFill>
                          <w14:schemeClr w14:val="tx1"/>
                        </w14:solidFill>
                      </w14:textFill>
                    </w:rPr>
                    <w:t>东北</w:t>
                  </w:r>
                </w:p>
              </w:tc>
              <w:tc>
                <w:tcPr>
                  <w:tcW w:w="1020" w:type="pct"/>
                  <w:vAlign w:val="center"/>
                </w:tcPr>
                <w:p>
                  <w:pPr>
                    <w:pStyle w:val="39"/>
                    <w:rPr>
                      <w:color w:val="000000" w:themeColor="text1"/>
                      <w14:textFill>
                        <w14:solidFill>
                          <w14:schemeClr w14:val="tx1"/>
                        </w14:solidFill>
                      </w14:textFill>
                    </w:rPr>
                  </w:pPr>
                  <w:r>
                    <w:rPr>
                      <w:rFonts w:hint="eastAsia" w:ascii="宋体" w:hAnsi="宋体" w:cs="宋体"/>
                      <w:color w:val="000000" w:themeColor="text1"/>
                      <w:spacing w:val="-1"/>
                      <w14:textFill>
                        <w14:solidFill>
                          <w14:schemeClr w14:val="tx1"/>
                        </w14:solidFill>
                      </w14:textFill>
                    </w:rPr>
                    <w:t>约</w:t>
                  </w:r>
                  <w:r>
                    <w:rPr>
                      <w:rFonts w:hint="eastAsia"/>
                      <w:color w:val="000000" w:themeColor="text1"/>
                      <w:spacing w:val="-1"/>
                      <w14:textFill>
                        <w14:solidFill>
                          <w14:schemeClr w14:val="tx1"/>
                        </w14:solidFill>
                      </w14:textFill>
                    </w:rPr>
                    <w:t>150</w:t>
                  </w:r>
                  <w:r>
                    <w:rPr>
                      <w:rFonts w:eastAsia="Times New Roman"/>
                      <w:color w:val="000000" w:themeColor="text1"/>
                      <w:spacing w:val="-1"/>
                      <w14:textFill>
                        <w14:solidFill>
                          <w14:schemeClr w14:val="tx1"/>
                        </w14:solidFill>
                      </w14:textFill>
                    </w:rPr>
                    <w:t>m</w:t>
                  </w:r>
                </w:p>
              </w:tc>
              <w:tc>
                <w:tcPr>
                  <w:tcW w:w="864" w:type="pct"/>
                  <w:vAlign w:val="center"/>
                </w:tcPr>
                <w:p>
                  <w:pPr>
                    <w:pStyle w:val="39"/>
                    <w:rPr>
                      <w:color w:val="000000" w:themeColor="text1"/>
                      <w:spacing w:val="1"/>
                      <w14:textFill>
                        <w14:solidFill>
                          <w14:schemeClr w14:val="tx1"/>
                        </w14:solidFill>
                      </w14:textFill>
                    </w:rPr>
                  </w:pPr>
                  <w:r>
                    <w:rPr>
                      <w:color w:val="000000" w:themeColor="text1"/>
                      <w:spacing w:val="1"/>
                      <w14:textFill>
                        <w14:solidFill>
                          <w14:schemeClr w14:val="tx1"/>
                        </w14:solidFill>
                      </w14:textFill>
                    </w:rPr>
                    <w:t>约</w:t>
                  </w:r>
                  <w:r>
                    <w:rPr>
                      <w:rFonts w:hint="eastAsia"/>
                      <w:color w:val="000000" w:themeColor="text1"/>
                      <w:spacing w:val="1"/>
                      <w14:textFill>
                        <w14:solidFill>
                          <w14:schemeClr w14:val="tx1"/>
                        </w14:solidFill>
                      </w14:textFill>
                    </w:rPr>
                    <w:t>2200人</w:t>
                  </w:r>
                </w:p>
              </w:tc>
              <w:tc>
                <w:tcPr>
                  <w:tcW w:w="1205" w:type="pct"/>
                  <w:vMerge w:val="continue"/>
                  <w:vAlign w:val="center"/>
                </w:tcPr>
                <w:p>
                  <w:pPr>
                    <w:pStyle w:val="39"/>
                    <w:rPr>
                      <w:color w:val="000000" w:themeColor="text1"/>
                      <w:spacing w:val="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04" w:type="pct"/>
                  <w:vAlign w:val="center"/>
                </w:tcPr>
                <w:p>
                  <w:pPr>
                    <w:pStyle w:val="39"/>
                    <w:rPr>
                      <w:color w:val="000000" w:themeColor="text1"/>
                      <w14:textFill>
                        <w14:solidFill>
                          <w14:schemeClr w14:val="tx1"/>
                        </w14:solidFill>
                      </w14:textFill>
                    </w:rPr>
                  </w:pPr>
                  <w:r>
                    <w:rPr>
                      <w:rFonts w:hint="eastAsia"/>
                      <w:color w:val="000000" w:themeColor="text1"/>
                      <w:spacing w:val="6"/>
                      <w14:textFill>
                        <w14:solidFill>
                          <w14:schemeClr w14:val="tx1"/>
                        </w14:solidFill>
                      </w14:textFill>
                    </w:rPr>
                    <w:t>福仁香槟郡小区</w:t>
                  </w:r>
                </w:p>
              </w:tc>
              <w:tc>
                <w:tcPr>
                  <w:tcW w:w="707" w:type="pct"/>
                  <w:vAlign w:val="center"/>
                </w:tcPr>
                <w:p>
                  <w:pPr>
                    <w:pStyle w:val="39"/>
                    <w:rPr>
                      <w:rFonts w:eastAsia="Times New Roman"/>
                      <w:color w:val="000000" w:themeColor="text1"/>
                      <w14:textFill>
                        <w14:solidFill>
                          <w14:schemeClr w14:val="tx1"/>
                        </w14:solidFill>
                      </w14:textFill>
                    </w:rPr>
                  </w:pPr>
                  <w:r>
                    <w:rPr>
                      <w:rFonts w:hint="eastAsia" w:ascii="宋体" w:hAnsi="宋体" w:cs="宋体"/>
                      <w:color w:val="000000" w:themeColor="text1"/>
                      <w:spacing w:val="5"/>
                      <w14:textFill>
                        <w14:solidFill>
                          <w14:schemeClr w14:val="tx1"/>
                        </w14:solidFill>
                      </w14:textFill>
                    </w:rPr>
                    <w:t>东南</w:t>
                  </w:r>
                </w:p>
              </w:tc>
              <w:tc>
                <w:tcPr>
                  <w:tcW w:w="1020" w:type="pct"/>
                  <w:vAlign w:val="center"/>
                </w:tcPr>
                <w:p>
                  <w:pPr>
                    <w:pStyle w:val="39"/>
                    <w:rPr>
                      <w:rFonts w:eastAsia="Times New Roman"/>
                      <w:color w:val="000000" w:themeColor="text1"/>
                      <w14:textFill>
                        <w14:solidFill>
                          <w14:schemeClr w14:val="tx1"/>
                        </w14:solidFill>
                      </w14:textFill>
                    </w:rPr>
                  </w:pPr>
                  <w:r>
                    <w:rPr>
                      <w:rFonts w:hint="eastAsia" w:ascii="宋体" w:hAnsi="宋体" w:cs="宋体"/>
                      <w:color w:val="000000" w:themeColor="text1"/>
                      <w:spacing w:val="-1"/>
                      <w14:textFill>
                        <w14:solidFill>
                          <w14:schemeClr w14:val="tx1"/>
                        </w14:solidFill>
                      </w14:textFill>
                    </w:rPr>
                    <w:t>约</w:t>
                  </w:r>
                  <w:r>
                    <w:rPr>
                      <w:rFonts w:hint="eastAsia" w:eastAsiaTheme="minorEastAsia"/>
                      <w:color w:val="000000" w:themeColor="text1"/>
                      <w:spacing w:val="3"/>
                      <w14:textFill>
                        <w14:solidFill>
                          <w14:schemeClr w14:val="tx1"/>
                        </w14:solidFill>
                      </w14:textFill>
                    </w:rPr>
                    <w:t>220</w:t>
                  </w:r>
                  <w:r>
                    <w:rPr>
                      <w:rFonts w:eastAsia="Times New Roman"/>
                      <w:color w:val="000000" w:themeColor="text1"/>
                      <w:spacing w:val="3"/>
                      <w14:textFill>
                        <w14:solidFill>
                          <w14:schemeClr w14:val="tx1"/>
                        </w14:solidFill>
                      </w14:textFill>
                    </w:rPr>
                    <w:t>m</w:t>
                  </w:r>
                </w:p>
              </w:tc>
              <w:tc>
                <w:tcPr>
                  <w:tcW w:w="864" w:type="pct"/>
                  <w:vAlign w:val="center"/>
                </w:tcPr>
                <w:p>
                  <w:pPr>
                    <w:pStyle w:val="39"/>
                    <w:rPr>
                      <w:rFonts w:ascii="Arial"/>
                      <w:color w:val="000000" w:themeColor="text1"/>
                      <w14:textFill>
                        <w14:solidFill>
                          <w14:schemeClr w14:val="tx1"/>
                        </w14:solidFill>
                      </w14:textFill>
                    </w:rPr>
                  </w:pPr>
                  <w:r>
                    <w:rPr>
                      <w:color w:val="000000" w:themeColor="text1"/>
                      <w:spacing w:val="1"/>
                      <w14:textFill>
                        <w14:solidFill>
                          <w14:schemeClr w14:val="tx1"/>
                        </w14:solidFill>
                      </w14:textFill>
                    </w:rPr>
                    <w:t>约</w:t>
                  </w:r>
                  <w:r>
                    <w:rPr>
                      <w:rFonts w:hint="eastAsia"/>
                      <w:color w:val="000000" w:themeColor="text1"/>
                      <w:spacing w:val="1"/>
                      <w14:textFill>
                        <w14:solidFill>
                          <w14:schemeClr w14:val="tx1"/>
                        </w14:solidFill>
                      </w14:textFill>
                    </w:rPr>
                    <w:t>800人</w:t>
                  </w:r>
                </w:p>
              </w:tc>
              <w:tc>
                <w:tcPr>
                  <w:tcW w:w="1205" w:type="pct"/>
                  <w:vMerge w:val="continue"/>
                  <w:vAlign w:val="center"/>
                </w:tcPr>
                <w:p>
                  <w:pPr>
                    <w:pStyle w:val="39"/>
                    <w:rPr>
                      <w:rFonts w:ascii="Arial"/>
                      <w:color w:val="000000" w:themeColor="text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9" w:hRule="atLeast"/>
                <w:jc w:val="center"/>
              </w:trPr>
              <w:tc>
                <w:tcPr>
                  <w:tcW w:w="1204" w:type="pct"/>
                  <w:vAlign w:val="center"/>
                </w:tcPr>
                <w:p>
                  <w:pPr>
                    <w:pStyle w:val="39"/>
                    <w:rPr>
                      <w:color w:val="000000" w:themeColor="text1"/>
                      <w14:textFill>
                        <w14:solidFill>
                          <w14:schemeClr w14:val="tx1"/>
                        </w14:solidFill>
                      </w14:textFill>
                    </w:rPr>
                  </w:pPr>
                  <w:r>
                    <w:rPr>
                      <w:rFonts w:hint="eastAsia"/>
                      <w:color w:val="000000" w:themeColor="text1"/>
                      <w:spacing w:val="6"/>
                      <w14:textFill>
                        <w14:solidFill>
                          <w14:schemeClr w14:val="tx1"/>
                        </w14:solidFill>
                      </w14:textFill>
                    </w:rPr>
                    <w:t>南宅小区</w:t>
                  </w:r>
                </w:p>
              </w:tc>
              <w:tc>
                <w:tcPr>
                  <w:tcW w:w="707" w:type="pct"/>
                  <w:vAlign w:val="center"/>
                </w:tcPr>
                <w:p>
                  <w:pPr>
                    <w:pStyle w:val="39"/>
                    <w:rPr>
                      <w:rFonts w:eastAsia="Times New Roman"/>
                      <w:color w:val="000000" w:themeColor="text1"/>
                      <w14:textFill>
                        <w14:solidFill>
                          <w14:schemeClr w14:val="tx1"/>
                        </w14:solidFill>
                      </w14:textFill>
                    </w:rPr>
                  </w:pPr>
                  <w:r>
                    <w:rPr>
                      <w:rFonts w:hint="eastAsia" w:ascii="宋体" w:hAnsi="宋体" w:cs="宋体"/>
                      <w:color w:val="000000" w:themeColor="text1"/>
                      <w:spacing w:val="8"/>
                      <w14:textFill>
                        <w14:solidFill>
                          <w14:schemeClr w14:val="tx1"/>
                        </w14:solidFill>
                      </w14:textFill>
                    </w:rPr>
                    <w:t>东北</w:t>
                  </w:r>
                </w:p>
              </w:tc>
              <w:tc>
                <w:tcPr>
                  <w:tcW w:w="1020" w:type="pct"/>
                  <w:vAlign w:val="center"/>
                </w:tcPr>
                <w:p>
                  <w:pPr>
                    <w:pStyle w:val="39"/>
                    <w:rPr>
                      <w:rFonts w:eastAsia="Times New Roman"/>
                      <w:color w:val="000000" w:themeColor="text1"/>
                      <w14:textFill>
                        <w14:solidFill>
                          <w14:schemeClr w14:val="tx1"/>
                        </w14:solidFill>
                      </w14:textFill>
                    </w:rPr>
                  </w:pPr>
                  <w:r>
                    <w:rPr>
                      <w:rFonts w:hint="eastAsia" w:ascii="宋体" w:hAnsi="宋体" w:cs="宋体"/>
                      <w:color w:val="000000" w:themeColor="text1"/>
                      <w:spacing w:val="-1"/>
                      <w14:textFill>
                        <w14:solidFill>
                          <w14:schemeClr w14:val="tx1"/>
                        </w14:solidFill>
                      </w14:textFill>
                    </w:rPr>
                    <w:t>约</w:t>
                  </w:r>
                  <w:r>
                    <w:rPr>
                      <w:rFonts w:eastAsia="Times New Roman"/>
                      <w:color w:val="000000" w:themeColor="text1"/>
                      <w:spacing w:val="3"/>
                      <w14:textFill>
                        <w14:solidFill>
                          <w14:schemeClr w14:val="tx1"/>
                        </w14:solidFill>
                      </w14:textFill>
                    </w:rPr>
                    <w:t>33</w:t>
                  </w:r>
                  <w:r>
                    <w:rPr>
                      <w:rFonts w:hint="eastAsia"/>
                      <w:color w:val="000000" w:themeColor="text1"/>
                      <w:spacing w:val="3"/>
                      <w14:textFill>
                        <w14:solidFill>
                          <w14:schemeClr w14:val="tx1"/>
                        </w14:solidFill>
                      </w14:textFill>
                    </w:rPr>
                    <w:t>0</w:t>
                  </w:r>
                  <w:r>
                    <w:rPr>
                      <w:rFonts w:eastAsia="Times New Roman"/>
                      <w:color w:val="000000" w:themeColor="text1"/>
                      <w:spacing w:val="3"/>
                      <w14:textFill>
                        <w14:solidFill>
                          <w14:schemeClr w14:val="tx1"/>
                        </w14:solidFill>
                      </w14:textFill>
                    </w:rPr>
                    <w:t>m</w:t>
                  </w:r>
                </w:p>
              </w:tc>
              <w:tc>
                <w:tcPr>
                  <w:tcW w:w="864" w:type="pct"/>
                  <w:vAlign w:val="center"/>
                </w:tcPr>
                <w:p>
                  <w:pPr>
                    <w:pStyle w:val="39"/>
                    <w:rPr>
                      <w:rFonts w:ascii="Arial"/>
                      <w:color w:val="000000" w:themeColor="text1"/>
                      <w14:textFill>
                        <w14:solidFill>
                          <w14:schemeClr w14:val="tx1"/>
                        </w14:solidFill>
                      </w14:textFill>
                    </w:rPr>
                  </w:pPr>
                  <w:r>
                    <w:rPr>
                      <w:color w:val="000000" w:themeColor="text1"/>
                      <w:spacing w:val="1"/>
                      <w14:textFill>
                        <w14:solidFill>
                          <w14:schemeClr w14:val="tx1"/>
                        </w14:solidFill>
                      </w14:textFill>
                    </w:rPr>
                    <w:t>约</w:t>
                  </w:r>
                  <w:r>
                    <w:rPr>
                      <w:rFonts w:hint="eastAsia"/>
                      <w:color w:val="000000" w:themeColor="text1"/>
                      <w:spacing w:val="1"/>
                      <w14:textFill>
                        <w14:solidFill>
                          <w14:schemeClr w14:val="tx1"/>
                        </w14:solidFill>
                      </w14:textFill>
                    </w:rPr>
                    <w:t>2500人</w:t>
                  </w:r>
                </w:p>
              </w:tc>
              <w:tc>
                <w:tcPr>
                  <w:tcW w:w="1205" w:type="pct"/>
                  <w:vMerge w:val="continue"/>
                  <w:vAlign w:val="center"/>
                </w:tcPr>
                <w:p>
                  <w:pPr>
                    <w:pStyle w:val="39"/>
                    <w:rPr>
                      <w:rFonts w:ascii="Arial"/>
                      <w:color w:val="000000" w:themeColor="text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04" w:type="pct"/>
                  <w:vAlign w:val="center"/>
                </w:tcPr>
                <w:p>
                  <w:pPr>
                    <w:pStyle w:val="39"/>
                    <w:rPr>
                      <w:color w:val="000000" w:themeColor="text1"/>
                      <w14:textFill>
                        <w14:solidFill>
                          <w14:schemeClr w14:val="tx1"/>
                        </w14:solidFill>
                      </w14:textFill>
                    </w:rPr>
                  </w:pPr>
                  <w:r>
                    <w:rPr>
                      <w:rFonts w:hint="eastAsia"/>
                      <w:color w:val="000000" w:themeColor="text1"/>
                      <w:spacing w:val="4"/>
                      <w14:textFill>
                        <w14:solidFill>
                          <w14:schemeClr w14:val="tx1"/>
                        </w14:solidFill>
                      </w14:textFill>
                    </w:rPr>
                    <w:t>福清市东方幼儿园</w:t>
                  </w:r>
                </w:p>
              </w:tc>
              <w:tc>
                <w:tcPr>
                  <w:tcW w:w="707" w:type="pct"/>
                  <w:vAlign w:val="center"/>
                </w:tcPr>
                <w:p>
                  <w:pPr>
                    <w:pStyle w:val="39"/>
                    <w:rPr>
                      <w:rFonts w:eastAsia="Times New Roman"/>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北</w:t>
                  </w:r>
                </w:p>
              </w:tc>
              <w:tc>
                <w:tcPr>
                  <w:tcW w:w="1020" w:type="pct"/>
                  <w:vAlign w:val="center"/>
                </w:tcPr>
                <w:p>
                  <w:pPr>
                    <w:pStyle w:val="39"/>
                    <w:rPr>
                      <w:rFonts w:eastAsia="Times New Roman"/>
                      <w:color w:val="000000" w:themeColor="text1"/>
                      <w14:textFill>
                        <w14:solidFill>
                          <w14:schemeClr w14:val="tx1"/>
                        </w14:solidFill>
                      </w14:textFill>
                    </w:rPr>
                  </w:pPr>
                  <w:r>
                    <w:rPr>
                      <w:rFonts w:hint="eastAsia" w:ascii="宋体" w:hAnsi="宋体" w:cs="宋体"/>
                      <w:color w:val="000000" w:themeColor="text1"/>
                      <w:spacing w:val="-1"/>
                      <w14:textFill>
                        <w14:solidFill>
                          <w14:schemeClr w14:val="tx1"/>
                        </w14:solidFill>
                      </w14:textFill>
                    </w:rPr>
                    <w:t>约</w:t>
                  </w:r>
                  <w:r>
                    <w:rPr>
                      <w:rFonts w:hint="eastAsia" w:eastAsiaTheme="minorEastAsia"/>
                      <w:color w:val="000000" w:themeColor="text1"/>
                      <w:spacing w:val="4"/>
                      <w14:textFill>
                        <w14:solidFill>
                          <w14:schemeClr w14:val="tx1"/>
                        </w14:solidFill>
                      </w14:textFill>
                    </w:rPr>
                    <w:t>360</w:t>
                  </w:r>
                  <w:r>
                    <w:rPr>
                      <w:rFonts w:eastAsia="Times New Roman"/>
                      <w:color w:val="000000" w:themeColor="text1"/>
                      <w:spacing w:val="4"/>
                      <w14:textFill>
                        <w14:solidFill>
                          <w14:schemeClr w14:val="tx1"/>
                        </w14:solidFill>
                      </w14:textFill>
                    </w:rPr>
                    <w:t>m</w:t>
                  </w:r>
                </w:p>
              </w:tc>
              <w:tc>
                <w:tcPr>
                  <w:tcW w:w="864" w:type="pct"/>
                  <w:vAlign w:val="center"/>
                </w:tcPr>
                <w:p>
                  <w:pPr>
                    <w:pStyle w:val="39"/>
                    <w:rPr>
                      <w:rFonts w:ascii="Arial"/>
                      <w:color w:val="000000" w:themeColor="text1"/>
                      <w14:textFill>
                        <w14:solidFill>
                          <w14:schemeClr w14:val="tx1"/>
                        </w14:solidFill>
                      </w14:textFill>
                    </w:rPr>
                  </w:pPr>
                  <w:r>
                    <w:rPr>
                      <w:color w:val="000000" w:themeColor="text1"/>
                      <w:spacing w:val="1"/>
                      <w14:textFill>
                        <w14:solidFill>
                          <w14:schemeClr w14:val="tx1"/>
                        </w14:solidFill>
                      </w14:textFill>
                    </w:rPr>
                    <w:t>约</w:t>
                  </w:r>
                  <w:r>
                    <w:rPr>
                      <w:rFonts w:hint="eastAsia"/>
                      <w:color w:val="000000" w:themeColor="text1"/>
                      <w:spacing w:val="1"/>
                      <w14:textFill>
                        <w14:solidFill>
                          <w14:schemeClr w14:val="tx1"/>
                        </w14:solidFill>
                      </w14:textFill>
                    </w:rPr>
                    <w:t>200人</w:t>
                  </w:r>
                </w:p>
              </w:tc>
              <w:tc>
                <w:tcPr>
                  <w:tcW w:w="1205" w:type="pct"/>
                  <w:vMerge w:val="continue"/>
                  <w:vAlign w:val="center"/>
                </w:tcPr>
                <w:p>
                  <w:pPr>
                    <w:pStyle w:val="39"/>
                    <w:rPr>
                      <w:rFonts w:ascii="Arial"/>
                      <w:color w:val="000000" w:themeColor="text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5"/>
                  <w:vAlign w:val="center"/>
                </w:tcPr>
                <w:p>
                  <w:pPr>
                    <w:pStyle w:val="39"/>
                    <w:rPr>
                      <w:rFonts w:ascii="Arial"/>
                      <w:color w:val="000000" w:themeColor="text1"/>
                      <w14:textFill>
                        <w14:solidFill>
                          <w14:schemeClr w14:val="tx1"/>
                        </w14:solidFill>
                      </w14:textFill>
                    </w:rPr>
                  </w:pPr>
                  <w:r>
                    <w:rPr>
                      <w:rFonts w:hint="eastAsia" w:ascii="Arial"/>
                      <w:color w:val="000000" w:themeColor="text1"/>
                      <w14:textFill>
                        <w14:solidFill>
                          <w14:schemeClr w14:val="tx1"/>
                        </w14:solidFill>
                      </w14:textFill>
                    </w:rPr>
                    <w:t>声环境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04" w:type="pct"/>
                  <w:vAlign w:val="center"/>
                </w:tcPr>
                <w:p>
                  <w:pPr>
                    <w:pStyle w:val="39"/>
                    <w:rPr>
                      <w:color w:val="000000" w:themeColor="text1"/>
                      <w:spacing w:val="4"/>
                      <w14:textFill>
                        <w14:solidFill>
                          <w14:schemeClr w14:val="tx1"/>
                        </w14:solidFill>
                      </w14:textFill>
                    </w:rPr>
                  </w:pPr>
                  <w:r>
                    <w:rPr>
                      <w:rFonts w:hint="eastAsia"/>
                      <w:color w:val="000000" w:themeColor="text1"/>
                      <w14:textFill>
                        <w14:solidFill>
                          <w14:schemeClr w14:val="tx1"/>
                        </w14:solidFill>
                      </w14:textFill>
                    </w:rPr>
                    <w:t>刘东村</w:t>
                  </w:r>
                </w:p>
              </w:tc>
              <w:tc>
                <w:tcPr>
                  <w:tcW w:w="707" w:type="pct"/>
                  <w:vAlign w:val="center"/>
                </w:tcPr>
                <w:p>
                  <w:pPr>
                    <w:pStyle w:val="39"/>
                    <w:rPr>
                      <w:rFonts w:eastAsia="Times New Roman"/>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东</w:t>
                  </w:r>
                </w:p>
              </w:tc>
              <w:tc>
                <w:tcPr>
                  <w:tcW w:w="1020" w:type="pct"/>
                  <w:vAlign w:val="center"/>
                </w:tcPr>
                <w:p>
                  <w:pPr>
                    <w:pStyle w:val="39"/>
                    <w:rPr>
                      <w:rFonts w:eastAsia="Times New Roman"/>
                      <w:color w:val="000000" w:themeColor="text1"/>
                      <w:spacing w:val="-1"/>
                      <w14:textFill>
                        <w14:solidFill>
                          <w14:schemeClr w14:val="tx1"/>
                        </w14:solidFill>
                      </w14:textFill>
                    </w:rPr>
                  </w:pPr>
                  <w:r>
                    <w:rPr>
                      <w:rFonts w:hint="eastAsia" w:ascii="宋体" w:hAnsi="宋体" w:cs="宋体"/>
                      <w:color w:val="000000" w:themeColor="text1"/>
                      <w:spacing w:val="-1"/>
                      <w14:textFill>
                        <w14:solidFill>
                          <w14:schemeClr w14:val="tx1"/>
                        </w14:solidFill>
                      </w14:textFill>
                    </w:rPr>
                    <w:t>约</w:t>
                  </w:r>
                  <w:r>
                    <w:rPr>
                      <w:rFonts w:hint="eastAsia"/>
                      <w:color w:val="000000" w:themeColor="text1"/>
                      <w:spacing w:val="3"/>
                      <w14:textFill>
                        <w14:solidFill>
                          <w14:schemeClr w14:val="tx1"/>
                        </w14:solidFill>
                      </w14:textFill>
                    </w:rPr>
                    <w:t>10</w:t>
                  </w:r>
                  <w:r>
                    <w:rPr>
                      <w:rFonts w:eastAsia="Times New Roman"/>
                      <w:color w:val="000000" w:themeColor="text1"/>
                      <w:spacing w:val="3"/>
                      <w14:textFill>
                        <w14:solidFill>
                          <w14:schemeClr w14:val="tx1"/>
                        </w14:solidFill>
                      </w14:textFill>
                    </w:rPr>
                    <w:t>m</w:t>
                  </w:r>
                </w:p>
              </w:tc>
              <w:tc>
                <w:tcPr>
                  <w:tcW w:w="864" w:type="pct"/>
                  <w:vAlign w:val="center"/>
                </w:tcPr>
                <w:p>
                  <w:pPr>
                    <w:pStyle w:val="39"/>
                    <w:rPr>
                      <w:rFonts w:ascii="Arial"/>
                      <w:color w:val="000000" w:themeColor="text1"/>
                      <w14:textFill>
                        <w14:solidFill>
                          <w14:schemeClr w14:val="tx1"/>
                        </w14:solidFill>
                      </w14:textFill>
                    </w:rPr>
                  </w:pPr>
                  <w:r>
                    <w:rPr>
                      <w:color w:val="000000" w:themeColor="text1"/>
                      <w:spacing w:val="1"/>
                      <w14:textFill>
                        <w14:solidFill>
                          <w14:schemeClr w14:val="tx1"/>
                        </w14:solidFill>
                      </w14:textFill>
                    </w:rPr>
                    <w:t>约</w:t>
                  </w:r>
                  <w:r>
                    <w:rPr>
                      <w:rFonts w:hint="eastAsia"/>
                      <w:color w:val="000000" w:themeColor="text1"/>
                      <w:spacing w:val="1"/>
                      <w14:textFill>
                        <w14:solidFill>
                          <w14:schemeClr w14:val="tx1"/>
                        </w14:solidFill>
                      </w14:textFill>
                    </w:rPr>
                    <w:t>1000人</w:t>
                  </w:r>
                </w:p>
              </w:tc>
              <w:tc>
                <w:tcPr>
                  <w:tcW w:w="1205" w:type="pct"/>
                  <w:vMerge w:val="restart"/>
                  <w:vAlign w:val="center"/>
                </w:tcPr>
                <w:p>
                  <w:pPr>
                    <w:pStyle w:val="39"/>
                    <w:rPr>
                      <w:color w:val="000000" w:themeColor="text1"/>
                      <w14:textFill>
                        <w14:solidFill>
                          <w14:schemeClr w14:val="tx1"/>
                        </w14:solidFill>
                      </w14:textFill>
                    </w:rPr>
                  </w:pPr>
                  <w:r>
                    <w:rPr>
                      <w:color w:val="000000" w:themeColor="text1"/>
                      <w14:textFill>
                        <w14:solidFill>
                          <w14:schemeClr w14:val="tx1"/>
                        </w14:solidFill>
                      </w14:textFill>
                    </w:rPr>
                    <w:t>《声环境质量标准》（GB3096-2008）</w:t>
                  </w:r>
                  <w:r>
                    <w:rPr>
                      <w:rFonts w:hint="eastAsia"/>
                      <w:color w:val="000000" w:themeColor="text1"/>
                      <w14:textFill>
                        <w14:solidFill>
                          <w14:schemeClr w14:val="tx1"/>
                        </w14:solidFill>
                      </w14:textFill>
                    </w:rPr>
                    <w:t>4a</w:t>
                  </w:r>
                  <w:r>
                    <w:rPr>
                      <w:color w:val="000000" w:themeColor="text1"/>
                      <w14:textFill>
                        <w14:solidFill>
                          <w14:schemeClr w14:val="tx1"/>
                        </w14:solidFill>
                      </w14:textFill>
                    </w:rPr>
                    <w:t xml:space="preserve"> 类标准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04" w:type="pct"/>
                  <w:vAlign w:val="center"/>
                </w:tcPr>
                <w:p>
                  <w:pPr>
                    <w:pStyle w:val="39"/>
                    <w:rPr>
                      <w:color w:val="000000" w:themeColor="text1"/>
                      <w:spacing w:val="4"/>
                      <w14:textFill>
                        <w14:solidFill>
                          <w14:schemeClr w14:val="tx1"/>
                        </w14:solidFill>
                      </w14:textFill>
                    </w:rPr>
                  </w:pPr>
                  <w:r>
                    <w:rPr>
                      <w:rFonts w:hint="eastAsia"/>
                      <w:color w:val="000000" w:themeColor="text1"/>
                      <w:spacing w:val="6"/>
                      <w14:textFill>
                        <w14:solidFill>
                          <w14:schemeClr w14:val="tx1"/>
                        </w14:solidFill>
                      </w14:textFill>
                    </w:rPr>
                    <w:t>刘东村</w:t>
                  </w:r>
                </w:p>
              </w:tc>
              <w:tc>
                <w:tcPr>
                  <w:tcW w:w="707" w:type="pct"/>
                  <w:vAlign w:val="center"/>
                </w:tcPr>
                <w:p>
                  <w:pPr>
                    <w:pStyle w:val="39"/>
                    <w:rPr>
                      <w:rFonts w:eastAsia="Times New Roman"/>
                      <w:color w:val="000000" w:themeColor="text1"/>
                      <w14:textFill>
                        <w14:solidFill>
                          <w14:schemeClr w14:val="tx1"/>
                        </w14:solidFill>
                      </w14:textFill>
                    </w:rPr>
                  </w:pPr>
                  <w:r>
                    <w:rPr>
                      <w:rFonts w:hint="eastAsia"/>
                      <w:color w:val="000000" w:themeColor="text1"/>
                      <w:spacing w:val="5"/>
                      <w14:textFill>
                        <w14:solidFill>
                          <w14:schemeClr w14:val="tx1"/>
                        </w14:solidFill>
                      </w14:textFill>
                    </w:rPr>
                    <w:t>北</w:t>
                  </w:r>
                </w:p>
              </w:tc>
              <w:tc>
                <w:tcPr>
                  <w:tcW w:w="1020" w:type="pct"/>
                  <w:vAlign w:val="center"/>
                </w:tcPr>
                <w:p>
                  <w:pPr>
                    <w:pStyle w:val="39"/>
                    <w:rPr>
                      <w:rFonts w:hint="eastAsia" w:ascii="宋体" w:hAnsi="宋体" w:cs="宋体"/>
                      <w:color w:val="000000" w:themeColor="text1"/>
                      <w:spacing w:val="-1"/>
                      <w14:textFill>
                        <w14:solidFill>
                          <w14:schemeClr w14:val="tx1"/>
                        </w14:solidFill>
                      </w14:textFill>
                    </w:rPr>
                  </w:pPr>
                  <w:r>
                    <w:rPr>
                      <w:color w:val="000000" w:themeColor="text1"/>
                      <w14:textFill>
                        <w14:solidFill>
                          <w14:schemeClr w14:val="tx1"/>
                        </w14:solidFill>
                      </w14:textFill>
                    </w:rPr>
                    <w:t>约</w:t>
                  </w:r>
                  <w:r>
                    <w:rPr>
                      <w:rFonts w:hint="eastAsia"/>
                      <w:color w:val="000000" w:themeColor="text1"/>
                      <w14:textFill>
                        <w14:solidFill>
                          <w14:schemeClr w14:val="tx1"/>
                        </w14:solidFill>
                      </w14:textFill>
                    </w:rPr>
                    <w:t>40</w:t>
                  </w:r>
                  <w:r>
                    <w:rPr>
                      <w:color w:val="000000" w:themeColor="text1"/>
                      <w14:textFill>
                        <w14:solidFill>
                          <w14:schemeClr w14:val="tx1"/>
                        </w14:solidFill>
                      </w14:textFill>
                    </w:rPr>
                    <w:t>m</w:t>
                  </w:r>
                </w:p>
              </w:tc>
              <w:tc>
                <w:tcPr>
                  <w:tcW w:w="864" w:type="pct"/>
                  <w:vAlign w:val="center"/>
                </w:tcPr>
                <w:p>
                  <w:pPr>
                    <w:pStyle w:val="39"/>
                    <w:rPr>
                      <w:color w:val="000000" w:themeColor="text1"/>
                      <w:spacing w:val="1"/>
                      <w14:textFill>
                        <w14:solidFill>
                          <w14:schemeClr w14:val="tx1"/>
                        </w14:solidFill>
                      </w14:textFill>
                    </w:rPr>
                  </w:pPr>
                  <w:r>
                    <w:rPr>
                      <w:color w:val="000000" w:themeColor="text1"/>
                      <w:spacing w:val="1"/>
                      <w14:textFill>
                        <w14:solidFill>
                          <w14:schemeClr w14:val="tx1"/>
                        </w14:solidFill>
                      </w14:textFill>
                    </w:rPr>
                    <w:t>约</w:t>
                  </w:r>
                  <w:r>
                    <w:rPr>
                      <w:rFonts w:hint="eastAsia"/>
                      <w:color w:val="000000" w:themeColor="text1"/>
                      <w:spacing w:val="1"/>
                      <w14:textFill>
                        <w14:solidFill>
                          <w14:schemeClr w14:val="tx1"/>
                        </w14:solidFill>
                      </w14:textFill>
                    </w:rPr>
                    <w:t>1000人</w:t>
                  </w:r>
                </w:p>
              </w:tc>
              <w:tc>
                <w:tcPr>
                  <w:tcW w:w="1205" w:type="pct"/>
                  <w:vMerge w:val="continue"/>
                  <w:vAlign w:val="center"/>
                </w:tcPr>
                <w:p>
                  <w:pPr>
                    <w:pStyle w:val="39"/>
                    <w:rPr>
                      <w:color w:val="000000" w:themeColor="text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5"/>
                  <w:vAlign w:val="center"/>
                </w:tcPr>
                <w:p>
                  <w:pPr>
                    <w:pStyle w:val="39"/>
                    <w:rPr>
                      <w:rFonts w:ascii="Arial"/>
                      <w:color w:val="000000" w:themeColor="text1"/>
                      <w14:textFill>
                        <w14:solidFill>
                          <w14:schemeClr w14:val="tx1"/>
                        </w14:solidFill>
                      </w14:textFill>
                    </w:rPr>
                  </w:pPr>
                  <w:r>
                    <w:rPr>
                      <w:rFonts w:hint="eastAsia" w:ascii="Arial"/>
                      <w:color w:val="000000" w:themeColor="text1"/>
                      <w14:textFill>
                        <w14:solidFill>
                          <w14:schemeClr w14:val="tx1"/>
                        </w14:solidFill>
                      </w14:textFill>
                    </w:rPr>
                    <w:t>地表水环境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04" w:type="pct"/>
                  <w:vAlign w:val="center"/>
                </w:tcPr>
                <w:p>
                  <w:pPr>
                    <w:pStyle w:val="39"/>
                    <w:rPr>
                      <w:color w:val="000000" w:themeColor="text1"/>
                      <w14:textFill>
                        <w14:solidFill>
                          <w14:schemeClr w14:val="tx1"/>
                        </w14:solidFill>
                      </w14:textFill>
                    </w:rPr>
                  </w:pPr>
                  <w:r>
                    <w:rPr>
                      <w:color w:val="000000" w:themeColor="text1"/>
                      <w:spacing w:val="3"/>
                      <w14:textFill>
                        <w14:solidFill>
                          <w14:schemeClr w14:val="tx1"/>
                        </w14:solidFill>
                      </w14:textFill>
                    </w:rPr>
                    <w:t>龙江</w:t>
                  </w:r>
                </w:p>
              </w:tc>
              <w:tc>
                <w:tcPr>
                  <w:tcW w:w="707" w:type="pct"/>
                  <w:vAlign w:val="center"/>
                </w:tcPr>
                <w:p>
                  <w:pPr>
                    <w:pStyle w:val="39"/>
                    <w:rPr>
                      <w:rFonts w:eastAsia="Times New Roman"/>
                      <w:color w:val="000000" w:themeColor="text1"/>
                      <w14:textFill>
                        <w14:solidFill>
                          <w14:schemeClr w14:val="tx1"/>
                        </w14:solidFill>
                      </w14:textFill>
                    </w:rPr>
                  </w:pPr>
                  <w:r>
                    <w:rPr>
                      <w:rFonts w:eastAsia="Times New Roman"/>
                      <w:color w:val="000000" w:themeColor="text1"/>
                      <w:spacing w:val="8"/>
                      <w14:textFill>
                        <w14:solidFill>
                          <w14:schemeClr w14:val="tx1"/>
                        </w14:solidFill>
                      </w14:textFill>
                    </w:rPr>
                    <w:t>N</w:t>
                  </w:r>
                </w:p>
              </w:tc>
              <w:tc>
                <w:tcPr>
                  <w:tcW w:w="1020" w:type="pct"/>
                  <w:vAlign w:val="center"/>
                </w:tcPr>
                <w:p>
                  <w:pPr>
                    <w:pStyle w:val="39"/>
                    <w:rPr>
                      <w:rFonts w:eastAsia="Times New Roman"/>
                      <w:color w:val="000000" w:themeColor="text1"/>
                      <w14:textFill>
                        <w14:solidFill>
                          <w14:schemeClr w14:val="tx1"/>
                        </w14:solidFill>
                      </w14:textFill>
                    </w:rPr>
                  </w:pPr>
                  <w:r>
                    <w:rPr>
                      <w:rFonts w:hint="eastAsia" w:ascii="宋体" w:hAnsi="宋体" w:cs="宋体"/>
                      <w:color w:val="000000" w:themeColor="text1"/>
                      <w:spacing w:val="-1"/>
                      <w14:textFill>
                        <w14:solidFill>
                          <w14:schemeClr w14:val="tx1"/>
                        </w14:solidFill>
                      </w14:textFill>
                    </w:rPr>
                    <w:t>约</w:t>
                  </w:r>
                  <w:r>
                    <w:rPr>
                      <w:rFonts w:hint="eastAsia" w:eastAsiaTheme="minorEastAsia"/>
                      <w:color w:val="000000" w:themeColor="text1"/>
                      <w:spacing w:val="3"/>
                      <w14:textFill>
                        <w14:solidFill>
                          <w14:schemeClr w14:val="tx1"/>
                        </w14:solidFill>
                      </w14:textFill>
                    </w:rPr>
                    <w:t>390</w:t>
                  </w:r>
                  <w:r>
                    <w:rPr>
                      <w:rFonts w:eastAsia="Times New Roman"/>
                      <w:color w:val="000000" w:themeColor="text1"/>
                      <w:spacing w:val="3"/>
                      <w14:textFill>
                        <w14:solidFill>
                          <w14:schemeClr w14:val="tx1"/>
                        </w14:solidFill>
                      </w14:textFill>
                    </w:rPr>
                    <w:t>m</w:t>
                  </w:r>
                </w:p>
              </w:tc>
              <w:tc>
                <w:tcPr>
                  <w:tcW w:w="864" w:type="pct"/>
                  <w:vAlign w:val="center"/>
                </w:tcPr>
                <w:p>
                  <w:pPr>
                    <w:pStyle w:val="39"/>
                    <w:rPr>
                      <w:color w:val="000000" w:themeColor="text1"/>
                      <w:spacing w:val="-1"/>
                      <w14:textFill>
                        <w14:solidFill>
                          <w14:schemeClr w14:val="tx1"/>
                        </w14:solidFill>
                      </w14:textFill>
                    </w:rPr>
                  </w:pPr>
                  <w:r>
                    <w:rPr>
                      <w:color w:val="000000" w:themeColor="text1"/>
                      <w:spacing w:val="-1"/>
                      <w14:textFill>
                        <w14:solidFill>
                          <w14:schemeClr w14:val="tx1"/>
                        </w14:solidFill>
                      </w14:textFill>
                    </w:rPr>
                    <w:t>大河流域</w:t>
                  </w:r>
                </w:p>
              </w:tc>
              <w:tc>
                <w:tcPr>
                  <w:tcW w:w="1205" w:type="pct"/>
                  <w:vAlign w:val="center"/>
                </w:tcPr>
                <w:p>
                  <w:pPr>
                    <w:pStyle w:val="39"/>
                    <w:rPr>
                      <w:color w:val="000000" w:themeColor="text1"/>
                      <w14:textFill>
                        <w14:solidFill>
                          <w14:schemeClr w14:val="tx1"/>
                        </w14:solidFill>
                      </w14:textFill>
                    </w:rPr>
                  </w:pPr>
                  <w:r>
                    <w:rPr>
                      <w:color w:val="000000" w:themeColor="text1"/>
                      <w:spacing w:val="-1"/>
                      <w14:textFill>
                        <w14:solidFill>
                          <w14:schemeClr w14:val="tx1"/>
                        </w14:solidFill>
                      </w14:textFill>
                    </w:rPr>
                    <w:t>《地表水环境质量标准》（</w:t>
                  </w:r>
                  <w:r>
                    <w:rPr>
                      <w:rFonts w:eastAsia="Times New Roman"/>
                      <w:color w:val="000000" w:themeColor="text1"/>
                      <w:spacing w:val="-1"/>
                      <w14:textFill>
                        <w14:solidFill>
                          <w14:schemeClr w14:val="tx1"/>
                        </w14:solidFill>
                      </w14:textFill>
                    </w:rPr>
                    <w:t>GB3838-</w:t>
                  </w:r>
                  <w:r>
                    <w:rPr>
                      <w:rFonts w:eastAsia="Times New Roman"/>
                      <w:color w:val="000000" w:themeColor="text1"/>
                      <w:spacing w:val="-2"/>
                      <w14:textFill>
                        <w14:solidFill>
                          <w14:schemeClr w14:val="tx1"/>
                        </w14:solidFill>
                      </w14:textFill>
                    </w:rPr>
                    <w:t>2012</w:t>
                  </w:r>
                  <w:r>
                    <w:rPr>
                      <w:color w:val="000000" w:themeColor="text1"/>
                      <w:spacing w:val="-2"/>
                      <w14:textFill>
                        <w14:solidFill>
                          <w14:schemeClr w14:val="tx1"/>
                        </w14:solidFill>
                      </w14:textFill>
                    </w:rPr>
                    <w:t>）</w:t>
                  </w:r>
                  <w:r>
                    <w:rPr>
                      <w:color w:val="000000" w:themeColor="text1"/>
                      <w14:textFill>
                        <w14:solidFill>
                          <w14:schemeClr w14:val="tx1"/>
                        </w14:solidFill>
                      </w14:textFill>
                    </w:rPr>
                    <w:t xml:space="preserve">Ⅲ </w:t>
                  </w:r>
                  <w:r>
                    <w:rPr>
                      <w:color w:val="000000" w:themeColor="text1"/>
                      <w:spacing w:val="6"/>
                      <w14:textFill>
                        <w14:solidFill>
                          <w14:schemeClr w14:val="tx1"/>
                        </w14:solidFill>
                      </w14:textFill>
                    </w:rPr>
                    <w:t>水质标准</w:t>
                  </w:r>
                </w:p>
              </w:tc>
            </w:tr>
          </w:tbl>
          <w:p>
            <w:pPr>
              <w:spacing w:line="460" w:lineRule="exact"/>
              <w:ind w:firstLine="440" w:firstLineChars="200"/>
              <w:jc w:val="both"/>
              <w:rPr>
                <w:rFonts w:ascii="Times New Roman" w:hAnsi="Times New Roman" w:eastAsia="宋体" w:cs="Times New Roman"/>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579" w:hRule="atLeast"/>
          <w:jc w:val="center"/>
        </w:trPr>
        <w:tc>
          <w:tcPr>
            <w:tcW w:w="305" w:type="pct"/>
            <w:vAlign w:val="center"/>
          </w:tcPr>
          <w:p>
            <w:pPr>
              <w:jc w:val="center"/>
              <w:rPr>
                <w:rFonts w:ascii="Times New Roman" w:hAnsi="Times New Roman" w:eastAsia="宋体" w:cs="Times New Roman"/>
                <w:spacing w:val="-1"/>
                <w:sz w:val="24"/>
                <w:szCs w:val="24"/>
                <w:lang w:eastAsia="zh-CN"/>
              </w:rPr>
            </w:pPr>
            <w:r>
              <w:rPr>
                <w:rFonts w:ascii="Times New Roman" w:hAnsi="Times New Roman" w:eastAsia="宋体" w:cs="Times New Roman"/>
                <w:spacing w:val="-1"/>
                <w:sz w:val="24"/>
                <w:szCs w:val="24"/>
                <w:lang w:eastAsia="zh-CN"/>
              </w:rPr>
              <w:t>污染物排放控制标准</w:t>
            </w:r>
          </w:p>
        </w:tc>
        <w:tc>
          <w:tcPr>
            <w:tcW w:w="4694" w:type="pct"/>
          </w:tcPr>
          <w:p>
            <w:pPr>
              <w:pStyle w:val="45"/>
              <w:widowControl w:val="0"/>
              <w:ind w:firstLine="482"/>
              <w:rPr>
                <w:b/>
                <w:bCs/>
              </w:rPr>
            </w:pPr>
            <w:r>
              <w:rPr>
                <w:b/>
                <w:bCs/>
              </w:rPr>
              <w:t>1、废气排放标准</w:t>
            </w:r>
          </w:p>
          <w:p>
            <w:pPr>
              <w:pStyle w:val="45"/>
              <w:widowControl w:val="0"/>
              <w:ind w:firstLine="480"/>
            </w:pPr>
            <w:r>
              <w:rPr>
                <w:rFonts w:hint="eastAsia"/>
              </w:rPr>
              <w:t>（1）</w:t>
            </w:r>
            <w:r>
              <w:t>施工期</w:t>
            </w:r>
          </w:p>
          <w:p>
            <w:pPr>
              <w:pStyle w:val="45"/>
              <w:widowControl w:val="0"/>
              <w:ind w:firstLine="480"/>
              <w:rPr>
                <w:snapToGrid w:val="0"/>
              </w:rPr>
            </w:pPr>
            <w:r>
              <w:t>项目施工期废气主要为场地开挖、平整等产生的扬尘，机械设备运行产生的尾气，项目施工过</w:t>
            </w:r>
            <w:r>
              <w:rPr>
                <w:snapToGrid w:val="0"/>
                <w:spacing w:val="-3"/>
              </w:rPr>
              <w:t>程的粉尘大气污染物排放执行《</w:t>
            </w:r>
            <w:r>
              <w:rPr>
                <w:snapToGrid w:val="0"/>
                <w:spacing w:val="-4"/>
              </w:rPr>
              <w:t>大气污</w:t>
            </w:r>
            <w:r>
              <w:rPr>
                <w:snapToGrid w:val="0"/>
              </w:rPr>
              <w:t>染物综合排放标准》</w:t>
            </w:r>
            <w:r>
              <w:rPr>
                <w:rFonts w:eastAsia="Times New Roman"/>
                <w:snapToGrid w:val="0"/>
              </w:rPr>
              <w:t>(GB16297-1996)</w:t>
            </w:r>
            <w:r>
              <w:rPr>
                <w:snapToGrid w:val="0"/>
              </w:rPr>
              <w:t>表</w:t>
            </w:r>
            <w:r>
              <w:rPr>
                <w:rFonts w:eastAsia="Times New Roman"/>
                <w:snapToGrid w:val="0"/>
              </w:rPr>
              <w:t>2</w:t>
            </w:r>
            <w:r>
              <w:rPr>
                <w:snapToGrid w:val="0"/>
              </w:rPr>
              <w:t>中无组织排放监控浓度限值，详见表</w:t>
            </w:r>
            <w:r>
              <w:rPr>
                <w:rFonts w:hint="eastAsia" w:eastAsiaTheme="minorEastAsia"/>
                <w:snapToGrid w:val="0"/>
              </w:rPr>
              <w:t>3.3-1</w:t>
            </w:r>
            <w:r>
              <w:rPr>
                <w:snapToGrid w:val="0"/>
              </w:rPr>
              <w:t>。</w:t>
            </w:r>
          </w:p>
          <w:p>
            <w:pPr>
              <w:pStyle w:val="42"/>
              <w:spacing w:before="120"/>
            </w:pPr>
            <w:r>
              <w:t>表</w:t>
            </w:r>
            <w:r>
              <w:rPr>
                <w:rFonts w:hint="eastAsia"/>
              </w:rPr>
              <w:t>3.3-1</w:t>
            </w:r>
            <w:r>
              <w:t xml:space="preserve">  《大气污染物综合排放标准》(GB16297-1996)</w:t>
            </w:r>
          </w:p>
          <w:tbl>
            <w:tblPr>
              <w:tblStyle w:val="47"/>
              <w:tblW w:w="897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160"/>
              <w:gridCol w:w="2444"/>
              <w:gridCol w:w="436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60" w:type="dxa"/>
                  <w:vAlign w:val="center"/>
                </w:tcPr>
                <w:p>
                  <w:pPr>
                    <w:pStyle w:val="39"/>
                  </w:pPr>
                  <w:r>
                    <w:t>污染物名称</w:t>
                  </w:r>
                </w:p>
              </w:tc>
              <w:tc>
                <w:tcPr>
                  <w:tcW w:w="2444" w:type="dxa"/>
                  <w:vAlign w:val="center"/>
                </w:tcPr>
                <w:p>
                  <w:pPr>
                    <w:pStyle w:val="39"/>
                  </w:pPr>
                  <w:r>
                    <w:rPr>
                      <w:spacing w:val="8"/>
                    </w:rPr>
                    <w:t>无组织排放监控点</w:t>
                  </w:r>
                </w:p>
              </w:tc>
              <w:tc>
                <w:tcPr>
                  <w:tcW w:w="4366" w:type="dxa"/>
                  <w:vAlign w:val="center"/>
                </w:tcPr>
                <w:p>
                  <w:pPr>
                    <w:pStyle w:val="39"/>
                    <w:rPr>
                      <w:rFonts w:eastAsia="Times New Roman"/>
                    </w:rPr>
                  </w:pPr>
                  <w:r>
                    <w:t>无组织排放监控浓度限值</w:t>
                  </w:r>
                  <w:r>
                    <w:rPr>
                      <w:rFonts w:eastAsia="Times New Roman"/>
                    </w:rPr>
                    <w:t xml:space="preserve">(mg/m </w:t>
                  </w:r>
                  <w:r>
                    <w:rPr>
                      <w:rFonts w:eastAsia="Times New Roman"/>
                      <w:position w:val="6"/>
                      <w:sz w:val="13"/>
                      <w:szCs w:val="13"/>
                    </w:rPr>
                    <w:t>3</w:t>
                  </w:r>
                  <w:r>
                    <w:rPr>
                      <w:rFonts w:eastAsia="Times New Roman"/>
                      <w:spacing w:val="34"/>
                      <w:w w:val="102"/>
                      <w:position w:val="6"/>
                      <w:sz w:val="13"/>
                      <w:szCs w:val="13"/>
                    </w:rPr>
                    <w:t xml:space="preserve"> </w:t>
                  </w:r>
                  <w:r>
                    <w:rPr>
                      <w:rFonts w:eastAsia="Times New Roma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60" w:type="dxa"/>
                  <w:vAlign w:val="center"/>
                </w:tcPr>
                <w:p>
                  <w:pPr>
                    <w:pStyle w:val="39"/>
                  </w:pPr>
                  <w:r>
                    <w:t>颗粒物</w:t>
                  </w:r>
                </w:p>
              </w:tc>
              <w:tc>
                <w:tcPr>
                  <w:tcW w:w="2444" w:type="dxa"/>
                  <w:vAlign w:val="center"/>
                </w:tcPr>
                <w:p>
                  <w:pPr>
                    <w:pStyle w:val="39"/>
                  </w:pPr>
                  <w:r>
                    <w:rPr>
                      <w:spacing w:val="8"/>
                    </w:rPr>
                    <w:t>周界外浓度最高点</w:t>
                  </w:r>
                </w:p>
              </w:tc>
              <w:tc>
                <w:tcPr>
                  <w:tcW w:w="4366" w:type="dxa"/>
                  <w:vAlign w:val="center"/>
                </w:tcPr>
                <w:p>
                  <w:pPr>
                    <w:pStyle w:val="39"/>
                    <w:rPr>
                      <w:rFonts w:eastAsia="Times New Roman"/>
                      <w:sz w:val="20"/>
                      <w:szCs w:val="20"/>
                    </w:rPr>
                  </w:pPr>
                  <w:r>
                    <w:rPr>
                      <w:rFonts w:eastAsia="Times New Roman"/>
                      <w:spacing w:val="-4"/>
                      <w:sz w:val="20"/>
                      <w:szCs w:val="20"/>
                    </w:rPr>
                    <w:t>1.0</w:t>
                  </w:r>
                </w:p>
              </w:tc>
            </w:tr>
          </w:tbl>
          <w:p>
            <w:pPr>
              <w:adjustRightInd w:val="0"/>
              <w:spacing w:line="460" w:lineRule="exact"/>
              <w:ind w:firstLine="480" w:firstLineChars="200"/>
              <w:jc w:val="both"/>
              <w:textAlignment w:val="baseline"/>
              <w:rPr>
                <w:rFonts w:ascii="Times New Roman" w:hAnsi="Times New Roman" w:eastAsia="宋体" w:cs="Times New Roman"/>
                <w:sz w:val="24"/>
                <w:szCs w:val="24"/>
                <w:lang w:eastAsia="zh-CN"/>
              </w:rPr>
            </w:pPr>
            <w:r>
              <w:rPr>
                <w:rFonts w:hint="eastAsia" w:ascii="Times New Roman" w:hAnsi="Times New Roman" w:eastAsia="宋体" w:cs="Times New Roman"/>
                <w:sz w:val="24"/>
                <w:szCs w:val="24"/>
                <w:lang w:eastAsia="zh-CN"/>
              </w:rPr>
              <w:t>（2）运营期</w:t>
            </w:r>
          </w:p>
          <w:p>
            <w:pPr>
              <w:adjustRightInd w:val="0"/>
              <w:spacing w:line="460" w:lineRule="exact"/>
              <w:ind w:firstLine="480" w:firstLineChars="200"/>
              <w:jc w:val="both"/>
              <w:textAlignment w:val="baseline"/>
              <w:rPr>
                <w:rFonts w:ascii="Times New Roman" w:hAnsi="Times New Roman" w:eastAsia="宋体" w:cs="Times New Roman"/>
                <w:sz w:val="24"/>
                <w:szCs w:val="24"/>
                <w:lang w:eastAsia="zh-CN"/>
              </w:rPr>
            </w:pPr>
            <w:r>
              <w:rPr>
                <w:rFonts w:hint="eastAsia" w:ascii="Times New Roman" w:hAnsi="Times New Roman" w:eastAsia="宋体" w:cs="Times New Roman"/>
                <w:sz w:val="24"/>
                <w:szCs w:val="24"/>
                <w:lang w:eastAsia="zh-CN"/>
              </w:rPr>
              <w:t>本项目</w:t>
            </w:r>
            <w:r>
              <w:rPr>
                <w:rFonts w:ascii="Times New Roman" w:hAnsi="Times New Roman" w:eastAsia="宋体" w:cs="Times New Roman"/>
                <w:sz w:val="24"/>
                <w:szCs w:val="24"/>
                <w:lang w:eastAsia="zh-CN"/>
              </w:rPr>
              <w:t>废气执行《加油站大气污染物排放标准》（GB20952-20</w:t>
            </w:r>
            <w:r>
              <w:rPr>
                <w:rFonts w:hint="eastAsia" w:ascii="Times New Roman" w:hAnsi="Times New Roman" w:eastAsia="宋体" w:cs="Times New Roman"/>
                <w:sz w:val="24"/>
                <w:szCs w:val="24"/>
                <w:lang w:eastAsia="zh-CN"/>
              </w:rPr>
              <w:t>20</w:t>
            </w:r>
            <w:r>
              <w:rPr>
                <w:rFonts w:ascii="Times New Roman" w:hAnsi="Times New Roman" w:eastAsia="宋体" w:cs="Times New Roman"/>
                <w:sz w:val="24"/>
                <w:szCs w:val="24"/>
                <w:lang w:eastAsia="zh-CN"/>
              </w:rPr>
              <w:t>）中相关标准限值要求，</w:t>
            </w:r>
            <w:r>
              <w:rPr>
                <w:rFonts w:hint="eastAsia" w:ascii="Times New Roman" w:hAnsi="Times New Roman" w:eastAsia="宋体" w:cs="Times New Roman"/>
                <w:sz w:val="24"/>
                <w:szCs w:val="24"/>
                <w:lang w:eastAsia="zh-CN"/>
              </w:rPr>
              <w:t>油气</w:t>
            </w:r>
            <w:r>
              <w:rPr>
                <w:rFonts w:ascii="Times New Roman" w:hAnsi="Times New Roman" w:eastAsia="宋体" w:cs="Times New Roman"/>
                <w:sz w:val="24"/>
                <w:szCs w:val="24"/>
                <w:lang w:eastAsia="zh-CN"/>
              </w:rPr>
              <w:t>处理装置的油气排放浓度应小于等于25g/m</w:t>
            </w:r>
            <w:r>
              <w:rPr>
                <w:rFonts w:ascii="Times New Roman" w:hAnsi="Times New Roman" w:eastAsia="宋体" w:cs="Times New Roman"/>
                <w:sz w:val="24"/>
                <w:szCs w:val="24"/>
                <w:vertAlign w:val="superscript"/>
                <w:lang w:eastAsia="zh-CN"/>
              </w:rPr>
              <w:t>3</w:t>
            </w:r>
            <w:r>
              <w:rPr>
                <w:rFonts w:ascii="Times New Roman" w:hAnsi="Times New Roman" w:eastAsia="宋体" w:cs="Times New Roman"/>
                <w:sz w:val="24"/>
                <w:szCs w:val="24"/>
                <w:lang w:eastAsia="zh-CN"/>
              </w:rPr>
              <w:t>，排放口距地平面高度应不低于4米</w:t>
            </w:r>
            <w:r>
              <w:rPr>
                <w:rFonts w:hint="eastAsia" w:ascii="Times New Roman" w:hAnsi="Times New Roman" w:eastAsia="宋体" w:cs="Times New Roman"/>
                <w:sz w:val="24"/>
                <w:szCs w:val="24"/>
                <w:lang w:eastAsia="zh-CN"/>
              </w:rPr>
              <w:t>；加油站企业边界油气浓度无组织排放限值满足</w:t>
            </w:r>
            <w:r>
              <w:rPr>
                <w:rFonts w:ascii="Times New Roman" w:hAnsi="Times New Roman" w:eastAsia="宋体" w:cs="Times New Roman"/>
                <w:sz w:val="24"/>
                <w:szCs w:val="24"/>
                <w:lang w:eastAsia="zh-CN"/>
              </w:rPr>
              <w:t>《加油站大气污染物排放标准》（GB20952-20</w:t>
            </w:r>
            <w:r>
              <w:rPr>
                <w:rFonts w:hint="eastAsia" w:ascii="Times New Roman" w:hAnsi="Times New Roman" w:eastAsia="宋体" w:cs="Times New Roman"/>
                <w:sz w:val="24"/>
                <w:szCs w:val="24"/>
                <w:lang w:eastAsia="zh-CN"/>
              </w:rPr>
              <w:t>20</w:t>
            </w:r>
            <w:r>
              <w:rPr>
                <w:rFonts w:ascii="Times New Roman" w:hAnsi="Times New Roman" w:eastAsia="宋体" w:cs="Times New Roman"/>
                <w:sz w:val="24"/>
                <w:szCs w:val="24"/>
                <w:lang w:eastAsia="zh-CN"/>
              </w:rPr>
              <w:t>）</w:t>
            </w:r>
            <w:r>
              <w:rPr>
                <w:rFonts w:hint="eastAsia" w:ascii="Times New Roman" w:hAnsi="Times New Roman" w:eastAsia="宋体" w:cs="Times New Roman"/>
                <w:sz w:val="24"/>
                <w:szCs w:val="24"/>
                <w:lang w:eastAsia="zh-CN"/>
              </w:rPr>
              <w:t>中表3标准；加油站内非甲烷总烃无组织监控点浓度限制满足《挥发性有机物无组织排放控制标准》（GB37822-2019）附录A的表A.1。</w:t>
            </w:r>
            <w:r>
              <w:rPr>
                <w:rFonts w:ascii="Times New Roman" w:hAnsi="Times New Roman" w:eastAsia="宋体" w:cs="Times New Roman"/>
                <w:sz w:val="24"/>
                <w:szCs w:val="24"/>
                <w:lang w:eastAsia="zh-CN"/>
              </w:rPr>
              <w:t>具体见表</w:t>
            </w:r>
            <w:r>
              <w:rPr>
                <w:rFonts w:hint="eastAsia" w:ascii="Times New Roman" w:hAnsi="Times New Roman" w:eastAsia="宋体" w:cs="Times New Roman"/>
                <w:sz w:val="24"/>
                <w:szCs w:val="24"/>
                <w:lang w:eastAsia="zh-CN"/>
              </w:rPr>
              <w:t>3.3-2、表3.3-3、表3.3-4</w:t>
            </w:r>
            <w:r>
              <w:rPr>
                <w:rFonts w:ascii="Times New Roman" w:hAnsi="Times New Roman" w:eastAsia="宋体" w:cs="Times New Roman"/>
                <w:sz w:val="24"/>
                <w:szCs w:val="24"/>
                <w:lang w:eastAsia="zh-CN"/>
              </w:rPr>
              <w:t>。</w:t>
            </w:r>
          </w:p>
          <w:p>
            <w:pPr>
              <w:pStyle w:val="42"/>
              <w:spacing w:before="120"/>
            </w:pPr>
            <w:r>
              <w:t>表</w:t>
            </w:r>
            <w:r>
              <w:rPr>
                <w:rFonts w:hint="eastAsia"/>
              </w:rPr>
              <w:t>3.3-2</w:t>
            </w:r>
            <w:r>
              <w:t xml:space="preserve"> 大气污染物排放标准</w:t>
            </w:r>
          </w:p>
          <w:tbl>
            <w:tblPr>
              <w:tblStyle w:val="47"/>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474"/>
              <w:gridCol w:w="1626"/>
              <w:gridCol w:w="1753"/>
              <w:gridCol w:w="1322"/>
              <w:gridCol w:w="285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0" w:hRule="atLeast"/>
                <w:jc w:val="center"/>
              </w:trPr>
              <w:tc>
                <w:tcPr>
                  <w:tcW w:w="817" w:type="pct"/>
                  <w:vAlign w:val="center"/>
                </w:tcPr>
                <w:p>
                  <w:pPr>
                    <w:widowControl/>
                    <w:jc w:val="center"/>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污染物项目</w:t>
                  </w:r>
                </w:p>
              </w:tc>
              <w:tc>
                <w:tcPr>
                  <w:tcW w:w="901" w:type="pct"/>
                  <w:vAlign w:val="center"/>
                </w:tcPr>
                <w:p>
                  <w:pPr>
                    <w:jc w:val="center"/>
                    <w:rPr>
                      <w:rFonts w:ascii="Times New Roman" w:hAnsi="Times New Roman" w:eastAsia="宋体" w:cs="Times New Roman"/>
                      <w:sz w:val="21"/>
                      <w:szCs w:val="21"/>
                      <w:lang w:eastAsia="zh-CN"/>
                    </w:rPr>
                  </w:pPr>
                  <w:r>
                    <w:rPr>
                      <w:rFonts w:ascii="Times New Roman" w:hAnsi="Times New Roman" w:eastAsia="宋体" w:cs="Times New Roman"/>
                      <w:sz w:val="21"/>
                      <w:szCs w:val="21"/>
                      <w:lang w:eastAsia="zh-CN"/>
                    </w:rPr>
                    <w:t>监控点</w:t>
                  </w:r>
                </w:p>
              </w:tc>
              <w:tc>
                <w:tcPr>
                  <w:tcW w:w="971" w:type="pct"/>
                  <w:vAlign w:val="center"/>
                </w:tcPr>
                <w:p>
                  <w:pPr>
                    <w:jc w:val="center"/>
                    <w:rPr>
                      <w:rFonts w:ascii="Times New Roman" w:hAnsi="Times New Roman" w:eastAsia="宋体" w:cs="Times New Roman"/>
                      <w:sz w:val="21"/>
                      <w:szCs w:val="21"/>
                      <w:lang w:eastAsia="zh-CN"/>
                    </w:rPr>
                  </w:pPr>
                  <w:r>
                    <w:rPr>
                      <w:rFonts w:ascii="Times New Roman" w:hAnsi="Times New Roman" w:eastAsia="宋体" w:cs="Times New Roman"/>
                      <w:sz w:val="21"/>
                      <w:szCs w:val="21"/>
                      <w:lang w:eastAsia="zh-CN"/>
                    </w:rPr>
                    <w:t>浓度（g/m</w:t>
                  </w:r>
                  <w:r>
                    <w:rPr>
                      <w:rFonts w:ascii="Times New Roman" w:hAnsi="Times New Roman" w:eastAsia="宋体" w:cs="Times New Roman"/>
                      <w:sz w:val="21"/>
                      <w:szCs w:val="21"/>
                      <w:vertAlign w:val="superscript"/>
                      <w:lang w:eastAsia="zh-CN"/>
                    </w:rPr>
                    <w:t>3</w:t>
                  </w:r>
                  <w:r>
                    <w:rPr>
                      <w:rFonts w:ascii="Times New Roman" w:hAnsi="Times New Roman" w:eastAsia="宋体" w:cs="Times New Roman"/>
                      <w:sz w:val="21"/>
                      <w:szCs w:val="21"/>
                      <w:lang w:eastAsia="zh-CN"/>
                    </w:rPr>
                    <w:t>）</w:t>
                  </w:r>
                </w:p>
              </w:tc>
              <w:tc>
                <w:tcPr>
                  <w:tcW w:w="732" w:type="pct"/>
                  <w:vAlign w:val="center"/>
                </w:tcPr>
                <w:p>
                  <w:pPr>
                    <w:widowControl/>
                    <w:jc w:val="center"/>
                    <w:rPr>
                      <w:rFonts w:ascii="Times New Roman" w:hAnsi="Times New Roman" w:eastAsia="宋体" w:cs="Times New Roman"/>
                      <w:sz w:val="21"/>
                      <w:szCs w:val="21"/>
                      <w:lang w:eastAsia="zh-CN"/>
                    </w:rPr>
                  </w:pPr>
                  <w:r>
                    <w:rPr>
                      <w:rFonts w:ascii="Times New Roman" w:hAnsi="Times New Roman" w:eastAsia="宋体" w:cs="Times New Roman"/>
                      <w:sz w:val="21"/>
                      <w:szCs w:val="21"/>
                      <w:lang w:eastAsia="zh-CN"/>
                    </w:rPr>
                    <w:t>排放口高度（m）</w:t>
                  </w:r>
                </w:p>
              </w:tc>
              <w:tc>
                <w:tcPr>
                  <w:tcW w:w="1579" w:type="pct"/>
                  <w:vAlign w:val="center"/>
                </w:tcPr>
                <w:p>
                  <w:pPr>
                    <w:widowControl/>
                    <w:jc w:val="center"/>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标准来源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17" w:type="pct"/>
                  <w:vAlign w:val="center"/>
                </w:tcPr>
                <w:p>
                  <w:pPr>
                    <w:jc w:val="center"/>
                    <w:rPr>
                      <w:rFonts w:ascii="Times New Roman" w:hAnsi="Times New Roman" w:eastAsia="宋体" w:cs="Times New Roman"/>
                      <w:sz w:val="21"/>
                      <w:szCs w:val="21"/>
                      <w:lang w:eastAsia="zh-CN"/>
                    </w:rPr>
                  </w:pPr>
                  <w:r>
                    <w:rPr>
                      <w:rFonts w:ascii="Times New Roman" w:hAnsi="Times New Roman" w:eastAsia="宋体" w:cs="Times New Roman"/>
                      <w:sz w:val="21"/>
                      <w:szCs w:val="21"/>
                      <w:lang w:eastAsia="zh-CN"/>
                    </w:rPr>
                    <w:t>油气</w:t>
                  </w:r>
                </w:p>
              </w:tc>
              <w:tc>
                <w:tcPr>
                  <w:tcW w:w="901" w:type="pct"/>
                  <w:vAlign w:val="center"/>
                </w:tcPr>
                <w:p>
                  <w:pPr>
                    <w:jc w:val="center"/>
                    <w:rPr>
                      <w:rFonts w:ascii="Times New Roman" w:hAnsi="Times New Roman" w:eastAsia="宋体" w:cs="Times New Roman"/>
                      <w:sz w:val="21"/>
                      <w:szCs w:val="21"/>
                      <w:lang w:eastAsia="zh-CN"/>
                    </w:rPr>
                  </w:pPr>
                  <w:r>
                    <w:rPr>
                      <w:rFonts w:ascii="Times New Roman" w:hAnsi="Times New Roman" w:eastAsia="宋体" w:cs="Times New Roman"/>
                      <w:sz w:val="21"/>
                      <w:szCs w:val="21"/>
                      <w:lang w:eastAsia="zh-CN"/>
                    </w:rPr>
                    <w:t>油气回收装置</w:t>
                  </w:r>
                  <w:r>
                    <w:rPr>
                      <w:rFonts w:hint="eastAsia" w:ascii="Times New Roman" w:hAnsi="Times New Roman" w:eastAsia="宋体" w:cs="Times New Roman"/>
                      <w:sz w:val="21"/>
                      <w:szCs w:val="21"/>
                      <w:lang w:eastAsia="zh-CN"/>
                    </w:rPr>
                    <w:t>通气口</w:t>
                  </w:r>
                </w:p>
              </w:tc>
              <w:tc>
                <w:tcPr>
                  <w:tcW w:w="971" w:type="pct"/>
                  <w:vAlign w:val="center"/>
                </w:tcPr>
                <w:p>
                  <w:pPr>
                    <w:jc w:val="center"/>
                    <w:rPr>
                      <w:rFonts w:ascii="Times New Roman" w:hAnsi="Times New Roman" w:eastAsia="宋体" w:cs="Times New Roman"/>
                      <w:sz w:val="21"/>
                      <w:szCs w:val="21"/>
                      <w:lang w:eastAsia="zh-CN"/>
                    </w:rPr>
                  </w:pPr>
                  <w:r>
                    <w:rPr>
                      <w:rFonts w:ascii="Times New Roman" w:hAnsi="Times New Roman" w:eastAsia="宋体" w:cs="Times New Roman"/>
                      <w:sz w:val="21"/>
                      <w:szCs w:val="21"/>
                      <w:lang w:eastAsia="zh-CN"/>
                    </w:rPr>
                    <w:t>25.0</w:t>
                  </w:r>
                </w:p>
              </w:tc>
              <w:tc>
                <w:tcPr>
                  <w:tcW w:w="732" w:type="pct"/>
                  <w:vAlign w:val="center"/>
                </w:tcPr>
                <w:p>
                  <w:pPr>
                    <w:jc w:val="center"/>
                    <w:rPr>
                      <w:rFonts w:ascii="Times New Roman" w:hAnsi="Times New Roman" w:eastAsia="宋体" w:cs="Times New Roman"/>
                      <w:sz w:val="21"/>
                      <w:szCs w:val="21"/>
                      <w:lang w:eastAsia="zh-CN"/>
                    </w:rPr>
                  </w:pPr>
                  <w:r>
                    <w:rPr>
                      <w:rFonts w:ascii="Times New Roman" w:hAnsi="Times New Roman" w:eastAsia="宋体" w:cs="Times New Roman"/>
                      <w:sz w:val="21"/>
                      <w:szCs w:val="21"/>
                      <w:lang w:eastAsia="zh-CN"/>
                    </w:rPr>
                    <w:t>4</w:t>
                  </w:r>
                </w:p>
              </w:tc>
              <w:tc>
                <w:tcPr>
                  <w:tcW w:w="1579" w:type="pct"/>
                  <w:vAlign w:val="center"/>
                </w:tcPr>
                <w:p>
                  <w:pPr>
                    <w:jc w:val="center"/>
                    <w:rPr>
                      <w:rFonts w:ascii="Times New Roman" w:hAnsi="Times New Roman" w:eastAsia="宋体" w:cs="Times New Roman"/>
                      <w:sz w:val="21"/>
                      <w:szCs w:val="21"/>
                      <w:lang w:eastAsia="zh-CN"/>
                    </w:rPr>
                  </w:pPr>
                  <w:r>
                    <w:rPr>
                      <w:rFonts w:ascii="Times New Roman" w:hAnsi="Times New Roman" w:eastAsia="宋体" w:cs="Times New Roman"/>
                      <w:sz w:val="21"/>
                      <w:szCs w:val="21"/>
                      <w:lang w:eastAsia="zh-CN"/>
                    </w:rPr>
                    <w:t>《加油站大气污染物排放标准》（GB20952-20</w:t>
                  </w:r>
                  <w:r>
                    <w:rPr>
                      <w:rFonts w:hint="eastAsia" w:ascii="Times New Roman" w:hAnsi="Times New Roman" w:eastAsia="宋体" w:cs="Times New Roman"/>
                      <w:sz w:val="21"/>
                      <w:szCs w:val="21"/>
                      <w:lang w:eastAsia="zh-CN"/>
                    </w:rPr>
                    <w:t>20</w:t>
                  </w:r>
                  <w:r>
                    <w:rPr>
                      <w:rFonts w:ascii="Times New Roman" w:hAnsi="Times New Roman" w:eastAsia="宋体" w:cs="Times New Roman"/>
                      <w:sz w:val="21"/>
                      <w:szCs w:val="21"/>
                      <w:lang w:eastAsia="zh-CN"/>
                    </w:rPr>
                    <w:t>）</w:t>
                  </w:r>
                </w:p>
              </w:tc>
            </w:tr>
          </w:tbl>
          <w:p>
            <w:pPr>
              <w:pStyle w:val="42"/>
              <w:spacing w:before="120"/>
            </w:pPr>
            <w:r>
              <w:t>表</w:t>
            </w:r>
            <w:r>
              <w:rPr>
                <w:rFonts w:hint="eastAsia"/>
              </w:rPr>
              <w:t>3.3-3  油气浓度无组织排放限值</w:t>
            </w:r>
          </w:p>
          <w:tbl>
            <w:tblPr>
              <w:tblStyle w:val="47"/>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730"/>
              <w:gridCol w:w="1370"/>
              <w:gridCol w:w="1753"/>
              <w:gridCol w:w="1322"/>
              <w:gridCol w:w="285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0" w:hRule="atLeast"/>
                <w:jc w:val="center"/>
              </w:trPr>
              <w:tc>
                <w:tcPr>
                  <w:tcW w:w="958" w:type="pct"/>
                  <w:vAlign w:val="center"/>
                </w:tcPr>
                <w:p>
                  <w:pPr>
                    <w:widowControl/>
                    <w:jc w:val="center"/>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污染物项目</w:t>
                  </w:r>
                </w:p>
              </w:tc>
              <w:tc>
                <w:tcPr>
                  <w:tcW w:w="759" w:type="pct"/>
                  <w:vAlign w:val="center"/>
                </w:tcPr>
                <w:p>
                  <w:pPr>
                    <w:jc w:val="center"/>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排放限值</w:t>
                  </w:r>
                  <w:r>
                    <w:rPr>
                      <w:rFonts w:ascii="Times New Roman" w:hAnsi="Times New Roman" w:eastAsia="宋体" w:cs="Times New Roman"/>
                      <w:sz w:val="21"/>
                      <w:szCs w:val="21"/>
                    </w:rPr>
                    <w:t>（mg/m</w:t>
                  </w:r>
                  <w:r>
                    <w:rPr>
                      <w:rFonts w:ascii="Times New Roman" w:hAnsi="Times New Roman" w:eastAsia="宋体" w:cs="Times New Roman"/>
                      <w:sz w:val="21"/>
                      <w:szCs w:val="21"/>
                      <w:vertAlign w:val="superscript"/>
                    </w:rPr>
                    <w:t>3</w:t>
                  </w:r>
                  <w:r>
                    <w:rPr>
                      <w:rFonts w:ascii="Times New Roman" w:hAnsi="Times New Roman" w:eastAsia="宋体" w:cs="Times New Roman"/>
                      <w:sz w:val="21"/>
                      <w:szCs w:val="21"/>
                    </w:rPr>
                    <w:t>）</w:t>
                  </w:r>
                </w:p>
              </w:tc>
              <w:tc>
                <w:tcPr>
                  <w:tcW w:w="971" w:type="pct"/>
                  <w:vAlign w:val="center"/>
                </w:tcPr>
                <w:p>
                  <w:pPr>
                    <w:jc w:val="center"/>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限值含义</w:t>
                  </w:r>
                </w:p>
              </w:tc>
              <w:tc>
                <w:tcPr>
                  <w:tcW w:w="732" w:type="pct"/>
                  <w:vAlign w:val="center"/>
                </w:tcPr>
                <w:p>
                  <w:pPr>
                    <w:widowControl/>
                    <w:jc w:val="center"/>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无组织排放监控位置</w:t>
                  </w:r>
                </w:p>
              </w:tc>
              <w:tc>
                <w:tcPr>
                  <w:tcW w:w="1578" w:type="pct"/>
                  <w:vAlign w:val="center"/>
                </w:tcPr>
                <w:p>
                  <w:pPr>
                    <w:widowControl/>
                    <w:jc w:val="center"/>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标准来源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58" w:type="pct"/>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非甲烷总烃</w:t>
                  </w:r>
                </w:p>
              </w:tc>
              <w:tc>
                <w:tcPr>
                  <w:tcW w:w="759" w:type="pct"/>
                  <w:vAlign w:val="center"/>
                </w:tcPr>
                <w:p>
                  <w:pPr>
                    <w:jc w:val="center"/>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4.0</w:t>
                  </w:r>
                </w:p>
              </w:tc>
              <w:tc>
                <w:tcPr>
                  <w:tcW w:w="971" w:type="pct"/>
                  <w:vAlign w:val="center"/>
                </w:tcPr>
                <w:p>
                  <w:pPr>
                    <w:jc w:val="center"/>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监控点处1小时平均浓度值</w:t>
                  </w:r>
                </w:p>
              </w:tc>
              <w:tc>
                <w:tcPr>
                  <w:tcW w:w="732" w:type="pct"/>
                  <w:vAlign w:val="center"/>
                </w:tcPr>
                <w:p>
                  <w:pPr>
                    <w:jc w:val="center"/>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参照HJ/T55规定</w:t>
                  </w:r>
                </w:p>
              </w:tc>
              <w:tc>
                <w:tcPr>
                  <w:tcW w:w="1578" w:type="pct"/>
                  <w:vAlign w:val="center"/>
                </w:tcPr>
                <w:p>
                  <w:pPr>
                    <w:jc w:val="center"/>
                    <w:rPr>
                      <w:rFonts w:ascii="Times New Roman" w:hAnsi="Times New Roman" w:eastAsia="宋体" w:cs="Times New Roman"/>
                      <w:sz w:val="21"/>
                      <w:szCs w:val="21"/>
                      <w:lang w:eastAsia="zh-CN"/>
                    </w:rPr>
                  </w:pPr>
                  <w:r>
                    <w:rPr>
                      <w:rFonts w:ascii="Times New Roman" w:hAnsi="Times New Roman" w:eastAsia="宋体" w:cs="Times New Roman"/>
                      <w:sz w:val="21"/>
                      <w:szCs w:val="21"/>
                      <w:lang w:eastAsia="zh-CN"/>
                    </w:rPr>
                    <w:t>《加油站大气污染物排放标准》（GB20952-20</w:t>
                  </w:r>
                  <w:r>
                    <w:rPr>
                      <w:rFonts w:hint="eastAsia" w:ascii="Times New Roman" w:hAnsi="Times New Roman" w:eastAsia="宋体" w:cs="Times New Roman"/>
                      <w:sz w:val="21"/>
                      <w:szCs w:val="21"/>
                      <w:lang w:eastAsia="zh-CN"/>
                    </w:rPr>
                    <w:t>20</w:t>
                  </w:r>
                  <w:r>
                    <w:rPr>
                      <w:rFonts w:ascii="Times New Roman" w:hAnsi="Times New Roman" w:eastAsia="宋体" w:cs="Times New Roman"/>
                      <w:sz w:val="21"/>
                      <w:szCs w:val="21"/>
                      <w:lang w:eastAsia="zh-CN"/>
                    </w:rPr>
                    <w:t>）</w:t>
                  </w:r>
                </w:p>
              </w:tc>
            </w:tr>
          </w:tbl>
          <w:p>
            <w:pPr>
              <w:pStyle w:val="42"/>
              <w:spacing w:before="120"/>
            </w:pPr>
            <w:r>
              <w:t>表</w:t>
            </w:r>
            <w:r>
              <w:rPr>
                <w:rFonts w:hint="eastAsia"/>
              </w:rPr>
              <w:t>3.3-4  厂区内VOCs无组织排放限值</w:t>
            </w:r>
            <w:r>
              <w:t>（mg/m</w:t>
            </w:r>
            <w:r>
              <w:rPr>
                <w:vertAlign w:val="superscript"/>
              </w:rPr>
              <w:t>3</w:t>
            </w:r>
            <w:r>
              <w:t>）</w:t>
            </w:r>
          </w:p>
          <w:tbl>
            <w:tblPr>
              <w:tblStyle w:val="4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68"/>
              <w:gridCol w:w="833"/>
              <w:gridCol w:w="2581"/>
              <w:gridCol w:w="1436"/>
              <w:gridCol w:w="311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1051" w:type="dxa"/>
                  <w:vAlign w:val="center"/>
                </w:tcPr>
                <w:p>
                  <w:pPr>
                    <w:widowControl/>
                    <w:jc w:val="center"/>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污染物项目</w:t>
                  </w:r>
                </w:p>
              </w:tc>
              <w:tc>
                <w:tcPr>
                  <w:tcW w:w="829" w:type="dxa"/>
                  <w:vAlign w:val="center"/>
                </w:tcPr>
                <w:p>
                  <w:pPr>
                    <w:jc w:val="center"/>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排放限值</w:t>
                  </w:r>
                </w:p>
              </w:tc>
              <w:tc>
                <w:tcPr>
                  <w:tcW w:w="2602" w:type="dxa"/>
                  <w:vAlign w:val="center"/>
                </w:tcPr>
                <w:p>
                  <w:pPr>
                    <w:jc w:val="center"/>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限值含义</w:t>
                  </w:r>
                </w:p>
              </w:tc>
              <w:tc>
                <w:tcPr>
                  <w:tcW w:w="1441" w:type="dxa"/>
                  <w:vAlign w:val="center"/>
                </w:tcPr>
                <w:p>
                  <w:pPr>
                    <w:widowControl/>
                    <w:jc w:val="center"/>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无组织排放监控位置</w:t>
                  </w:r>
                </w:p>
              </w:tc>
              <w:tc>
                <w:tcPr>
                  <w:tcW w:w="3106" w:type="dxa"/>
                  <w:vAlign w:val="center"/>
                </w:tcPr>
                <w:p>
                  <w:pPr>
                    <w:widowControl/>
                    <w:jc w:val="center"/>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标准来源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1" w:type="dxa"/>
                  <w:vMerge w:val="restart"/>
                  <w:vAlign w:val="center"/>
                </w:tcPr>
                <w:p>
                  <w:pPr>
                    <w:jc w:val="center"/>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NMHC</w:t>
                  </w:r>
                </w:p>
              </w:tc>
              <w:tc>
                <w:tcPr>
                  <w:tcW w:w="829" w:type="dxa"/>
                  <w:vAlign w:val="center"/>
                </w:tcPr>
                <w:p>
                  <w:pPr>
                    <w:jc w:val="center"/>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10</w:t>
                  </w:r>
                </w:p>
              </w:tc>
              <w:tc>
                <w:tcPr>
                  <w:tcW w:w="2602" w:type="dxa"/>
                  <w:vAlign w:val="center"/>
                </w:tcPr>
                <w:p>
                  <w:pPr>
                    <w:jc w:val="center"/>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监控点处1h平均浓度值</w:t>
                  </w:r>
                </w:p>
              </w:tc>
              <w:tc>
                <w:tcPr>
                  <w:tcW w:w="1441" w:type="dxa"/>
                  <w:vMerge w:val="restart"/>
                  <w:vAlign w:val="center"/>
                </w:tcPr>
                <w:p>
                  <w:pPr>
                    <w:jc w:val="center"/>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在厂房外设置监控点</w:t>
                  </w:r>
                </w:p>
              </w:tc>
              <w:tc>
                <w:tcPr>
                  <w:tcW w:w="3106" w:type="dxa"/>
                  <w:vMerge w:val="restart"/>
                  <w:vAlign w:val="center"/>
                </w:tcPr>
                <w:p>
                  <w:pPr>
                    <w:jc w:val="center"/>
                    <w:rPr>
                      <w:rFonts w:ascii="Times New Roman" w:hAnsi="Times New Roman" w:eastAsia="宋体" w:cs="Times New Roman"/>
                      <w:sz w:val="21"/>
                      <w:szCs w:val="21"/>
                      <w:lang w:eastAsia="zh-CN"/>
                    </w:rPr>
                  </w:pPr>
                  <w:r>
                    <w:rPr>
                      <w:rFonts w:ascii="Times New Roman" w:hAnsi="Times New Roman" w:eastAsia="宋体" w:cs="Times New Roman"/>
                      <w:sz w:val="21"/>
                      <w:szCs w:val="21"/>
                      <w:lang w:eastAsia="zh-CN"/>
                    </w:rPr>
                    <w:t>《</w:t>
                  </w:r>
                  <w:r>
                    <w:rPr>
                      <w:rFonts w:hint="eastAsia" w:ascii="Times New Roman" w:hAnsi="Times New Roman" w:eastAsia="宋体" w:cs="Times New Roman"/>
                      <w:sz w:val="21"/>
                      <w:szCs w:val="21"/>
                      <w:lang w:eastAsia="zh-CN"/>
                    </w:rPr>
                    <w:t>挥发性有机物无组织排放控制标准</w:t>
                  </w:r>
                  <w:r>
                    <w:rPr>
                      <w:rFonts w:ascii="Times New Roman" w:hAnsi="Times New Roman" w:eastAsia="宋体" w:cs="Times New Roman"/>
                      <w:sz w:val="21"/>
                      <w:szCs w:val="21"/>
                      <w:lang w:eastAsia="zh-CN"/>
                    </w:rPr>
                    <w:t>》（GB</w:t>
                  </w:r>
                  <w:r>
                    <w:rPr>
                      <w:rFonts w:hint="eastAsia" w:ascii="Times New Roman" w:hAnsi="Times New Roman" w:eastAsia="宋体" w:cs="Times New Roman"/>
                      <w:sz w:val="21"/>
                      <w:szCs w:val="21"/>
                      <w:lang w:eastAsia="zh-CN"/>
                    </w:rPr>
                    <w:t>37822</w:t>
                  </w:r>
                  <w:r>
                    <w:rPr>
                      <w:rFonts w:ascii="Times New Roman" w:hAnsi="Times New Roman" w:eastAsia="宋体" w:cs="Times New Roman"/>
                      <w:sz w:val="21"/>
                      <w:szCs w:val="21"/>
                      <w:lang w:eastAsia="zh-CN"/>
                    </w:rPr>
                    <w:t>-20</w:t>
                  </w:r>
                  <w:r>
                    <w:rPr>
                      <w:rFonts w:hint="eastAsia" w:ascii="Times New Roman" w:hAnsi="Times New Roman" w:eastAsia="宋体" w:cs="Times New Roman"/>
                      <w:sz w:val="21"/>
                      <w:szCs w:val="21"/>
                      <w:lang w:eastAsia="zh-CN"/>
                    </w:rPr>
                    <w:t>19</w:t>
                  </w:r>
                  <w:r>
                    <w:rPr>
                      <w:rFonts w:ascii="Times New Roman" w:hAnsi="Times New Roman" w:eastAsia="宋体" w:cs="Times New Roman"/>
                      <w:sz w:val="21"/>
                      <w:szCs w:val="21"/>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1051" w:type="dxa"/>
                  <w:vMerge w:val="continue"/>
                  <w:vAlign w:val="center"/>
                </w:tcPr>
                <w:p>
                  <w:pPr>
                    <w:jc w:val="center"/>
                    <w:rPr>
                      <w:rFonts w:ascii="Times New Roman" w:hAnsi="Times New Roman" w:eastAsia="宋体" w:cs="Times New Roman"/>
                      <w:sz w:val="21"/>
                      <w:szCs w:val="21"/>
                      <w:lang w:eastAsia="zh-CN"/>
                    </w:rPr>
                  </w:pPr>
                </w:p>
              </w:tc>
              <w:tc>
                <w:tcPr>
                  <w:tcW w:w="829" w:type="dxa"/>
                  <w:vAlign w:val="center"/>
                </w:tcPr>
                <w:p>
                  <w:pPr>
                    <w:jc w:val="center"/>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30</w:t>
                  </w:r>
                </w:p>
              </w:tc>
              <w:tc>
                <w:tcPr>
                  <w:tcW w:w="2602" w:type="dxa"/>
                  <w:vAlign w:val="center"/>
                </w:tcPr>
                <w:p>
                  <w:pPr>
                    <w:jc w:val="center"/>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监控点处任意一次浓度值</w:t>
                  </w:r>
                </w:p>
              </w:tc>
              <w:tc>
                <w:tcPr>
                  <w:tcW w:w="1441" w:type="dxa"/>
                  <w:vMerge w:val="continue"/>
                  <w:vAlign w:val="center"/>
                </w:tcPr>
                <w:p>
                  <w:pPr>
                    <w:jc w:val="center"/>
                    <w:rPr>
                      <w:rFonts w:ascii="Times New Roman" w:hAnsi="Times New Roman" w:eastAsia="宋体" w:cs="Times New Roman"/>
                      <w:sz w:val="21"/>
                      <w:szCs w:val="21"/>
                      <w:lang w:eastAsia="zh-CN"/>
                    </w:rPr>
                  </w:pPr>
                </w:p>
              </w:tc>
              <w:tc>
                <w:tcPr>
                  <w:tcW w:w="3106" w:type="dxa"/>
                  <w:vMerge w:val="continue"/>
                  <w:vAlign w:val="center"/>
                </w:tcPr>
                <w:p>
                  <w:pPr>
                    <w:jc w:val="center"/>
                    <w:rPr>
                      <w:rFonts w:ascii="Times New Roman" w:hAnsi="Times New Roman" w:eastAsia="宋体" w:cs="Times New Roman"/>
                      <w:sz w:val="21"/>
                      <w:szCs w:val="21"/>
                      <w:lang w:eastAsia="zh-CN"/>
                    </w:rPr>
                  </w:pPr>
                </w:p>
              </w:tc>
            </w:tr>
          </w:tbl>
          <w:p>
            <w:pPr>
              <w:pStyle w:val="45"/>
              <w:widowControl w:val="0"/>
              <w:ind w:firstLine="482"/>
              <w:rPr>
                <w:b/>
                <w:bCs/>
              </w:rPr>
            </w:pPr>
            <w:r>
              <w:rPr>
                <w:b/>
                <w:bCs/>
              </w:rPr>
              <w:t>2</w:t>
            </w:r>
            <w:r>
              <w:rPr>
                <w:rFonts w:hint="eastAsia"/>
                <w:b/>
                <w:bCs/>
              </w:rPr>
              <w:t>、</w:t>
            </w:r>
            <w:r>
              <w:rPr>
                <w:b/>
                <w:bCs/>
              </w:rPr>
              <w:t>废水排放标准</w:t>
            </w:r>
          </w:p>
          <w:p>
            <w:pPr>
              <w:pStyle w:val="45"/>
              <w:widowControl w:val="0"/>
              <w:ind w:firstLine="480"/>
            </w:pPr>
            <w:r>
              <w:rPr>
                <w:rFonts w:hint="eastAsia"/>
              </w:rPr>
              <w:t>项目废水排放执行《污水综合排放标准》（GB8978-1996）表4中三级标准，其中氨氮、总氮、总磷浓度限值执行《污水排入城镇下水道水质标准》（GB/T 31962-2015），具体见表</w:t>
            </w:r>
            <w:r>
              <w:rPr>
                <w:rFonts w:hint="eastAsia"/>
                <w:lang w:val="en-US"/>
              </w:rPr>
              <w:t>3.3-5</w:t>
            </w:r>
            <w:r>
              <w:rPr>
                <w:rFonts w:hint="eastAsia"/>
              </w:rPr>
              <w:t>。</w:t>
            </w:r>
          </w:p>
          <w:p>
            <w:pPr>
              <w:pStyle w:val="42"/>
              <w:spacing w:before="120"/>
            </w:pPr>
            <w:r>
              <w:t>表</w:t>
            </w:r>
            <w:r>
              <w:rPr>
                <w:rFonts w:hint="eastAsia"/>
              </w:rPr>
              <w:t xml:space="preserve">3.3-5 </w:t>
            </w:r>
            <w:r>
              <w:t xml:space="preserve"> 废水排放标准</w:t>
            </w:r>
          </w:p>
          <w:tbl>
            <w:tblPr>
              <w:tblStyle w:val="49"/>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615"/>
              <w:gridCol w:w="1372"/>
              <w:gridCol w:w="1371"/>
              <w:gridCol w:w="1216"/>
              <w:gridCol w:w="345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1542" w:type="dxa"/>
                  <w:vAlign w:val="center"/>
                </w:tcPr>
                <w:p>
                  <w:pPr>
                    <w:pStyle w:val="39"/>
                  </w:pPr>
                  <w:r>
                    <w:t>序号</w:t>
                  </w:r>
                </w:p>
              </w:tc>
              <w:tc>
                <w:tcPr>
                  <w:tcW w:w="1309" w:type="dxa"/>
                  <w:vAlign w:val="center"/>
                </w:tcPr>
                <w:p>
                  <w:pPr>
                    <w:pStyle w:val="39"/>
                  </w:pPr>
                  <w:r>
                    <w:t>项目</w:t>
                  </w:r>
                </w:p>
              </w:tc>
              <w:tc>
                <w:tcPr>
                  <w:tcW w:w="1308" w:type="dxa"/>
                  <w:vAlign w:val="center"/>
                </w:tcPr>
                <w:p>
                  <w:pPr>
                    <w:pStyle w:val="39"/>
                  </w:pPr>
                  <w:r>
                    <w:t>单位</w:t>
                  </w:r>
                </w:p>
              </w:tc>
              <w:tc>
                <w:tcPr>
                  <w:tcW w:w="1161" w:type="dxa"/>
                  <w:vAlign w:val="center"/>
                </w:tcPr>
                <w:p>
                  <w:pPr>
                    <w:pStyle w:val="39"/>
                  </w:pPr>
                  <w:r>
                    <w:t>标准值</w:t>
                  </w:r>
                </w:p>
              </w:tc>
              <w:tc>
                <w:tcPr>
                  <w:tcW w:w="3297" w:type="dxa"/>
                  <w:vAlign w:val="center"/>
                </w:tcPr>
                <w:p>
                  <w:pPr>
                    <w:pStyle w:val="39"/>
                  </w:pPr>
                  <w:r>
                    <w:t>执行标准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42" w:type="dxa"/>
                  <w:vAlign w:val="center"/>
                </w:tcPr>
                <w:p>
                  <w:pPr>
                    <w:pStyle w:val="39"/>
                  </w:pPr>
                  <w:r>
                    <w:t>1</w:t>
                  </w:r>
                </w:p>
              </w:tc>
              <w:tc>
                <w:tcPr>
                  <w:tcW w:w="1309" w:type="dxa"/>
                  <w:vAlign w:val="center"/>
                </w:tcPr>
                <w:p>
                  <w:pPr>
                    <w:pStyle w:val="39"/>
                  </w:pPr>
                  <w:r>
                    <w:t>pH</w:t>
                  </w:r>
                </w:p>
              </w:tc>
              <w:tc>
                <w:tcPr>
                  <w:tcW w:w="1308" w:type="dxa"/>
                  <w:vAlign w:val="center"/>
                </w:tcPr>
                <w:p>
                  <w:pPr>
                    <w:pStyle w:val="39"/>
                  </w:pPr>
                  <w:r>
                    <w:t>/</w:t>
                  </w:r>
                </w:p>
              </w:tc>
              <w:tc>
                <w:tcPr>
                  <w:tcW w:w="1161" w:type="dxa"/>
                  <w:vAlign w:val="center"/>
                </w:tcPr>
                <w:p>
                  <w:pPr>
                    <w:pStyle w:val="39"/>
                  </w:pPr>
                  <w:r>
                    <w:t>6～9</w:t>
                  </w:r>
                </w:p>
              </w:tc>
              <w:tc>
                <w:tcPr>
                  <w:tcW w:w="3297" w:type="dxa"/>
                  <w:vMerge w:val="restart"/>
                  <w:vAlign w:val="center"/>
                </w:tcPr>
                <w:p>
                  <w:pPr>
                    <w:pStyle w:val="39"/>
                  </w:pPr>
                  <w:r>
                    <w:t>《污水综合排放标准》（GB 8978-1996）表4中三级标准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1542" w:type="dxa"/>
                  <w:vAlign w:val="center"/>
                </w:tcPr>
                <w:p>
                  <w:pPr>
                    <w:pStyle w:val="39"/>
                  </w:pPr>
                  <w:r>
                    <w:t>2</w:t>
                  </w:r>
                </w:p>
              </w:tc>
              <w:tc>
                <w:tcPr>
                  <w:tcW w:w="1309" w:type="dxa"/>
                  <w:vAlign w:val="center"/>
                </w:tcPr>
                <w:p>
                  <w:pPr>
                    <w:pStyle w:val="39"/>
                  </w:pPr>
                  <w:r>
                    <w:t>COD</w:t>
                  </w:r>
                </w:p>
              </w:tc>
              <w:tc>
                <w:tcPr>
                  <w:tcW w:w="1308" w:type="dxa"/>
                  <w:vAlign w:val="center"/>
                </w:tcPr>
                <w:p>
                  <w:pPr>
                    <w:pStyle w:val="39"/>
                  </w:pPr>
                  <w:r>
                    <w:t>mg/L</w:t>
                  </w:r>
                </w:p>
              </w:tc>
              <w:tc>
                <w:tcPr>
                  <w:tcW w:w="1161" w:type="dxa"/>
                  <w:vAlign w:val="center"/>
                </w:tcPr>
                <w:p>
                  <w:pPr>
                    <w:pStyle w:val="39"/>
                  </w:pPr>
                  <w:r>
                    <w:t>500</w:t>
                  </w:r>
                </w:p>
              </w:tc>
              <w:tc>
                <w:tcPr>
                  <w:tcW w:w="3297" w:type="dxa"/>
                  <w:vMerge w:val="continue"/>
                  <w:vAlign w:val="center"/>
                </w:tcPr>
                <w:p>
                  <w:pPr>
                    <w:pStyle w:val="39"/>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1542" w:type="dxa"/>
                  <w:vAlign w:val="center"/>
                </w:tcPr>
                <w:p>
                  <w:pPr>
                    <w:pStyle w:val="39"/>
                  </w:pPr>
                  <w:r>
                    <w:t>3</w:t>
                  </w:r>
                </w:p>
              </w:tc>
              <w:tc>
                <w:tcPr>
                  <w:tcW w:w="1309" w:type="dxa"/>
                  <w:vAlign w:val="center"/>
                </w:tcPr>
                <w:p>
                  <w:pPr>
                    <w:pStyle w:val="39"/>
                  </w:pPr>
                  <w:r>
                    <w:t>BOD</w:t>
                  </w:r>
                  <w:r>
                    <w:rPr>
                      <w:vertAlign w:val="subscript"/>
                    </w:rPr>
                    <w:t>5</w:t>
                  </w:r>
                </w:p>
              </w:tc>
              <w:tc>
                <w:tcPr>
                  <w:tcW w:w="1308" w:type="dxa"/>
                  <w:vAlign w:val="center"/>
                </w:tcPr>
                <w:p>
                  <w:pPr>
                    <w:pStyle w:val="39"/>
                  </w:pPr>
                  <w:r>
                    <w:t>mg/L</w:t>
                  </w:r>
                </w:p>
              </w:tc>
              <w:tc>
                <w:tcPr>
                  <w:tcW w:w="1161" w:type="dxa"/>
                  <w:vAlign w:val="center"/>
                </w:tcPr>
                <w:p>
                  <w:pPr>
                    <w:pStyle w:val="39"/>
                  </w:pPr>
                  <w:r>
                    <w:t>300</w:t>
                  </w:r>
                </w:p>
              </w:tc>
              <w:tc>
                <w:tcPr>
                  <w:tcW w:w="3297" w:type="dxa"/>
                  <w:vMerge w:val="continue"/>
                  <w:vAlign w:val="center"/>
                </w:tcPr>
                <w:p>
                  <w:pPr>
                    <w:pStyle w:val="39"/>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1542" w:type="dxa"/>
                  <w:vAlign w:val="center"/>
                </w:tcPr>
                <w:p>
                  <w:pPr>
                    <w:pStyle w:val="39"/>
                  </w:pPr>
                  <w:r>
                    <w:t>4</w:t>
                  </w:r>
                </w:p>
              </w:tc>
              <w:tc>
                <w:tcPr>
                  <w:tcW w:w="1309" w:type="dxa"/>
                  <w:vAlign w:val="center"/>
                </w:tcPr>
                <w:p>
                  <w:pPr>
                    <w:pStyle w:val="39"/>
                  </w:pPr>
                  <w:r>
                    <w:t>SS</w:t>
                  </w:r>
                </w:p>
              </w:tc>
              <w:tc>
                <w:tcPr>
                  <w:tcW w:w="1308" w:type="dxa"/>
                  <w:vAlign w:val="center"/>
                </w:tcPr>
                <w:p>
                  <w:pPr>
                    <w:pStyle w:val="39"/>
                  </w:pPr>
                  <w:r>
                    <w:t>mg/L</w:t>
                  </w:r>
                </w:p>
              </w:tc>
              <w:tc>
                <w:tcPr>
                  <w:tcW w:w="1161" w:type="dxa"/>
                  <w:vAlign w:val="center"/>
                </w:tcPr>
                <w:p>
                  <w:pPr>
                    <w:pStyle w:val="39"/>
                  </w:pPr>
                  <w:r>
                    <w:t>400</w:t>
                  </w:r>
                </w:p>
              </w:tc>
              <w:tc>
                <w:tcPr>
                  <w:tcW w:w="3297" w:type="dxa"/>
                  <w:vMerge w:val="continue"/>
                  <w:vAlign w:val="center"/>
                </w:tcPr>
                <w:p>
                  <w:pPr>
                    <w:pStyle w:val="39"/>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1542" w:type="dxa"/>
                  <w:vAlign w:val="center"/>
                </w:tcPr>
                <w:p>
                  <w:pPr>
                    <w:pStyle w:val="39"/>
                  </w:pPr>
                  <w:r>
                    <w:t>5</w:t>
                  </w:r>
                </w:p>
              </w:tc>
              <w:tc>
                <w:tcPr>
                  <w:tcW w:w="1309" w:type="dxa"/>
                  <w:vAlign w:val="center"/>
                </w:tcPr>
                <w:p>
                  <w:pPr>
                    <w:pStyle w:val="39"/>
                  </w:pPr>
                  <w:r>
                    <w:rPr>
                      <w:rFonts w:hint="eastAsia"/>
                    </w:rPr>
                    <w:t>石油类</w:t>
                  </w:r>
                </w:p>
              </w:tc>
              <w:tc>
                <w:tcPr>
                  <w:tcW w:w="1308" w:type="dxa"/>
                  <w:vAlign w:val="center"/>
                </w:tcPr>
                <w:p>
                  <w:pPr>
                    <w:pStyle w:val="39"/>
                  </w:pPr>
                  <w:r>
                    <w:t>mg/L</w:t>
                  </w:r>
                </w:p>
              </w:tc>
              <w:tc>
                <w:tcPr>
                  <w:tcW w:w="1161" w:type="dxa"/>
                  <w:vAlign w:val="center"/>
                </w:tcPr>
                <w:p>
                  <w:pPr>
                    <w:pStyle w:val="39"/>
                  </w:pPr>
                  <w:r>
                    <w:rPr>
                      <w:rFonts w:hint="eastAsia"/>
                    </w:rPr>
                    <w:t>20</w:t>
                  </w:r>
                </w:p>
              </w:tc>
              <w:tc>
                <w:tcPr>
                  <w:tcW w:w="3297" w:type="dxa"/>
                  <w:vMerge w:val="continue"/>
                  <w:vAlign w:val="center"/>
                </w:tcPr>
                <w:p>
                  <w:pPr>
                    <w:pStyle w:val="39"/>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1542" w:type="dxa"/>
                  <w:vAlign w:val="center"/>
                </w:tcPr>
                <w:p>
                  <w:pPr>
                    <w:pStyle w:val="39"/>
                  </w:pPr>
                  <w:r>
                    <w:t>6</w:t>
                  </w:r>
                </w:p>
              </w:tc>
              <w:tc>
                <w:tcPr>
                  <w:tcW w:w="1309" w:type="dxa"/>
                  <w:vAlign w:val="center"/>
                </w:tcPr>
                <w:p>
                  <w:pPr>
                    <w:pStyle w:val="39"/>
                  </w:pPr>
                  <w:r>
                    <w:t>NH</w:t>
                  </w:r>
                  <w:r>
                    <w:rPr>
                      <w:vertAlign w:val="subscript"/>
                    </w:rPr>
                    <w:t>3</w:t>
                  </w:r>
                  <w:r>
                    <w:t>-N</w:t>
                  </w:r>
                </w:p>
              </w:tc>
              <w:tc>
                <w:tcPr>
                  <w:tcW w:w="1308" w:type="dxa"/>
                  <w:vAlign w:val="center"/>
                </w:tcPr>
                <w:p>
                  <w:pPr>
                    <w:pStyle w:val="39"/>
                  </w:pPr>
                  <w:r>
                    <w:t>mg/L</w:t>
                  </w:r>
                </w:p>
              </w:tc>
              <w:tc>
                <w:tcPr>
                  <w:tcW w:w="1161" w:type="dxa"/>
                  <w:vAlign w:val="center"/>
                </w:tcPr>
                <w:p>
                  <w:pPr>
                    <w:pStyle w:val="39"/>
                  </w:pPr>
                  <w:r>
                    <w:t>45</w:t>
                  </w:r>
                </w:p>
              </w:tc>
              <w:tc>
                <w:tcPr>
                  <w:tcW w:w="3297" w:type="dxa"/>
                  <w:vMerge w:val="restart"/>
                  <w:vAlign w:val="center"/>
                </w:tcPr>
                <w:p>
                  <w:pPr>
                    <w:pStyle w:val="39"/>
                  </w:pPr>
                  <w:r>
                    <w:t>《污水排入城镇下水道水质标准》（GB/T31962-2015）中B级标准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1542" w:type="dxa"/>
                  <w:vAlign w:val="center"/>
                </w:tcPr>
                <w:p>
                  <w:pPr>
                    <w:pStyle w:val="39"/>
                  </w:pPr>
                  <w:r>
                    <w:rPr>
                      <w:rFonts w:hint="eastAsia"/>
                    </w:rPr>
                    <w:t>7</w:t>
                  </w:r>
                </w:p>
              </w:tc>
              <w:tc>
                <w:tcPr>
                  <w:tcW w:w="1309" w:type="dxa"/>
                  <w:vAlign w:val="center"/>
                </w:tcPr>
                <w:p>
                  <w:pPr>
                    <w:pStyle w:val="39"/>
                  </w:pPr>
                  <w:r>
                    <w:t>总磷</w:t>
                  </w:r>
                </w:p>
              </w:tc>
              <w:tc>
                <w:tcPr>
                  <w:tcW w:w="1308" w:type="dxa"/>
                  <w:vAlign w:val="center"/>
                </w:tcPr>
                <w:p>
                  <w:pPr>
                    <w:pStyle w:val="39"/>
                  </w:pPr>
                  <w:r>
                    <w:t>mg/L</w:t>
                  </w:r>
                </w:p>
              </w:tc>
              <w:tc>
                <w:tcPr>
                  <w:tcW w:w="1161" w:type="dxa"/>
                  <w:vAlign w:val="center"/>
                </w:tcPr>
                <w:p>
                  <w:pPr>
                    <w:pStyle w:val="39"/>
                  </w:pPr>
                  <w:r>
                    <w:rPr>
                      <w:rFonts w:hint="eastAsia"/>
                    </w:rPr>
                    <w:t>8</w:t>
                  </w:r>
                </w:p>
              </w:tc>
              <w:tc>
                <w:tcPr>
                  <w:tcW w:w="3297" w:type="dxa"/>
                  <w:vMerge w:val="continue"/>
                  <w:vAlign w:val="center"/>
                </w:tcPr>
                <w:p>
                  <w:pPr>
                    <w:pStyle w:val="39"/>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1542" w:type="dxa"/>
                  <w:vAlign w:val="center"/>
                </w:tcPr>
                <w:p>
                  <w:pPr>
                    <w:pStyle w:val="39"/>
                  </w:pPr>
                  <w:r>
                    <w:rPr>
                      <w:rFonts w:hint="eastAsia"/>
                    </w:rPr>
                    <w:t>8</w:t>
                  </w:r>
                </w:p>
              </w:tc>
              <w:tc>
                <w:tcPr>
                  <w:tcW w:w="1309" w:type="dxa"/>
                  <w:vAlign w:val="center"/>
                </w:tcPr>
                <w:p>
                  <w:pPr>
                    <w:pStyle w:val="39"/>
                  </w:pPr>
                  <w:r>
                    <w:t>总氮</w:t>
                  </w:r>
                </w:p>
              </w:tc>
              <w:tc>
                <w:tcPr>
                  <w:tcW w:w="1308" w:type="dxa"/>
                  <w:vAlign w:val="center"/>
                </w:tcPr>
                <w:p>
                  <w:pPr>
                    <w:pStyle w:val="39"/>
                  </w:pPr>
                  <w:r>
                    <w:t>mg/L</w:t>
                  </w:r>
                </w:p>
              </w:tc>
              <w:tc>
                <w:tcPr>
                  <w:tcW w:w="1161" w:type="dxa"/>
                  <w:vAlign w:val="center"/>
                </w:tcPr>
                <w:p>
                  <w:pPr>
                    <w:pStyle w:val="39"/>
                  </w:pPr>
                  <w:r>
                    <w:rPr>
                      <w:rFonts w:hint="eastAsia"/>
                    </w:rPr>
                    <w:t>70</w:t>
                  </w:r>
                </w:p>
              </w:tc>
              <w:tc>
                <w:tcPr>
                  <w:tcW w:w="3297" w:type="dxa"/>
                  <w:vMerge w:val="continue"/>
                  <w:vAlign w:val="center"/>
                </w:tcPr>
                <w:p>
                  <w:pPr>
                    <w:pStyle w:val="39"/>
                  </w:pPr>
                </w:p>
              </w:tc>
            </w:tr>
          </w:tbl>
          <w:p>
            <w:pPr>
              <w:pStyle w:val="43"/>
              <w:spacing w:before="120"/>
              <w:ind w:firstLine="480"/>
              <w:rPr>
                <w:bCs/>
              </w:rPr>
            </w:pPr>
            <w:r>
              <w:rPr>
                <w:rFonts w:hint="eastAsia"/>
              </w:rPr>
              <w:t>城镇污水处理厂排放执行《城镇污水处理厂污染物排放标准》（GB18918-2002）一级 A 标准，</w:t>
            </w:r>
            <w:r>
              <w:rPr>
                <w:bCs/>
              </w:rPr>
              <w:t>具体见表</w:t>
            </w:r>
            <w:r>
              <w:rPr>
                <w:rFonts w:hint="eastAsia"/>
                <w:bCs/>
              </w:rPr>
              <w:t>3.3-6</w:t>
            </w:r>
            <w:r>
              <w:rPr>
                <w:bCs/>
              </w:rPr>
              <w:t>。</w:t>
            </w:r>
          </w:p>
          <w:p>
            <w:pPr>
              <w:pStyle w:val="42"/>
              <w:spacing w:before="120"/>
            </w:pPr>
            <w:bookmarkStart w:id="9" w:name="_Toc16239"/>
            <w:r>
              <w:t>表</w:t>
            </w:r>
            <w:bookmarkEnd w:id="9"/>
            <w:r>
              <w:rPr>
                <w:rFonts w:hint="eastAsia"/>
              </w:rPr>
              <w:t xml:space="preserve">3.3-6 </w:t>
            </w:r>
            <w:r>
              <w:t xml:space="preserve"> </w:t>
            </w:r>
            <w:r>
              <w:rPr>
                <w:rFonts w:hint="eastAsia"/>
              </w:rPr>
              <w:t>城镇污水处理厂</w:t>
            </w:r>
            <w:r>
              <w:t>废水排放标准（单位：mg/L，pH除外）</w:t>
            </w:r>
          </w:p>
          <w:tbl>
            <w:tblPr>
              <w:tblStyle w:val="49"/>
              <w:tblW w:w="495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03"/>
              <w:gridCol w:w="875"/>
              <w:gridCol w:w="871"/>
              <w:gridCol w:w="600"/>
              <w:gridCol w:w="746"/>
              <w:gridCol w:w="657"/>
              <w:gridCol w:w="684"/>
              <w:gridCol w:w="863"/>
              <w:gridCol w:w="295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393" w:type="pct"/>
                  <w:vAlign w:val="center"/>
                </w:tcPr>
                <w:p>
                  <w:pPr>
                    <w:pStyle w:val="39"/>
                  </w:pPr>
                  <w:r>
                    <w:t>项目</w:t>
                  </w:r>
                </w:p>
              </w:tc>
              <w:tc>
                <w:tcPr>
                  <w:tcW w:w="489" w:type="pct"/>
                  <w:vAlign w:val="center"/>
                </w:tcPr>
                <w:p>
                  <w:pPr>
                    <w:pStyle w:val="39"/>
                  </w:pPr>
                  <w:r>
                    <w:t>pH</w:t>
                  </w:r>
                </w:p>
              </w:tc>
              <w:tc>
                <w:tcPr>
                  <w:tcW w:w="487" w:type="pct"/>
                  <w:vAlign w:val="center"/>
                </w:tcPr>
                <w:p>
                  <w:pPr>
                    <w:pStyle w:val="39"/>
                  </w:pPr>
                  <w:r>
                    <w:t>COD</w:t>
                  </w:r>
                  <w:r>
                    <w:rPr>
                      <w:vertAlign w:val="subscript"/>
                    </w:rPr>
                    <w:t>Cr</w:t>
                  </w:r>
                </w:p>
              </w:tc>
              <w:tc>
                <w:tcPr>
                  <w:tcW w:w="335" w:type="pct"/>
                  <w:vAlign w:val="center"/>
                </w:tcPr>
                <w:p>
                  <w:pPr>
                    <w:pStyle w:val="39"/>
                  </w:pPr>
                  <w:r>
                    <w:t>SS</w:t>
                  </w:r>
                </w:p>
              </w:tc>
              <w:tc>
                <w:tcPr>
                  <w:tcW w:w="417" w:type="pct"/>
                  <w:vAlign w:val="center"/>
                </w:tcPr>
                <w:p>
                  <w:pPr>
                    <w:pStyle w:val="39"/>
                  </w:pPr>
                  <w:r>
                    <w:t>氨氮</w:t>
                  </w:r>
                </w:p>
              </w:tc>
              <w:tc>
                <w:tcPr>
                  <w:tcW w:w="367" w:type="pct"/>
                  <w:vAlign w:val="center"/>
                </w:tcPr>
                <w:p>
                  <w:pPr>
                    <w:pStyle w:val="39"/>
                  </w:pPr>
                  <w:r>
                    <w:t>总氮</w:t>
                  </w:r>
                </w:p>
              </w:tc>
              <w:tc>
                <w:tcPr>
                  <w:tcW w:w="382" w:type="pct"/>
                  <w:vAlign w:val="center"/>
                </w:tcPr>
                <w:p>
                  <w:pPr>
                    <w:pStyle w:val="39"/>
                  </w:pPr>
                  <w:r>
                    <w:t>总磷</w:t>
                  </w:r>
                </w:p>
              </w:tc>
              <w:tc>
                <w:tcPr>
                  <w:tcW w:w="482" w:type="pct"/>
                  <w:vAlign w:val="center"/>
                </w:tcPr>
                <w:p>
                  <w:pPr>
                    <w:pStyle w:val="39"/>
                  </w:pPr>
                  <w:r>
                    <w:rPr>
                      <w:rFonts w:hint="eastAsia"/>
                    </w:rPr>
                    <w:t>石油类</w:t>
                  </w:r>
                </w:p>
              </w:tc>
              <w:tc>
                <w:tcPr>
                  <w:tcW w:w="1648" w:type="pct"/>
                  <w:vAlign w:val="center"/>
                </w:tcPr>
                <w:p>
                  <w:pPr>
                    <w:pStyle w:val="39"/>
                  </w:pPr>
                  <w:r>
                    <w:t>标准来源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3" w:type="pct"/>
                  <w:vAlign w:val="center"/>
                </w:tcPr>
                <w:p>
                  <w:pPr>
                    <w:pStyle w:val="39"/>
                  </w:pPr>
                  <w:r>
                    <w:t>排放标准</w:t>
                  </w:r>
                </w:p>
              </w:tc>
              <w:tc>
                <w:tcPr>
                  <w:tcW w:w="489" w:type="pct"/>
                  <w:vAlign w:val="center"/>
                </w:tcPr>
                <w:p>
                  <w:pPr>
                    <w:pStyle w:val="39"/>
                  </w:pPr>
                  <w:r>
                    <w:t>6~9</w:t>
                  </w:r>
                </w:p>
              </w:tc>
              <w:tc>
                <w:tcPr>
                  <w:tcW w:w="487" w:type="pct"/>
                  <w:vAlign w:val="center"/>
                </w:tcPr>
                <w:p>
                  <w:pPr>
                    <w:pStyle w:val="39"/>
                  </w:pPr>
                  <w:r>
                    <w:t>50</w:t>
                  </w:r>
                </w:p>
              </w:tc>
              <w:tc>
                <w:tcPr>
                  <w:tcW w:w="335" w:type="pct"/>
                  <w:vAlign w:val="center"/>
                </w:tcPr>
                <w:p>
                  <w:pPr>
                    <w:pStyle w:val="39"/>
                  </w:pPr>
                  <w:r>
                    <w:rPr>
                      <w:rFonts w:hint="eastAsia"/>
                    </w:rPr>
                    <w:t>10</w:t>
                  </w:r>
                </w:p>
              </w:tc>
              <w:tc>
                <w:tcPr>
                  <w:tcW w:w="417" w:type="pct"/>
                  <w:vAlign w:val="center"/>
                </w:tcPr>
                <w:p>
                  <w:pPr>
                    <w:pStyle w:val="39"/>
                  </w:pPr>
                  <w:r>
                    <w:rPr>
                      <w:rFonts w:hint="eastAsia"/>
                    </w:rPr>
                    <w:t>5</w:t>
                  </w:r>
                </w:p>
              </w:tc>
              <w:tc>
                <w:tcPr>
                  <w:tcW w:w="367" w:type="pct"/>
                  <w:vAlign w:val="center"/>
                </w:tcPr>
                <w:p>
                  <w:pPr>
                    <w:pStyle w:val="39"/>
                  </w:pPr>
                  <w:r>
                    <w:t>15</w:t>
                  </w:r>
                </w:p>
              </w:tc>
              <w:tc>
                <w:tcPr>
                  <w:tcW w:w="382" w:type="pct"/>
                  <w:vAlign w:val="center"/>
                </w:tcPr>
                <w:p>
                  <w:pPr>
                    <w:pStyle w:val="39"/>
                  </w:pPr>
                  <w:r>
                    <w:t>0.5</w:t>
                  </w:r>
                </w:p>
              </w:tc>
              <w:tc>
                <w:tcPr>
                  <w:tcW w:w="482" w:type="pct"/>
                  <w:vAlign w:val="center"/>
                </w:tcPr>
                <w:p>
                  <w:pPr>
                    <w:pStyle w:val="39"/>
                  </w:pPr>
                  <w:r>
                    <w:rPr>
                      <w:rFonts w:hint="eastAsia"/>
                    </w:rPr>
                    <w:t>1</w:t>
                  </w:r>
                </w:p>
              </w:tc>
              <w:tc>
                <w:tcPr>
                  <w:tcW w:w="1648" w:type="pct"/>
                  <w:vAlign w:val="center"/>
                </w:tcPr>
                <w:p>
                  <w:pPr>
                    <w:pStyle w:val="39"/>
                  </w:pPr>
                  <w:r>
                    <w:t>《城镇污水处理厂污染物排放标准》（GB18918-2002）</w:t>
                  </w:r>
                </w:p>
              </w:tc>
            </w:tr>
          </w:tbl>
          <w:p>
            <w:pPr>
              <w:jc w:val="both"/>
              <w:rPr>
                <w:rFonts w:ascii="Times New Roman" w:hAnsi="Times New Roman" w:eastAsia="宋体" w:cs="Times New Roman"/>
                <w:b/>
                <w:bCs/>
                <w:sz w:val="18"/>
                <w:szCs w:val="18"/>
                <w:lang w:eastAsia="zh-CN"/>
              </w:rPr>
            </w:pPr>
          </w:p>
          <w:p>
            <w:pPr>
              <w:spacing w:line="460" w:lineRule="exact"/>
              <w:ind w:firstLine="482" w:firstLineChars="200"/>
              <w:jc w:val="both"/>
              <w:rPr>
                <w:rFonts w:ascii="Times New Roman" w:hAnsi="Times New Roman" w:eastAsia="宋体" w:cs="Times New Roman"/>
                <w:b/>
                <w:bCs/>
                <w:sz w:val="24"/>
                <w:szCs w:val="24"/>
                <w:lang w:eastAsia="zh-CN"/>
              </w:rPr>
            </w:pPr>
            <w:r>
              <w:rPr>
                <w:rFonts w:ascii="Times New Roman" w:hAnsi="Times New Roman" w:eastAsia="宋体" w:cs="Times New Roman"/>
                <w:b/>
                <w:bCs/>
                <w:sz w:val="24"/>
                <w:szCs w:val="24"/>
                <w:lang w:eastAsia="zh-CN"/>
              </w:rPr>
              <w:t>3</w:t>
            </w:r>
            <w:r>
              <w:rPr>
                <w:rFonts w:hint="eastAsia" w:ascii="Times New Roman" w:hAnsi="Times New Roman" w:eastAsia="宋体" w:cs="Times New Roman"/>
                <w:b/>
                <w:bCs/>
                <w:sz w:val="24"/>
                <w:szCs w:val="24"/>
                <w:lang w:eastAsia="zh-CN"/>
              </w:rPr>
              <w:t>、</w:t>
            </w:r>
            <w:r>
              <w:rPr>
                <w:rFonts w:ascii="Times New Roman" w:hAnsi="Times New Roman" w:eastAsia="宋体" w:cs="Times New Roman"/>
                <w:b/>
                <w:bCs/>
                <w:sz w:val="24"/>
                <w:szCs w:val="24"/>
                <w:lang w:eastAsia="zh-CN"/>
              </w:rPr>
              <w:t>噪声排放标准</w:t>
            </w:r>
          </w:p>
          <w:p>
            <w:pPr>
              <w:pStyle w:val="45"/>
              <w:widowControl w:val="0"/>
              <w:ind w:firstLine="480"/>
              <w:rPr>
                <w:snapToGrid w:val="0"/>
              </w:rPr>
            </w:pPr>
            <w:r>
              <w:rPr>
                <w:rFonts w:hint="eastAsia" w:ascii="宋体" w:hAnsi="宋体" w:cs="宋体"/>
                <w:snapToGrid w:val="0"/>
              </w:rPr>
              <w:t>（1）</w:t>
            </w:r>
            <w:r>
              <w:rPr>
                <w:snapToGrid w:val="0"/>
              </w:rPr>
              <w:t>施工期</w:t>
            </w:r>
          </w:p>
          <w:p>
            <w:pPr>
              <w:pStyle w:val="45"/>
              <w:widowControl w:val="0"/>
              <w:ind w:firstLine="480"/>
            </w:pPr>
            <w:r>
              <w:t>项目施工期场界噪声执行《</w:t>
            </w:r>
            <w:r>
              <w:rPr>
                <w:rFonts w:hint="eastAsia"/>
              </w:rPr>
              <w:t>建筑施工场界环境噪声排放标准</w:t>
            </w:r>
            <w:r>
              <w:t>》</w:t>
            </w:r>
            <w:r>
              <w:rPr>
                <w:rFonts w:hint="eastAsia"/>
              </w:rPr>
              <w:t>（</w:t>
            </w:r>
            <w:r>
              <w:t>GB12523-2011</w:t>
            </w:r>
            <w:r>
              <w:rPr>
                <w:rFonts w:hint="eastAsia"/>
              </w:rPr>
              <w:t>）</w:t>
            </w:r>
            <w:r>
              <w:t>表1排放限值，详见表</w:t>
            </w:r>
            <w:r>
              <w:rPr>
                <w:rFonts w:hint="eastAsia"/>
                <w:lang w:val="en-US"/>
              </w:rPr>
              <w:t>3.3-7</w:t>
            </w:r>
            <w:r>
              <w:t>。</w:t>
            </w:r>
          </w:p>
          <w:p>
            <w:pPr>
              <w:pStyle w:val="42"/>
              <w:spacing w:before="120"/>
            </w:pPr>
            <w:r>
              <w:t>表</w:t>
            </w:r>
            <w:r>
              <w:rPr>
                <w:rFonts w:hint="eastAsia"/>
              </w:rPr>
              <w:t>3.3-7</w:t>
            </w:r>
            <w:r>
              <w:t xml:space="preserve">  《建筑施工场界环境噪声排放标准》(GB12523-2011)</w:t>
            </w:r>
          </w:p>
          <w:tbl>
            <w:tblPr>
              <w:tblStyle w:val="47"/>
              <w:tblW w:w="897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234"/>
              <w:gridCol w:w="473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3853" w:type="dxa"/>
                  <w:vAlign w:val="center"/>
                </w:tcPr>
                <w:p>
                  <w:pPr>
                    <w:pStyle w:val="39"/>
                  </w:pPr>
                  <w:r>
                    <w:t>昼间[dB(A)]</w:t>
                  </w:r>
                </w:p>
              </w:tc>
              <w:tc>
                <w:tcPr>
                  <w:tcW w:w="4309" w:type="dxa"/>
                  <w:vAlign w:val="center"/>
                </w:tcPr>
                <w:p>
                  <w:pPr>
                    <w:pStyle w:val="39"/>
                  </w:pPr>
                  <w:r>
                    <w:t>夜间[dB(A)]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53" w:type="dxa"/>
                  <w:vAlign w:val="center"/>
                </w:tcPr>
                <w:p>
                  <w:pPr>
                    <w:pStyle w:val="39"/>
                  </w:pPr>
                  <w:r>
                    <w:t>70</w:t>
                  </w:r>
                </w:p>
              </w:tc>
              <w:tc>
                <w:tcPr>
                  <w:tcW w:w="4309" w:type="dxa"/>
                  <w:vAlign w:val="center"/>
                </w:tcPr>
                <w:p>
                  <w:pPr>
                    <w:pStyle w:val="39"/>
                  </w:pPr>
                  <w:r>
                    <w:t>55</w:t>
                  </w:r>
                </w:p>
              </w:tc>
            </w:tr>
          </w:tbl>
          <w:p>
            <w:pPr>
              <w:spacing w:line="460" w:lineRule="exact"/>
              <w:ind w:firstLine="480" w:firstLineChars="200"/>
              <w:jc w:val="both"/>
              <w:rPr>
                <w:rFonts w:ascii="Times New Roman" w:hAnsi="Times New Roman" w:eastAsia="宋体" w:cs="Times New Roman"/>
                <w:sz w:val="24"/>
                <w:szCs w:val="24"/>
                <w:lang w:eastAsia="zh-CN"/>
              </w:rPr>
            </w:pPr>
            <w:r>
              <w:rPr>
                <w:rFonts w:hint="eastAsia" w:ascii="Times New Roman" w:hAnsi="Times New Roman" w:eastAsia="宋体" w:cs="Times New Roman"/>
                <w:sz w:val="24"/>
                <w:szCs w:val="24"/>
                <w:lang w:eastAsia="zh-CN"/>
              </w:rPr>
              <w:t>（2）运营期</w:t>
            </w:r>
          </w:p>
          <w:p>
            <w:pPr>
              <w:spacing w:line="460" w:lineRule="exact"/>
              <w:ind w:firstLine="480" w:firstLineChars="200"/>
              <w:jc w:val="both"/>
              <w:rPr>
                <w:rFonts w:ascii="Times New Roman" w:hAnsi="Times New Roman" w:eastAsia="宋体" w:cs="Times New Roman"/>
                <w:b/>
                <w:bCs/>
                <w:sz w:val="24"/>
                <w:szCs w:val="24"/>
                <w:lang w:eastAsia="zh-CN"/>
              </w:rPr>
            </w:pPr>
            <w:r>
              <w:rPr>
                <w:rFonts w:hint="eastAsia" w:ascii="Times New Roman" w:hAnsi="Times New Roman" w:eastAsia="宋体" w:cs="Times New Roman"/>
                <w:sz w:val="24"/>
                <w:szCs w:val="24"/>
                <w:lang w:eastAsia="zh-CN"/>
              </w:rPr>
              <w:t>根据《声环境功能区划分技术规范》（</w:t>
            </w:r>
            <w:r>
              <w:rPr>
                <w:rFonts w:ascii="Times New Roman" w:hAnsi="Times New Roman" w:eastAsia="宋体" w:cs="Times New Roman"/>
                <w:sz w:val="24"/>
                <w:szCs w:val="24"/>
                <w:lang w:eastAsia="zh-CN"/>
              </w:rPr>
              <w:t>GB/T 15190–2014</w:t>
            </w:r>
            <w:r>
              <w:rPr>
                <w:rFonts w:hint="eastAsia" w:ascii="Times New Roman" w:hAnsi="Times New Roman" w:eastAsia="宋体" w:cs="Times New Roman"/>
                <w:sz w:val="24"/>
                <w:szCs w:val="24"/>
                <w:lang w:eastAsia="zh-CN"/>
              </w:rPr>
              <w:t>）将交通干线边界线外一定距离内的区域划分为</w:t>
            </w:r>
            <w:r>
              <w:rPr>
                <w:rFonts w:ascii="Times New Roman" w:hAnsi="Times New Roman" w:eastAsia="宋体" w:cs="Times New Roman"/>
                <w:sz w:val="24"/>
                <w:szCs w:val="24"/>
                <w:lang w:eastAsia="zh-CN"/>
              </w:rPr>
              <w:t>4a</w:t>
            </w:r>
            <w:r>
              <w:rPr>
                <w:rFonts w:hint="eastAsia" w:ascii="Times New Roman" w:hAnsi="Times New Roman" w:eastAsia="宋体" w:cs="Times New Roman"/>
                <w:sz w:val="24"/>
                <w:szCs w:val="24"/>
                <w:lang w:eastAsia="zh-CN"/>
              </w:rPr>
              <w:t>类声环境功能区，相邻区域为</w:t>
            </w:r>
            <w:r>
              <w:rPr>
                <w:rFonts w:ascii="Times New Roman" w:hAnsi="Times New Roman" w:eastAsia="宋体" w:cs="Times New Roman"/>
                <w:sz w:val="24"/>
                <w:szCs w:val="24"/>
                <w:lang w:eastAsia="zh-CN"/>
              </w:rPr>
              <w:t>2</w:t>
            </w:r>
            <w:r>
              <w:rPr>
                <w:rFonts w:hint="eastAsia" w:ascii="Times New Roman" w:hAnsi="Times New Roman" w:eastAsia="宋体" w:cs="Times New Roman"/>
                <w:sz w:val="24"/>
                <w:szCs w:val="24"/>
                <w:lang w:eastAsia="zh-CN"/>
              </w:rPr>
              <w:t>类声环境功能区的，距离为</w:t>
            </w:r>
            <w:r>
              <w:rPr>
                <w:rFonts w:ascii="Times New Roman" w:hAnsi="Times New Roman" w:eastAsia="宋体" w:cs="Times New Roman"/>
                <w:sz w:val="24"/>
                <w:szCs w:val="24"/>
                <w:lang w:eastAsia="zh-CN"/>
              </w:rPr>
              <w:t>35m±5m</w:t>
            </w:r>
            <w:r>
              <w:rPr>
                <w:rFonts w:hint="eastAsia" w:ascii="Times New Roman" w:hAnsi="Times New Roman" w:eastAsia="宋体" w:cs="Times New Roman"/>
                <w:sz w:val="24"/>
                <w:szCs w:val="24"/>
                <w:lang w:eastAsia="zh-CN"/>
              </w:rPr>
              <w:t>。项目东西北三侧</w:t>
            </w:r>
            <w:r>
              <w:rPr>
                <w:rFonts w:ascii="Times New Roman" w:hAnsi="Times New Roman" w:eastAsia="宋体" w:cs="Times New Roman"/>
                <w:sz w:val="24"/>
                <w:szCs w:val="24"/>
                <w:lang w:eastAsia="zh-CN"/>
              </w:rPr>
              <w:t>厂界</w:t>
            </w:r>
            <w:r>
              <w:rPr>
                <w:rFonts w:hint="eastAsia" w:ascii="Times New Roman" w:hAnsi="Times New Roman" w:eastAsia="宋体" w:cs="Times New Roman"/>
                <w:sz w:val="24"/>
                <w:szCs w:val="24"/>
                <w:lang w:eastAsia="zh-CN"/>
              </w:rPr>
              <w:t>距离元华路距离≤40m，其厂界</w:t>
            </w:r>
            <w:r>
              <w:rPr>
                <w:rFonts w:ascii="Times New Roman" w:hAnsi="Times New Roman" w:eastAsia="宋体" w:cs="Times New Roman"/>
                <w:sz w:val="24"/>
                <w:szCs w:val="24"/>
                <w:lang w:eastAsia="zh-CN"/>
              </w:rPr>
              <w:t>噪声执行《工业企业厂界环境噪声排放标准》（GB12348-2008）</w:t>
            </w:r>
            <w:r>
              <w:rPr>
                <w:rFonts w:hint="eastAsia" w:ascii="Times New Roman" w:hAnsi="Times New Roman" w:eastAsia="宋体" w:cs="Times New Roman"/>
                <w:sz w:val="24"/>
                <w:szCs w:val="24"/>
                <w:lang w:eastAsia="zh-CN"/>
              </w:rPr>
              <w:t>4a</w:t>
            </w:r>
            <w:r>
              <w:rPr>
                <w:rFonts w:ascii="Times New Roman" w:hAnsi="Times New Roman" w:eastAsia="宋体" w:cs="Times New Roman"/>
                <w:sz w:val="24"/>
                <w:szCs w:val="24"/>
                <w:lang w:eastAsia="zh-CN"/>
              </w:rPr>
              <w:t>类标准，</w:t>
            </w:r>
            <w:r>
              <w:rPr>
                <w:rFonts w:hint="eastAsia" w:ascii="Times New Roman" w:hAnsi="Times New Roman" w:eastAsia="宋体" w:cs="Times New Roman"/>
                <w:sz w:val="24"/>
                <w:szCs w:val="24"/>
                <w:lang w:eastAsia="zh-CN"/>
              </w:rPr>
              <w:t>南侧厂界执行2类标准，</w:t>
            </w:r>
            <w:r>
              <w:rPr>
                <w:rFonts w:ascii="Times New Roman" w:hAnsi="Times New Roman" w:eastAsia="宋体" w:cs="Times New Roman"/>
                <w:sz w:val="24"/>
                <w:szCs w:val="24"/>
                <w:lang w:eastAsia="zh-CN"/>
              </w:rPr>
              <w:t>具体标准值见表</w:t>
            </w:r>
            <w:r>
              <w:rPr>
                <w:rFonts w:hint="eastAsia" w:ascii="Times New Roman" w:hAnsi="Times New Roman" w:eastAsia="宋体" w:cs="Times New Roman"/>
                <w:sz w:val="24"/>
                <w:szCs w:val="24"/>
                <w:lang w:eastAsia="zh-CN"/>
              </w:rPr>
              <w:t>3.3-8</w:t>
            </w:r>
            <w:r>
              <w:rPr>
                <w:rFonts w:ascii="Times New Roman" w:hAnsi="Times New Roman" w:eastAsia="宋体" w:cs="Times New Roman"/>
                <w:sz w:val="24"/>
                <w:szCs w:val="24"/>
                <w:lang w:eastAsia="zh-CN"/>
              </w:rPr>
              <w:t>。</w:t>
            </w:r>
          </w:p>
          <w:p>
            <w:pPr>
              <w:pStyle w:val="42"/>
              <w:spacing w:before="120"/>
            </w:pPr>
            <w:r>
              <w:t>表</w:t>
            </w:r>
            <w:r>
              <w:rPr>
                <w:rFonts w:hint="eastAsia"/>
              </w:rPr>
              <w:t xml:space="preserve">3.3-8 </w:t>
            </w:r>
            <w:r>
              <w:t xml:space="preserve"> 工业企业厂界环境噪声排放标准   单位：dB（A）</w:t>
            </w:r>
          </w:p>
          <w:tbl>
            <w:tblPr>
              <w:tblStyle w:val="4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008"/>
              <w:gridCol w:w="3017"/>
              <w:gridCol w:w="300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65" w:type="pct"/>
                  <w:vMerge w:val="restart"/>
                  <w:vAlign w:val="center"/>
                </w:tcPr>
                <w:p>
                  <w:pPr>
                    <w:adjustRightInd w:val="0"/>
                    <w:snapToGrid w:val="0"/>
                    <w:jc w:val="center"/>
                    <w:rPr>
                      <w:rFonts w:ascii="Times New Roman" w:hAnsi="Times New Roman" w:eastAsia="宋体" w:cs="Times New Roman"/>
                      <w:b/>
                      <w:sz w:val="21"/>
                      <w:szCs w:val="21"/>
                      <w:lang w:eastAsia="zh-CN"/>
                    </w:rPr>
                  </w:pPr>
                  <w:r>
                    <w:rPr>
                      <w:rFonts w:ascii="Times New Roman" w:hAnsi="Times New Roman" w:eastAsia="宋体" w:cs="Times New Roman"/>
                      <w:b/>
                      <w:sz w:val="21"/>
                      <w:szCs w:val="21"/>
                      <w:lang w:eastAsia="zh-CN"/>
                    </w:rPr>
                    <w:t>类别</w:t>
                  </w:r>
                </w:p>
              </w:tc>
              <w:tc>
                <w:tcPr>
                  <w:tcW w:w="3334" w:type="pct"/>
                  <w:gridSpan w:val="2"/>
                  <w:vAlign w:val="center"/>
                </w:tcPr>
                <w:p>
                  <w:pPr>
                    <w:adjustRightInd w:val="0"/>
                    <w:snapToGrid w:val="0"/>
                    <w:jc w:val="center"/>
                    <w:rPr>
                      <w:rFonts w:ascii="Times New Roman" w:hAnsi="Times New Roman" w:eastAsia="宋体" w:cs="Times New Roman"/>
                      <w:b/>
                      <w:sz w:val="21"/>
                      <w:szCs w:val="21"/>
                      <w:lang w:eastAsia="zh-CN"/>
                    </w:rPr>
                  </w:pPr>
                  <w:r>
                    <w:rPr>
                      <w:rFonts w:ascii="Times New Roman" w:hAnsi="Times New Roman" w:eastAsia="宋体" w:cs="Times New Roman"/>
                      <w:b/>
                      <w:sz w:val="21"/>
                      <w:szCs w:val="21"/>
                      <w:lang w:eastAsia="zh-CN"/>
                    </w:rPr>
                    <w:t>标准值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65" w:type="pct"/>
                  <w:vMerge w:val="continue"/>
                  <w:vAlign w:val="center"/>
                </w:tcPr>
                <w:p>
                  <w:pPr>
                    <w:adjustRightInd w:val="0"/>
                    <w:snapToGrid w:val="0"/>
                    <w:jc w:val="center"/>
                    <w:rPr>
                      <w:rFonts w:ascii="Times New Roman" w:hAnsi="Times New Roman" w:eastAsia="宋体" w:cs="Times New Roman"/>
                      <w:b/>
                      <w:sz w:val="21"/>
                      <w:szCs w:val="21"/>
                      <w:lang w:eastAsia="zh-CN"/>
                    </w:rPr>
                  </w:pPr>
                </w:p>
              </w:tc>
              <w:tc>
                <w:tcPr>
                  <w:tcW w:w="1670" w:type="pct"/>
                  <w:vAlign w:val="center"/>
                </w:tcPr>
                <w:p>
                  <w:pPr>
                    <w:adjustRightInd w:val="0"/>
                    <w:snapToGrid w:val="0"/>
                    <w:jc w:val="center"/>
                    <w:rPr>
                      <w:rFonts w:ascii="Times New Roman" w:hAnsi="Times New Roman" w:eastAsia="宋体" w:cs="Times New Roman"/>
                      <w:b/>
                      <w:sz w:val="21"/>
                      <w:szCs w:val="21"/>
                      <w:lang w:eastAsia="zh-CN"/>
                    </w:rPr>
                  </w:pPr>
                  <w:r>
                    <w:rPr>
                      <w:rFonts w:ascii="Times New Roman" w:hAnsi="Times New Roman" w:eastAsia="宋体" w:cs="Times New Roman"/>
                      <w:b/>
                      <w:sz w:val="21"/>
                      <w:szCs w:val="21"/>
                      <w:lang w:eastAsia="zh-CN"/>
                    </w:rPr>
                    <w:t>昼间</w:t>
                  </w:r>
                </w:p>
              </w:tc>
              <w:tc>
                <w:tcPr>
                  <w:tcW w:w="1663" w:type="pct"/>
                  <w:vAlign w:val="center"/>
                </w:tcPr>
                <w:p>
                  <w:pPr>
                    <w:adjustRightInd w:val="0"/>
                    <w:snapToGrid w:val="0"/>
                    <w:jc w:val="center"/>
                    <w:rPr>
                      <w:rFonts w:ascii="Times New Roman" w:hAnsi="Times New Roman" w:eastAsia="宋体" w:cs="Times New Roman"/>
                      <w:b/>
                      <w:sz w:val="21"/>
                      <w:szCs w:val="21"/>
                      <w:lang w:eastAsia="zh-CN"/>
                    </w:rPr>
                  </w:pPr>
                  <w:r>
                    <w:rPr>
                      <w:rFonts w:ascii="Times New Roman" w:hAnsi="Times New Roman" w:eastAsia="宋体" w:cs="Times New Roman"/>
                      <w:b/>
                      <w:sz w:val="21"/>
                      <w:szCs w:val="21"/>
                      <w:lang w:eastAsia="zh-CN"/>
                    </w:rPr>
                    <w:t>夜间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04" w:type="dxa"/>
                  <w:vAlign w:val="center"/>
                </w:tcPr>
                <w:p>
                  <w:pPr>
                    <w:adjustRightInd w:val="0"/>
                    <w:snapToGrid w:val="0"/>
                    <w:jc w:val="center"/>
                    <w:rPr>
                      <w:rFonts w:ascii="Times New Roman" w:hAnsi="Times New Roman" w:eastAsia="宋体" w:cs="Times New Roman"/>
                      <w:sz w:val="21"/>
                      <w:szCs w:val="21"/>
                      <w:lang w:eastAsia="zh-CN"/>
                    </w:rPr>
                  </w:pPr>
                  <w:r>
                    <w:rPr>
                      <w:rFonts w:hint="eastAsia" w:ascii="Times New Roman" w:hAnsi="Times New Roman" w:cs="Times New Roman" w:eastAsiaTheme="majorEastAsia"/>
                      <w:sz w:val="21"/>
                      <w:szCs w:val="21"/>
                      <w:lang w:eastAsia="zh-CN"/>
                    </w:rPr>
                    <w:t>2</w:t>
                  </w:r>
                  <w:r>
                    <w:rPr>
                      <w:rFonts w:ascii="Times New Roman" w:hAnsi="Times New Roman" w:cs="Times New Roman" w:eastAsiaTheme="majorEastAsia"/>
                      <w:sz w:val="21"/>
                      <w:szCs w:val="21"/>
                      <w:lang w:eastAsia="zh-CN"/>
                    </w:rPr>
                    <w:t>类</w:t>
                  </w:r>
                </w:p>
              </w:tc>
              <w:tc>
                <w:tcPr>
                  <w:tcW w:w="3013" w:type="dxa"/>
                  <w:vAlign w:val="center"/>
                </w:tcPr>
                <w:p>
                  <w:pPr>
                    <w:adjustRightInd w:val="0"/>
                    <w:snapToGrid w:val="0"/>
                    <w:jc w:val="center"/>
                    <w:rPr>
                      <w:rFonts w:ascii="Times New Roman" w:hAnsi="Times New Roman" w:eastAsia="宋体" w:cs="Times New Roman"/>
                      <w:sz w:val="21"/>
                      <w:szCs w:val="21"/>
                      <w:lang w:eastAsia="zh-CN"/>
                    </w:rPr>
                  </w:pPr>
                  <w:r>
                    <w:rPr>
                      <w:rFonts w:hint="eastAsia" w:ascii="Times New Roman" w:hAnsi="Times New Roman" w:cs="Times New Roman" w:eastAsiaTheme="majorEastAsia"/>
                      <w:sz w:val="21"/>
                      <w:szCs w:val="21"/>
                      <w:lang w:eastAsia="zh-CN"/>
                    </w:rPr>
                    <w:t>60</w:t>
                  </w:r>
                </w:p>
              </w:tc>
              <w:tc>
                <w:tcPr>
                  <w:tcW w:w="3002" w:type="dxa"/>
                  <w:vAlign w:val="center"/>
                </w:tcPr>
                <w:p>
                  <w:pPr>
                    <w:adjustRightInd w:val="0"/>
                    <w:snapToGrid w:val="0"/>
                    <w:jc w:val="center"/>
                    <w:rPr>
                      <w:rFonts w:ascii="Times New Roman" w:hAnsi="Times New Roman" w:eastAsia="宋体" w:cs="Times New Roman"/>
                      <w:sz w:val="21"/>
                      <w:szCs w:val="21"/>
                      <w:lang w:eastAsia="zh-CN"/>
                    </w:rPr>
                  </w:pPr>
                  <w:r>
                    <w:rPr>
                      <w:rFonts w:hint="eastAsia" w:ascii="Times New Roman" w:hAnsi="Times New Roman" w:cs="Times New Roman" w:eastAsiaTheme="majorEastAsia"/>
                      <w:sz w:val="21"/>
                      <w:szCs w:val="21"/>
                      <w:lang w:eastAsia="zh-CN"/>
                    </w:rPr>
                    <w:t>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04" w:type="dxa"/>
                  <w:vAlign w:val="center"/>
                </w:tcPr>
                <w:p>
                  <w:pPr>
                    <w:adjustRightInd w:val="0"/>
                    <w:snapToGrid w:val="0"/>
                    <w:jc w:val="center"/>
                    <w:rPr>
                      <w:rFonts w:ascii="Times New Roman" w:hAnsi="Times New Roman" w:cs="Times New Roman" w:eastAsiaTheme="majorEastAsia"/>
                      <w:sz w:val="21"/>
                      <w:szCs w:val="21"/>
                      <w:lang w:eastAsia="zh-CN"/>
                    </w:rPr>
                  </w:pPr>
                  <w:r>
                    <w:rPr>
                      <w:rFonts w:hint="eastAsia" w:ascii="Times New Roman" w:hAnsi="Times New Roman" w:cs="Times New Roman" w:eastAsiaTheme="majorEastAsia"/>
                      <w:sz w:val="21"/>
                      <w:szCs w:val="21"/>
                      <w:lang w:eastAsia="zh-CN"/>
                    </w:rPr>
                    <w:t>4a</w:t>
                  </w:r>
                </w:p>
              </w:tc>
              <w:tc>
                <w:tcPr>
                  <w:tcW w:w="3013" w:type="dxa"/>
                  <w:vAlign w:val="center"/>
                </w:tcPr>
                <w:p>
                  <w:pPr>
                    <w:adjustRightInd w:val="0"/>
                    <w:snapToGrid w:val="0"/>
                    <w:jc w:val="center"/>
                    <w:rPr>
                      <w:rFonts w:ascii="Times New Roman" w:hAnsi="Times New Roman" w:cs="Times New Roman" w:eastAsiaTheme="majorEastAsia"/>
                      <w:sz w:val="21"/>
                      <w:szCs w:val="21"/>
                      <w:lang w:eastAsia="zh-CN"/>
                    </w:rPr>
                  </w:pPr>
                  <w:r>
                    <w:rPr>
                      <w:rFonts w:hint="eastAsia" w:ascii="Times New Roman" w:hAnsi="Times New Roman" w:cs="Times New Roman" w:eastAsiaTheme="majorEastAsia"/>
                      <w:sz w:val="21"/>
                      <w:szCs w:val="21"/>
                      <w:lang w:eastAsia="zh-CN"/>
                    </w:rPr>
                    <w:t>70</w:t>
                  </w:r>
                </w:p>
              </w:tc>
              <w:tc>
                <w:tcPr>
                  <w:tcW w:w="3002" w:type="dxa"/>
                  <w:vAlign w:val="center"/>
                </w:tcPr>
                <w:p>
                  <w:pPr>
                    <w:adjustRightInd w:val="0"/>
                    <w:snapToGrid w:val="0"/>
                    <w:jc w:val="center"/>
                    <w:rPr>
                      <w:rFonts w:ascii="Times New Roman" w:hAnsi="Times New Roman" w:cs="Times New Roman" w:eastAsiaTheme="majorEastAsia"/>
                      <w:sz w:val="21"/>
                      <w:szCs w:val="21"/>
                      <w:lang w:eastAsia="zh-CN"/>
                    </w:rPr>
                  </w:pPr>
                  <w:r>
                    <w:rPr>
                      <w:rFonts w:hint="eastAsia" w:ascii="Times New Roman" w:hAnsi="Times New Roman" w:cs="Times New Roman" w:eastAsiaTheme="majorEastAsia"/>
                      <w:sz w:val="21"/>
                      <w:szCs w:val="21"/>
                      <w:lang w:eastAsia="zh-CN"/>
                    </w:rPr>
                    <w:t>55</w:t>
                  </w:r>
                </w:p>
              </w:tc>
            </w:tr>
          </w:tbl>
          <w:p>
            <w:pPr>
              <w:snapToGrid w:val="0"/>
              <w:spacing w:line="460" w:lineRule="exact"/>
              <w:ind w:firstLine="482" w:firstLineChars="200"/>
              <w:jc w:val="both"/>
              <w:rPr>
                <w:rFonts w:ascii="Times New Roman" w:hAnsi="Times New Roman" w:eastAsia="宋体" w:cs="Times New Roman"/>
                <w:b/>
                <w:sz w:val="24"/>
                <w:szCs w:val="24"/>
                <w:lang w:eastAsia="zh-CN"/>
              </w:rPr>
            </w:pPr>
            <w:r>
              <w:rPr>
                <w:rFonts w:ascii="Times New Roman" w:hAnsi="Times New Roman" w:eastAsia="宋体" w:cs="Times New Roman"/>
                <w:b/>
                <w:sz w:val="24"/>
                <w:szCs w:val="24"/>
                <w:lang w:eastAsia="zh-CN"/>
              </w:rPr>
              <w:t>4</w:t>
            </w:r>
            <w:r>
              <w:rPr>
                <w:rFonts w:hint="eastAsia" w:ascii="Times New Roman" w:hAnsi="Times New Roman" w:eastAsia="宋体" w:cs="Times New Roman"/>
                <w:b/>
                <w:sz w:val="24"/>
                <w:szCs w:val="24"/>
                <w:lang w:eastAsia="zh-CN"/>
              </w:rPr>
              <w:t>、</w:t>
            </w:r>
            <w:r>
              <w:rPr>
                <w:rFonts w:ascii="Times New Roman" w:hAnsi="Times New Roman" w:eastAsia="宋体" w:cs="Times New Roman"/>
                <w:b/>
                <w:sz w:val="24"/>
                <w:szCs w:val="24"/>
                <w:lang w:eastAsia="zh-CN"/>
              </w:rPr>
              <w:t>固体废物</w:t>
            </w:r>
            <w:r>
              <w:rPr>
                <w:rFonts w:hint="eastAsia" w:ascii="Times New Roman" w:hAnsi="Times New Roman" w:eastAsia="宋体" w:cs="Times New Roman"/>
                <w:b/>
                <w:sz w:val="24"/>
                <w:szCs w:val="24"/>
                <w:lang w:eastAsia="zh-CN"/>
              </w:rPr>
              <w:t>排放标准</w:t>
            </w:r>
          </w:p>
          <w:p>
            <w:pPr>
              <w:spacing w:line="460" w:lineRule="exact"/>
              <w:ind w:firstLine="480" w:firstLineChars="200"/>
              <w:jc w:val="both"/>
              <w:rPr>
                <w:rFonts w:ascii="Times New Roman" w:hAnsi="Times New Roman" w:eastAsia="宋体" w:cs="Times New Roman"/>
                <w:sz w:val="24"/>
                <w:szCs w:val="24"/>
                <w:lang w:eastAsia="zh-CN"/>
              </w:rPr>
            </w:pPr>
            <w:r>
              <w:rPr>
                <w:rFonts w:ascii="Times New Roman" w:hAnsi="Times New Roman" w:eastAsia="宋体" w:cs="Times New Roman"/>
                <w:sz w:val="24"/>
                <w:szCs w:val="24"/>
                <w:lang w:eastAsia="zh-CN"/>
              </w:rPr>
              <w:t>一般固体废物在厂区内暂时贮存执行《一般工业固体废物贮存和填埋污染控制标准》（GB 18599-2020）</w:t>
            </w:r>
            <w:r>
              <w:rPr>
                <w:rFonts w:hint="eastAsia" w:ascii="Times New Roman" w:hAnsi="Times New Roman" w:eastAsia="宋体" w:cs="Times New Roman"/>
                <w:sz w:val="24"/>
                <w:szCs w:val="24"/>
                <w:lang w:eastAsia="zh-CN"/>
              </w:rPr>
              <w:t>和</w:t>
            </w:r>
            <w:r>
              <w:rPr>
                <w:rFonts w:ascii="Times New Roman" w:hAnsi="Times New Roman" w:eastAsia="宋体" w:cs="Times New Roman"/>
                <w:sz w:val="24"/>
                <w:szCs w:val="24"/>
                <w:lang w:eastAsia="zh-CN"/>
              </w:rPr>
              <w:t>《中华人民共和国固体废物污染环境防治法》中的有关规定。危险废物处置执行《危险废物贮存污染控制标准》（GB18597-2023）的相关要求。</w:t>
            </w:r>
          </w:p>
          <w:p>
            <w:pPr>
              <w:pStyle w:val="2"/>
              <w:jc w:val="both"/>
              <w:rPr>
                <w:rFonts w:hint="eastAsia"/>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488" w:hRule="atLeast"/>
          <w:jc w:val="center"/>
        </w:trPr>
        <w:tc>
          <w:tcPr>
            <w:tcW w:w="305" w:type="pct"/>
            <w:vAlign w:val="center"/>
          </w:tcPr>
          <w:p>
            <w:pPr>
              <w:jc w:val="center"/>
              <w:rPr>
                <w:rFonts w:ascii="Times New Roman" w:hAnsi="Times New Roman" w:eastAsia="宋体" w:cs="Times New Roman"/>
                <w:spacing w:val="-1"/>
                <w:sz w:val="24"/>
                <w:szCs w:val="24"/>
                <w:lang w:eastAsia="zh-CN"/>
              </w:rPr>
            </w:pPr>
            <w:r>
              <w:rPr>
                <w:rFonts w:ascii="Times New Roman" w:hAnsi="Times New Roman" w:eastAsia="宋体" w:cs="Times New Roman"/>
                <w:spacing w:val="-1"/>
                <w:sz w:val="24"/>
                <w:szCs w:val="24"/>
                <w:lang w:eastAsia="zh-CN"/>
              </w:rPr>
              <w:t>总量控制指标</w:t>
            </w:r>
          </w:p>
        </w:tc>
        <w:tc>
          <w:tcPr>
            <w:tcW w:w="4694" w:type="pct"/>
          </w:tcPr>
          <w:p>
            <w:pPr>
              <w:pStyle w:val="45"/>
              <w:widowControl w:val="0"/>
              <w:ind w:firstLine="480"/>
            </w:pPr>
            <w:r>
              <w:t>根据《福建省建设项目主要污染物排放总量指标管理办法(试行)的通知》(闽环发[2014]13号)、《福建省关于全面实施排污权有偿使用和交易工作的意见》(政2016号54号)等文件要求，现阶段福建省主要污染物排放总量指标为COD、NH</w:t>
            </w:r>
            <w:r>
              <w:rPr>
                <w:vertAlign w:val="subscript"/>
              </w:rPr>
              <w:t>3</w:t>
            </w:r>
            <w:r>
              <w:t>-N、SO</w:t>
            </w:r>
            <w:r>
              <w:rPr>
                <w:vertAlign w:val="subscript"/>
              </w:rPr>
              <w:t>2</w:t>
            </w:r>
            <w:r>
              <w:t>、NOx。同时根据《福建省大气污染防治条例》，结合《福州市环境保护局关于印发福州市大气污染联防控联治工作方案的通知》榕环保综[2018]386号及本项目的特征污染物，本项目建成后产生的VOCs也列入总量控制行列。</w:t>
            </w:r>
          </w:p>
          <w:p>
            <w:pPr>
              <w:pStyle w:val="45"/>
              <w:widowControl w:val="0"/>
              <w:ind w:firstLine="480"/>
              <w:rPr>
                <w:rFonts w:eastAsiaTheme="majorEastAsia"/>
              </w:rPr>
            </w:pPr>
            <w:r>
              <w:rPr>
                <w:rFonts w:eastAsiaTheme="majorEastAsia"/>
              </w:rPr>
              <w:t>项目废水经处理后接入市政污水管网，最终送往福清融元污水处理厂集中处理，根据《福建省环保厅关于进一步明确排污权工作有关问题的通知》(闽环保财[2017]22号)，现有工业排污单位的水污染物的初始排污权只核定工业废水部分，根据《福州市建设项目主要污染物排放总量指标管理实施细则(试行)》，</w:t>
            </w:r>
            <w:r>
              <w:rPr>
                <w:rFonts w:eastAsiaTheme="majorEastAsia"/>
                <w:b/>
                <w:bCs/>
              </w:rPr>
              <w:t>本项目属于第三产业，无需申请总量</w:t>
            </w:r>
            <w:r>
              <w:rPr>
                <w:rFonts w:hint="eastAsia" w:eastAsiaTheme="majorEastAsia"/>
              </w:rPr>
              <w:t>，</w:t>
            </w:r>
            <w:r>
              <w:rPr>
                <w:rFonts w:eastAsiaTheme="majorEastAsia"/>
              </w:rPr>
              <w:t>项目废水总量由福清融元污水处理厂统一控制。因此，</w:t>
            </w:r>
            <w:r>
              <w:rPr>
                <w:rFonts w:eastAsiaTheme="majorEastAsia"/>
                <w:b/>
                <w:bCs/>
              </w:rPr>
              <w:t>项目不涉及COD、NH</w:t>
            </w:r>
            <w:r>
              <w:rPr>
                <w:rFonts w:eastAsiaTheme="majorEastAsia"/>
                <w:b/>
                <w:bCs/>
                <w:vertAlign w:val="subscript"/>
              </w:rPr>
              <w:t>3</w:t>
            </w:r>
            <w:r>
              <w:rPr>
                <w:rFonts w:eastAsiaTheme="majorEastAsia"/>
                <w:b/>
                <w:bCs/>
              </w:rPr>
              <w:t>-N污染物总量控制指标。</w:t>
            </w:r>
          </w:p>
          <w:p>
            <w:pPr>
              <w:pStyle w:val="45"/>
              <w:widowControl w:val="0"/>
              <w:ind w:firstLine="480"/>
            </w:pPr>
            <w:r>
              <w:t>项目废气总量控制指标为VOCs等，废气污染物排放总量见下表</w:t>
            </w:r>
            <w:r>
              <w:rPr>
                <w:rFonts w:hint="eastAsia"/>
              </w:rPr>
              <w:t>3.4</w:t>
            </w:r>
            <w:r>
              <w:t>-1。</w:t>
            </w:r>
          </w:p>
          <w:p>
            <w:pPr>
              <w:pStyle w:val="42"/>
              <w:spacing w:before="120"/>
            </w:pPr>
            <w:r>
              <w:t>表3.</w:t>
            </w:r>
            <w:r>
              <w:rPr>
                <w:rFonts w:hint="eastAsia"/>
              </w:rPr>
              <w:t>4</w:t>
            </w:r>
            <w:r>
              <w:t>-1</w:t>
            </w:r>
            <w:r>
              <w:rPr>
                <w:rFonts w:hint="eastAsia"/>
              </w:rPr>
              <w:t xml:space="preserve">  </w:t>
            </w:r>
            <w:r>
              <w:t>项目废气污染物排放总量指标一览表</w:t>
            </w:r>
          </w:p>
          <w:tbl>
            <w:tblPr>
              <w:tblStyle w:val="4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978"/>
              <w:gridCol w:w="1771"/>
              <w:gridCol w:w="2117"/>
              <w:gridCol w:w="316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674" w:hRule="atLeast"/>
                <w:jc w:val="center"/>
              </w:trPr>
              <w:tc>
                <w:tcPr>
                  <w:tcW w:w="1986" w:type="dxa"/>
                  <w:vAlign w:val="center"/>
                </w:tcPr>
                <w:p>
                  <w:pPr>
                    <w:pStyle w:val="39"/>
                  </w:pPr>
                  <w:r>
                    <w:t>污染源</w:t>
                  </w:r>
                </w:p>
              </w:tc>
              <w:tc>
                <w:tcPr>
                  <w:tcW w:w="1765" w:type="dxa"/>
                  <w:vAlign w:val="center"/>
                </w:tcPr>
                <w:p>
                  <w:pPr>
                    <w:pStyle w:val="39"/>
                  </w:pPr>
                  <w:r>
                    <w:t>污染物</w:t>
                  </w:r>
                </w:p>
              </w:tc>
              <w:tc>
                <w:tcPr>
                  <w:tcW w:w="2110" w:type="dxa"/>
                  <w:vAlign w:val="center"/>
                </w:tcPr>
                <w:p>
                  <w:pPr>
                    <w:pStyle w:val="39"/>
                  </w:pPr>
                  <w:r>
                    <w:t>预测排</w:t>
                  </w:r>
                  <w:r>
                    <w:rPr>
                      <w:spacing w:val="4"/>
                    </w:rPr>
                    <w:t>放量</w:t>
                  </w:r>
                </w:p>
              </w:tc>
              <w:tc>
                <w:tcPr>
                  <w:tcW w:w="3168" w:type="dxa"/>
                  <w:vAlign w:val="center"/>
                </w:tcPr>
                <w:p>
                  <w:pPr>
                    <w:pStyle w:val="39"/>
                  </w:pPr>
                  <w:r>
                    <w:rPr>
                      <w:rFonts w:hint="eastAsia"/>
                    </w:rPr>
                    <w:t>1.2倍量调剂指标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4" w:hRule="atLeast"/>
                <w:jc w:val="center"/>
              </w:trPr>
              <w:tc>
                <w:tcPr>
                  <w:tcW w:w="1986" w:type="dxa"/>
                  <w:vAlign w:val="center"/>
                </w:tcPr>
                <w:p>
                  <w:pPr>
                    <w:pStyle w:val="39"/>
                  </w:pPr>
                  <w:r>
                    <w:t>无组织</w:t>
                  </w:r>
                  <w:r>
                    <w:rPr>
                      <w:spacing w:val="4"/>
                    </w:rPr>
                    <w:t>排放</w:t>
                  </w:r>
                </w:p>
              </w:tc>
              <w:tc>
                <w:tcPr>
                  <w:tcW w:w="1765" w:type="dxa"/>
                  <w:vAlign w:val="center"/>
                </w:tcPr>
                <w:p>
                  <w:pPr>
                    <w:pStyle w:val="39"/>
                    <w:rPr>
                      <w:rFonts w:eastAsia="Times New Roman"/>
                      <w:sz w:val="20"/>
                      <w:szCs w:val="20"/>
                    </w:rPr>
                  </w:pPr>
                  <w:r>
                    <w:rPr>
                      <w:rFonts w:eastAsia="Times New Roman"/>
                      <w:spacing w:val="7"/>
                      <w:sz w:val="20"/>
                      <w:szCs w:val="20"/>
                    </w:rPr>
                    <w:t>VOCs</w:t>
                  </w:r>
                </w:p>
              </w:tc>
              <w:tc>
                <w:tcPr>
                  <w:tcW w:w="2110" w:type="dxa"/>
                  <w:vAlign w:val="center"/>
                </w:tcPr>
                <w:p>
                  <w:pPr>
                    <w:pStyle w:val="39"/>
                  </w:pPr>
                  <w:r>
                    <w:rPr>
                      <w:rFonts w:hint="eastAsia"/>
                    </w:rPr>
                    <w:t>1.834</w:t>
                  </w:r>
                  <w:r>
                    <w:t>t/a</w:t>
                  </w:r>
                </w:p>
              </w:tc>
              <w:tc>
                <w:tcPr>
                  <w:tcW w:w="3168" w:type="dxa"/>
                  <w:vAlign w:val="center"/>
                </w:tcPr>
                <w:p>
                  <w:pPr>
                    <w:pStyle w:val="39"/>
                  </w:pPr>
                  <w:r>
                    <w:rPr>
                      <w:rFonts w:hint="eastAsia"/>
                    </w:rPr>
                    <w:t>2.201</w:t>
                  </w:r>
                  <w:r>
                    <w:t>t/a</w:t>
                  </w:r>
                </w:p>
              </w:tc>
            </w:tr>
          </w:tbl>
          <w:p>
            <w:pPr>
              <w:pStyle w:val="2"/>
              <w:jc w:val="both"/>
              <w:rPr>
                <w:rFonts w:hint="eastAsia"/>
                <w:lang w:eastAsia="zh-CN"/>
              </w:rPr>
            </w:pPr>
          </w:p>
          <w:p>
            <w:pPr>
              <w:pStyle w:val="45"/>
              <w:widowControl w:val="0"/>
              <w:ind w:firstLine="480"/>
            </w:pPr>
            <w:r>
              <w:rPr>
                <w:rFonts w:hint="eastAsia"/>
              </w:rPr>
              <w:t>本项目</w:t>
            </w:r>
            <w:r>
              <w:t>VOCs(</w:t>
            </w:r>
            <w:r>
              <w:rPr>
                <w:rFonts w:hint="eastAsia"/>
              </w:rPr>
              <w:t>以非甲烷总烃计</w:t>
            </w:r>
            <w:r>
              <w:t>)</w:t>
            </w:r>
            <w:r>
              <w:rPr>
                <w:rFonts w:hint="eastAsia"/>
              </w:rPr>
              <w:t>排放总量为</w:t>
            </w:r>
            <w:r>
              <w:rPr>
                <w:rFonts w:hint="eastAsia"/>
                <w:lang w:val="en-US"/>
              </w:rPr>
              <w:t>1.834</w:t>
            </w:r>
            <w:r>
              <w:t>t/a</w:t>
            </w:r>
            <w:r>
              <w:rPr>
                <w:rFonts w:hint="eastAsia"/>
              </w:rPr>
              <w:t>，根据《福州市环境保护局关于印发福州市大气污染联防控联治工作方案的通知》榕环保综</w:t>
            </w:r>
            <w:r>
              <w:t>[2018]386</w:t>
            </w:r>
            <w:r>
              <w:rPr>
                <w:rFonts w:hint="eastAsia"/>
              </w:rPr>
              <w:t>号：</w:t>
            </w:r>
            <w:r>
              <w:t>VOCs</w:t>
            </w:r>
            <w:r>
              <w:rPr>
                <w:rFonts w:hint="eastAsia"/>
              </w:rPr>
              <w:t>排放实行区域内倍量替代。由建设单位向福州市鼓楼生态环境局申请区域倍量替代，目前建设单位承诺在项目投产前取得</w:t>
            </w:r>
            <w:r>
              <w:t>VOCs(</w:t>
            </w:r>
            <w:r>
              <w:rPr>
                <w:rFonts w:hint="eastAsia"/>
              </w:rPr>
              <w:t>以非甲烷总烃计</w:t>
            </w:r>
            <w:r>
              <w:t>)</w:t>
            </w:r>
            <w:r>
              <w:rPr>
                <w:rFonts w:hint="eastAsia"/>
              </w:rPr>
              <w:t>总量的倍量替代，并依法申领排污许可证（承诺函详见附件9）。</w:t>
            </w:r>
          </w:p>
          <w:p>
            <w:pPr>
              <w:pStyle w:val="2"/>
              <w:jc w:val="both"/>
              <w:rPr>
                <w:rFonts w:hint="eastAsia"/>
                <w:lang w:eastAsia="zh-CN"/>
              </w:rPr>
            </w:pPr>
          </w:p>
        </w:tc>
      </w:tr>
    </w:tbl>
    <w:p>
      <w:pPr>
        <w:rPr>
          <w:lang w:eastAsia="zh-CN"/>
        </w:rPr>
        <w:sectPr>
          <w:footerReference r:id="rId6" w:type="default"/>
          <w:pgSz w:w="11910" w:h="16850"/>
          <w:pgMar w:top="1440" w:right="1080" w:bottom="1440" w:left="1080" w:header="0" w:footer="813" w:gutter="0"/>
          <w:cols w:space="720" w:num="1"/>
        </w:sectPr>
      </w:pPr>
    </w:p>
    <w:p>
      <w:pPr>
        <w:pStyle w:val="3"/>
        <w:spacing w:before="0" w:line="360" w:lineRule="auto"/>
        <w:jc w:val="center"/>
        <w:rPr>
          <w:rFonts w:hint="eastAsia" w:ascii="宋体" w:hAnsi="宋体" w:eastAsia="宋体" w:cs="宋体"/>
          <w:b/>
          <w:bCs/>
          <w:lang w:eastAsia="zh-CN"/>
        </w:rPr>
      </w:pPr>
      <w:bookmarkStart w:id="10" w:name="_Toc25956"/>
      <w:r>
        <w:rPr>
          <w:rFonts w:hint="eastAsia" w:ascii="宋体" w:hAnsi="宋体" w:eastAsia="宋体" w:cs="宋体"/>
          <w:b/>
          <w:bCs/>
          <w:lang w:eastAsia="zh-CN"/>
        </w:rPr>
        <w:t>四、主要环境影响和保护措施</w:t>
      </w:r>
      <w:bookmarkEnd w:id="10"/>
    </w:p>
    <w:tbl>
      <w:tblPr>
        <w:tblStyle w:val="18"/>
        <w:tblW w:w="493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84"/>
        <w:gridCol w:w="90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43" w:hRule="atLeast"/>
          <w:jc w:val="center"/>
        </w:trPr>
        <w:tc>
          <w:tcPr>
            <w:tcW w:w="398" w:type="pct"/>
            <w:vAlign w:val="center"/>
          </w:tcPr>
          <w:p>
            <w:pPr>
              <w:jc w:val="center"/>
              <w:rPr>
                <w:rFonts w:ascii="Times New Roman" w:hAnsi="Times New Roman" w:eastAsia="宋体" w:cs="宋体"/>
                <w:spacing w:val="-1"/>
                <w:sz w:val="24"/>
                <w:szCs w:val="24"/>
                <w:lang w:eastAsia="zh-CN"/>
              </w:rPr>
            </w:pPr>
            <w:r>
              <w:rPr>
                <w:rFonts w:hint="eastAsia" w:ascii="Times New Roman" w:hAnsi="Times New Roman" w:eastAsia="宋体" w:cs="宋体"/>
                <w:spacing w:val="-1"/>
                <w:sz w:val="24"/>
                <w:szCs w:val="24"/>
                <w:lang w:eastAsia="zh-CN"/>
              </w:rPr>
              <w:t>施工期环境保护措施</w:t>
            </w:r>
          </w:p>
        </w:tc>
        <w:tc>
          <w:tcPr>
            <w:tcW w:w="4601" w:type="pct"/>
          </w:tcPr>
          <w:p>
            <w:pPr>
              <w:pStyle w:val="43"/>
              <w:spacing w:before="120"/>
              <w:ind w:firstLine="480"/>
            </w:pPr>
            <w:r>
              <w:t>本项目施工期主要包括基础工程、主体工程、装饰工程、设备安装等工程内容，项目施工期为</w:t>
            </w:r>
            <w:r>
              <w:rPr>
                <w:rFonts w:hint="eastAsia"/>
              </w:rPr>
              <w:t>12</w:t>
            </w:r>
            <w:r>
              <w:t>个月，其产生的污染物主要为少量废水、废气、噪声和固废等。</w:t>
            </w:r>
          </w:p>
          <w:p>
            <w:pPr>
              <w:spacing w:line="460" w:lineRule="exact"/>
              <w:ind w:firstLine="482" w:firstLineChars="200"/>
              <w:jc w:val="both"/>
              <w:rPr>
                <w:rFonts w:ascii="Times New Roman" w:hAnsi="Times New Roman" w:eastAsia="宋体" w:cs="Times New Roman"/>
                <w:b/>
                <w:sz w:val="24"/>
                <w:lang w:eastAsia="zh-CN"/>
              </w:rPr>
            </w:pPr>
            <w:r>
              <w:rPr>
                <w:rFonts w:ascii="Times New Roman" w:hAnsi="Times New Roman" w:eastAsia="宋体" w:cs="Times New Roman"/>
                <w:b/>
                <w:sz w:val="24"/>
                <w:lang w:eastAsia="zh-CN"/>
              </w:rPr>
              <w:t>1、施工期大气环境影响分析</w:t>
            </w:r>
          </w:p>
          <w:p>
            <w:pPr>
              <w:spacing w:line="460" w:lineRule="exact"/>
              <w:ind w:firstLine="480" w:firstLineChars="200"/>
              <w:jc w:val="both"/>
              <w:rPr>
                <w:rFonts w:ascii="Times New Roman" w:hAnsi="Times New Roman" w:eastAsia="宋体" w:cs="Times New Roman"/>
                <w:sz w:val="24"/>
                <w:lang w:eastAsia="zh-CN"/>
              </w:rPr>
            </w:pPr>
            <w:r>
              <w:rPr>
                <w:rFonts w:hint="eastAsia" w:ascii="Times New Roman" w:hAnsi="Times New Roman" w:eastAsia="宋体" w:cs="Times New Roman"/>
                <w:sz w:val="24"/>
                <w:lang w:eastAsia="zh-CN"/>
              </w:rPr>
              <w:t>（1）</w:t>
            </w:r>
            <w:r>
              <w:rPr>
                <w:rFonts w:ascii="Times New Roman" w:hAnsi="Times New Roman" w:eastAsia="宋体" w:cs="Times New Roman"/>
                <w:sz w:val="24"/>
                <w:lang w:eastAsia="zh-CN"/>
              </w:rPr>
              <w:t>施工扬尘：</w:t>
            </w:r>
          </w:p>
          <w:p>
            <w:pPr>
              <w:spacing w:line="460" w:lineRule="exact"/>
              <w:ind w:firstLine="480" w:firstLineChars="200"/>
              <w:jc w:val="both"/>
              <w:rPr>
                <w:rFonts w:ascii="Times New Roman" w:hAnsi="Times New Roman" w:eastAsia="宋体" w:cs="Times New Roman"/>
                <w:sz w:val="24"/>
                <w:lang w:eastAsia="zh-CN"/>
              </w:rPr>
            </w:pPr>
            <w:r>
              <w:rPr>
                <w:rFonts w:ascii="Times New Roman" w:hAnsi="Times New Roman" w:eastAsia="宋体" w:cs="Times New Roman"/>
                <w:sz w:val="24"/>
                <w:lang w:eastAsia="zh-CN"/>
              </w:rPr>
              <w:t>本项目施工过程中对大气环境有影响的是因施工而产生的地面扬尘，根据类比调查和工程分析，施工现场主要起尘点有：</w:t>
            </w:r>
          </w:p>
          <w:p>
            <w:pPr>
              <w:spacing w:line="460" w:lineRule="exact"/>
              <w:ind w:firstLine="480" w:firstLineChars="200"/>
              <w:jc w:val="both"/>
              <w:rPr>
                <w:rFonts w:ascii="Times New Roman" w:hAnsi="Times New Roman" w:eastAsia="宋体" w:cs="Times New Roman"/>
                <w:sz w:val="24"/>
                <w:lang w:eastAsia="zh-CN"/>
              </w:rPr>
            </w:pPr>
            <w:r>
              <w:rPr>
                <w:rFonts w:hint="eastAsia" w:ascii="Times New Roman" w:hAnsi="Times New Roman" w:eastAsia="宋体" w:cs="Times New Roman"/>
                <w:sz w:val="24"/>
                <w:lang w:eastAsia="zh-CN"/>
              </w:rPr>
              <w:t>①</w:t>
            </w:r>
            <w:r>
              <w:rPr>
                <w:rFonts w:ascii="Times New Roman" w:hAnsi="Times New Roman" w:eastAsia="宋体" w:cs="Times New Roman"/>
                <w:sz w:val="24"/>
                <w:lang w:eastAsia="zh-CN"/>
              </w:rPr>
              <w:t>施工区裸露，表层浮尘风力起尘；</w:t>
            </w:r>
          </w:p>
          <w:p>
            <w:pPr>
              <w:spacing w:line="460" w:lineRule="exact"/>
              <w:ind w:firstLine="480" w:firstLineChars="200"/>
              <w:jc w:val="both"/>
              <w:rPr>
                <w:rFonts w:ascii="Times New Roman" w:hAnsi="Times New Roman" w:eastAsia="宋体" w:cs="Times New Roman"/>
                <w:sz w:val="24"/>
                <w:lang w:eastAsia="zh-CN"/>
              </w:rPr>
            </w:pPr>
            <w:r>
              <w:rPr>
                <w:rFonts w:hint="eastAsia" w:ascii="Times New Roman" w:hAnsi="Times New Roman" w:eastAsia="宋体" w:cs="Times New Roman"/>
                <w:sz w:val="24"/>
                <w:lang w:eastAsia="zh-CN"/>
              </w:rPr>
              <w:t>②</w:t>
            </w:r>
            <w:r>
              <w:rPr>
                <w:rFonts w:ascii="Times New Roman" w:hAnsi="Times New Roman" w:eastAsia="宋体" w:cs="Times New Roman"/>
                <w:sz w:val="24"/>
                <w:lang w:eastAsia="zh-CN"/>
              </w:rPr>
              <w:t>建材运输装卸过程，由于振动和自然风力等因素引起的物料洒落起尘和道路扬尘；</w:t>
            </w:r>
          </w:p>
          <w:p>
            <w:pPr>
              <w:spacing w:line="460" w:lineRule="exact"/>
              <w:ind w:firstLine="480" w:firstLineChars="200"/>
              <w:jc w:val="both"/>
              <w:rPr>
                <w:rFonts w:ascii="Times New Roman" w:hAnsi="Times New Roman" w:eastAsia="宋体" w:cs="Times New Roman"/>
                <w:sz w:val="24"/>
                <w:lang w:eastAsia="zh-CN"/>
              </w:rPr>
            </w:pPr>
            <w:r>
              <w:rPr>
                <w:rFonts w:hint="eastAsia" w:ascii="Times New Roman" w:hAnsi="Times New Roman" w:eastAsia="宋体" w:cs="Times New Roman"/>
                <w:sz w:val="24"/>
                <w:lang w:eastAsia="zh-CN"/>
              </w:rPr>
              <w:t>③</w:t>
            </w:r>
            <w:r>
              <w:rPr>
                <w:rFonts w:ascii="Times New Roman" w:hAnsi="Times New Roman" w:eastAsia="宋体" w:cs="Times New Roman"/>
                <w:sz w:val="24"/>
                <w:lang w:eastAsia="zh-CN"/>
              </w:rPr>
              <w:t>施工垃圾在其堆放和清运过程中产生扬尘。</w:t>
            </w:r>
          </w:p>
          <w:p>
            <w:pPr>
              <w:spacing w:line="460" w:lineRule="exact"/>
              <w:ind w:firstLine="555"/>
              <w:jc w:val="both"/>
              <w:rPr>
                <w:rFonts w:ascii="Times New Roman" w:hAnsi="Times New Roman" w:eastAsia="宋体" w:cs="Times New Roman"/>
                <w:sz w:val="24"/>
                <w:lang w:eastAsia="zh-CN"/>
              </w:rPr>
            </w:pPr>
            <w:r>
              <w:rPr>
                <w:rFonts w:ascii="Times New Roman" w:hAnsi="Times New Roman" w:eastAsia="宋体" w:cs="Times New Roman"/>
                <w:sz w:val="24"/>
                <w:lang w:eastAsia="zh-CN"/>
              </w:rPr>
              <w:t>上述起尘环节产生的颗粒物皆为无组织排放。在同样路面清洁程度条件下，车速越快，扬尘量越大；而在同样车速情况下，路面尘粒越多，则扬尘量越大。尘粒在空气中的传播扩散情况与风速等气象条件有关，当风速大于2.5m/s时，施工现场及其下风向区域空气中的总悬浮颗粒物浓度随风速增大而上升。尘粒的沉降速度与粒径呈正比关系，当尘粒大于250μm时，主要影响范围在扬尘点下风向的近距离范围内，而微小尘粒对外环境影响则比大直径尘粒要大。</w:t>
            </w:r>
          </w:p>
          <w:p>
            <w:pPr>
              <w:spacing w:line="460" w:lineRule="exact"/>
              <w:ind w:firstLine="555"/>
              <w:jc w:val="both"/>
              <w:rPr>
                <w:rFonts w:ascii="Times New Roman" w:hAnsi="Times New Roman" w:eastAsia="宋体" w:cs="Times New Roman"/>
                <w:sz w:val="24"/>
                <w:lang w:eastAsia="zh-CN"/>
              </w:rPr>
            </w:pPr>
            <w:r>
              <w:rPr>
                <w:rFonts w:ascii="Times New Roman" w:hAnsi="Times New Roman" w:eastAsia="宋体" w:cs="Times New Roman"/>
                <w:sz w:val="24"/>
                <w:lang w:eastAsia="zh-CN"/>
              </w:rPr>
              <w:t>因此项目施工过程需采取一定的防护措施以降低影响的程度和范围。</w:t>
            </w:r>
          </w:p>
          <w:p>
            <w:pPr>
              <w:spacing w:line="460" w:lineRule="exact"/>
              <w:ind w:firstLine="480" w:firstLineChars="200"/>
              <w:jc w:val="both"/>
              <w:rPr>
                <w:rFonts w:ascii="Times New Roman" w:hAnsi="Times New Roman" w:eastAsia="宋体" w:cs="Times New Roman"/>
                <w:sz w:val="24"/>
                <w:lang w:eastAsia="zh-CN"/>
              </w:rPr>
            </w:pPr>
            <w:r>
              <w:rPr>
                <w:rFonts w:hint="eastAsia" w:ascii="Times New Roman" w:hAnsi="Times New Roman" w:eastAsia="宋体" w:cs="Times New Roman"/>
                <w:sz w:val="24"/>
                <w:lang w:eastAsia="zh-CN"/>
              </w:rPr>
              <w:t>①</w:t>
            </w:r>
            <w:r>
              <w:rPr>
                <w:rFonts w:ascii="Times New Roman" w:hAnsi="Times New Roman" w:eastAsia="宋体" w:cs="Times New Roman"/>
                <w:sz w:val="24"/>
                <w:lang w:eastAsia="zh-CN"/>
              </w:rPr>
              <w:t>对运输、装卸、贮存易产生颗粒物物质的建材，须采取密闭措施或其他防护措施，若不能用采取密闭或封盖措施的可用水进行喷洒；</w:t>
            </w:r>
          </w:p>
          <w:p>
            <w:pPr>
              <w:spacing w:line="460" w:lineRule="exact"/>
              <w:ind w:firstLine="480" w:firstLineChars="200"/>
              <w:jc w:val="both"/>
              <w:rPr>
                <w:rFonts w:ascii="Times New Roman" w:hAnsi="Times New Roman" w:eastAsia="宋体" w:cs="Times New Roman"/>
                <w:sz w:val="24"/>
                <w:lang w:eastAsia="zh-CN"/>
              </w:rPr>
            </w:pPr>
            <w:r>
              <w:rPr>
                <w:rFonts w:hint="eastAsia" w:ascii="Times New Roman" w:hAnsi="Times New Roman" w:eastAsia="宋体" w:cs="Times New Roman"/>
                <w:sz w:val="24"/>
                <w:lang w:eastAsia="zh-CN"/>
              </w:rPr>
              <w:t>②</w:t>
            </w:r>
            <w:r>
              <w:rPr>
                <w:rFonts w:ascii="Times New Roman" w:hAnsi="Times New Roman" w:eastAsia="宋体" w:cs="Times New Roman"/>
                <w:sz w:val="24"/>
                <w:lang w:eastAsia="zh-CN"/>
              </w:rPr>
              <w:t>土地平整、土方挖掘产生的沙石，以及施工产生的建筑垃圾等必须及时清运；</w:t>
            </w:r>
          </w:p>
          <w:p>
            <w:pPr>
              <w:spacing w:line="460" w:lineRule="exact"/>
              <w:ind w:firstLine="480" w:firstLineChars="200"/>
              <w:jc w:val="both"/>
              <w:rPr>
                <w:rFonts w:ascii="Times New Roman" w:hAnsi="Times New Roman" w:eastAsia="宋体" w:cs="Times New Roman"/>
                <w:sz w:val="24"/>
                <w:lang w:eastAsia="zh-CN"/>
              </w:rPr>
            </w:pPr>
            <w:r>
              <w:rPr>
                <w:rFonts w:hint="eastAsia" w:ascii="Times New Roman" w:hAnsi="Times New Roman" w:eastAsia="宋体" w:cs="Times New Roman"/>
                <w:sz w:val="24"/>
                <w:lang w:eastAsia="zh-CN"/>
              </w:rPr>
              <w:t>③</w:t>
            </w:r>
            <w:r>
              <w:rPr>
                <w:rFonts w:ascii="Times New Roman" w:hAnsi="Times New Roman" w:eastAsia="宋体" w:cs="Times New Roman"/>
                <w:sz w:val="24"/>
                <w:lang w:eastAsia="zh-CN"/>
              </w:rPr>
              <w:t>路面散落的渣土必须及时清理，否则在气候干燥的情况下，渣土经汽车碾压，极易产生扬尘，需严格控制渣土堆放；</w:t>
            </w:r>
          </w:p>
          <w:p>
            <w:pPr>
              <w:spacing w:line="460" w:lineRule="exact"/>
              <w:ind w:firstLine="480" w:firstLineChars="200"/>
              <w:jc w:val="both"/>
              <w:rPr>
                <w:rFonts w:ascii="Times New Roman" w:hAnsi="Times New Roman" w:eastAsia="宋体" w:cs="Times New Roman"/>
                <w:sz w:val="24"/>
                <w:lang w:eastAsia="zh-CN"/>
              </w:rPr>
            </w:pPr>
            <w:r>
              <w:rPr>
                <w:rFonts w:hint="eastAsia" w:ascii="Times New Roman" w:hAnsi="Times New Roman" w:eastAsia="宋体" w:cs="Times New Roman"/>
                <w:sz w:val="24"/>
                <w:lang w:eastAsia="zh-CN"/>
              </w:rPr>
              <w:t>④</w:t>
            </w:r>
            <w:r>
              <w:rPr>
                <w:rFonts w:ascii="Times New Roman" w:hAnsi="Times New Roman" w:eastAsia="宋体" w:cs="Times New Roman"/>
                <w:sz w:val="24"/>
                <w:lang w:eastAsia="zh-CN"/>
              </w:rPr>
              <w:t>要求使用商业混凝土，不得现场进行混凝土搅拌。</w:t>
            </w:r>
          </w:p>
          <w:p>
            <w:pPr>
              <w:spacing w:line="460" w:lineRule="exact"/>
              <w:ind w:firstLine="480" w:firstLineChars="200"/>
              <w:jc w:val="both"/>
              <w:rPr>
                <w:rFonts w:ascii="Times New Roman" w:hAnsi="Times New Roman" w:eastAsia="宋体" w:cs="Times New Roman"/>
                <w:sz w:val="24"/>
                <w:lang w:eastAsia="zh-CN"/>
              </w:rPr>
            </w:pPr>
            <w:r>
              <w:rPr>
                <w:rFonts w:ascii="Times New Roman" w:hAnsi="Times New Roman" w:eastAsia="宋体" w:cs="Times New Roman"/>
                <w:sz w:val="24"/>
                <w:lang w:eastAsia="zh-CN"/>
              </w:rPr>
              <w:t>经采取上述措施后，可确保项目产生的大气污染物无组织排放源监控点浓度≤1.0mg/m</w:t>
            </w:r>
            <w:r>
              <w:rPr>
                <w:rFonts w:ascii="Times New Roman" w:hAnsi="Times New Roman" w:eastAsia="宋体" w:cs="Times New Roman"/>
                <w:sz w:val="24"/>
                <w:vertAlign w:val="superscript"/>
                <w:lang w:eastAsia="zh-CN"/>
              </w:rPr>
              <w:t>3</w:t>
            </w:r>
            <w:r>
              <w:rPr>
                <w:rFonts w:ascii="Times New Roman" w:hAnsi="Times New Roman" w:eastAsia="宋体" w:cs="Times New Roman"/>
                <w:sz w:val="24"/>
                <w:lang w:eastAsia="zh-CN"/>
              </w:rPr>
              <w:t>。同时，项目施工对大气环境的影响是短暂的、局部的，将随施工结束而消失，在适当地消减后是可以接受的，且不会对当地大气环境质量产生明显不利影响。</w:t>
            </w:r>
          </w:p>
          <w:p>
            <w:pPr>
              <w:spacing w:line="460" w:lineRule="exact"/>
              <w:ind w:firstLine="480" w:firstLineChars="200"/>
              <w:jc w:val="both"/>
              <w:rPr>
                <w:rFonts w:ascii="Times New Roman" w:hAnsi="Times New Roman" w:eastAsia="宋体" w:cs="Times New Roman"/>
                <w:b/>
                <w:bCs/>
                <w:sz w:val="24"/>
                <w:lang w:eastAsia="zh-CN"/>
              </w:rPr>
            </w:pPr>
            <w:r>
              <w:rPr>
                <w:rFonts w:hint="eastAsia" w:ascii="Times New Roman" w:hAnsi="Times New Roman" w:eastAsia="宋体" w:cs="Times New Roman"/>
                <w:sz w:val="24"/>
                <w:lang w:eastAsia="zh-CN"/>
              </w:rPr>
              <w:t>（2）</w:t>
            </w:r>
            <w:r>
              <w:rPr>
                <w:rFonts w:ascii="Times New Roman" w:hAnsi="Times New Roman" w:eastAsia="宋体" w:cs="Times New Roman"/>
                <w:sz w:val="24"/>
                <w:lang w:eastAsia="zh-CN"/>
              </w:rPr>
              <w:t>有机废气</w:t>
            </w:r>
          </w:p>
          <w:p>
            <w:pPr>
              <w:autoSpaceDE w:val="0"/>
              <w:autoSpaceDN w:val="0"/>
              <w:adjustRightInd w:val="0"/>
              <w:spacing w:line="460" w:lineRule="exact"/>
              <w:ind w:firstLine="480" w:firstLineChars="200"/>
              <w:jc w:val="both"/>
              <w:rPr>
                <w:rFonts w:ascii="Times New Roman" w:hAnsi="Times New Roman" w:eastAsia="宋体" w:cs="Times New Roman"/>
                <w:sz w:val="24"/>
                <w:lang w:eastAsia="zh-CN"/>
              </w:rPr>
            </w:pPr>
            <w:r>
              <w:rPr>
                <w:rFonts w:ascii="Times New Roman" w:hAnsi="Times New Roman" w:eastAsia="宋体" w:cs="Times New Roman"/>
                <w:sz w:val="24"/>
                <w:lang w:eastAsia="zh-CN"/>
              </w:rPr>
              <w:t>有机废气主要产生于室内室外装修阶段以及运输车辆产生的尾气。装修阶段的有机废气主要污染因子是作为稀释剂的二甲苯，此外还有较少量的醋酸丁酯、乙醇、丁醇等；运输车辆产生的尾气污染因子为烃类物以及氮氧化物、一氧化碳等，以上废气的排放属无组织排放，排放周期较短。在装修期间，应采用新型的环保油漆，尽可能控制油漆使用量、减少施工过程油漆的浪费，加强室内通风换气，装修完成后，也应每天进行通风换气，一至二个月后才可营运。该项目所在场地扩散条件较好，因此本项目装修施工产生废气以及运输车辆的尾气对环境的影响较小。</w:t>
            </w:r>
          </w:p>
          <w:p>
            <w:pPr>
              <w:spacing w:line="460" w:lineRule="exact"/>
              <w:ind w:firstLine="482" w:firstLineChars="200"/>
              <w:jc w:val="both"/>
              <w:rPr>
                <w:rFonts w:ascii="Times New Roman" w:hAnsi="Times New Roman" w:eastAsia="宋体" w:cs="Times New Roman"/>
                <w:b/>
                <w:bCs/>
                <w:sz w:val="24"/>
                <w:lang w:eastAsia="zh-CN"/>
              </w:rPr>
            </w:pPr>
            <w:r>
              <w:rPr>
                <w:rFonts w:ascii="Times New Roman" w:hAnsi="Times New Roman" w:eastAsia="宋体" w:cs="Times New Roman"/>
                <w:b/>
                <w:bCs/>
                <w:sz w:val="24"/>
                <w:lang w:eastAsia="zh-CN"/>
              </w:rPr>
              <w:t>2</w:t>
            </w:r>
            <w:r>
              <w:rPr>
                <w:rFonts w:hint="eastAsia" w:ascii="Times New Roman" w:hAnsi="Times New Roman" w:eastAsia="宋体" w:cs="Times New Roman"/>
                <w:b/>
                <w:bCs/>
                <w:sz w:val="24"/>
                <w:lang w:eastAsia="zh-CN"/>
              </w:rPr>
              <w:t>、施工期</w:t>
            </w:r>
            <w:r>
              <w:rPr>
                <w:rFonts w:ascii="Times New Roman" w:hAnsi="Times New Roman" w:eastAsia="宋体" w:cs="Times New Roman"/>
                <w:b/>
                <w:bCs/>
                <w:sz w:val="24"/>
                <w:lang w:eastAsia="zh-CN"/>
              </w:rPr>
              <w:t>水环境影响分析</w:t>
            </w:r>
          </w:p>
          <w:p>
            <w:pPr>
              <w:spacing w:line="460" w:lineRule="exact"/>
              <w:ind w:firstLine="480" w:firstLineChars="200"/>
              <w:jc w:val="both"/>
              <w:rPr>
                <w:rFonts w:ascii="Times New Roman" w:hAnsi="Times New Roman" w:eastAsia="宋体" w:cs="Times New Roman"/>
                <w:sz w:val="24"/>
                <w:lang w:eastAsia="zh-CN"/>
              </w:rPr>
            </w:pPr>
            <w:r>
              <w:rPr>
                <w:rFonts w:ascii="Times New Roman" w:hAnsi="Times New Roman" w:eastAsia="宋体" w:cs="Times New Roman"/>
                <w:sz w:val="24"/>
                <w:lang w:eastAsia="zh-CN"/>
              </w:rPr>
              <w:t>施工过程中产生的废水主要有：施工</w:t>
            </w:r>
            <w:r>
              <w:rPr>
                <w:rFonts w:hint="eastAsia" w:ascii="Times New Roman" w:hAnsi="Times New Roman" w:eastAsia="宋体" w:cs="Times New Roman"/>
                <w:sz w:val="24"/>
                <w:lang w:eastAsia="zh-CN"/>
              </w:rPr>
              <w:t>作业</w:t>
            </w:r>
            <w:r>
              <w:rPr>
                <w:rFonts w:ascii="Times New Roman" w:hAnsi="Times New Roman" w:eastAsia="宋体" w:cs="Times New Roman"/>
                <w:sz w:val="24"/>
                <w:lang w:eastAsia="zh-CN"/>
              </w:rPr>
              <w:t>废水，包括土方</w:t>
            </w:r>
            <w:r>
              <w:rPr>
                <w:rFonts w:hint="eastAsia" w:ascii="Times New Roman" w:hAnsi="Times New Roman" w:eastAsia="宋体" w:cs="Times New Roman"/>
                <w:sz w:val="24"/>
                <w:lang w:eastAsia="zh-CN"/>
              </w:rPr>
              <w:t>填挖</w:t>
            </w:r>
            <w:r>
              <w:rPr>
                <w:rFonts w:ascii="Times New Roman" w:hAnsi="Times New Roman" w:eastAsia="宋体" w:cs="Times New Roman"/>
                <w:sz w:val="24"/>
                <w:lang w:eastAsia="zh-CN"/>
              </w:rPr>
              <w:t>产生的泥浆水和施工机械运转的冷却</w:t>
            </w:r>
            <w:r>
              <w:rPr>
                <w:rFonts w:hint="eastAsia" w:ascii="Times New Roman" w:hAnsi="Times New Roman" w:eastAsia="宋体" w:cs="Times New Roman"/>
                <w:sz w:val="24"/>
                <w:lang w:eastAsia="zh-CN"/>
              </w:rPr>
              <w:t>与</w:t>
            </w:r>
            <w:r>
              <w:rPr>
                <w:rFonts w:ascii="Times New Roman" w:hAnsi="Times New Roman" w:eastAsia="宋体" w:cs="Times New Roman"/>
                <w:sz w:val="24"/>
                <w:lang w:eastAsia="zh-CN"/>
              </w:rPr>
              <w:t>冼涤用水，主要含有大量泥沙和少量油污；现场和车辆清洗水，主要含有泥沙和油污。施工期废水量</w:t>
            </w:r>
            <w:r>
              <w:rPr>
                <w:rFonts w:hint="eastAsia" w:ascii="Times New Roman" w:hAnsi="Times New Roman" w:eastAsia="宋体" w:cs="Times New Roman"/>
                <w:sz w:val="24"/>
                <w:lang w:eastAsia="zh-CN"/>
              </w:rPr>
              <w:t>较少</w:t>
            </w:r>
            <w:r>
              <w:rPr>
                <w:rFonts w:ascii="Times New Roman" w:hAnsi="Times New Roman" w:eastAsia="宋体" w:cs="Times New Roman"/>
                <w:sz w:val="24"/>
                <w:lang w:eastAsia="zh-CN"/>
              </w:rPr>
              <w:t>，</w:t>
            </w:r>
            <w:r>
              <w:rPr>
                <w:rFonts w:hint="eastAsia" w:ascii="Times New Roman" w:hAnsi="Times New Roman" w:eastAsia="宋体" w:cs="Times New Roman"/>
                <w:sz w:val="24"/>
                <w:lang w:eastAsia="zh-CN"/>
              </w:rPr>
              <w:t>仍需要经处理后回用</w:t>
            </w:r>
            <w:r>
              <w:rPr>
                <w:rFonts w:ascii="Times New Roman" w:hAnsi="Times New Roman" w:eastAsia="宋体" w:cs="Times New Roman"/>
                <w:sz w:val="24"/>
                <w:lang w:eastAsia="zh-CN"/>
              </w:rPr>
              <w:t>。</w:t>
            </w:r>
          </w:p>
          <w:p>
            <w:pPr>
              <w:spacing w:line="460" w:lineRule="exact"/>
              <w:ind w:firstLine="480" w:firstLineChars="200"/>
              <w:jc w:val="both"/>
              <w:rPr>
                <w:rFonts w:ascii="Times New Roman" w:hAnsi="Times New Roman" w:eastAsia="宋体" w:cs="Times New Roman"/>
                <w:sz w:val="24"/>
                <w:lang w:eastAsia="zh-CN"/>
              </w:rPr>
            </w:pPr>
            <w:r>
              <w:rPr>
                <w:rFonts w:ascii="Times New Roman" w:hAnsi="Times New Roman" w:eastAsia="宋体" w:cs="Times New Roman"/>
                <w:sz w:val="24"/>
                <w:lang w:eastAsia="zh-CN"/>
              </w:rPr>
              <w:t>根据环保主管部门的要求，施工场地应设有污水收集和简易处理设施，将建筑废水全部收集后经沉淀池处理后用于施工现场的洒水降尘。</w:t>
            </w:r>
          </w:p>
          <w:p>
            <w:pPr>
              <w:spacing w:line="460" w:lineRule="exact"/>
              <w:ind w:firstLine="482" w:firstLineChars="200"/>
              <w:jc w:val="both"/>
              <w:rPr>
                <w:rFonts w:ascii="Times New Roman" w:hAnsi="Times New Roman" w:eastAsia="宋体" w:cs="Times New Roman"/>
                <w:b/>
                <w:bCs/>
                <w:sz w:val="24"/>
                <w:lang w:eastAsia="zh-CN"/>
              </w:rPr>
            </w:pPr>
            <w:r>
              <w:rPr>
                <w:rFonts w:ascii="Times New Roman" w:hAnsi="Times New Roman" w:eastAsia="宋体" w:cs="Times New Roman"/>
                <w:b/>
                <w:bCs/>
                <w:sz w:val="24"/>
                <w:lang w:eastAsia="zh-CN"/>
              </w:rPr>
              <w:t>3</w:t>
            </w:r>
            <w:r>
              <w:rPr>
                <w:rFonts w:hint="eastAsia" w:ascii="Times New Roman" w:hAnsi="Times New Roman" w:eastAsia="宋体" w:cs="Times New Roman"/>
                <w:b/>
                <w:bCs/>
                <w:sz w:val="24"/>
                <w:lang w:eastAsia="zh-CN"/>
              </w:rPr>
              <w:t>、施工期</w:t>
            </w:r>
            <w:r>
              <w:rPr>
                <w:rFonts w:ascii="Times New Roman" w:hAnsi="Times New Roman" w:eastAsia="宋体" w:cs="Times New Roman"/>
                <w:b/>
                <w:bCs/>
                <w:sz w:val="24"/>
                <w:lang w:eastAsia="zh-CN"/>
              </w:rPr>
              <w:t>声环境影响分析</w:t>
            </w:r>
          </w:p>
          <w:p>
            <w:pPr>
              <w:spacing w:line="460" w:lineRule="exact"/>
              <w:ind w:firstLine="480" w:firstLineChars="200"/>
              <w:jc w:val="both"/>
              <w:rPr>
                <w:rFonts w:ascii="Times New Roman" w:hAnsi="Times New Roman" w:eastAsia="宋体" w:cs="Times New Roman"/>
                <w:sz w:val="24"/>
                <w:lang w:eastAsia="zh-CN"/>
              </w:rPr>
            </w:pPr>
            <w:r>
              <w:rPr>
                <w:rFonts w:hint="eastAsia" w:ascii="Times New Roman" w:hAnsi="Times New Roman" w:eastAsia="宋体" w:cs="Times New Roman"/>
                <w:sz w:val="24"/>
                <w:lang w:eastAsia="zh-CN"/>
              </w:rPr>
              <w:t>施工阶段的主要噪声设备有挖掘机、推土机、装载机、起重机、运输车辆等设备，噪声源强一般在</w:t>
            </w:r>
            <w:r>
              <w:rPr>
                <w:rFonts w:ascii="Times New Roman" w:hAnsi="Times New Roman" w:eastAsia="宋体" w:cs="Times New Roman"/>
                <w:sz w:val="24"/>
                <w:lang w:eastAsia="zh-CN"/>
              </w:rPr>
              <w:t>75-90dB(A)</w:t>
            </w:r>
            <w:r>
              <w:rPr>
                <w:rFonts w:hint="eastAsia" w:ascii="Times New Roman" w:hAnsi="Times New Roman" w:eastAsia="宋体" w:cs="Times New Roman"/>
                <w:sz w:val="24"/>
                <w:lang w:eastAsia="zh-CN"/>
              </w:rPr>
              <w:t>之间。根据《建筑施工场界环境噪声排放标准》</w:t>
            </w:r>
            <w:r>
              <w:rPr>
                <w:rFonts w:ascii="Times New Roman" w:hAnsi="Times New Roman" w:eastAsia="宋体" w:cs="Times New Roman"/>
                <w:sz w:val="24"/>
                <w:lang w:eastAsia="zh-CN"/>
              </w:rPr>
              <w:t>（GB12523-2011），施工厂界</w:t>
            </w:r>
            <w:r>
              <w:rPr>
                <w:rFonts w:hint="eastAsia" w:ascii="Times New Roman" w:hAnsi="Times New Roman" w:eastAsia="宋体" w:cs="Times New Roman"/>
                <w:sz w:val="24"/>
                <w:lang w:eastAsia="zh-CN"/>
              </w:rPr>
              <w:t>环境</w:t>
            </w:r>
            <w:r>
              <w:rPr>
                <w:rFonts w:ascii="Times New Roman" w:hAnsi="Times New Roman" w:eastAsia="宋体" w:cs="Times New Roman"/>
                <w:sz w:val="24"/>
                <w:lang w:eastAsia="zh-CN"/>
              </w:rPr>
              <w:t>噪声</w:t>
            </w:r>
            <w:r>
              <w:rPr>
                <w:rFonts w:hint="eastAsia" w:ascii="Times New Roman" w:hAnsi="Times New Roman" w:eastAsia="宋体" w:cs="Times New Roman"/>
                <w:sz w:val="24"/>
                <w:lang w:eastAsia="zh-CN"/>
              </w:rPr>
              <w:t>排放</w:t>
            </w:r>
            <w:r>
              <w:rPr>
                <w:rFonts w:ascii="Times New Roman" w:hAnsi="Times New Roman" w:eastAsia="宋体" w:cs="Times New Roman"/>
                <w:sz w:val="24"/>
                <w:lang w:eastAsia="zh-CN"/>
              </w:rPr>
              <w:t>限值为70dB</w:t>
            </w:r>
            <w:r>
              <w:rPr>
                <w:rFonts w:hint="eastAsia" w:ascii="Times New Roman" w:hAnsi="Times New Roman" w:eastAsia="宋体" w:cs="Times New Roman"/>
                <w:sz w:val="24"/>
                <w:lang w:eastAsia="zh-CN"/>
              </w:rPr>
              <w:t>(</w:t>
            </w:r>
            <w:r>
              <w:rPr>
                <w:rFonts w:ascii="Times New Roman" w:hAnsi="Times New Roman" w:eastAsia="宋体" w:cs="Times New Roman"/>
                <w:sz w:val="24"/>
                <w:lang w:eastAsia="zh-CN"/>
              </w:rPr>
              <w:t>A</w:t>
            </w:r>
            <w:r>
              <w:rPr>
                <w:rFonts w:hint="eastAsia" w:ascii="Times New Roman" w:hAnsi="Times New Roman" w:eastAsia="宋体" w:cs="Times New Roman"/>
                <w:sz w:val="24"/>
                <w:lang w:eastAsia="zh-CN"/>
              </w:rPr>
              <w:t>)</w:t>
            </w:r>
            <w:r>
              <w:rPr>
                <w:rFonts w:ascii="Times New Roman" w:hAnsi="Times New Roman" w:eastAsia="宋体" w:cs="Times New Roman"/>
                <w:sz w:val="24"/>
                <w:lang w:eastAsia="zh-CN"/>
              </w:rPr>
              <w:t>，夜间不超过55dB</w:t>
            </w:r>
            <w:r>
              <w:rPr>
                <w:rFonts w:hint="eastAsia" w:ascii="Times New Roman" w:hAnsi="Times New Roman" w:eastAsia="宋体" w:cs="Times New Roman"/>
                <w:sz w:val="24"/>
                <w:lang w:eastAsia="zh-CN"/>
              </w:rPr>
              <w:t>(</w:t>
            </w:r>
            <w:r>
              <w:rPr>
                <w:rFonts w:ascii="Times New Roman" w:hAnsi="Times New Roman" w:eastAsia="宋体" w:cs="Times New Roman"/>
                <w:sz w:val="24"/>
                <w:lang w:eastAsia="zh-CN"/>
              </w:rPr>
              <w:t>A</w:t>
            </w:r>
            <w:r>
              <w:rPr>
                <w:rFonts w:hint="eastAsia" w:ascii="Times New Roman" w:hAnsi="Times New Roman" w:eastAsia="宋体" w:cs="Times New Roman"/>
                <w:sz w:val="24"/>
                <w:lang w:eastAsia="zh-CN"/>
              </w:rPr>
              <w:t>)</w:t>
            </w:r>
            <w:r>
              <w:rPr>
                <w:rFonts w:ascii="Times New Roman" w:hAnsi="Times New Roman" w:eastAsia="宋体" w:cs="Times New Roman"/>
                <w:sz w:val="24"/>
                <w:lang w:eastAsia="zh-CN"/>
              </w:rPr>
              <w:t>。如有特殊情况，需夜间22:00到次日6:00施工的，在不影响周围居民正常生活、学习的前提下，到当地环境保护行政主管部门办理夜间施工许可证及相关手续。同时，接受环保局对建筑施工噪声的现场管理。为减轻施工噪声对周围环境的影响，建议采取以下措施</w:t>
            </w:r>
            <w:r>
              <w:rPr>
                <w:rFonts w:hint="eastAsia" w:ascii="Times New Roman" w:hAnsi="Times New Roman" w:eastAsia="宋体" w:cs="Times New Roman"/>
                <w:sz w:val="24"/>
                <w:lang w:eastAsia="zh-CN"/>
              </w:rPr>
              <w:t>：</w:t>
            </w:r>
          </w:p>
          <w:p>
            <w:pPr>
              <w:spacing w:line="460" w:lineRule="exact"/>
              <w:ind w:firstLine="480" w:firstLineChars="200"/>
              <w:jc w:val="both"/>
              <w:rPr>
                <w:rFonts w:ascii="Times New Roman" w:hAnsi="Times New Roman" w:eastAsia="宋体" w:cs="Times New Roman"/>
                <w:sz w:val="24"/>
                <w:lang w:eastAsia="zh-CN"/>
              </w:rPr>
            </w:pPr>
            <w:r>
              <w:rPr>
                <w:rFonts w:hint="eastAsia" w:ascii="Times New Roman" w:hAnsi="Times New Roman" w:eastAsia="宋体" w:cs="Times New Roman"/>
                <w:sz w:val="24"/>
                <w:lang w:eastAsia="zh-CN"/>
              </w:rPr>
              <w:t>①</w:t>
            </w:r>
            <w:r>
              <w:rPr>
                <w:rFonts w:ascii="Times New Roman" w:hAnsi="Times New Roman" w:eastAsia="宋体" w:cs="Times New Roman"/>
                <w:sz w:val="24"/>
                <w:lang w:eastAsia="zh-CN"/>
              </w:rPr>
              <w:t>合理安排施工进度和作业时间。</w:t>
            </w:r>
            <w:r>
              <w:rPr>
                <w:rFonts w:hint="eastAsia" w:ascii="Times New Roman" w:hAnsi="Times New Roman" w:eastAsia="宋体" w:cs="Times New Roman"/>
                <w:sz w:val="24"/>
                <w:lang w:eastAsia="zh-CN"/>
              </w:rPr>
              <w:t>除施工工艺需要连续作业的（如土石方阶段挖基坑，浇砼和屋面浇砼等）外，</w:t>
            </w:r>
            <w:r>
              <w:rPr>
                <w:rFonts w:ascii="Times New Roman" w:hAnsi="Times New Roman" w:eastAsia="宋体" w:cs="Times New Roman"/>
                <w:sz w:val="24"/>
                <w:lang w:eastAsia="zh-CN"/>
              </w:rPr>
              <w:t>禁止夜间（22</w:t>
            </w:r>
            <w:r>
              <w:rPr>
                <w:rFonts w:hint="eastAsia" w:ascii="Times New Roman" w:hAnsi="Times New Roman" w:eastAsia="宋体" w:cs="Times New Roman"/>
                <w:sz w:val="24"/>
                <w:lang w:eastAsia="zh-CN"/>
              </w:rPr>
              <w:t>:</w:t>
            </w:r>
            <w:r>
              <w:rPr>
                <w:rFonts w:ascii="Times New Roman" w:hAnsi="Times New Roman" w:eastAsia="宋体" w:cs="Times New Roman"/>
                <w:sz w:val="24"/>
                <w:lang w:eastAsia="zh-CN"/>
              </w:rPr>
              <w:t>00~次日6</w:t>
            </w:r>
            <w:r>
              <w:rPr>
                <w:rFonts w:hint="eastAsia" w:ascii="Times New Roman" w:hAnsi="Times New Roman" w:eastAsia="宋体" w:cs="Times New Roman"/>
                <w:sz w:val="24"/>
                <w:lang w:eastAsia="zh-CN"/>
              </w:rPr>
              <w:t>:</w:t>
            </w:r>
            <w:r>
              <w:rPr>
                <w:rFonts w:ascii="Times New Roman" w:hAnsi="Times New Roman" w:eastAsia="宋体" w:cs="Times New Roman"/>
                <w:sz w:val="24"/>
                <w:lang w:eastAsia="zh-CN"/>
              </w:rPr>
              <w:t>00）进行产生环境噪声污染的建筑施工作业。</w:t>
            </w:r>
            <w:r>
              <w:rPr>
                <w:rFonts w:hint="eastAsia" w:ascii="Times New Roman" w:hAnsi="Times New Roman" w:eastAsia="宋体" w:cs="Times New Roman"/>
                <w:sz w:val="24"/>
                <w:lang w:eastAsia="zh-CN"/>
              </w:rPr>
              <w:t>对因生产工艺要求和其它特殊需要，确需在夜间进行超过噪声标准施工的，施工前建设单位应向有关部门申请，经批准并现场公示后方可进行夜间施工。</w:t>
            </w:r>
          </w:p>
          <w:p>
            <w:pPr>
              <w:spacing w:line="460" w:lineRule="exact"/>
              <w:ind w:firstLine="480" w:firstLineChars="200"/>
              <w:jc w:val="both"/>
              <w:rPr>
                <w:rFonts w:ascii="Times New Roman" w:hAnsi="Times New Roman" w:eastAsia="宋体" w:cs="Times New Roman"/>
                <w:sz w:val="24"/>
                <w:lang w:eastAsia="zh-CN"/>
              </w:rPr>
            </w:pPr>
            <w:r>
              <w:rPr>
                <w:rFonts w:hint="eastAsia" w:ascii="Times New Roman" w:hAnsi="Times New Roman" w:eastAsia="宋体" w:cs="Times New Roman"/>
                <w:sz w:val="24"/>
                <w:lang w:eastAsia="zh-CN"/>
              </w:rPr>
              <w:t>②</w:t>
            </w:r>
            <w:r>
              <w:rPr>
                <w:rFonts w:ascii="Times New Roman" w:hAnsi="Times New Roman" w:eastAsia="宋体" w:cs="Times New Roman"/>
                <w:sz w:val="24"/>
                <w:lang w:eastAsia="zh-CN"/>
              </w:rPr>
              <w:t>施工单位应尽量选用先进的低噪声设备，施工机械尽量设置在敏感保护目标较远的地方。对高噪声设备采取隔声、隔震或消声措施，如在声源周围设置屏障、加隔震垫、安装消声器等，以减轻噪声对周围环境的影响，控制施工场界噪声不超过《建筑施工场界环境噪声排放标准》（GB12523-2011）中的标准限值，并可由施工企业自行对施工现场的噪声值进行监测和记录。</w:t>
            </w:r>
          </w:p>
          <w:p>
            <w:pPr>
              <w:spacing w:line="460" w:lineRule="exact"/>
              <w:ind w:firstLine="480" w:firstLineChars="200"/>
              <w:jc w:val="both"/>
              <w:rPr>
                <w:rFonts w:ascii="Times New Roman" w:hAnsi="Times New Roman" w:eastAsia="宋体" w:cs="Times New Roman"/>
                <w:sz w:val="24"/>
                <w:lang w:eastAsia="zh-CN"/>
              </w:rPr>
            </w:pPr>
            <w:r>
              <w:rPr>
                <w:rFonts w:hint="eastAsia" w:ascii="Times New Roman" w:hAnsi="Times New Roman" w:eastAsia="宋体" w:cs="Times New Roman"/>
                <w:sz w:val="24"/>
                <w:lang w:eastAsia="zh-CN"/>
              </w:rPr>
              <w:t>③</w:t>
            </w:r>
            <w:r>
              <w:rPr>
                <w:rFonts w:ascii="Times New Roman" w:hAnsi="Times New Roman" w:eastAsia="宋体" w:cs="Times New Roman"/>
                <w:sz w:val="24"/>
                <w:lang w:eastAsia="zh-CN"/>
              </w:rPr>
              <w:t>施工</w:t>
            </w:r>
            <w:r>
              <w:rPr>
                <w:rFonts w:hint="eastAsia" w:ascii="Times New Roman" w:hAnsi="Times New Roman" w:eastAsia="宋体" w:cs="Times New Roman"/>
                <w:sz w:val="24"/>
                <w:lang w:eastAsia="zh-CN"/>
              </w:rPr>
              <w:t>期间</w:t>
            </w:r>
            <w:r>
              <w:rPr>
                <w:rFonts w:ascii="Times New Roman" w:hAnsi="Times New Roman" w:eastAsia="宋体" w:cs="Times New Roman"/>
                <w:sz w:val="24"/>
                <w:lang w:eastAsia="zh-CN"/>
              </w:rPr>
              <w:t>应加强施工机械的维护保养，避免</w:t>
            </w:r>
            <w:r>
              <w:rPr>
                <w:rFonts w:hint="eastAsia" w:ascii="Times New Roman" w:hAnsi="Times New Roman" w:eastAsia="宋体" w:cs="Times New Roman"/>
                <w:sz w:val="24"/>
                <w:lang w:eastAsia="zh-CN"/>
              </w:rPr>
              <w:t>因</w:t>
            </w:r>
            <w:r>
              <w:rPr>
                <w:rFonts w:ascii="Times New Roman" w:hAnsi="Times New Roman" w:eastAsia="宋体" w:cs="Times New Roman"/>
                <w:sz w:val="24"/>
                <w:lang w:eastAsia="zh-CN"/>
              </w:rPr>
              <w:t>设备性能差而增大机械噪声。</w:t>
            </w:r>
          </w:p>
          <w:p>
            <w:pPr>
              <w:spacing w:line="460" w:lineRule="exact"/>
              <w:ind w:firstLine="480" w:firstLineChars="200"/>
              <w:jc w:val="both"/>
              <w:rPr>
                <w:rFonts w:ascii="Times New Roman" w:hAnsi="Times New Roman" w:eastAsia="宋体" w:cs="Times New Roman"/>
                <w:sz w:val="24"/>
                <w:lang w:eastAsia="zh-CN"/>
              </w:rPr>
            </w:pPr>
            <w:r>
              <w:rPr>
                <w:rFonts w:hint="eastAsia" w:ascii="Times New Roman" w:hAnsi="Times New Roman" w:eastAsia="宋体" w:cs="Times New Roman"/>
                <w:sz w:val="24"/>
                <w:lang w:eastAsia="zh-CN"/>
              </w:rPr>
              <w:t>④</w:t>
            </w:r>
            <w:r>
              <w:rPr>
                <w:rFonts w:ascii="Times New Roman" w:hAnsi="Times New Roman" w:eastAsia="宋体" w:cs="Times New Roman"/>
                <w:sz w:val="24"/>
                <w:lang w:eastAsia="zh-CN"/>
              </w:rPr>
              <w:t>模板在</w:t>
            </w:r>
            <w:r>
              <w:rPr>
                <w:rFonts w:hint="eastAsia" w:ascii="Times New Roman" w:hAnsi="Times New Roman" w:eastAsia="宋体" w:cs="Times New Roman"/>
                <w:sz w:val="24"/>
                <w:lang w:eastAsia="zh-CN"/>
              </w:rPr>
              <w:t>安装、</w:t>
            </w:r>
            <w:r>
              <w:rPr>
                <w:rFonts w:ascii="Times New Roman" w:hAnsi="Times New Roman" w:eastAsia="宋体" w:cs="Times New Roman"/>
                <w:sz w:val="24"/>
                <w:lang w:eastAsia="zh-CN"/>
              </w:rPr>
              <w:t>使用、拆卸等过程中，应尽可能地轻拿轻放。</w:t>
            </w:r>
          </w:p>
          <w:p>
            <w:pPr>
              <w:spacing w:line="460" w:lineRule="exact"/>
              <w:ind w:firstLine="480" w:firstLineChars="200"/>
              <w:jc w:val="both"/>
              <w:rPr>
                <w:rFonts w:ascii="Times New Roman" w:hAnsi="Times New Roman" w:eastAsia="宋体" w:cs="Times New Roman"/>
                <w:sz w:val="24"/>
                <w:lang w:eastAsia="zh-CN"/>
              </w:rPr>
            </w:pPr>
            <w:r>
              <w:rPr>
                <w:rFonts w:hint="eastAsia" w:ascii="Times New Roman" w:hAnsi="Times New Roman" w:eastAsia="宋体" w:cs="Times New Roman"/>
                <w:sz w:val="24"/>
                <w:lang w:eastAsia="zh-CN"/>
              </w:rPr>
              <w:t>⑤</w:t>
            </w:r>
            <w:r>
              <w:rPr>
                <w:rFonts w:ascii="Times New Roman" w:hAnsi="Times New Roman" w:eastAsia="宋体" w:cs="Times New Roman"/>
                <w:sz w:val="24"/>
                <w:lang w:eastAsia="zh-CN"/>
              </w:rPr>
              <w:t>运输车辆和工地大吨位载重汽车应禁止</w:t>
            </w:r>
            <w:r>
              <w:rPr>
                <w:rFonts w:hint="eastAsia" w:ascii="Times New Roman" w:hAnsi="Times New Roman" w:eastAsia="宋体" w:cs="Times New Roman"/>
                <w:sz w:val="24"/>
                <w:lang w:eastAsia="zh-CN"/>
              </w:rPr>
              <w:t>鸣笛</w:t>
            </w:r>
            <w:r>
              <w:rPr>
                <w:rFonts w:ascii="Times New Roman" w:hAnsi="Times New Roman" w:eastAsia="宋体" w:cs="Times New Roman"/>
                <w:sz w:val="24"/>
                <w:lang w:eastAsia="zh-CN"/>
              </w:rPr>
              <w:t>。夜间运输材料的车辆进入施工现场，严禁鸣笛，装卸材料应做到轻拿轻放。</w:t>
            </w:r>
          </w:p>
          <w:p>
            <w:pPr>
              <w:spacing w:line="460" w:lineRule="exact"/>
              <w:ind w:firstLine="480" w:firstLineChars="200"/>
              <w:jc w:val="both"/>
              <w:rPr>
                <w:rFonts w:ascii="Times New Roman" w:hAnsi="Times New Roman" w:eastAsia="宋体" w:cs="Times New Roman"/>
                <w:sz w:val="24"/>
                <w:lang w:eastAsia="zh-CN"/>
              </w:rPr>
            </w:pPr>
            <w:r>
              <w:rPr>
                <w:rFonts w:ascii="Times New Roman" w:hAnsi="Times New Roman" w:eastAsia="宋体" w:cs="Times New Roman"/>
                <w:sz w:val="24"/>
                <w:lang w:eastAsia="zh-CN"/>
              </w:rPr>
              <w:t>本项目</w:t>
            </w:r>
            <w:r>
              <w:rPr>
                <w:rFonts w:hint="eastAsia" w:ascii="Times New Roman" w:hAnsi="Times New Roman" w:eastAsia="宋体" w:cs="Times New Roman"/>
                <w:sz w:val="24"/>
                <w:lang w:eastAsia="zh-CN"/>
              </w:rPr>
              <w:t>通过</w:t>
            </w:r>
            <w:r>
              <w:rPr>
                <w:rFonts w:ascii="Times New Roman" w:hAnsi="Times New Roman" w:eastAsia="宋体" w:cs="Times New Roman"/>
                <w:sz w:val="24"/>
                <w:lang w:eastAsia="zh-CN"/>
              </w:rPr>
              <w:t>落实上述噪声防治措施，建筑施工期间按照《中华人民共和国环境噪声污染防治法》规定</w:t>
            </w:r>
            <w:r>
              <w:rPr>
                <w:rFonts w:hint="eastAsia" w:ascii="Times New Roman" w:hAnsi="Times New Roman" w:eastAsia="宋体" w:cs="Times New Roman"/>
                <w:sz w:val="24"/>
                <w:lang w:eastAsia="zh-CN"/>
              </w:rPr>
              <w:t>向周围排放噪声</w:t>
            </w:r>
            <w:r>
              <w:rPr>
                <w:rFonts w:ascii="Times New Roman" w:hAnsi="Times New Roman" w:eastAsia="宋体" w:cs="Times New Roman"/>
                <w:sz w:val="24"/>
                <w:lang w:eastAsia="zh-CN"/>
              </w:rPr>
              <w:t>，并严格按</w:t>
            </w:r>
            <w:r>
              <w:rPr>
                <w:rFonts w:hint="eastAsia" w:ascii="Times New Roman" w:hAnsi="Times New Roman" w:eastAsia="宋体" w:cs="Times New Roman"/>
                <w:sz w:val="24"/>
                <w:lang w:eastAsia="zh-CN"/>
              </w:rPr>
              <w:t>照</w:t>
            </w:r>
            <w:r>
              <w:rPr>
                <w:rFonts w:ascii="Times New Roman" w:hAnsi="Times New Roman" w:eastAsia="宋体" w:cs="Times New Roman"/>
                <w:sz w:val="24"/>
                <w:lang w:eastAsia="zh-CN"/>
              </w:rPr>
              <w:t>《建筑施工场界环境噪声排放标准》（GB12523-2011）进行控制</w:t>
            </w:r>
            <w:r>
              <w:rPr>
                <w:rFonts w:hint="eastAsia" w:ascii="Times New Roman" w:hAnsi="Times New Roman" w:eastAsia="宋体" w:cs="Times New Roman"/>
                <w:sz w:val="24"/>
                <w:lang w:eastAsia="zh-CN"/>
              </w:rPr>
              <w:t>，在此</w:t>
            </w:r>
            <w:r>
              <w:rPr>
                <w:rFonts w:ascii="Times New Roman" w:hAnsi="Times New Roman" w:eastAsia="宋体" w:cs="Times New Roman"/>
                <w:sz w:val="24"/>
                <w:lang w:eastAsia="zh-CN"/>
              </w:rPr>
              <w:t>基础上对项目周边环境敏感目标的影响较小。</w:t>
            </w:r>
          </w:p>
          <w:p>
            <w:pPr>
              <w:spacing w:line="460" w:lineRule="exact"/>
              <w:ind w:firstLine="480" w:firstLineChars="200"/>
              <w:jc w:val="both"/>
              <w:rPr>
                <w:rFonts w:ascii="Times New Roman" w:hAnsi="Times New Roman" w:eastAsia="宋体" w:cs="Times New Roman"/>
                <w:sz w:val="24"/>
                <w:lang w:eastAsia="zh-CN"/>
              </w:rPr>
            </w:pPr>
            <w:r>
              <w:rPr>
                <w:rFonts w:ascii="Times New Roman" w:hAnsi="Times New Roman" w:eastAsia="宋体" w:cs="Times New Roman"/>
                <w:sz w:val="24"/>
                <w:lang w:eastAsia="zh-CN"/>
              </w:rPr>
              <w:t>上述措施在一定程度上控制了施工噪声污染</w:t>
            </w:r>
            <w:r>
              <w:rPr>
                <w:rFonts w:hint="eastAsia" w:ascii="Times New Roman" w:hAnsi="Times New Roman" w:eastAsia="宋体" w:cs="Times New Roman"/>
                <w:sz w:val="24"/>
                <w:lang w:eastAsia="zh-CN"/>
              </w:rPr>
              <w:t>的产生</w:t>
            </w:r>
            <w:r>
              <w:rPr>
                <w:rFonts w:ascii="Times New Roman" w:hAnsi="Times New Roman" w:eastAsia="宋体" w:cs="Times New Roman"/>
                <w:sz w:val="24"/>
                <w:lang w:eastAsia="zh-CN"/>
              </w:rPr>
              <w:t>，在操作上是可行的。</w:t>
            </w:r>
          </w:p>
          <w:p>
            <w:pPr>
              <w:spacing w:line="460" w:lineRule="exact"/>
              <w:ind w:firstLine="482" w:firstLineChars="200"/>
              <w:jc w:val="both"/>
              <w:rPr>
                <w:rFonts w:ascii="Times New Roman" w:hAnsi="Times New Roman" w:eastAsia="宋体" w:cs="Times New Roman"/>
                <w:b/>
                <w:bCs/>
                <w:sz w:val="24"/>
                <w:lang w:eastAsia="zh-CN"/>
              </w:rPr>
            </w:pPr>
            <w:r>
              <w:rPr>
                <w:rFonts w:ascii="Times New Roman" w:hAnsi="Times New Roman" w:eastAsia="宋体" w:cs="Times New Roman"/>
                <w:b/>
                <w:bCs/>
                <w:sz w:val="24"/>
                <w:lang w:eastAsia="zh-CN"/>
              </w:rPr>
              <w:t>4</w:t>
            </w:r>
            <w:r>
              <w:rPr>
                <w:rFonts w:hint="eastAsia" w:ascii="Times New Roman" w:hAnsi="Times New Roman" w:eastAsia="宋体" w:cs="Times New Roman"/>
                <w:b/>
                <w:bCs/>
                <w:sz w:val="24"/>
                <w:lang w:eastAsia="zh-CN"/>
              </w:rPr>
              <w:t>、施工期</w:t>
            </w:r>
            <w:r>
              <w:rPr>
                <w:rFonts w:ascii="Times New Roman" w:hAnsi="Times New Roman" w:eastAsia="宋体" w:cs="Times New Roman"/>
                <w:b/>
                <w:bCs/>
                <w:sz w:val="24"/>
                <w:lang w:eastAsia="zh-CN"/>
              </w:rPr>
              <w:t>固废环境影响分析</w:t>
            </w:r>
          </w:p>
          <w:p>
            <w:pPr>
              <w:spacing w:line="460" w:lineRule="exact"/>
              <w:ind w:firstLine="480" w:firstLineChars="200"/>
              <w:jc w:val="both"/>
              <w:rPr>
                <w:rFonts w:ascii="Times New Roman" w:hAnsi="Times New Roman" w:eastAsia="宋体" w:cs="Times New Roman"/>
                <w:sz w:val="24"/>
                <w:lang w:eastAsia="zh-CN"/>
              </w:rPr>
            </w:pPr>
            <w:r>
              <w:rPr>
                <w:rFonts w:ascii="Times New Roman" w:hAnsi="Times New Roman" w:eastAsia="宋体" w:cs="Times New Roman"/>
                <w:sz w:val="24"/>
                <w:lang w:eastAsia="zh-CN"/>
              </w:rPr>
              <w:t>项目在施工过程中产生的固体废弃物主要为建筑垃圾</w:t>
            </w:r>
            <w:r>
              <w:rPr>
                <w:rFonts w:hint="eastAsia" w:ascii="Times New Roman" w:hAnsi="Times New Roman" w:eastAsia="宋体" w:cs="Times New Roman"/>
                <w:sz w:val="24"/>
                <w:lang w:eastAsia="zh-CN"/>
              </w:rPr>
              <w:t>和</w:t>
            </w:r>
            <w:r>
              <w:rPr>
                <w:rFonts w:ascii="Times New Roman" w:hAnsi="Times New Roman" w:eastAsia="宋体" w:cs="Times New Roman"/>
                <w:sz w:val="24"/>
                <w:lang w:eastAsia="zh-CN"/>
              </w:rPr>
              <w:t>施工人员的生活垃圾。</w:t>
            </w:r>
          </w:p>
          <w:p>
            <w:pPr>
              <w:spacing w:line="460" w:lineRule="exact"/>
              <w:ind w:firstLine="480" w:firstLineChars="200"/>
              <w:jc w:val="both"/>
              <w:rPr>
                <w:rFonts w:ascii="Times New Roman" w:hAnsi="Times New Roman" w:eastAsia="宋体" w:cs="Times New Roman"/>
                <w:sz w:val="24"/>
                <w:lang w:eastAsia="zh-CN"/>
              </w:rPr>
            </w:pPr>
            <w:r>
              <w:rPr>
                <w:rFonts w:ascii="Times New Roman" w:hAnsi="Times New Roman" w:eastAsia="宋体" w:cs="Times New Roman"/>
                <w:sz w:val="24"/>
                <w:lang w:eastAsia="zh-CN"/>
              </w:rPr>
              <w:t>项目产生的</w:t>
            </w:r>
            <w:r>
              <w:rPr>
                <w:rFonts w:hint="eastAsia" w:ascii="Times New Roman" w:hAnsi="Times New Roman" w:eastAsia="宋体" w:cs="Times New Roman"/>
                <w:sz w:val="24"/>
                <w:lang w:eastAsia="zh-CN"/>
              </w:rPr>
              <w:t>建筑垃圾尽可能回收利用，无法回用的垃圾</w:t>
            </w:r>
            <w:r>
              <w:rPr>
                <w:rFonts w:ascii="Times New Roman" w:hAnsi="Times New Roman" w:eastAsia="宋体" w:cs="Times New Roman"/>
                <w:sz w:val="24"/>
                <w:lang w:eastAsia="zh-CN"/>
              </w:rPr>
              <w:t>应及时清运，</w:t>
            </w:r>
            <w:r>
              <w:rPr>
                <w:rFonts w:hint="eastAsia" w:ascii="Times New Roman" w:hAnsi="Times New Roman" w:eastAsia="宋体" w:cs="Times New Roman"/>
                <w:sz w:val="24"/>
                <w:lang w:eastAsia="zh-CN"/>
              </w:rPr>
              <w:t>运输车辆应设有防撒落、飘扬、滴漏的设施，按规定的运输路线和运输时间，将建筑垃圾倾倒于指定场所。对于</w:t>
            </w:r>
            <w:r>
              <w:rPr>
                <w:rFonts w:ascii="Times New Roman" w:hAnsi="Times New Roman" w:eastAsia="宋体" w:cs="Times New Roman"/>
                <w:sz w:val="24"/>
                <w:lang w:eastAsia="zh-CN"/>
              </w:rPr>
              <w:t>不能及时清运的</w:t>
            </w:r>
            <w:r>
              <w:rPr>
                <w:rFonts w:hint="eastAsia" w:ascii="Times New Roman" w:hAnsi="Times New Roman" w:eastAsia="宋体" w:cs="Times New Roman"/>
                <w:sz w:val="24"/>
                <w:lang w:eastAsia="zh-CN"/>
              </w:rPr>
              <w:t>建筑垃圾</w:t>
            </w:r>
            <w:r>
              <w:rPr>
                <w:rFonts w:ascii="Times New Roman" w:hAnsi="Times New Roman" w:eastAsia="宋体" w:cs="Times New Roman"/>
                <w:sz w:val="24"/>
                <w:lang w:eastAsia="zh-CN"/>
              </w:rPr>
              <w:t>应当妥善堆放，并采取防溢漏、防扬尘</w:t>
            </w:r>
            <w:r>
              <w:rPr>
                <w:rFonts w:hint="eastAsia" w:ascii="Times New Roman" w:hAnsi="Times New Roman" w:eastAsia="宋体" w:cs="Times New Roman"/>
                <w:sz w:val="24"/>
                <w:lang w:eastAsia="zh-CN"/>
              </w:rPr>
              <w:t>等</w:t>
            </w:r>
            <w:r>
              <w:rPr>
                <w:rFonts w:ascii="Times New Roman" w:hAnsi="Times New Roman" w:eastAsia="宋体" w:cs="Times New Roman"/>
                <w:sz w:val="24"/>
                <w:lang w:eastAsia="zh-CN"/>
              </w:rPr>
              <w:t>措施</w:t>
            </w:r>
            <w:r>
              <w:rPr>
                <w:rFonts w:hint="eastAsia" w:ascii="Times New Roman" w:hAnsi="Times New Roman" w:eastAsia="宋体" w:cs="Times New Roman"/>
                <w:sz w:val="24"/>
                <w:lang w:eastAsia="zh-CN"/>
              </w:rPr>
              <w:t>。</w:t>
            </w:r>
            <w:r>
              <w:rPr>
                <w:rFonts w:ascii="Times New Roman" w:hAnsi="Times New Roman" w:eastAsia="宋体" w:cs="Times New Roman"/>
                <w:sz w:val="24"/>
                <w:lang w:eastAsia="zh-CN"/>
              </w:rPr>
              <w:t>施工人员在日常生活中产生的生活垃圾应及时由环卫部门清运，减</w:t>
            </w:r>
            <w:r>
              <w:rPr>
                <w:rFonts w:hint="eastAsia" w:ascii="Times New Roman" w:hAnsi="Times New Roman" w:eastAsia="宋体" w:cs="Times New Roman"/>
                <w:sz w:val="24"/>
                <w:lang w:eastAsia="zh-CN"/>
              </w:rPr>
              <w:t>少</w:t>
            </w:r>
            <w:r>
              <w:rPr>
                <w:rFonts w:ascii="Times New Roman" w:hAnsi="Times New Roman" w:eastAsia="宋体" w:cs="Times New Roman"/>
                <w:sz w:val="24"/>
                <w:lang w:eastAsia="zh-CN"/>
              </w:rPr>
              <w:t>对周围环境的影响。</w:t>
            </w:r>
          </w:p>
          <w:p>
            <w:pPr>
              <w:pStyle w:val="45"/>
              <w:widowControl w:val="0"/>
              <w:ind w:firstLine="482"/>
              <w:rPr>
                <w:b/>
                <w:bCs/>
              </w:rPr>
            </w:pPr>
            <w:r>
              <w:rPr>
                <w:rFonts w:hint="eastAsia"/>
                <w:b/>
                <w:bCs/>
              </w:rPr>
              <w:t>5、</w:t>
            </w:r>
            <w:r>
              <w:rPr>
                <w:b/>
                <w:bCs/>
              </w:rPr>
              <w:t>施工期生态环境影响分析及保护措施</w:t>
            </w:r>
          </w:p>
          <w:p>
            <w:pPr>
              <w:pStyle w:val="45"/>
              <w:widowControl w:val="0"/>
              <w:ind w:firstLine="480"/>
            </w:pPr>
            <w:r>
              <w:rPr>
                <w:rFonts w:hint="eastAsia"/>
              </w:rPr>
              <w:t>本项目对生态环境的影响主要体现在工程永久占地、施工活动及工程运行带来的影响。工程将改变站址原有土地利用现状，破坏站内原有的微生态</w:t>
            </w:r>
            <w:r>
              <w:t xml:space="preserve"> </w:t>
            </w:r>
            <w:r>
              <w:rPr>
                <w:rFonts w:hint="eastAsia"/>
              </w:rPr>
              <w:t>环境，从而使站址周边的植被及动物分布产生一定扰动。另外，由于土石方的开挖、填筑、临时堆放等活动将扰动、损坏地貌，破坏原有植被，导致涉及区域的水土流失，其形式以水力侵蚀为主。</w:t>
            </w:r>
          </w:p>
          <w:p>
            <w:pPr>
              <w:pStyle w:val="45"/>
              <w:widowControl w:val="0"/>
              <w:ind w:firstLine="480"/>
            </w:pPr>
            <w:r>
              <w:rPr>
                <w:rFonts w:hint="eastAsia"/>
              </w:rPr>
              <w:t>为降低项目对生态环境的影响，建议采取以下的污染防治措施：</w:t>
            </w:r>
          </w:p>
          <w:p>
            <w:pPr>
              <w:pStyle w:val="45"/>
              <w:widowControl w:val="0"/>
              <w:ind w:firstLine="480"/>
            </w:pPr>
            <w:r>
              <w:t>(1)</w:t>
            </w:r>
            <w:r>
              <w:rPr>
                <w:rFonts w:hint="eastAsia"/>
              </w:rPr>
              <w:t>合理施工布置规划，精心组织施工管理，严格控制占地面积，将施工区域控制在最小范围内，施工结束尽量将临时占地恢复原状；</w:t>
            </w:r>
          </w:p>
          <w:p>
            <w:pPr>
              <w:pStyle w:val="45"/>
              <w:widowControl w:val="0"/>
              <w:ind w:firstLine="480"/>
            </w:pPr>
            <w:r>
              <w:t>(2)</w:t>
            </w:r>
            <w:r>
              <w:rPr>
                <w:rFonts w:hint="eastAsia"/>
              </w:rPr>
              <w:t>为减少水土流失，严禁随意破坏施工场地内外的少量植物，并对施工中开挖裸露地表进行覆盖，防止水土流失和地质灾害；</w:t>
            </w:r>
          </w:p>
          <w:p>
            <w:pPr>
              <w:pStyle w:val="45"/>
              <w:widowControl w:val="0"/>
              <w:ind w:firstLine="480"/>
            </w:pPr>
            <w:r>
              <w:t>(3)</w:t>
            </w:r>
            <w:r>
              <w:rPr>
                <w:rFonts w:hint="eastAsia"/>
              </w:rPr>
              <w:t>施工完毕后及时进行场地清理平整以及地貌植被恢复，以植被护土，从而防止或减轻水土流失，对土壤植被的恢复遵循“破坏多少，恢复多少”的原则；</w:t>
            </w:r>
          </w:p>
          <w:p>
            <w:pPr>
              <w:pStyle w:val="45"/>
              <w:widowControl w:val="0"/>
              <w:ind w:firstLine="480"/>
            </w:pPr>
            <w:r>
              <w:t>(4)</w:t>
            </w:r>
            <w:r>
              <w:rPr>
                <w:rFonts w:hint="eastAsia"/>
              </w:rPr>
              <w:t>施工开挖土方、装卸运输土方等工序，应尽量避开降雨天气；</w:t>
            </w:r>
          </w:p>
          <w:p>
            <w:pPr>
              <w:pStyle w:val="45"/>
              <w:widowControl w:val="0"/>
              <w:ind w:firstLine="480"/>
            </w:pPr>
            <w:r>
              <w:t>(5)</w:t>
            </w:r>
            <w:r>
              <w:rPr>
                <w:rFonts w:hint="eastAsia"/>
              </w:rPr>
              <w:t>结合地形合理规划土方堆置场地，周围设围挡物，结合实际情况适时采取专门的排水措施</w:t>
            </w:r>
            <w:r>
              <w:t>(</w:t>
            </w:r>
            <w:r>
              <w:rPr>
                <w:rFonts w:hint="eastAsia"/>
              </w:rPr>
              <w:t>如在场区外设置截流沟等</w:t>
            </w:r>
            <w:r>
              <w:t>)</w:t>
            </w:r>
            <w:r>
              <w:rPr>
                <w:rFonts w:hint="eastAsia"/>
              </w:rPr>
              <w:t>；</w:t>
            </w:r>
          </w:p>
          <w:p>
            <w:pPr>
              <w:pStyle w:val="45"/>
              <w:widowControl w:val="0"/>
              <w:ind w:firstLine="480"/>
              <w:rPr>
                <w:rFonts w:hint="eastAsia" w:ascii="宋体" w:hAnsi="宋体" w:cs="宋体"/>
              </w:rPr>
            </w:pPr>
            <w:r>
              <w:t>(6)</w:t>
            </w:r>
            <w:r>
              <w:rPr>
                <w:rFonts w:hint="eastAsia" w:ascii="宋体" w:hAnsi="宋体" w:cs="宋体"/>
              </w:rPr>
              <w:t>厂区工程开挖造成的取土坑和回填好的坑待工序结束后，须及时压实整平，原土覆盖；</w:t>
            </w:r>
          </w:p>
          <w:p>
            <w:pPr>
              <w:pStyle w:val="45"/>
              <w:widowControl w:val="0"/>
              <w:ind w:firstLine="480"/>
            </w:pPr>
            <w:r>
              <w:rPr>
                <w:lang w:val="en-US"/>
              </w:rPr>
              <w:t>(7)要充分考虑绿化对防治水土流失的作用，在可能的条件下，土建施工之前先进行绿化。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663" w:hRule="atLeast"/>
          <w:jc w:val="center"/>
        </w:trPr>
        <w:tc>
          <w:tcPr>
            <w:tcW w:w="398" w:type="pct"/>
            <w:vAlign w:val="center"/>
          </w:tcPr>
          <w:p>
            <w:pPr>
              <w:jc w:val="center"/>
              <w:rPr>
                <w:rFonts w:ascii="Times New Roman" w:hAnsi="Times New Roman" w:eastAsia="宋体" w:cs="宋体"/>
                <w:spacing w:val="-1"/>
                <w:sz w:val="24"/>
                <w:szCs w:val="24"/>
                <w:lang w:eastAsia="zh-CN"/>
              </w:rPr>
            </w:pPr>
            <w:r>
              <w:rPr>
                <w:rFonts w:hint="eastAsia" w:ascii="Times New Roman" w:hAnsi="Times New Roman" w:eastAsia="宋体" w:cs="宋体"/>
                <w:spacing w:val="-1"/>
                <w:sz w:val="24"/>
                <w:szCs w:val="24"/>
                <w:lang w:eastAsia="zh-CN"/>
              </w:rPr>
              <w:t>运营期环境影响和保护措施</w:t>
            </w:r>
          </w:p>
        </w:tc>
        <w:tc>
          <w:tcPr>
            <w:tcW w:w="4601" w:type="pct"/>
          </w:tcPr>
          <w:p>
            <w:pPr>
              <w:pStyle w:val="45"/>
              <w:widowControl w:val="0"/>
              <w:ind w:firstLine="482"/>
              <w:rPr>
                <w:b/>
                <w:bCs/>
              </w:rPr>
            </w:pPr>
            <w:r>
              <w:rPr>
                <w:b/>
                <w:bCs/>
              </w:rPr>
              <w:t>1</w:t>
            </w:r>
            <w:r>
              <w:rPr>
                <w:rFonts w:hint="eastAsia"/>
                <w:b/>
                <w:bCs/>
              </w:rPr>
              <w:t>、运营期大气环境影响分析</w:t>
            </w:r>
          </w:p>
          <w:p>
            <w:pPr>
              <w:pStyle w:val="45"/>
              <w:widowControl w:val="0"/>
              <w:ind w:firstLine="480"/>
            </w:pPr>
            <w:r>
              <w:rPr>
                <w:rFonts w:hint="eastAsia"/>
              </w:rPr>
              <w:t>本项目生产过程中产生废气主要为车辆尾气和成品油在卸油、储存、加油过程中无组织逸散的非甲烷总烃类气体。</w:t>
            </w:r>
          </w:p>
          <w:p>
            <w:pPr>
              <w:pStyle w:val="45"/>
              <w:widowControl w:val="0"/>
              <w:ind w:firstLine="482"/>
              <w:rPr>
                <w:b/>
                <w:bCs/>
              </w:rPr>
            </w:pPr>
            <w:r>
              <w:rPr>
                <w:rFonts w:hint="eastAsia"/>
                <w:b/>
                <w:bCs/>
              </w:rPr>
              <w:t>1.1废气源强核算</w:t>
            </w:r>
          </w:p>
          <w:p>
            <w:pPr>
              <w:pStyle w:val="45"/>
              <w:widowControl w:val="0"/>
              <w:ind w:firstLine="480"/>
            </w:pPr>
            <w:r>
              <w:rPr>
                <w:rFonts w:ascii="Cambria Math" w:hAnsi="Cambria Math" w:cs="Cambria Math"/>
              </w:rPr>
              <w:t>①</w:t>
            </w:r>
            <w:r>
              <w:rPr>
                <w:rFonts w:hint="eastAsia"/>
              </w:rPr>
              <w:t>柴/汽油</w:t>
            </w:r>
            <w:r>
              <w:rPr>
                <w:rFonts w:hint="eastAsia"/>
                <w:lang w:val="en-US"/>
              </w:rPr>
              <w:t>卸油</w:t>
            </w:r>
            <w:r>
              <w:rPr>
                <w:rFonts w:hint="eastAsia"/>
              </w:rPr>
              <w:t>、储存、加油产生的非甲烷总烃</w:t>
            </w:r>
          </w:p>
          <w:p>
            <w:pPr>
              <w:pStyle w:val="45"/>
              <w:widowControl w:val="0"/>
              <w:ind w:firstLine="480"/>
              <w:rPr>
                <w:szCs w:val="28"/>
              </w:rPr>
            </w:pPr>
            <w:r>
              <w:rPr>
                <w:szCs w:val="28"/>
              </w:rPr>
              <w:t>Ⅰ</w:t>
            </w:r>
            <w:r>
              <w:rPr>
                <w:rFonts w:hint="eastAsia"/>
                <w:szCs w:val="28"/>
              </w:rPr>
              <w:t>.储罐大呼吸（卸油）</w:t>
            </w:r>
          </w:p>
          <w:p>
            <w:pPr>
              <w:pStyle w:val="45"/>
              <w:widowControl w:val="0"/>
              <w:ind w:firstLine="480"/>
              <w:rPr>
                <w:szCs w:val="28"/>
              </w:rPr>
            </w:pPr>
            <w:r>
              <w:rPr>
                <w:rFonts w:hint="eastAsia"/>
                <w:szCs w:val="28"/>
              </w:rPr>
              <w:t>储罐大呼吸损失是指油罐收发作业时所造成的油品蒸发损失。油罐进油时，由于罐内液体体积逐渐增加，气体空间逐渐减少，罐内压力增大，当压力超过呼吸阀允许值时，一定浓度的油蒸气开始从呼吸阀呼出，当压力降至呼吸阀负压极限时，吸进空气，直到油罐停止收油。这种由于输送油品致使油罐排出油气和吸入空气所导致的损失称为</w:t>
            </w:r>
            <w:r>
              <w:rPr>
                <w:szCs w:val="28"/>
              </w:rPr>
              <w:t>“</w:t>
            </w:r>
            <w:r>
              <w:rPr>
                <w:rFonts w:hint="eastAsia"/>
                <w:szCs w:val="28"/>
              </w:rPr>
              <w:t>大呼吸</w:t>
            </w:r>
            <w:r>
              <w:rPr>
                <w:szCs w:val="28"/>
              </w:rPr>
              <w:t>”</w:t>
            </w:r>
            <w:r>
              <w:rPr>
                <w:rFonts w:hint="eastAsia"/>
                <w:szCs w:val="28"/>
              </w:rPr>
              <w:t>损失。根据《空气污染物排放和控制手册》（美国国家环保局），储油罐大呼吸烃类有机物平均排放率为</w:t>
            </w:r>
            <w:r>
              <w:rPr>
                <w:szCs w:val="28"/>
              </w:rPr>
              <w:t>0.</w:t>
            </w:r>
            <w:r>
              <w:rPr>
                <w:rFonts w:hint="eastAsia"/>
                <w:szCs w:val="28"/>
              </w:rPr>
              <w:t>6</w:t>
            </w:r>
            <w:r>
              <w:rPr>
                <w:szCs w:val="28"/>
              </w:rPr>
              <w:t>kg/m</w:t>
            </w:r>
            <w:r>
              <w:rPr>
                <w:szCs w:val="28"/>
                <w:vertAlign w:val="superscript"/>
              </w:rPr>
              <w:t>3</w:t>
            </w:r>
            <w:r>
              <w:rPr>
                <w:szCs w:val="28"/>
              </w:rPr>
              <w:t>∙</w:t>
            </w:r>
            <w:r>
              <w:rPr>
                <w:rFonts w:hint="eastAsia"/>
                <w:szCs w:val="28"/>
              </w:rPr>
              <w:t>通过量</w:t>
            </w:r>
            <w:r>
              <w:rPr>
                <w:szCs w:val="28"/>
              </w:rPr>
              <w:t>，</w:t>
            </w:r>
            <w:r>
              <w:rPr>
                <w:rFonts w:hint="eastAsia"/>
                <w:szCs w:val="28"/>
              </w:rPr>
              <w:t>本加油站采用油气回收系统，储罐进发油过程中将出气口关闭，大呼吸损失经油气回收系统收集后回至</w:t>
            </w:r>
            <w:r>
              <w:rPr>
                <w:szCs w:val="28"/>
                <w:lang w:val="en-US"/>
              </w:rPr>
              <w:t>油罐车</w:t>
            </w:r>
            <w:r>
              <w:rPr>
                <w:rFonts w:hint="eastAsia"/>
                <w:szCs w:val="28"/>
              </w:rPr>
              <w:t>中。</w:t>
            </w:r>
          </w:p>
          <w:p>
            <w:pPr>
              <w:pStyle w:val="45"/>
              <w:widowControl w:val="0"/>
              <w:ind w:firstLine="480"/>
            </w:pPr>
            <w:r>
              <w:rPr>
                <w:rFonts w:hint="eastAsia" w:cs="微软雅黑"/>
              </w:rPr>
              <w:t>Ⅱ.</w:t>
            </w:r>
            <w:r>
              <w:rPr>
                <w:rFonts w:hint="eastAsia"/>
              </w:rPr>
              <w:t>储罐小呼吸</w:t>
            </w:r>
          </w:p>
          <w:p>
            <w:pPr>
              <w:pStyle w:val="45"/>
              <w:widowControl w:val="0"/>
              <w:ind w:firstLine="480"/>
            </w:pPr>
            <w:r>
              <w:rPr>
                <w:rFonts w:hint="eastAsia"/>
              </w:rPr>
              <w:t>油罐在没有收油作业的情况下，白天气温升高，罐内气体膨胀和油面蒸发加剧，罐内压力增大，当压力达到呼吸阀允许值，油气溢出罐外造成损失；夜晚气温下降，罐内气体收缩并且油气凝结，罐内压力减小，当压力降至呼吸阀负压极限时，空气进入罐内，使得油气浓度降低，为之后温度升高后油气蒸发创造条件，如此反复循环排出油蒸气和吸入空气的过程造成的油气损失，称为小呼吸损失。根据《空气污染物排放和控制手册》（美国国家环保局），储罐小呼吸造成的烃类有机物平均排放率为</w:t>
            </w:r>
            <w:r>
              <w:t>0.12kg/m</w:t>
            </w:r>
            <w:r>
              <w:rPr>
                <w:vertAlign w:val="superscript"/>
              </w:rPr>
              <w:t>3</w:t>
            </w:r>
            <w:r>
              <w:t>∙</w:t>
            </w:r>
            <w:r>
              <w:rPr>
                <w:rFonts w:hint="eastAsia"/>
              </w:rPr>
              <w:t>通过量</w:t>
            </w:r>
            <w:r>
              <w:t>。</w:t>
            </w:r>
          </w:p>
          <w:p>
            <w:pPr>
              <w:pStyle w:val="45"/>
              <w:widowControl w:val="0"/>
              <w:ind w:firstLine="480"/>
            </w:pPr>
            <w:r>
              <w:rPr>
                <w:rFonts w:hint="eastAsia" w:cs="微软雅黑"/>
              </w:rPr>
              <w:t>Ⅲ.</w:t>
            </w:r>
            <w:r>
              <w:t>加油机作业</w:t>
            </w:r>
          </w:p>
          <w:p>
            <w:pPr>
              <w:pStyle w:val="45"/>
              <w:widowControl w:val="0"/>
              <w:ind w:firstLine="480"/>
              <w:rPr>
                <w:highlight w:val="yellow"/>
              </w:rPr>
            </w:pPr>
            <w:r>
              <w:rPr>
                <w:rFonts w:hint="eastAsia"/>
              </w:rPr>
              <w:t>加油作业损失主要是指为车辆加油时，油品进入汽车油箱，油箱内的烃类气体被油品置换排入大气。车辆加油时造成的烃类气体排放率分别为：置换损失未加控制时是</w:t>
            </w:r>
            <w:r>
              <w:t>1.08kg/m</w:t>
            </w:r>
            <w:r>
              <w:rPr>
                <w:vertAlign w:val="superscript"/>
              </w:rPr>
              <w:t>3</w:t>
            </w:r>
            <w:r>
              <w:t>∙</w:t>
            </w:r>
            <w:r>
              <w:rPr>
                <w:rFonts w:hint="eastAsia"/>
              </w:rPr>
              <w:t>通过量、置换损失控制时是</w:t>
            </w:r>
            <w:r>
              <w:t>0.11kg/m</w:t>
            </w:r>
            <w:r>
              <w:rPr>
                <w:vertAlign w:val="superscript"/>
              </w:rPr>
              <w:t>3</w:t>
            </w:r>
            <w:r>
              <w:t>∙</w:t>
            </w:r>
            <w:r>
              <w:rPr>
                <w:rFonts w:hint="eastAsia"/>
              </w:rPr>
              <w:t>通过量</w:t>
            </w:r>
            <w:r>
              <w:t>。</w:t>
            </w:r>
            <w:r>
              <w:rPr>
                <w:rFonts w:hint="eastAsia"/>
              </w:rPr>
              <w:t>本加油站加油枪都具有自封功能，因此本加油机作业时烃类气体排放率取</w:t>
            </w:r>
            <w:r>
              <w:t>0.11kg/m</w:t>
            </w:r>
            <w:r>
              <w:rPr>
                <w:vertAlign w:val="superscript"/>
              </w:rPr>
              <w:t>3</w:t>
            </w:r>
            <w:r>
              <w:t>∙</w:t>
            </w:r>
            <w:r>
              <w:rPr>
                <w:rFonts w:hint="eastAsia"/>
              </w:rPr>
              <w:t>通过量。本加油站采用具有油气回收构造的加油枪以及加油站专用型油气回收处理系统，可使正在加油车辆的油箱所排出的油气，经由管线回收到低标号地下储罐</w:t>
            </w:r>
            <w:r>
              <w:t>。</w:t>
            </w:r>
          </w:p>
          <w:p>
            <w:pPr>
              <w:pStyle w:val="45"/>
              <w:widowControl w:val="0"/>
              <w:ind w:firstLine="480"/>
            </w:pPr>
            <w:r>
              <w:rPr>
                <w:rFonts w:hint="eastAsia"/>
              </w:rPr>
              <w:t>Ⅳ</w:t>
            </w:r>
            <w:r>
              <w:t>.</w:t>
            </w:r>
            <w:r>
              <w:rPr>
                <w:rFonts w:hint="eastAsia"/>
              </w:rPr>
              <w:t>加油机作业跑冒滴漏损失</w:t>
            </w:r>
          </w:p>
          <w:p>
            <w:pPr>
              <w:pStyle w:val="45"/>
              <w:widowControl w:val="0"/>
              <w:ind w:firstLine="480"/>
            </w:pPr>
            <w:r>
              <w:rPr>
                <w:rFonts w:hint="eastAsia"/>
              </w:rPr>
              <w:t>在加油机作业时，不可避免出现成品油跑冒滴漏的现象。根据《空气污染物排放和控制手册》（美国国家环保局），加油机作业跑冒滴漏损失造成的烃类有机物平均排放速率为0.084</w:t>
            </w:r>
            <w:r>
              <w:t>kg/m</w:t>
            </w:r>
            <w:r>
              <w:rPr>
                <w:vertAlign w:val="superscript"/>
              </w:rPr>
              <w:t>3</w:t>
            </w:r>
            <w:r>
              <w:t>∙</w:t>
            </w:r>
            <w:r>
              <w:rPr>
                <w:rFonts w:hint="eastAsia"/>
              </w:rPr>
              <w:t>通过量。</w:t>
            </w:r>
          </w:p>
          <w:p>
            <w:pPr>
              <w:pStyle w:val="45"/>
              <w:widowControl w:val="0"/>
              <w:ind w:firstLine="480"/>
              <w:rPr>
                <w:b/>
              </w:rPr>
            </w:pPr>
            <w:r>
              <w:t>本加油站属</w:t>
            </w:r>
            <w:r>
              <w:rPr>
                <w:rFonts w:hint="eastAsia"/>
              </w:rPr>
              <w:t>三</w:t>
            </w:r>
            <w:r>
              <w:t>级站，年销售成品油</w:t>
            </w:r>
            <w:r>
              <w:rPr>
                <w:rFonts w:hint="eastAsia"/>
              </w:rPr>
              <w:t>10000</w:t>
            </w:r>
            <w:r>
              <w:t>吨，油品相对密度本项目取0.7</w:t>
            </w:r>
            <w:r>
              <w:rPr>
                <w:rFonts w:hint="eastAsia"/>
              </w:rPr>
              <w:t>8</w:t>
            </w:r>
            <w:r>
              <w:t>t/m</w:t>
            </w:r>
            <w:r>
              <w:rPr>
                <w:vertAlign w:val="superscript"/>
              </w:rPr>
              <w:t>3</w:t>
            </w:r>
            <w:r>
              <w:t>，项目营运后油品年通过量或转过量=（</w:t>
            </w:r>
            <w:r>
              <w:rPr>
                <w:rFonts w:hint="eastAsia"/>
              </w:rPr>
              <w:t>100</w:t>
            </w:r>
            <w:r>
              <w:t>00÷0.7</w:t>
            </w:r>
            <w:r>
              <w:rPr>
                <w:rFonts w:hint="eastAsia"/>
              </w:rPr>
              <w:t>8</w:t>
            </w:r>
            <w:r>
              <w:t>）=</w:t>
            </w:r>
            <w:r>
              <w:rPr>
                <w:rFonts w:hint="eastAsia"/>
              </w:rPr>
              <w:t>12820.5</w:t>
            </w:r>
            <w:r>
              <w:t>m</w:t>
            </w:r>
            <w:r>
              <w:rPr>
                <w:vertAlign w:val="superscript"/>
              </w:rPr>
              <w:t>3</w:t>
            </w:r>
            <w:r>
              <w:t>/a。</w:t>
            </w:r>
            <w:r>
              <w:rPr>
                <w:rFonts w:hint="eastAsia"/>
              </w:rPr>
              <w:t>加油站在储油、卸油、加油机作业过程中采用油气回收系统，该系统的作用是将加油站在储油、卸油、加油机作业过程中产生的油气，通过密封收集、储存和送入油罐内。</w:t>
            </w:r>
            <w:r>
              <w:t>非甲烷气体排放量详见表</w:t>
            </w:r>
            <w:r>
              <w:rPr>
                <w:rFonts w:hint="eastAsia"/>
              </w:rPr>
              <w:t>4.2-1</w:t>
            </w:r>
            <w:r>
              <w:t>。</w:t>
            </w:r>
          </w:p>
          <w:p>
            <w:pPr>
              <w:pStyle w:val="42"/>
              <w:spacing w:before="120"/>
            </w:pPr>
            <w:r>
              <w:t>表</w:t>
            </w:r>
            <w:r>
              <w:rPr>
                <w:rFonts w:hint="eastAsia"/>
              </w:rPr>
              <w:t>4.2-1</w:t>
            </w:r>
            <w:r>
              <w:t xml:space="preserve">  柴/汽油部分非甲烷总烃气体排放量</w:t>
            </w:r>
          </w:p>
          <w:tbl>
            <w:tblPr>
              <w:tblStyle w:val="47"/>
              <w:tblW w:w="8839"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93"/>
              <w:gridCol w:w="1834"/>
              <w:gridCol w:w="1386"/>
              <w:gridCol w:w="1379"/>
              <w:gridCol w:w="1245"/>
              <w:gridCol w:w="140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1593" w:type="dxa"/>
                  <w:vAlign w:val="center"/>
                </w:tcPr>
                <w:p>
                  <w:pPr>
                    <w:pStyle w:val="39"/>
                  </w:pPr>
                  <w:r>
                    <w:t>项目</w:t>
                  </w:r>
                </w:p>
              </w:tc>
              <w:tc>
                <w:tcPr>
                  <w:tcW w:w="1834" w:type="dxa"/>
                  <w:vAlign w:val="center"/>
                </w:tcPr>
                <w:p>
                  <w:pPr>
                    <w:pStyle w:val="39"/>
                  </w:pPr>
                  <w:r>
                    <w:t>排放系数</w:t>
                  </w:r>
                </w:p>
                <w:p>
                  <w:pPr>
                    <w:pStyle w:val="39"/>
                  </w:pPr>
                  <w:r>
                    <w:rPr>
                      <w:bCs/>
                    </w:rPr>
                    <w:t>kg/m</w:t>
                  </w:r>
                  <w:r>
                    <w:rPr>
                      <w:bCs/>
                      <w:vertAlign w:val="superscript"/>
                    </w:rPr>
                    <w:t>3</w:t>
                  </w:r>
                  <w:r>
                    <w:rPr>
                      <w:bCs/>
                    </w:rPr>
                    <w:t>∙</w:t>
                  </w:r>
                  <w:r>
                    <w:rPr>
                      <w:rFonts w:hint="eastAsia" w:cs="宋体"/>
                      <w:bCs/>
                    </w:rPr>
                    <w:t>通过量</w:t>
                  </w:r>
                </w:p>
              </w:tc>
              <w:tc>
                <w:tcPr>
                  <w:tcW w:w="1386" w:type="dxa"/>
                  <w:vAlign w:val="center"/>
                </w:tcPr>
                <w:p>
                  <w:pPr>
                    <w:pStyle w:val="39"/>
                  </w:pPr>
                  <w:r>
                    <w:t>年油品通过量m</w:t>
                  </w:r>
                  <w:r>
                    <w:rPr>
                      <w:vertAlign w:val="superscript"/>
                    </w:rPr>
                    <w:t>3</w:t>
                  </w:r>
                  <w:r>
                    <w:t>/a</w:t>
                  </w:r>
                </w:p>
              </w:tc>
              <w:tc>
                <w:tcPr>
                  <w:tcW w:w="1379" w:type="dxa"/>
                  <w:vAlign w:val="center"/>
                </w:tcPr>
                <w:p>
                  <w:pPr>
                    <w:pStyle w:val="39"/>
                  </w:pPr>
                  <w:r>
                    <w:t>非甲烷总烃产生量t/a</w:t>
                  </w:r>
                </w:p>
              </w:tc>
              <w:tc>
                <w:tcPr>
                  <w:tcW w:w="1245" w:type="dxa"/>
                  <w:vAlign w:val="center"/>
                </w:tcPr>
                <w:p>
                  <w:pPr>
                    <w:pStyle w:val="39"/>
                  </w:pPr>
                  <w:r>
                    <w:t>油气回收收集效率</w:t>
                  </w:r>
                </w:p>
              </w:tc>
              <w:tc>
                <w:tcPr>
                  <w:tcW w:w="1402" w:type="dxa"/>
                  <w:vAlign w:val="center"/>
                </w:tcPr>
                <w:p>
                  <w:pPr>
                    <w:pStyle w:val="39"/>
                  </w:pPr>
                  <w:r>
                    <w:t>非甲烷总烃排放量t/a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93" w:type="dxa"/>
                  <w:vAlign w:val="center"/>
                </w:tcPr>
                <w:p>
                  <w:pPr>
                    <w:pStyle w:val="39"/>
                  </w:pPr>
                  <w:r>
                    <w:t>大呼吸损失</w:t>
                  </w:r>
                </w:p>
              </w:tc>
              <w:tc>
                <w:tcPr>
                  <w:tcW w:w="1834" w:type="dxa"/>
                  <w:vAlign w:val="center"/>
                </w:tcPr>
                <w:p>
                  <w:pPr>
                    <w:pStyle w:val="39"/>
                  </w:pPr>
                  <w:r>
                    <w:t>0.</w:t>
                  </w:r>
                  <w:r>
                    <w:rPr>
                      <w:rFonts w:hint="eastAsia"/>
                    </w:rPr>
                    <w:t>6</w:t>
                  </w:r>
                </w:p>
              </w:tc>
              <w:tc>
                <w:tcPr>
                  <w:tcW w:w="1386" w:type="dxa"/>
                  <w:vMerge w:val="restart"/>
                  <w:vAlign w:val="center"/>
                </w:tcPr>
                <w:p>
                  <w:pPr>
                    <w:pStyle w:val="39"/>
                  </w:pPr>
                  <w:r>
                    <w:rPr>
                      <w:rFonts w:hint="eastAsia"/>
                    </w:rPr>
                    <w:t>12820.5</w:t>
                  </w:r>
                </w:p>
              </w:tc>
              <w:tc>
                <w:tcPr>
                  <w:tcW w:w="1379" w:type="dxa"/>
                  <w:vAlign w:val="center"/>
                </w:tcPr>
                <w:p>
                  <w:pPr>
                    <w:pStyle w:val="39"/>
                  </w:pPr>
                  <w:r>
                    <w:rPr>
                      <w:rFonts w:hint="eastAsia"/>
                      <w:color w:val="000000"/>
                      <w:lang w:bidi="ar"/>
                    </w:rPr>
                    <w:t>7.692</w:t>
                  </w:r>
                </w:p>
              </w:tc>
              <w:tc>
                <w:tcPr>
                  <w:tcW w:w="1245" w:type="dxa"/>
                  <w:vAlign w:val="center"/>
                </w:tcPr>
                <w:p>
                  <w:pPr>
                    <w:pStyle w:val="39"/>
                  </w:pPr>
                  <w:r>
                    <w:t>95%</w:t>
                  </w:r>
                </w:p>
              </w:tc>
              <w:tc>
                <w:tcPr>
                  <w:tcW w:w="1402" w:type="dxa"/>
                  <w:vAlign w:val="center"/>
                </w:tcPr>
                <w:p>
                  <w:pPr>
                    <w:pStyle w:val="39"/>
                  </w:pPr>
                  <w:r>
                    <w:rPr>
                      <w:rFonts w:hint="eastAsia"/>
                      <w:color w:val="000000"/>
                      <w:lang w:bidi="ar"/>
                    </w:rPr>
                    <w:t>0.385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1593" w:type="dxa"/>
                  <w:vAlign w:val="center"/>
                </w:tcPr>
                <w:p>
                  <w:pPr>
                    <w:pStyle w:val="39"/>
                  </w:pPr>
                  <w:r>
                    <w:t>小呼吸损失</w:t>
                  </w:r>
                </w:p>
              </w:tc>
              <w:tc>
                <w:tcPr>
                  <w:tcW w:w="1834" w:type="dxa"/>
                  <w:vAlign w:val="center"/>
                </w:tcPr>
                <w:p>
                  <w:pPr>
                    <w:pStyle w:val="39"/>
                  </w:pPr>
                  <w:r>
                    <w:t>0.12</w:t>
                  </w:r>
                </w:p>
              </w:tc>
              <w:tc>
                <w:tcPr>
                  <w:tcW w:w="1386" w:type="dxa"/>
                  <w:vMerge w:val="continue"/>
                  <w:vAlign w:val="center"/>
                </w:tcPr>
                <w:p>
                  <w:pPr>
                    <w:pStyle w:val="39"/>
                  </w:pPr>
                </w:p>
              </w:tc>
              <w:tc>
                <w:tcPr>
                  <w:tcW w:w="1379" w:type="dxa"/>
                  <w:vAlign w:val="center"/>
                </w:tcPr>
                <w:p>
                  <w:pPr>
                    <w:pStyle w:val="39"/>
                  </w:pPr>
                  <w:r>
                    <w:rPr>
                      <w:rFonts w:hint="eastAsia"/>
                      <w:color w:val="000000"/>
                      <w:lang w:bidi="ar"/>
                    </w:rPr>
                    <w:t>1.538</w:t>
                  </w:r>
                </w:p>
              </w:tc>
              <w:tc>
                <w:tcPr>
                  <w:tcW w:w="1245" w:type="dxa"/>
                  <w:vAlign w:val="center"/>
                </w:tcPr>
                <w:p>
                  <w:pPr>
                    <w:pStyle w:val="39"/>
                  </w:pPr>
                  <w:r>
                    <w:rPr>
                      <w:rFonts w:hint="eastAsia"/>
                    </w:rPr>
                    <w:t>85</w:t>
                  </w:r>
                  <w:r>
                    <w:t>%</w:t>
                  </w:r>
                </w:p>
              </w:tc>
              <w:tc>
                <w:tcPr>
                  <w:tcW w:w="1402" w:type="dxa"/>
                  <w:vAlign w:val="center"/>
                </w:tcPr>
                <w:p>
                  <w:pPr>
                    <w:pStyle w:val="39"/>
                  </w:pPr>
                  <w:r>
                    <w:rPr>
                      <w:rFonts w:hint="eastAsia"/>
                      <w:color w:val="000000"/>
                      <w:lang w:bidi="ar"/>
                    </w:rPr>
                    <w:t>0.231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93" w:type="dxa"/>
                  <w:vAlign w:val="center"/>
                </w:tcPr>
                <w:p>
                  <w:pPr>
                    <w:pStyle w:val="39"/>
                  </w:pPr>
                  <w:r>
                    <w:t>加油机损失</w:t>
                  </w:r>
                </w:p>
              </w:tc>
              <w:tc>
                <w:tcPr>
                  <w:tcW w:w="1834" w:type="dxa"/>
                  <w:vAlign w:val="center"/>
                </w:tcPr>
                <w:p>
                  <w:pPr>
                    <w:pStyle w:val="39"/>
                  </w:pPr>
                  <w:r>
                    <w:t>0.11</w:t>
                  </w:r>
                </w:p>
              </w:tc>
              <w:tc>
                <w:tcPr>
                  <w:tcW w:w="1386" w:type="dxa"/>
                  <w:vMerge w:val="continue"/>
                  <w:vAlign w:val="center"/>
                </w:tcPr>
                <w:p>
                  <w:pPr>
                    <w:pStyle w:val="39"/>
                  </w:pPr>
                </w:p>
              </w:tc>
              <w:tc>
                <w:tcPr>
                  <w:tcW w:w="1379" w:type="dxa"/>
                  <w:vAlign w:val="center"/>
                </w:tcPr>
                <w:p>
                  <w:pPr>
                    <w:pStyle w:val="39"/>
                  </w:pPr>
                  <w:r>
                    <w:rPr>
                      <w:rFonts w:hint="eastAsia"/>
                      <w:color w:val="000000"/>
                      <w:lang w:bidi="ar"/>
                    </w:rPr>
                    <w:t>1.410</w:t>
                  </w:r>
                </w:p>
              </w:tc>
              <w:tc>
                <w:tcPr>
                  <w:tcW w:w="1245" w:type="dxa"/>
                  <w:vAlign w:val="center"/>
                </w:tcPr>
                <w:p>
                  <w:pPr>
                    <w:pStyle w:val="39"/>
                  </w:pPr>
                  <w:r>
                    <w:rPr>
                      <w:rFonts w:hint="eastAsia"/>
                    </w:rPr>
                    <w:t>90</w:t>
                  </w:r>
                  <w:r>
                    <w:t>%</w:t>
                  </w:r>
                </w:p>
              </w:tc>
              <w:tc>
                <w:tcPr>
                  <w:tcW w:w="1402" w:type="dxa"/>
                  <w:vAlign w:val="center"/>
                </w:tcPr>
                <w:p>
                  <w:pPr>
                    <w:pStyle w:val="39"/>
                  </w:pPr>
                  <w:r>
                    <w:rPr>
                      <w:rFonts w:hint="eastAsia"/>
                      <w:color w:val="000000"/>
                      <w:lang w:bidi="ar"/>
                    </w:rPr>
                    <w:t>0.141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93" w:type="dxa"/>
                  <w:vAlign w:val="center"/>
                </w:tcPr>
                <w:p>
                  <w:pPr>
                    <w:pStyle w:val="39"/>
                  </w:pPr>
                  <w:r>
                    <w:rPr>
                      <w:rFonts w:hint="eastAsia"/>
                    </w:rPr>
                    <w:t>加油机作业跑冒滴漏损失</w:t>
                  </w:r>
                </w:p>
              </w:tc>
              <w:tc>
                <w:tcPr>
                  <w:tcW w:w="1834" w:type="dxa"/>
                  <w:vAlign w:val="center"/>
                </w:tcPr>
                <w:p>
                  <w:pPr>
                    <w:pStyle w:val="39"/>
                  </w:pPr>
                  <w:r>
                    <w:rPr>
                      <w:rFonts w:hint="eastAsia"/>
                    </w:rPr>
                    <w:t>0.084</w:t>
                  </w:r>
                </w:p>
              </w:tc>
              <w:tc>
                <w:tcPr>
                  <w:tcW w:w="1386" w:type="dxa"/>
                  <w:vMerge w:val="continue"/>
                  <w:vAlign w:val="center"/>
                </w:tcPr>
                <w:p>
                  <w:pPr>
                    <w:pStyle w:val="39"/>
                  </w:pPr>
                </w:p>
              </w:tc>
              <w:tc>
                <w:tcPr>
                  <w:tcW w:w="1379" w:type="dxa"/>
                  <w:vAlign w:val="center"/>
                </w:tcPr>
                <w:p>
                  <w:pPr>
                    <w:pStyle w:val="39"/>
                  </w:pPr>
                  <w:r>
                    <w:rPr>
                      <w:rFonts w:hint="eastAsia"/>
                      <w:color w:val="000000"/>
                      <w:lang w:bidi="ar"/>
                    </w:rPr>
                    <w:t>1.077</w:t>
                  </w:r>
                </w:p>
              </w:tc>
              <w:tc>
                <w:tcPr>
                  <w:tcW w:w="1245" w:type="dxa"/>
                  <w:vAlign w:val="center"/>
                </w:tcPr>
                <w:p>
                  <w:pPr>
                    <w:pStyle w:val="39"/>
                  </w:pPr>
                  <w:r>
                    <w:rPr>
                      <w:rFonts w:hint="eastAsia"/>
                    </w:rPr>
                    <w:t>0</w:t>
                  </w:r>
                  <w:r>
                    <w:t>%</w:t>
                  </w:r>
                </w:p>
              </w:tc>
              <w:tc>
                <w:tcPr>
                  <w:tcW w:w="1402" w:type="dxa"/>
                  <w:vAlign w:val="center"/>
                </w:tcPr>
                <w:p>
                  <w:pPr>
                    <w:pStyle w:val="39"/>
                  </w:pPr>
                  <w:r>
                    <w:rPr>
                      <w:rFonts w:hint="eastAsia"/>
                      <w:color w:val="000000"/>
                      <w:lang w:bidi="ar"/>
                    </w:rPr>
                    <w:t>1.077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93" w:type="dxa"/>
                  <w:vAlign w:val="center"/>
                </w:tcPr>
                <w:p>
                  <w:pPr>
                    <w:pStyle w:val="39"/>
                  </w:pPr>
                  <w:r>
                    <w:t>合计</w:t>
                  </w:r>
                </w:p>
              </w:tc>
              <w:tc>
                <w:tcPr>
                  <w:tcW w:w="1834" w:type="dxa"/>
                  <w:vAlign w:val="center"/>
                </w:tcPr>
                <w:p>
                  <w:pPr>
                    <w:pStyle w:val="39"/>
                  </w:pPr>
                  <w:r>
                    <w:t>/</w:t>
                  </w:r>
                </w:p>
              </w:tc>
              <w:tc>
                <w:tcPr>
                  <w:tcW w:w="1386" w:type="dxa"/>
                  <w:vAlign w:val="center"/>
                </w:tcPr>
                <w:p>
                  <w:pPr>
                    <w:pStyle w:val="39"/>
                  </w:pPr>
                  <w:r>
                    <w:t>/</w:t>
                  </w:r>
                </w:p>
              </w:tc>
              <w:tc>
                <w:tcPr>
                  <w:tcW w:w="1379" w:type="dxa"/>
                  <w:vAlign w:val="center"/>
                </w:tcPr>
                <w:p>
                  <w:pPr>
                    <w:pStyle w:val="39"/>
                  </w:pPr>
                  <w:r>
                    <w:rPr>
                      <w:rFonts w:hint="eastAsia"/>
                    </w:rPr>
                    <w:t>11.717</w:t>
                  </w:r>
                </w:p>
              </w:tc>
              <w:tc>
                <w:tcPr>
                  <w:tcW w:w="1245" w:type="dxa"/>
                  <w:vAlign w:val="center"/>
                </w:tcPr>
                <w:p>
                  <w:pPr>
                    <w:pStyle w:val="39"/>
                  </w:pPr>
                  <w:r>
                    <w:t>/</w:t>
                  </w:r>
                </w:p>
              </w:tc>
              <w:tc>
                <w:tcPr>
                  <w:tcW w:w="1402" w:type="dxa"/>
                  <w:vAlign w:val="center"/>
                </w:tcPr>
                <w:p>
                  <w:pPr>
                    <w:pStyle w:val="39"/>
                  </w:pPr>
                  <w:r>
                    <w:rPr>
                      <w:rFonts w:hint="eastAsia"/>
                    </w:rPr>
                    <w:t>1.834</w:t>
                  </w:r>
                </w:p>
              </w:tc>
            </w:tr>
          </w:tbl>
          <w:p>
            <w:pPr>
              <w:spacing w:line="460" w:lineRule="exact"/>
              <w:ind w:firstLine="480" w:firstLineChars="200"/>
              <w:jc w:val="both"/>
              <w:rPr>
                <w:rFonts w:ascii="Times New Roman" w:hAnsi="Times New Roman" w:eastAsia="宋体" w:cs="Times New Roman"/>
                <w:sz w:val="24"/>
                <w:szCs w:val="24"/>
                <w:lang w:eastAsia="zh-CN"/>
              </w:rPr>
            </w:pPr>
            <w:r>
              <w:rPr>
                <w:rFonts w:ascii="Times New Roman" w:hAnsi="Times New Roman" w:eastAsia="宋体" w:cs="Times New Roman"/>
                <w:sz w:val="24"/>
                <w:szCs w:val="24"/>
                <w:lang w:eastAsia="zh-CN"/>
              </w:rPr>
              <w:t>②</w:t>
            </w:r>
            <w:r>
              <w:rPr>
                <w:rFonts w:hint="eastAsia" w:ascii="Times New Roman" w:hAnsi="Times New Roman" w:eastAsia="宋体" w:cs="Times New Roman"/>
                <w:sz w:val="24"/>
                <w:szCs w:val="24"/>
                <w:lang w:eastAsia="zh-CN"/>
              </w:rPr>
              <w:t>车辆</w:t>
            </w:r>
            <w:r>
              <w:rPr>
                <w:rFonts w:ascii="Times New Roman" w:hAnsi="Times New Roman" w:eastAsia="宋体" w:cs="Times New Roman"/>
                <w:sz w:val="24"/>
                <w:szCs w:val="24"/>
                <w:lang w:eastAsia="zh-CN"/>
              </w:rPr>
              <w:t>产生的</w:t>
            </w:r>
            <w:r>
              <w:rPr>
                <w:rFonts w:hint="eastAsia" w:ascii="Times New Roman" w:hAnsi="Times New Roman" w:eastAsia="宋体" w:cs="Times New Roman"/>
                <w:sz w:val="24"/>
                <w:szCs w:val="24"/>
                <w:lang w:eastAsia="zh-CN"/>
              </w:rPr>
              <w:t>尾气</w:t>
            </w:r>
          </w:p>
          <w:p>
            <w:pPr>
              <w:spacing w:line="460" w:lineRule="exact"/>
              <w:ind w:firstLine="480" w:firstLineChars="200"/>
              <w:jc w:val="both"/>
              <w:rPr>
                <w:rFonts w:ascii="Times New Roman" w:hAnsi="Times New Roman" w:eastAsia="宋体" w:cs="Times New Roman"/>
                <w:sz w:val="24"/>
                <w:szCs w:val="24"/>
                <w:lang w:eastAsia="zh-CN"/>
              </w:rPr>
            </w:pPr>
            <w:r>
              <w:rPr>
                <w:rFonts w:hint="eastAsia" w:ascii="Times New Roman" w:hAnsi="Times New Roman" w:eastAsia="宋体" w:cs="Times New Roman"/>
                <w:sz w:val="24"/>
                <w:szCs w:val="24"/>
                <w:lang w:eastAsia="zh-CN"/>
              </w:rPr>
              <w:t>本项目车辆进站加油过程中为熄火状态，启停过程中产生废气较少，且加油时间、地点不统一；运输车辆运输频次较低，时间不定，产生废气时间不统一，且持续时间较短。综上，车辆尾气部分废气产生量过少且时间、地点均不稳定，无法定量，本次环评不再进行分析。</w:t>
            </w:r>
          </w:p>
          <w:p>
            <w:pPr>
              <w:tabs>
                <w:tab w:val="left" w:pos="1567"/>
              </w:tabs>
              <w:spacing w:line="460" w:lineRule="exact"/>
              <w:ind w:firstLine="480" w:firstLineChars="200"/>
              <w:contextualSpacing/>
              <w:jc w:val="both"/>
              <w:rPr>
                <w:rFonts w:ascii="Times New Roman" w:hAnsi="Times New Roman" w:eastAsia="宋体" w:cs="宋体"/>
                <w:sz w:val="24"/>
                <w:szCs w:val="28"/>
                <w:lang w:eastAsia="zh-CN"/>
              </w:rPr>
            </w:pPr>
            <w:r>
              <w:rPr>
                <w:rFonts w:hint="eastAsia" w:ascii="Times New Roman" w:hAnsi="Times New Roman" w:eastAsia="宋体" w:cs="宋体"/>
                <w:sz w:val="24"/>
                <w:szCs w:val="28"/>
                <w:lang w:eastAsia="zh-CN"/>
              </w:rPr>
              <w:t>废气源强核算结果及相关参数见表4.2-2。</w:t>
            </w:r>
          </w:p>
          <w:p>
            <w:pPr>
              <w:spacing w:line="460" w:lineRule="exact"/>
              <w:ind w:firstLine="480" w:firstLineChars="200"/>
              <w:jc w:val="both"/>
              <w:rPr>
                <w:rFonts w:ascii="Times New Roman" w:hAnsi="Times New Roman" w:eastAsia="宋体" w:cs="Times New Roman"/>
                <w:sz w:val="24"/>
                <w:szCs w:val="24"/>
                <w:lang w:eastAsia="zh-CN"/>
              </w:rPr>
            </w:pPr>
          </w:p>
          <w:p>
            <w:pPr>
              <w:spacing w:line="440" w:lineRule="exact"/>
              <w:jc w:val="both"/>
              <w:rPr>
                <w:rFonts w:ascii="Times New Roman" w:hAnsi="Times New Roman" w:cs="Times New Roman" w:eastAsiaTheme="majorEastAsia"/>
                <w:sz w:val="24"/>
                <w:szCs w:val="24"/>
                <w:lang w:eastAsia="zh-CN"/>
              </w:rPr>
            </w:pPr>
          </w:p>
        </w:tc>
      </w:tr>
    </w:tbl>
    <w:p>
      <w:pPr>
        <w:spacing w:line="200" w:lineRule="atLeast"/>
        <w:rPr>
          <w:rFonts w:ascii="Times New Roman" w:hAnsi="Times New Roman" w:eastAsia="Times New Roman" w:cs="Times New Roman"/>
          <w:sz w:val="20"/>
          <w:szCs w:val="20"/>
          <w:lang w:eastAsia="zh-CN"/>
        </w:rPr>
        <w:sectPr>
          <w:pgSz w:w="11910" w:h="16850"/>
          <w:pgMar w:top="1440" w:right="1080" w:bottom="1440" w:left="1080" w:header="0" w:footer="813" w:gutter="0"/>
          <w:cols w:space="720" w:num="1"/>
        </w:sectPr>
      </w:pPr>
    </w:p>
    <w:p>
      <w:pPr>
        <w:pStyle w:val="42"/>
        <w:spacing w:before="120"/>
      </w:pPr>
      <w:bookmarkStart w:id="11" w:name="_Toc11899"/>
      <w:r>
        <w:rPr>
          <w:rFonts w:hint="eastAsia"/>
        </w:rPr>
        <w:t>4.2-2  废气源强核算结果及相关参数一览表</w:t>
      </w:r>
    </w:p>
    <w:tbl>
      <w:tblPr>
        <w:tblStyle w:val="47"/>
        <w:tblW w:w="4991"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14"/>
        <w:gridCol w:w="1303"/>
        <w:gridCol w:w="1312"/>
        <w:gridCol w:w="1585"/>
        <w:gridCol w:w="1743"/>
        <w:gridCol w:w="1743"/>
        <w:gridCol w:w="1529"/>
        <w:gridCol w:w="1526"/>
        <w:gridCol w:w="281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42" w:type="pct"/>
            <w:vMerge w:val="restart"/>
            <w:vAlign w:val="center"/>
          </w:tcPr>
          <w:p>
            <w:pPr>
              <w:pStyle w:val="39"/>
            </w:pPr>
            <w:r>
              <w:rPr>
                <w:rFonts w:hint="eastAsia"/>
              </w:rPr>
              <w:t>位置</w:t>
            </w:r>
          </w:p>
        </w:tc>
        <w:tc>
          <w:tcPr>
            <w:tcW w:w="438" w:type="pct"/>
            <w:vMerge w:val="restart"/>
            <w:vAlign w:val="center"/>
          </w:tcPr>
          <w:p>
            <w:pPr>
              <w:pStyle w:val="39"/>
            </w:pPr>
            <w:r>
              <w:rPr>
                <w:rFonts w:hint="eastAsia"/>
              </w:rPr>
              <w:t>产生工序</w:t>
            </w:r>
          </w:p>
        </w:tc>
        <w:tc>
          <w:tcPr>
            <w:tcW w:w="441" w:type="pct"/>
            <w:vMerge w:val="restart"/>
            <w:vAlign w:val="center"/>
          </w:tcPr>
          <w:p>
            <w:pPr>
              <w:pStyle w:val="39"/>
            </w:pPr>
            <w:r>
              <w:rPr>
                <w:rFonts w:hint="eastAsia"/>
              </w:rPr>
              <w:t>污染物名称</w:t>
            </w:r>
          </w:p>
        </w:tc>
        <w:tc>
          <w:tcPr>
            <w:tcW w:w="1119" w:type="pct"/>
            <w:gridSpan w:val="2"/>
            <w:vAlign w:val="center"/>
          </w:tcPr>
          <w:p>
            <w:pPr>
              <w:pStyle w:val="39"/>
            </w:pPr>
            <w:r>
              <w:rPr>
                <w:rFonts w:hint="eastAsia"/>
              </w:rPr>
              <w:t>产生情况</w:t>
            </w:r>
          </w:p>
        </w:tc>
        <w:tc>
          <w:tcPr>
            <w:tcW w:w="586" w:type="pct"/>
            <w:vMerge w:val="restart"/>
            <w:vAlign w:val="center"/>
          </w:tcPr>
          <w:p>
            <w:pPr>
              <w:pStyle w:val="39"/>
            </w:pPr>
            <w:r>
              <w:rPr>
                <w:rFonts w:hint="eastAsia"/>
              </w:rPr>
              <w:t>治理措施</w:t>
            </w:r>
          </w:p>
        </w:tc>
        <w:tc>
          <w:tcPr>
            <w:tcW w:w="1027" w:type="pct"/>
            <w:gridSpan w:val="2"/>
            <w:vAlign w:val="center"/>
          </w:tcPr>
          <w:p>
            <w:pPr>
              <w:pStyle w:val="39"/>
            </w:pPr>
            <w:r>
              <w:rPr>
                <w:rFonts w:hint="eastAsia"/>
              </w:rPr>
              <w:t>排放情况</w:t>
            </w:r>
          </w:p>
        </w:tc>
        <w:tc>
          <w:tcPr>
            <w:tcW w:w="946" w:type="pct"/>
            <w:vMerge w:val="restart"/>
            <w:vAlign w:val="center"/>
          </w:tcPr>
          <w:p>
            <w:pPr>
              <w:pStyle w:val="39"/>
            </w:pPr>
            <w:r>
              <w:rPr>
                <w:rFonts w:hint="eastAsia"/>
              </w:rPr>
              <w:t>面源面积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42" w:type="pct"/>
            <w:vMerge w:val="continue"/>
            <w:vAlign w:val="center"/>
          </w:tcPr>
          <w:p>
            <w:pPr>
              <w:pStyle w:val="39"/>
            </w:pPr>
          </w:p>
        </w:tc>
        <w:tc>
          <w:tcPr>
            <w:tcW w:w="438" w:type="pct"/>
            <w:vMerge w:val="continue"/>
            <w:vAlign w:val="center"/>
          </w:tcPr>
          <w:p>
            <w:pPr>
              <w:pStyle w:val="39"/>
            </w:pPr>
          </w:p>
        </w:tc>
        <w:tc>
          <w:tcPr>
            <w:tcW w:w="441" w:type="pct"/>
            <w:vMerge w:val="continue"/>
            <w:vAlign w:val="center"/>
          </w:tcPr>
          <w:p>
            <w:pPr>
              <w:pStyle w:val="39"/>
            </w:pPr>
          </w:p>
        </w:tc>
        <w:tc>
          <w:tcPr>
            <w:tcW w:w="533" w:type="pct"/>
            <w:vAlign w:val="center"/>
          </w:tcPr>
          <w:p>
            <w:pPr>
              <w:pStyle w:val="39"/>
            </w:pPr>
            <w:r>
              <w:rPr>
                <w:rFonts w:hint="eastAsia"/>
              </w:rPr>
              <w:t>产生量t/a</w:t>
            </w:r>
          </w:p>
        </w:tc>
        <w:tc>
          <w:tcPr>
            <w:tcW w:w="586" w:type="pct"/>
            <w:vAlign w:val="center"/>
          </w:tcPr>
          <w:p>
            <w:pPr>
              <w:pStyle w:val="39"/>
            </w:pPr>
            <w:r>
              <w:rPr>
                <w:rFonts w:hint="eastAsia"/>
              </w:rPr>
              <w:t>产生速率kg/h</w:t>
            </w:r>
          </w:p>
        </w:tc>
        <w:tc>
          <w:tcPr>
            <w:tcW w:w="586" w:type="pct"/>
            <w:vMerge w:val="continue"/>
            <w:vAlign w:val="center"/>
          </w:tcPr>
          <w:p>
            <w:pPr>
              <w:pStyle w:val="39"/>
            </w:pPr>
          </w:p>
        </w:tc>
        <w:tc>
          <w:tcPr>
            <w:tcW w:w="514" w:type="pct"/>
            <w:vAlign w:val="center"/>
          </w:tcPr>
          <w:p>
            <w:pPr>
              <w:pStyle w:val="39"/>
            </w:pPr>
            <w:r>
              <w:rPr>
                <w:rFonts w:hint="eastAsia"/>
              </w:rPr>
              <w:t>排放量</w:t>
            </w:r>
            <w:r>
              <w:t>t/a</w:t>
            </w:r>
          </w:p>
        </w:tc>
        <w:tc>
          <w:tcPr>
            <w:tcW w:w="513" w:type="pct"/>
            <w:vAlign w:val="center"/>
          </w:tcPr>
          <w:p>
            <w:pPr>
              <w:pStyle w:val="39"/>
            </w:pPr>
            <w:r>
              <w:rPr>
                <w:rFonts w:hint="eastAsia"/>
              </w:rPr>
              <w:t>排放速率</w:t>
            </w:r>
            <w:r>
              <w:t>kg/h</w:t>
            </w:r>
          </w:p>
        </w:tc>
        <w:tc>
          <w:tcPr>
            <w:tcW w:w="946" w:type="pct"/>
            <w:vMerge w:val="continue"/>
            <w:vAlign w:val="center"/>
          </w:tcPr>
          <w:p>
            <w:pPr>
              <w:pStyle w:val="39"/>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97" w:hRule="atLeast"/>
          <w:jc w:val="center"/>
        </w:trPr>
        <w:tc>
          <w:tcPr>
            <w:tcW w:w="442" w:type="pct"/>
            <w:vMerge w:val="restart"/>
            <w:vAlign w:val="center"/>
          </w:tcPr>
          <w:p>
            <w:pPr>
              <w:pStyle w:val="39"/>
              <w:rPr>
                <w:rFonts w:eastAsiaTheme="minorEastAsia" w:cstheme="minorEastAsia"/>
              </w:rPr>
            </w:pPr>
            <w:r>
              <w:rPr>
                <w:rFonts w:hint="eastAsia" w:eastAsiaTheme="minorEastAsia" w:cstheme="minorEastAsia"/>
              </w:rPr>
              <w:t>加油区</w:t>
            </w:r>
          </w:p>
        </w:tc>
        <w:tc>
          <w:tcPr>
            <w:tcW w:w="438" w:type="pct"/>
            <w:vAlign w:val="center"/>
          </w:tcPr>
          <w:p>
            <w:pPr>
              <w:pStyle w:val="39"/>
              <w:rPr>
                <w:rFonts w:eastAsiaTheme="minorEastAsia" w:cstheme="minorEastAsia"/>
              </w:rPr>
            </w:pPr>
            <w:r>
              <w:rPr>
                <w:rFonts w:hint="eastAsia" w:eastAsiaTheme="minorEastAsia" w:cstheme="minorEastAsia"/>
              </w:rPr>
              <w:t>加油机作业跑冒滴漏损失</w:t>
            </w:r>
          </w:p>
        </w:tc>
        <w:tc>
          <w:tcPr>
            <w:tcW w:w="441" w:type="pct"/>
            <w:vAlign w:val="center"/>
          </w:tcPr>
          <w:p>
            <w:pPr>
              <w:pStyle w:val="39"/>
              <w:rPr>
                <w:rFonts w:eastAsiaTheme="minorEastAsia" w:cstheme="minorEastAsia"/>
              </w:rPr>
            </w:pPr>
            <w:r>
              <w:rPr>
                <w:rFonts w:hint="eastAsia" w:eastAsiaTheme="minorEastAsia" w:cstheme="minorEastAsia"/>
              </w:rPr>
              <w:t>非甲烷总烃</w:t>
            </w:r>
          </w:p>
        </w:tc>
        <w:tc>
          <w:tcPr>
            <w:tcW w:w="533" w:type="pct"/>
            <w:vAlign w:val="center"/>
          </w:tcPr>
          <w:p>
            <w:pPr>
              <w:pStyle w:val="39"/>
              <w:rPr>
                <w:rFonts w:eastAsiaTheme="minorEastAsia" w:cstheme="minorEastAsia"/>
              </w:rPr>
            </w:pPr>
            <w:r>
              <w:rPr>
                <w:rFonts w:hint="eastAsia" w:eastAsiaTheme="minorEastAsia" w:cstheme="minorEastAsia"/>
              </w:rPr>
              <w:t>1.077</w:t>
            </w:r>
          </w:p>
        </w:tc>
        <w:tc>
          <w:tcPr>
            <w:tcW w:w="586" w:type="pct"/>
            <w:vAlign w:val="center"/>
          </w:tcPr>
          <w:p>
            <w:pPr>
              <w:pStyle w:val="39"/>
              <w:rPr>
                <w:rFonts w:eastAsiaTheme="minorEastAsia" w:cstheme="minorEastAsia"/>
              </w:rPr>
            </w:pPr>
            <w:r>
              <w:rPr>
                <w:rFonts w:hint="eastAsia" w:eastAsiaTheme="minorEastAsia" w:cstheme="minorEastAsia"/>
              </w:rPr>
              <w:t>0.123</w:t>
            </w:r>
          </w:p>
        </w:tc>
        <w:tc>
          <w:tcPr>
            <w:tcW w:w="586" w:type="pct"/>
            <w:vAlign w:val="center"/>
          </w:tcPr>
          <w:p>
            <w:pPr>
              <w:pStyle w:val="39"/>
              <w:rPr>
                <w:rFonts w:eastAsiaTheme="minorEastAsia" w:cstheme="minorEastAsia"/>
              </w:rPr>
            </w:pPr>
            <w:r>
              <w:rPr>
                <w:rFonts w:hint="eastAsia" w:eastAsiaTheme="minorEastAsia" w:cstheme="minorEastAsia"/>
              </w:rPr>
              <w:t>/</w:t>
            </w:r>
          </w:p>
        </w:tc>
        <w:tc>
          <w:tcPr>
            <w:tcW w:w="514" w:type="pct"/>
            <w:vAlign w:val="center"/>
          </w:tcPr>
          <w:p>
            <w:pPr>
              <w:pStyle w:val="39"/>
              <w:rPr>
                <w:rFonts w:eastAsiaTheme="minorEastAsia" w:cstheme="minorEastAsia"/>
              </w:rPr>
            </w:pPr>
            <w:r>
              <w:rPr>
                <w:rFonts w:hint="eastAsia" w:eastAsiaTheme="minorEastAsia" w:cstheme="minorEastAsia"/>
              </w:rPr>
              <w:t>1.077</w:t>
            </w:r>
          </w:p>
        </w:tc>
        <w:tc>
          <w:tcPr>
            <w:tcW w:w="513" w:type="pct"/>
            <w:vAlign w:val="center"/>
          </w:tcPr>
          <w:p>
            <w:pPr>
              <w:pStyle w:val="39"/>
              <w:rPr>
                <w:rFonts w:eastAsia="等线" w:cstheme="minorEastAsia"/>
              </w:rPr>
            </w:pPr>
            <w:r>
              <w:rPr>
                <w:rFonts w:hint="eastAsia" w:eastAsiaTheme="minorEastAsia" w:cstheme="minorEastAsia"/>
              </w:rPr>
              <w:t>0.123</w:t>
            </w:r>
          </w:p>
        </w:tc>
        <w:tc>
          <w:tcPr>
            <w:tcW w:w="946" w:type="pct"/>
            <w:vMerge w:val="restart"/>
            <w:vAlign w:val="center"/>
          </w:tcPr>
          <w:p>
            <w:pPr>
              <w:pStyle w:val="39"/>
              <w:rPr>
                <w:rFonts w:eastAsiaTheme="minorEastAsia" w:cstheme="minorEastAsia"/>
              </w:rPr>
            </w:pPr>
            <w:r>
              <w:rPr>
                <w:rFonts w:hint="eastAsia" w:eastAsiaTheme="minorEastAsia" w:cstheme="minorEastAsia"/>
              </w:rPr>
              <w:t>加油棚（309.57m</w:t>
            </w:r>
            <w:r>
              <w:rPr>
                <w:rFonts w:hint="eastAsia" w:eastAsiaTheme="minorEastAsia" w:cstheme="minorEastAsia"/>
                <w:vertAlign w:val="superscript"/>
              </w:rPr>
              <w:t>2</w:t>
            </w:r>
            <w:r>
              <w:rPr>
                <w:rFonts w:hint="eastAsia" w:eastAsiaTheme="minorEastAsia" w:cstheme="minorEastAsi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97" w:hRule="atLeast"/>
          <w:jc w:val="center"/>
        </w:trPr>
        <w:tc>
          <w:tcPr>
            <w:tcW w:w="442" w:type="pct"/>
            <w:vMerge w:val="continue"/>
            <w:vAlign w:val="center"/>
          </w:tcPr>
          <w:p>
            <w:pPr>
              <w:pStyle w:val="39"/>
              <w:rPr>
                <w:rFonts w:eastAsiaTheme="minorEastAsia" w:cstheme="minorEastAsia"/>
              </w:rPr>
            </w:pPr>
          </w:p>
        </w:tc>
        <w:tc>
          <w:tcPr>
            <w:tcW w:w="438" w:type="pct"/>
            <w:vAlign w:val="center"/>
          </w:tcPr>
          <w:p>
            <w:pPr>
              <w:pStyle w:val="39"/>
              <w:rPr>
                <w:rFonts w:eastAsiaTheme="minorEastAsia" w:cstheme="minorEastAsia"/>
              </w:rPr>
            </w:pPr>
            <w:r>
              <w:rPr>
                <w:rFonts w:hint="eastAsia" w:eastAsiaTheme="minorEastAsia" w:cstheme="minorEastAsia"/>
              </w:rPr>
              <w:t>加油</w:t>
            </w:r>
          </w:p>
        </w:tc>
        <w:tc>
          <w:tcPr>
            <w:tcW w:w="441" w:type="pct"/>
            <w:vAlign w:val="center"/>
          </w:tcPr>
          <w:p>
            <w:pPr>
              <w:pStyle w:val="39"/>
              <w:rPr>
                <w:rFonts w:eastAsiaTheme="minorEastAsia" w:cstheme="minorEastAsia"/>
              </w:rPr>
            </w:pPr>
            <w:r>
              <w:rPr>
                <w:rFonts w:hint="eastAsia" w:eastAsiaTheme="minorEastAsia" w:cstheme="minorEastAsia"/>
              </w:rPr>
              <w:t>非甲烷总烃</w:t>
            </w:r>
          </w:p>
        </w:tc>
        <w:tc>
          <w:tcPr>
            <w:tcW w:w="533" w:type="pct"/>
            <w:vAlign w:val="center"/>
          </w:tcPr>
          <w:p>
            <w:pPr>
              <w:pStyle w:val="39"/>
              <w:rPr>
                <w:rFonts w:eastAsiaTheme="minorEastAsia" w:cstheme="minorEastAsia"/>
              </w:rPr>
            </w:pPr>
            <w:r>
              <w:rPr>
                <w:rFonts w:hint="eastAsia" w:eastAsiaTheme="minorEastAsia" w:cstheme="minorEastAsia"/>
              </w:rPr>
              <w:t>1.410</w:t>
            </w:r>
          </w:p>
        </w:tc>
        <w:tc>
          <w:tcPr>
            <w:tcW w:w="586" w:type="pct"/>
            <w:vAlign w:val="center"/>
          </w:tcPr>
          <w:p>
            <w:pPr>
              <w:pStyle w:val="39"/>
              <w:rPr>
                <w:rFonts w:eastAsiaTheme="minorEastAsia" w:cstheme="minorEastAsia"/>
              </w:rPr>
            </w:pPr>
            <w:r>
              <w:rPr>
                <w:rFonts w:hint="eastAsia" w:eastAsiaTheme="minorEastAsia" w:cstheme="minorEastAsia"/>
              </w:rPr>
              <w:t>0.161</w:t>
            </w:r>
          </w:p>
        </w:tc>
        <w:tc>
          <w:tcPr>
            <w:tcW w:w="586" w:type="pct"/>
            <w:vAlign w:val="center"/>
          </w:tcPr>
          <w:p>
            <w:pPr>
              <w:pStyle w:val="39"/>
              <w:rPr>
                <w:rFonts w:eastAsiaTheme="minorEastAsia" w:cstheme="minorEastAsia"/>
              </w:rPr>
            </w:pPr>
            <w:r>
              <w:rPr>
                <w:rFonts w:hint="eastAsia" w:eastAsiaTheme="minorEastAsia" w:cstheme="minorEastAsia"/>
              </w:rPr>
              <w:t>加油油气回收系统</w:t>
            </w:r>
          </w:p>
        </w:tc>
        <w:tc>
          <w:tcPr>
            <w:tcW w:w="514" w:type="pct"/>
            <w:vAlign w:val="center"/>
          </w:tcPr>
          <w:p>
            <w:pPr>
              <w:pStyle w:val="39"/>
              <w:rPr>
                <w:rFonts w:eastAsiaTheme="minorEastAsia" w:cstheme="minorEastAsia"/>
              </w:rPr>
            </w:pPr>
            <w:r>
              <w:rPr>
                <w:rFonts w:hint="eastAsia" w:eastAsiaTheme="minorEastAsia" w:cstheme="minorEastAsia"/>
              </w:rPr>
              <w:t>0.141</w:t>
            </w:r>
          </w:p>
        </w:tc>
        <w:tc>
          <w:tcPr>
            <w:tcW w:w="513" w:type="pct"/>
            <w:vAlign w:val="center"/>
          </w:tcPr>
          <w:p>
            <w:pPr>
              <w:pStyle w:val="39"/>
              <w:rPr>
                <w:rFonts w:eastAsia="等线" w:cstheme="minorEastAsia"/>
              </w:rPr>
            </w:pPr>
            <w:r>
              <w:rPr>
                <w:rFonts w:hint="eastAsia" w:eastAsia="等线" w:cstheme="minorEastAsia"/>
              </w:rPr>
              <w:t>0.016</w:t>
            </w:r>
          </w:p>
        </w:tc>
        <w:tc>
          <w:tcPr>
            <w:tcW w:w="946" w:type="pct"/>
            <w:vMerge w:val="continue"/>
            <w:vAlign w:val="center"/>
          </w:tcPr>
          <w:p>
            <w:pPr>
              <w:pStyle w:val="39"/>
              <w:rPr>
                <w:rFonts w:eastAsiaTheme="minorEastAsia" w:cstheme="minorEastAsi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97" w:hRule="atLeast"/>
          <w:jc w:val="center"/>
        </w:trPr>
        <w:tc>
          <w:tcPr>
            <w:tcW w:w="442" w:type="pct"/>
            <w:vAlign w:val="center"/>
          </w:tcPr>
          <w:p>
            <w:pPr>
              <w:pStyle w:val="39"/>
              <w:rPr>
                <w:rFonts w:eastAsiaTheme="majorEastAsia"/>
              </w:rPr>
            </w:pPr>
            <w:r>
              <w:rPr>
                <w:rFonts w:hint="eastAsia" w:eastAsiaTheme="majorEastAsia"/>
              </w:rPr>
              <w:t>埋地储罐区</w:t>
            </w:r>
          </w:p>
        </w:tc>
        <w:tc>
          <w:tcPr>
            <w:tcW w:w="438" w:type="pct"/>
            <w:vAlign w:val="center"/>
          </w:tcPr>
          <w:p>
            <w:pPr>
              <w:pStyle w:val="39"/>
              <w:rPr>
                <w:rFonts w:eastAsiaTheme="minorEastAsia" w:cstheme="minorEastAsia"/>
              </w:rPr>
            </w:pPr>
            <w:r>
              <w:rPr>
                <w:rFonts w:hint="eastAsia" w:eastAsiaTheme="minorEastAsia" w:cstheme="minorEastAsia"/>
              </w:rPr>
              <w:t>卸油、储油</w:t>
            </w:r>
          </w:p>
        </w:tc>
        <w:tc>
          <w:tcPr>
            <w:tcW w:w="441" w:type="pct"/>
            <w:vAlign w:val="center"/>
          </w:tcPr>
          <w:p>
            <w:pPr>
              <w:pStyle w:val="39"/>
              <w:rPr>
                <w:rFonts w:eastAsiaTheme="minorEastAsia" w:cstheme="minorEastAsia"/>
              </w:rPr>
            </w:pPr>
            <w:r>
              <w:rPr>
                <w:rFonts w:hint="eastAsia" w:eastAsiaTheme="minorEastAsia" w:cstheme="minorEastAsia"/>
              </w:rPr>
              <w:t>非甲烷总烃</w:t>
            </w:r>
          </w:p>
        </w:tc>
        <w:tc>
          <w:tcPr>
            <w:tcW w:w="533" w:type="pct"/>
            <w:vAlign w:val="center"/>
          </w:tcPr>
          <w:p>
            <w:pPr>
              <w:pStyle w:val="39"/>
              <w:rPr>
                <w:rFonts w:eastAsiaTheme="minorEastAsia" w:cstheme="minorEastAsia"/>
              </w:rPr>
            </w:pPr>
            <w:r>
              <w:rPr>
                <w:rFonts w:hint="eastAsia" w:eastAsiaTheme="minorEastAsia" w:cstheme="minorEastAsia"/>
              </w:rPr>
              <w:t>9.23</w:t>
            </w:r>
          </w:p>
        </w:tc>
        <w:tc>
          <w:tcPr>
            <w:tcW w:w="586" w:type="pct"/>
            <w:vAlign w:val="center"/>
          </w:tcPr>
          <w:p>
            <w:pPr>
              <w:pStyle w:val="39"/>
              <w:rPr>
                <w:rFonts w:eastAsiaTheme="minorEastAsia" w:cstheme="minorEastAsia"/>
              </w:rPr>
            </w:pPr>
            <w:r>
              <w:rPr>
                <w:rFonts w:hint="eastAsia" w:eastAsiaTheme="minorEastAsia" w:cstheme="minorEastAsia"/>
              </w:rPr>
              <w:t>1.054</w:t>
            </w:r>
          </w:p>
        </w:tc>
        <w:tc>
          <w:tcPr>
            <w:tcW w:w="586" w:type="pct"/>
            <w:vAlign w:val="center"/>
          </w:tcPr>
          <w:p>
            <w:pPr>
              <w:pStyle w:val="39"/>
              <w:rPr>
                <w:rFonts w:eastAsiaTheme="minorEastAsia" w:cstheme="minorEastAsia"/>
              </w:rPr>
            </w:pPr>
            <w:r>
              <w:rPr>
                <w:rFonts w:hint="eastAsia" w:eastAsiaTheme="minorEastAsia" w:cstheme="minorEastAsia"/>
              </w:rPr>
              <w:t>卸油、储油油气回收系统</w:t>
            </w:r>
          </w:p>
        </w:tc>
        <w:tc>
          <w:tcPr>
            <w:tcW w:w="514" w:type="pct"/>
            <w:vAlign w:val="center"/>
          </w:tcPr>
          <w:p>
            <w:pPr>
              <w:pStyle w:val="39"/>
              <w:rPr>
                <w:rFonts w:eastAsiaTheme="minorEastAsia" w:cstheme="minorEastAsia"/>
              </w:rPr>
            </w:pPr>
            <w:r>
              <w:rPr>
                <w:rFonts w:hint="eastAsia" w:eastAsiaTheme="minorEastAsia" w:cstheme="minorEastAsia"/>
              </w:rPr>
              <w:t>0.616</w:t>
            </w:r>
          </w:p>
        </w:tc>
        <w:tc>
          <w:tcPr>
            <w:tcW w:w="513" w:type="pct"/>
            <w:vAlign w:val="center"/>
          </w:tcPr>
          <w:p>
            <w:pPr>
              <w:pStyle w:val="39"/>
              <w:rPr>
                <w:rFonts w:eastAsia="等线" w:cstheme="minorEastAsia"/>
              </w:rPr>
            </w:pPr>
            <w:r>
              <w:rPr>
                <w:rFonts w:hint="eastAsia" w:eastAsia="等线" w:cstheme="minorEastAsia"/>
              </w:rPr>
              <w:t>0.070</w:t>
            </w:r>
          </w:p>
        </w:tc>
        <w:tc>
          <w:tcPr>
            <w:tcW w:w="946" w:type="pct"/>
            <w:vAlign w:val="center"/>
          </w:tcPr>
          <w:p>
            <w:pPr>
              <w:pStyle w:val="39"/>
              <w:rPr>
                <w:rFonts w:eastAsiaTheme="minorEastAsia" w:cstheme="minorEastAsia"/>
              </w:rPr>
            </w:pPr>
            <w:r>
              <w:rPr>
                <w:rFonts w:hint="eastAsia" w:eastAsiaTheme="minorEastAsia" w:cstheme="minorEastAsia"/>
              </w:rPr>
              <w:t>通过通气管外排</w:t>
            </w:r>
          </w:p>
        </w:tc>
      </w:tr>
    </w:tbl>
    <w:p>
      <w:pPr>
        <w:pStyle w:val="28"/>
      </w:pPr>
    </w:p>
    <w:p>
      <w:pPr>
        <w:pStyle w:val="28"/>
        <w:sectPr>
          <w:footerReference r:id="rId7" w:type="default"/>
          <w:pgSz w:w="16840" w:h="11910" w:orient="landscape"/>
          <w:pgMar w:top="1440" w:right="1080" w:bottom="1440" w:left="1080" w:header="0" w:footer="833" w:gutter="0"/>
          <w:pgNumType w:start="42"/>
          <w:cols w:space="720" w:num="1"/>
        </w:sectPr>
      </w:pPr>
    </w:p>
    <w:tbl>
      <w:tblPr>
        <w:tblStyle w:val="18"/>
        <w:tblW w:w="4939" w:type="pct"/>
        <w:jc w:val="center"/>
        <w:tblBorders>
          <w:top w:val="single" w:color="auto" w:sz="4" w:space="0"/>
          <w:left w:val="single" w:color="auto" w:sz="4" w:space="0"/>
          <w:bottom w:val="none" w:color="auto" w:sz="0"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84"/>
        <w:gridCol w:w="9060"/>
      </w:tblGrid>
      <w:tr>
        <w:tblPrEx>
          <w:tblBorders>
            <w:top w:val="single" w:color="auto" w:sz="4" w:space="0"/>
            <w:left w:val="single" w:color="auto" w:sz="4" w:space="0"/>
            <w:bottom w:val="none" w:color="auto" w:sz="0"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566" w:hRule="atLeast"/>
          <w:jc w:val="center"/>
        </w:trPr>
        <w:tc>
          <w:tcPr>
            <w:tcW w:w="398" w:type="pct"/>
            <w:tcBorders>
              <w:bottom w:val="single" w:color="auto" w:sz="4" w:space="0"/>
            </w:tcBorders>
            <w:vAlign w:val="center"/>
          </w:tcPr>
          <w:p>
            <w:pPr>
              <w:jc w:val="center"/>
              <w:rPr>
                <w:rFonts w:ascii="Times New Roman" w:hAnsi="Times New Roman" w:eastAsia="宋体" w:cs="Times New Roman"/>
                <w:spacing w:val="-1"/>
                <w:sz w:val="24"/>
                <w:szCs w:val="24"/>
                <w:lang w:eastAsia="zh-CN"/>
              </w:rPr>
            </w:pPr>
            <w:r>
              <w:rPr>
                <w:rFonts w:ascii="Times New Roman" w:hAnsi="Times New Roman" w:eastAsia="宋体" w:cs="Times New Roman"/>
                <w:spacing w:val="-1"/>
                <w:sz w:val="24"/>
                <w:szCs w:val="24"/>
                <w:lang w:eastAsia="zh-CN"/>
              </w:rPr>
              <w:t>运营期环境影响和保护措施</w:t>
            </w:r>
          </w:p>
        </w:tc>
        <w:tc>
          <w:tcPr>
            <w:tcW w:w="4601" w:type="pct"/>
            <w:tcBorders>
              <w:bottom w:val="single" w:color="auto" w:sz="4" w:space="0"/>
            </w:tcBorders>
          </w:tcPr>
          <w:p>
            <w:pPr>
              <w:tabs>
                <w:tab w:val="left" w:pos="3060"/>
              </w:tabs>
              <w:spacing w:line="460" w:lineRule="exact"/>
              <w:ind w:firstLine="482" w:firstLineChars="200"/>
              <w:jc w:val="both"/>
              <w:rPr>
                <w:rFonts w:ascii="Times New Roman" w:hAnsi="Times New Roman" w:eastAsia="宋体" w:cs="Times New Roman"/>
                <w:b/>
                <w:bCs/>
                <w:sz w:val="24"/>
                <w:lang w:eastAsia="zh-CN"/>
              </w:rPr>
            </w:pPr>
            <w:r>
              <w:rPr>
                <w:rFonts w:ascii="Times New Roman" w:hAnsi="Times New Roman" w:eastAsia="宋体" w:cs="Times New Roman"/>
                <w:b/>
                <w:bCs/>
                <w:sz w:val="24"/>
                <w:lang w:eastAsia="zh-CN"/>
              </w:rPr>
              <w:t>1.2正常工况下废气达标分析</w:t>
            </w:r>
          </w:p>
          <w:p>
            <w:pPr>
              <w:spacing w:line="460" w:lineRule="exact"/>
              <w:ind w:firstLine="480" w:firstLineChars="200"/>
              <w:jc w:val="both"/>
              <w:rPr>
                <w:rFonts w:ascii="Times New Roman" w:hAnsi="Times New Roman" w:eastAsia="宋体" w:cs="Times New Roman"/>
                <w:bCs/>
                <w:sz w:val="24"/>
                <w:szCs w:val="21"/>
                <w:lang w:eastAsia="zh-CN"/>
              </w:rPr>
            </w:pPr>
            <w:r>
              <w:rPr>
                <w:rFonts w:ascii="Times New Roman" w:hAnsi="Times New Roman" w:eastAsia="宋体" w:cs="Times New Roman"/>
                <w:sz w:val="24"/>
                <w:szCs w:val="24"/>
                <w:lang w:eastAsia="zh-CN"/>
              </w:rPr>
              <w:t>依据《环境影响评价技术导则-大气环境》</w:t>
            </w:r>
            <w:r>
              <w:rPr>
                <w:rFonts w:hint="eastAsia" w:ascii="Times New Roman" w:hAnsi="Times New Roman" w:eastAsia="宋体" w:cs="Times New Roman"/>
                <w:sz w:val="24"/>
                <w:szCs w:val="24"/>
                <w:lang w:eastAsia="zh-CN"/>
              </w:rPr>
              <w:t>（</w:t>
            </w:r>
            <w:r>
              <w:rPr>
                <w:rFonts w:ascii="Times New Roman" w:hAnsi="Times New Roman" w:eastAsia="宋体" w:cs="Times New Roman"/>
                <w:sz w:val="24"/>
                <w:szCs w:val="24"/>
                <w:lang w:eastAsia="zh-CN"/>
              </w:rPr>
              <w:t>HJ2.2-2018</w:t>
            </w:r>
            <w:r>
              <w:rPr>
                <w:rFonts w:hint="eastAsia" w:ascii="Times New Roman" w:hAnsi="Times New Roman" w:eastAsia="宋体" w:cs="Times New Roman"/>
                <w:sz w:val="24"/>
                <w:szCs w:val="24"/>
                <w:lang w:eastAsia="zh-CN"/>
              </w:rPr>
              <w:t>）</w:t>
            </w:r>
            <w:r>
              <w:rPr>
                <w:rFonts w:ascii="Times New Roman" w:hAnsi="Times New Roman" w:eastAsia="宋体" w:cs="Times New Roman"/>
                <w:sz w:val="24"/>
                <w:szCs w:val="24"/>
                <w:lang w:eastAsia="zh-CN"/>
              </w:rPr>
              <w:t>中5.3节工作等级的确定方法，结合项目工程分析结果，选择正常排放的主要污染物及排放参数，采用附录A推荐模型中的AERSCREEN模式计算项目污染源的最大环境影响，然后按评价工作分级判据进行分级。</w:t>
            </w:r>
          </w:p>
          <w:p>
            <w:pPr>
              <w:spacing w:line="460" w:lineRule="exact"/>
              <w:ind w:firstLine="480" w:firstLineChars="200"/>
              <w:jc w:val="both"/>
              <w:rPr>
                <w:rFonts w:ascii="Times New Roman" w:hAnsi="Times New Roman" w:eastAsia="宋体" w:cs="Times New Roman"/>
                <w:b/>
                <w:sz w:val="24"/>
                <w:szCs w:val="24"/>
                <w:lang w:eastAsia="zh-CN"/>
              </w:rPr>
            </w:pPr>
            <w:r>
              <w:rPr>
                <w:rFonts w:ascii="Times New Roman" w:hAnsi="Times New Roman" w:eastAsia="宋体" w:cs="Times New Roman"/>
                <w:bCs/>
                <w:sz w:val="24"/>
                <w:szCs w:val="21"/>
                <w:lang w:eastAsia="zh-CN"/>
              </w:rPr>
              <w:t>项目污染源参数见表</w:t>
            </w:r>
            <w:r>
              <w:rPr>
                <w:rFonts w:hint="eastAsia" w:ascii="Times New Roman" w:hAnsi="Times New Roman" w:eastAsia="宋体" w:cs="Times New Roman"/>
                <w:bCs/>
                <w:sz w:val="24"/>
                <w:szCs w:val="21"/>
                <w:lang w:eastAsia="zh-CN"/>
              </w:rPr>
              <w:t>4.2-3，</w:t>
            </w:r>
            <w:r>
              <w:rPr>
                <w:rFonts w:ascii="Times New Roman" w:hAnsi="Times New Roman" w:eastAsia="宋体" w:cs="Times New Roman"/>
                <w:bCs/>
                <w:sz w:val="24"/>
                <w:szCs w:val="21"/>
                <w:lang w:eastAsia="zh-CN"/>
              </w:rPr>
              <w:t>项目</w:t>
            </w:r>
            <w:r>
              <w:rPr>
                <w:rFonts w:ascii="Times New Roman" w:hAnsi="Times New Roman" w:eastAsia="宋体" w:cs="Times New Roman"/>
                <w:sz w:val="24"/>
                <w:lang w:eastAsia="zh-CN"/>
              </w:rPr>
              <w:t>估算模式所用参数见表</w:t>
            </w:r>
            <w:r>
              <w:rPr>
                <w:rFonts w:hint="eastAsia" w:ascii="Times New Roman" w:hAnsi="Times New Roman" w:eastAsia="宋体" w:cs="Times New Roman"/>
                <w:bCs/>
                <w:sz w:val="24"/>
                <w:szCs w:val="21"/>
                <w:lang w:eastAsia="zh-CN"/>
              </w:rPr>
              <w:t>4.2-4</w:t>
            </w:r>
            <w:r>
              <w:rPr>
                <w:rFonts w:ascii="Times New Roman" w:hAnsi="Times New Roman" w:eastAsia="宋体" w:cs="Times New Roman"/>
                <w:bCs/>
                <w:sz w:val="24"/>
                <w:szCs w:val="21"/>
                <w:lang w:eastAsia="zh-CN"/>
              </w:rPr>
              <w:t>。</w:t>
            </w:r>
          </w:p>
          <w:p>
            <w:pPr>
              <w:pStyle w:val="42"/>
              <w:spacing w:before="120"/>
            </w:pPr>
            <w:r>
              <w:t>表</w:t>
            </w:r>
            <w:r>
              <w:rPr>
                <w:rFonts w:hint="eastAsia"/>
                <w:bCs/>
              </w:rPr>
              <w:t xml:space="preserve">4.2-3 </w:t>
            </w:r>
            <w:r>
              <w:t xml:space="preserve"> 主要废气污染源参数一览表（矩形面源）</w:t>
            </w:r>
          </w:p>
          <w:tbl>
            <w:tblPr>
              <w:tblStyle w:val="4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35"/>
              <w:gridCol w:w="1286"/>
              <w:gridCol w:w="2795"/>
              <w:gridCol w:w="1507"/>
              <w:gridCol w:w="192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5" w:type="pct"/>
                  <w:vMerge w:val="restart"/>
                  <w:vAlign w:val="center"/>
                </w:tcPr>
                <w:p>
                  <w:pPr>
                    <w:pStyle w:val="39"/>
                  </w:pPr>
                  <w:r>
                    <w:t>污染源名称</w:t>
                  </w:r>
                </w:p>
              </w:tc>
              <w:tc>
                <w:tcPr>
                  <w:tcW w:w="727" w:type="pct"/>
                  <w:vMerge w:val="restart"/>
                  <w:vAlign w:val="center"/>
                </w:tcPr>
                <w:p>
                  <w:pPr>
                    <w:pStyle w:val="39"/>
                  </w:pPr>
                  <w:r>
                    <w:t>海拔高度(m)</w:t>
                  </w:r>
                </w:p>
              </w:tc>
              <w:tc>
                <w:tcPr>
                  <w:tcW w:w="2432" w:type="pct"/>
                  <w:gridSpan w:val="2"/>
                  <w:vAlign w:val="center"/>
                </w:tcPr>
                <w:p>
                  <w:pPr>
                    <w:pStyle w:val="39"/>
                  </w:pPr>
                  <w:r>
                    <w:t>矩形面源</w:t>
                  </w:r>
                </w:p>
              </w:tc>
              <w:tc>
                <w:tcPr>
                  <w:tcW w:w="1086" w:type="pct"/>
                  <w:vAlign w:val="center"/>
                </w:tcPr>
                <w:p>
                  <w:pPr>
                    <w:pStyle w:val="39"/>
                  </w:pPr>
                  <w:r>
                    <w:t>污染物排放速率(kg/h)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5" w:type="pct"/>
                  <w:vMerge w:val="continue"/>
                  <w:vAlign w:val="center"/>
                </w:tcPr>
                <w:p>
                  <w:pPr>
                    <w:pStyle w:val="39"/>
                  </w:pPr>
                </w:p>
              </w:tc>
              <w:tc>
                <w:tcPr>
                  <w:tcW w:w="727" w:type="pct"/>
                  <w:vMerge w:val="continue"/>
                  <w:vAlign w:val="center"/>
                </w:tcPr>
                <w:p>
                  <w:pPr>
                    <w:pStyle w:val="39"/>
                  </w:pPr>
                </w:p>
              </w:tc>
              <w:tc>
                <w:tcPr>
                  <w:tcW w:w="1580" w:type="pct"/>
                  <w:vAlign w:val="center"/>
                </w:tcPr>
                <w:p>
                  <w:pPr>
                    <w:pStyle w:val="39"/>
                  </w:pPr>
                  <w:r>
                    <w:rPr>
                      <w:rFonts w:hint="eastAsia"/>
                    </w:rPr>
                    <w:t>面积</w:t>
                  </w:r>
                </w:p>
              </w:tc>
              <w:tc>
                <w:tcPr>
                  <w:tcW w:w="852" w:type="pct"/>
                  <w:vAlign w:val="center"/>
                </w:tcPr>
                <w:p>
                  <w:pPr>
                    <w:pStyle w:val="39"/>
                  </w:pPr>
                  <w:r>
                    <w:t>有效高度(m)</w:t>
                  </w:r>
                </w:p>
              </w:tc>
              <w:tc>
                <w:tcPr>
                  <w:tcW w:w="1086" w:type="pct"/>
                  <w:vAlign w:val="center"/>
                </w:tcPr>
                <w:p>
                  <w:pPr>
                    <w:pStyle w:val="39"/>
                  </w:pPr>
                  <w:r>
                    <w:t>NMHC</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5" w:type="pct"/>
                  <w:vAlign w:val="center"/>
                </w:tcPr>
                <w:p>
                  <w:pPr>
                    <w:pStyle w:val="39"/>
                  </w:pPr>
                  <w:r>
                    <w:t>加油区</w:t>
                  </w:r>
                </w:p>
              </w:tc>
              <w:tc>
                <w:tcPr>
                  <w:tcW w:w="727" w:type="pct"/>
                  <w:vAlign w:val="center"/>
                </w:tcPr>
                <w:p>
                  <w:pPr>
                    <w:pStyle w:val="39"/>
                  </w:pPr>
                  <w:r>
                    <w:rPr>
                      <w:rFonts w:hint="eastAsia"/>
                    </w:rPr>
                    <w:t>9.0</w:t>
                  </w:r>
                </w:p>
              </w:tc>
              <w:tc>
                <w:tcPr>
                  <w:tcW w:w="1580" w:type="pct"/>
                  <w:vAlign w:val="center"/>
                </w:tcPr>
                <w:p>
                  <w:pPr>
                    <w:pStyle w:val="39"/>
                  </w:pPr>
                  <w:r>
                    <w:rPr>
                      <w:rFonts w:hint="eastAsia"/>
                    </w:rPr>
                    <w:t>309.57</w:t>
                  </w:r>
                  <w:r>
                    <w:t>m</w:t>
                  </w:r>
                  <w:r>
                    <w:rPr>
                      <w:rFonts w:hint="eastAsia"/>
                      <w:vertAlign w:val="superscript"/>
                    </w:rPr>
                    <w:t>2</w:t>
                  </w:r>
                </w:p>
              </w:tc>
              <w:tc>
                <w:tcPr>
                  <w:tcW w:w="852" w:type="pct"/>
                  <w:vAlign w:val="center"/>
                </w:tcPr>
                <w:p>
                  <w:pPr>
                    <w:pStyle w:val="39"/>
                  </w:pPr>
                  <w:r>
                    <w:rPr>
                      <w:rFonts w:hint="eastAsia"/>
                    </w:rPr>
                    <w:t>9.39</w:t>
                  </w:r>
                </w:p>
              </w:tc>
              <w:tc>
                <w:tcPr>
                  <w:tcW w:w="1086" w:type="pct"/>
                  <w:vAlign w:val="center"/>
                </w:tcPr>
                <w:p>
                  <w:pPr>
                    <w:pStyle w:val="39"/>
                  </w:pPr>
                  <w:r>
                    <w:rPr>
                      <w:rFonts w:hint="eastAsia"/>
                    </w:rPr>
                    <w:t>0.139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5"/>
                  <w:vAlign w:val="center"/>
                </w:tcPr>
                <w:p>
                  <w:pPr>
                    <w:pStyle w:val="39"/>
                  </w:pPr>
                  <w:r>
                    <w:t>按加油站操作规范，在卸油</w:t>
                  </w:r>
                  <w:r>
                    <w:rPr>
                      <w:rFonts w:hint="eastAsia"/>
                    </w:rPr>
                    <w:t>和</w:t>
                  </w:r>
                  <w:r>
                    <w:t>加油</w:t>
                  </w:r>
                  <w:r>
                    <w:rPr>
                      <w:rFonts w:hint="eastAsia"/>
                    </w:rPr>
                    <w:t>不同时</w:t>
                  </w:r>
                  <w:r>
                    <w:t>作业</w:t>
                  </w:r>
                  <w:r>
                    <w:rPr>
                      <w:rFonts w:hint="eastAsia"/>
                    </w:rPr>
                    <w:t>，故排放速率按</w:t>
                  </w:r>
                  <w:r>
                    <w:t>加油</w:t>
                  </w:r>
                  <w:r>
                    <w:rPr>
                      <w:rFonts w:hint="eastAsia"/>
                    </w:rPr>
                    <w:t>时取值</w:t>
                  </w:r>
                  <w:r>
                    <w:t>。</w:t>
                  </w:r>
                </w:p>
              </w:tc>
            </w:tr>
          </w:tbl>
          <w:p>
            <w:pPr>
              <w:pStyle w:val="42"/>
              <w:spacing w:before="120"/>
            </w:pPr>
            <w:r>
              <w:rPr>
                <w:rFonts w:hint="eastAsia"/>
              </w:rPr>
              <w:t>表4.2-4  估算模型参数表</w:t>
            </w:r>
          </w:p>
          <w:tbl>
            <w:tblPr>
              <w:tblStyle w:val="47"/>
              <w:tblW w:w="499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362"/>
              <w:gridCol w:w="3609"/>
              <w:gridCol w:w="187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3942" w:type="pct"/>
                  <w:gridSpan w:val="2"/>
                  <w:vAlign w:val="center"/>
                </w:tcPr>
                <w:p>
                  <w:pPr>
                    <w:widowControl/>
                    <w:jc w:val="center"/>
                    <w:rPr>
                      <w:rFonts w:ascii="Times New Roman" w:hAnsi="Times New Roman" w:eastAsia="宋体" w:cs="Times New Roman"/>
                      <w:color w:val="000000"/>
                      <w:sz w:val="21"/>
                      <w:szCs w:val="21"/>
                      <w:lang w:eastAsia="zh-CN"/>
                    </w:rPr>
                  </w:pPr>
                  <w:r>
                    <w:rPr>
                      <w:rFonts w:ascii="Times New Roman" w:hAnsi="Times New Roman" w:eastAsia="宋体" w:cs="Times New Roman"/>
                      <w:color w:val="000000"/>
                      <w:sz w:val="21"/>
                      <w:szCs w:val="21"/>
                      <w:lang w:eastAsia="zh-CN"/>
                    </w:rPr>
                    <w:t>参数</w:t>
                  </w:r>
                </w:p>
              </w:tc>
              <w:tc>
                <w:tcPr>
                  <w:tcW w:w="1058" w:type="pct"/>
                  <w:vAlign w:val="center"/>
                </w:tcPr>
                <w:p>
                  <w:pPr>
                    <w:widowControl/>
                    <w:jc w:val="center"/>
                    <w:rPr>
                      <w:rFonts w:ascii="Times New Roman" w:hAnsi="Times New Roman" w:eastAsia="宋体" w:cs="Times New Roman"/>
                      <w:color w:val="000000"/>
                      <w:sz w:val="21"/>
                      <w:szCs w:val="21"/>
                      <w:lang w:eastAsia="zh-CN"/>
                    </w:rPr>
                  </w:pPr>
                  <w:r>
                    <w:rPr>
                      <w:rFonts w:ascii="Times New Roman" w:hAnsi="Times New Roman" w:eastAsia="宋体" w:cs="Times New Roman"/>
                      <w:color w:val="000000"/>
                      <w:sz w:val="21"/>
                      <w:szCs w:val="21"/>
                      <w:lang w:eastAsia="zh-CN"/>
                    </w:rPr>
                    <w:t>取值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01" w:type="pct"/>
                  <w:vMerge w:val="restart"/>
                  <w:vAlign w:val="center"/>
                </w:tcPr>
                <w:p>
                  <w:pPr>
                    <w:widowControl/>
                    <w:jc w:val="center"/>
                    <w:rPr>
                      <w:rFonts w:ascii="Times New Roman" w:hAnsi="Times New Roman" w:eastAsia="宋体" w:cs="Times New Roman"/>
                      <w:color w:val="000000"/>
                      <w:sz w:val="21"/>
                      <w:szCs w:val="21"/>
                      <w:lang w:eastAsia="zh-CN"/>
                    </w:rPr>
                  </w:pPr>
                  <w:r>
                    <w:rPr>
                      <w:rFonts w:ascii="Times New Roman" w:hAnsi="Times New Roman" w:eastAsia="宋体" w:cs="Times New Roman"/>
                      <w:color w:val="000000"/>
                      <w:sz w:val="21"/>
                      <w:szCs w:val="21"/>
                      <w:lang w:eastAsia="zh-CN"/>
                    </w:rPr>
                    <w:t>城市/农村选项</w:t>
                  </w:r>
                </w:p>
              </w:tc>
              <w:tc>
                <w:tcPr>
                  <w:tcW w:w="2041" w:type="pct"/>
                  <w:vAlign w:val="center"/>
                </w:tcPr>
                <w:p>
                  <w:pPr>
                    <w:widowControl/>
                    <w:jc w:val="center"/>
                    <w:rPr>
                      <w:rFonts w:ascii="Times New Roman" w:hAnsi="Times New Roman" w:eastAsia="宋体" w:cs="Times New Roman"/>
                      <w:color w:val="000000"/>
                      <w:sz w:val="21"/>
                      <w:szCs w:val="21"/>
                      <w:lang w:eastAsia="zh-CN"/>
                    </w:rPr>
                  </w:pPr>
                  <w:r>
                    <w:rPr>
                      <w:rFonts w:ascii="Times New Roman" w:hAnsi="Times New Roman" w:eastAsia="宋体" w:cs="Times New Roman"/>
                      <w:color w:val="000000"/>
                      <w:sz w:val="21"/>
                      <w:szCs w:val="21"/>
                      <w:lang w:eastAsia="zh-CN"/>
                    </w:rPr>
                    <w:t>城市/农村</w:t>
                  </w:r>
                </w:p>
              </w:tc>
              <w:tc>
                <w:tcPr>
                  <w:tcW w:w="1058" w:type="pct"/>
                  <w:vAlign w:val="center"/>
                </w:tcPr>
                <w:p>
                  <w:pPr>
                    <w:widowControl/>
                    <w:jc w:val="center"/>
                    <w:rPr>
                      <w:rFonts w:ascii="Times New Roman" w:hAnsi="Times New Roman" w:eastAsia="宋体" w:cs="Times New Roman"/>
                      <w:color w:val="000000"/>
                      <w:sz w:val="21"/>
                      <w:szCs w:val="21"/>
                      <w:lang w:eastAsia="zh-CN"/>
                    </w:rPr>
                  </w:pPr>
                  <w:r>
                    <w:rPr>
                      <w:rFonts w:hint="eastAsia" w:ascii="Times New Roman" w:hAnsi="Times New Roman" w:eastAsia="宋体" w:cs="Times New Roman"/>
                      <w:color w:val="000000"/>
                      <w:sz w:val="21"/>
                      <w:szCs w:val="21"/>
                      <w:lang w:eastAsia="zh-CN"/>
                    </w:rPr>
                    <w:t>城市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1901" w:type="pct"/>
                  <w:vMerge w:val="continue"/>
                  <w:vAlign w:val="center"/>
                </w:tcPr>
                <w:p>
                  <w:pPr>
                    <w:widowControl/>
                    <w:jc w:val="center"/>
                    <w:rPr>
                      <w:rFonts w:ascii="Times New Roman" w:hAnsi="Times New Roman" w:eastAsia="宋体" w:cs="Times New Roman"/>
                      <w:color w:val="000000"/>
                      <w:sz w:val="21"/>
                      <w:szCs w:val="21"/>
                      <w:lang w:eastAsia="zh-CN"/>
                    </w:rPr>
                  </w:pPr>
                </w:p>
              </w:tc>
              <w:tc>
                <w:tcPr>
                  <w:tcW w:w="2041" w:type="pct"/>
                  <w:vAlign w:val="center"/>
                </w:tcPr>
                <w:p>
                  <w:pPr>
                    <w:widowControl/>
                    <w:jc w:val="center"/>
                    <w:rPr>
                      <w:rFonts w:ascii="Times New Roman" w:hAnsi="Times New Roman" w:eastAsia="宋体" w:cs="Times New Roman"/>
                      <w:color w:val="000000"/>
                      <w:sz w:val="21"/>
                      <w:szCs w:val="21"/>
                      <w:lang w:eastAsia="zh-CN"/>
                    </w:rPr>
                  </w:pPr>
                  <w:r>
                    <w:rPr>
                      <w:rFonts w:ascii="Times New Roman" w:hAnsi="Times New Roman" w:eastAsia="宋体" w:cs="Times New Roman"/>
                      <w:color w:val="000000"/>
                      <w:sz w:val="21"/>
                      <w:szCs w:val="21"/>
                      <w:lang w:eastAsia="zh-CN"/>
                    </w:rPr>
                    <w:t>人口数(城市人口数)</w:t>
                  </w:r>
                </w:p>
              </w:tc>
              <w:tc>
                <w:tcPr>
                  <w:tcW w:w="1058" w:type="pct"/>
                  <w:vAlign w:val="center"/>
                </w:tcPr>
                <w:p>
                  <w:pPr>
                    <w:widowControl/>
                    <w:jc w:val="center"/>
                    <w:rPr>
                      <w:rFonts w:ascii="Times New Roman" w:hAnsi="Times New Roman" w:eastAsia="宋体" w:cs="Times New Roman"/>
                      <w:color w:val="000000"/>
                      <w:sz w:val="21"/>
                      <w:szCs w:val="21"/>
                      <w:lang w:eastAsia="zh-CN"/>
                    </w:rPr>
                  </w:pPr>
                  <w:r>
                    <w:rPr>
                      <w:rFonts w:hint="eastAsia" w:ascii="Times New Roman" w:hAnsi="Times New Roman" w:eastAsia="宋体" w:cs="Times New Roman"/>
                      <w:color w:val="000000"/>
                      <w:sz w:val="21"/>
                      <w:szCs w:val="21"/>
                      <w:lang w:eastAsia="zh-CN"/>
                    </w:rPr>
                    <w:t>141万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3942" w:type="pct"/>
                  <w:gridSpan w:val="2"/>
                  <w:vAlign w:val="center"/>
                </w:tcPr>
                <w:p>
                  <w:pPr>
                    <w:widowControl/>
                    <w:jc w:val="center"/>
                    <w:rPr>
                      <w:rFonts w:ascii="Times New Roman" w:hAnsi="Times New Roman" w:eastAsia="宋体" w:cs="Times New Roman"/>
                      <w:color w:val="000000"/>
                      <w:sz w:val="21"/>
                      <w:szCs w:val="21"/>
                      <w:lang w:eastAsia="zh-CN"/>
                    </w:rPr>
                  </w:pPr>
                  <w:r>
                    <w:rPr>
                      <w:rFonts w:ascii="Times New Roman" w:hAnsi="Times New Roman" w:eastAsia="宋体" w:cs="Times New Roman"/>
                      <w:color w:val="000000"/>
                      <w:sz w:val="21"/>
                      <w:szCs w:val="21"/>
                      <w:lang w:eastAsia="zh-CN"/>
                    </w:rPr>
                    <w:t>最高环境温度</w:t>
                  </w:r>
                </w:p>
              </w:tc>
              <w:tc>
                <w:tcPr>
                  <w:tcW w:w="1058" w:type="pct"/>
                  <w:vAlign w:val="center"/>
                </w:tcPr>
                <w:p>
                  <w:pPr>
                    <w:pStyle w:val="39"/>
                    <w:rPr>
                      <w:color w:val="000000"/>
                      <w:szCs w:val="21"/>
                    </w:rPr>
                  </w:pPr>
                  <w:r>
                    <w:rPr>
                      <w:rFonts w:hint="eastAsia"/>
                      <w:bCs/>
                      <w:color w:val="000000" w:themeColor="text1"/>
                      <w:szCs w:val="21"/>
                      <w14:textFill>
                        <w14:solidFill>
                          <w14:schemeClr w14:val="tx1"/>
                        </w14:solidFill>
                      </w14:textFill>
                    </w:rPr>
                    <w:t>38.7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3942" w:type="pct"/>
                  <w:gridSpan w:val="2"/>
                  <w:vAlign w:val="center"/>
                </w:tcPr>
                <w:p>
                  <w:pPr>
                    <w:widowControl/>
                    <w:jc w:val="center"/>
                    <w:rPr>
                      <w:rFonts w:ascii="Times New Roman" w:hAnsi="Times New Roman" w:eastAsia="宋体" w:cs="Times New Roman"/>
                      <w:color w:val="000000"/>
                      <w:sz w:val="21"/>
                      <w:szCs w:val="21"/>
                      <w:lang w:eastAsia="zh-CN"/>
                    </w:rPr>
                  </w:pPr>
                  <w:r>
                    <w:rPr>
                      <w:rFonts w:ascii="Times New Roman" w:hAnsi="Times New Roman" w:eastAsia="宋体" w:cs="Times New Roman"/>
                      <w:color w:val="000000"/>
                      <w:sz w:val="21"/>
                      <w:szCs w:val="21"/>
                      <w:lang w:eastAsia="zh-CN"/>
                    </w:rPr>
                    <w:t>最低环境温度</w:t>
                  </w:r>
                </w:p>
              </w:tc>
              <w:tc>
                <w:tcPr>
                  <w:tcW w:w="1058" w:type="pct"/>
                  <w:vAlign w:val="center"/>
                </w:tcPr>
                <w:p>
                  <w:pPr>
                    <w:pStyle w:val="39"/>
                    <w:rPr>
                      <w:color w:val="000000"/>
                      <w:szCs w:val="21"/>
                    </w:rPr>
                  </w:pPr>
                  <w:r>
                    <w:rPr>
                      <w:rFonts w:hint="eastAsia"/>
                      <w:bCs/>
                      <w:color w:val="000000" w:themeColor="text1"/>
                      <w:szCs w:val="21"/>
                      <w14:textFill>
                        <w14:solidFill>
                          <w14:schemeClr w14:val="tx1"/>
                        </w14:solidFill>
                      </w14:textFill>
                    </w:rPr>
                    <w:t>-0.3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42" w:type="pct"/>
                  <w:gridSpan w:val="2"/>
                  <w:vAlign w:val="center"/>
                </w:tcPr>
                <w:p>
                  <w:pPr>
                    <w:widowControl/>
                    <w:jc w:val="center"/>
                    <w:rPr>
                      <w:rFonts w:ascii="Times New Roman" w:hAnsi="Times New Roman" w:eastAsia="宋体" w:cs="Times New Roman"/>
                      <w:color w:val="000000"/>
                      <w:sz w:val="21"/>
                      <w:szCs w:val="21"/>
                      <w:lang w:eastAsia="zh-CN"/>
                    </w:rPr>
                  </w:pPr>
                  <w:r>
                    <w:rPr>
                      <w:rFonts w:ascii="Times New Roman" w:hAnsi="Times New Roman" w:eastAsia="宋体" w:cs="Times New Roman"/>
                      <w:color w:val="000000"/>
                      <w:sz w:val="21"/>
                      <w:szCs w:val="21"/>
                      <w:lang w:eastAsia="zh-CN"/>
                    </w:rPr>
                    <w:t>土地利用类型</w:t>
                  </w:r>
                </w:p>
              </w:tc>
              <w:tc>
                <w:tcPr>
                  <w:tcW w:w="1058" w:type="pct"/>
                  <w:vAlign w:val="center"/>
                </w:tcPr>
                <w:p>
                  <w:pPr>
                    <w:widowControl/>
                    <w:jc w:val="center"/>
                    <w:rPr>
                      <w:rFonts w:ascii="Times New Roman" w:hAnsi="Times New Roman" w:eastAsia="宋体" w:cs="Times New Roman"/>
                      <w:color w:val="000000"/>
                      <w:sz w:val="21"/>
                      <w:szCs w:val="21"/>
                      <w:lang w:eastAsia="zh-CN"/>
                    </w:rPr>
                  </w:pPr>
                  <w:r>
                    <w:rPr>
                      <w:rFonts w:ascii="Times New Roman" w:hAnsi="Times New Roman" w:eastAsia="宋体" w:cs="Times New Roman"/>
                      <w:color w:val="000000"/>
                      <w:sz w:val="21"/>
                      <w:szCs w:val="21"/>
                      <w:lang w:eastAsia="zh-CN"/>
                    </w:rPr>
                    <w:t>城市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3942" w:type="pct"/>
                  <w:gridSpan w:val="2"/>
                  <w:vAlign w:val="center"/>
                </w:tcPr>
                <w:p>
                  <w:pPr>
                    <w:widowControl/>
                    <w:jc w:val="center"/>
                    <w:rPr>
                      <w:rFonts w:ascii="Times New Roman" w:hAnsi="Times New Roman" w:eastAsia="宋体" w:cs="Times New Roman"/>
                      <w:color w:val="000000"/>
                      <w:sz w:val="21"/>
                      <w:szCs w:val="21"/>
                      <w:lang w:eastAsia="zh-CN"/>
                    </w:rPr>
                  </w:pPr>
                  <w:r>
                    <w:rPr>
                      <w:rFonts w:ascii="Times New Roman" w:hAnsi="Times New Roman" w:eastAsia="宋体" w:cs="Times New Roman"/>
                      <w:color w:val="000000"/>
                      <w:sz w:val="21"/>
                      <w:szCs w:val="21"/>
                      <w:lang w:eastAsia="zh-CN"/>
                    </w:rPr>
                    <w:t>区域湿度条件</w:t>
                  </w:r>
                </w:p>
              </w:tc>
              <w:tc>
                <w:tcPr>
                  <w:tcW w:w="1058" w:type="pct"/>
                  <w:vAlign w:val="center"/>
                </w:tcPr>
                <w:p>
                  <w:pPr>
                    <w:widowControl/>
                    <w:jc w:val="center"/>
                    <w:rPr>
                      <w:rFonts w:ascii="Times New Roman" w:hAnsi="Times New Roman" w:eastAsia="宋体" w:cs="Times New Roman"/>
                      <w:color w:val="000000"/>
                      <w:sz w:val="21"/>
                      <w:szCs w:val="21"/>
                      <w:lang w:eastAsia="zh-CN"/>
                    </w:rPr>
                  </w:pPr>
                  <w:r>
                    <w:rPr>
                      <w:rFonts w:ascii="Times New Roman" w:hAnsi="Times New Roman" w:eastAsia="宋体" w:cs="Times New Roman"/>
                      <w:color w:val="000000"/>
                      <w:sz w:val="21"/>
                      <w:szCs w:val="21"/>
                      <w:lang w:eastAsia="zh-CN"/>
                    </w:rPr>
                    <w:t>中等湿度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1901" w:type="pct"/>
                  <w:vMerge w:val="restart"/>
                  <w:vAlign w:val="center"/>
                </w:tcPr>
                <w:p>
                  <w:pPr>
                    <w:widowControl/>
                    <w:jc w:val="center"/>
                    <w:rPr>
                      <w:rFonts w:ascii="Times New Roman" w:hAnsi="Times New Roman" w:eastAsia="宋体" w:cs="Times New Roman"/>
                      <w:color w:val="000000"/>
                      <w:sz w:val="21"/>
                      <w:szCs w:val="21"/>
                      <w:lang w:eastAsia="zh-CN"/>
                    </w:rPr>
                  </w:pPr>
                  <w:r>
                    <w:rPr>
                      <w:rFonts w:ascii="Times New Roman" w:hAnsi="Times New Roman" w:eastAsia="宋体" w:cs="Times New Roman"/>
                      <w:color w:val="000000"/>
                      <w:sz w:val="21"/>
                      <w:szCs w:val="21"/>
                      <w:lang w:eastAsia="zh-CN"/>
                    </w:rPr>
                    <w:t>是否考虑地形</w:t>
                  </w:r>
                </w:p>
              </w:tc>
              <w:tc>
                <w:tcPr>
                  <w:tcW w:w="2041" w:type="pct"/>
                  <w:vAlign w:val="center"/>
                </w:tcPr>
                <w:p>
                  <w:pPr>
                    <w:widowControl/>
                    <w:jc w:val="center"/>
                    <w:rPr>
                      <w:rFonts w:ascii="Times New Roman" w:hAnsi="Times New Roman" w:eastAsia="宋体" w:cs="Times New Roman"/>
                      <w:color w:val="000000"/>
                      <w:sz w:val="21"/>
                      <w:szCs w:val="21"/>
                      <w:lang w:eastAsia="zh-CN"/>
                    </w:rPr>
                  </w:pPr>
                  <w:r>
                    <w:rPr>
                      <w:rFonts w:ascii="Times New Roman" w:hAnsi="Times New Roman" w:eastAsia="宋体" w:cs="Times New Roman"/>
                      <w:color w:val="000000"/>
                      <w:sz w:val="21"/>
                      <w:szCs w:val="21"/>
                      <w:lang w:eastAsia="zh-CN"/>
                    </w:rPr>
                    <w:t>考虑地形</w:t>
                  </w:r>
                </w:p>
              </w:tc>
              <w:tc>
                <w:tcPr>
                  <w:tcW w:w="1058" w:type="pct"/>
                  <w:vAlign w:val="center"/>
                </w:tcPr>
                <w:p>
                  <w:pPr>
                    <w:widowControl/>
                    <w:jc w:val="center"/>
                    <w:rPr>
                      <w:rFonts w:ascii="Times New Roman" w:hAnsi="Times New Roman" w:eastAsia="宋体" w:cs="Times New Roman"/>
                      <w:color w:val="000000"/>
                      <w:sz w:val="21"/>
                      <w:szCs w:val="21"/>
                      <w:lang w:eastAsia="zh-CN"/>
                    </w:rPr>
                  </w:pPr>
                  <w:r>
                    <w:rPr>
                      <w:rFonts w:hint="eastAsia" w:ascii="Times New Roman" w:hAnsi="Times New Roman" w:eastAsia="宋体" w:cs="Times New Roman"/>
                      <w:color w:val="000000"/>
                      <w:sz w:val="21"/>
                      <w:szCs w:val="21"/>
                      <w:lang w:eastAsia="zh-CN"/>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1901" w:type="pct"/>
                  <w:vMerge w:val="continue"/>
                  <w:vAlign w:val="center"/>
                </w:tcPr>
                <w:p>
                  <w:pPr>
                    <w:widowControl/>
                    <w:jc w:val="center"/>
                    <w:rPr>
                      <w:rFonts w:ascii="Times New Roman" w:hAnsi="Times New Roman" w:eastAsia="宋体" w:cs="Times New Roman"/>
                      <w:color w:val="000000"/>
                      <w:sz w:val="21"/>
                      <w:szCs w:val="21"/>
                      <w:lang w:eastAsia="zh-CN"/>
                    </w:rPr>
                  </w:pPr>
                </w:p>
              </w:tc>
              <w:tc>
                <w:tcPr>
                  <w:tcW w:w="2041" w:type="pct"/>
                  <w:vAlign w:val="center"/>
                </w:tcPr>
                <w:p>
                  <w:pPr>
                    <w:widowControl/>
                    <w:jc w:val="center"/>
                    <w:rPr>
                      <w:rFonts w:ascii="Times New Roman" w:hAnsi="Times New Roman" w:eastAsia="宋体" w:cs="Times New Roman"/>
                      <w:color w:val="000000"/>
                      <w:sz w:val="21"/>
                      <w:szCs w:val="21"/>
                      <w:lang w:eastAsia="zh-CN"/>
                    </w:rPr>
                  </w:pPr>
                  <w:r>
                    <w:rPr>
                      <w:rFonts w:ascii="Times New Roman" w:hAnsi="Times New Roman" w:eastAsia="宋体" w:cs="Times New Roman"/>
                      <w:color w:val="000000"/>
                      <w:sz w:val="21"/>
                      <w:szCs w:val="21"/>
                      <w:lang w:eastAsia="zh-CN"/>
                    </w:rPr>
                    <w:t>地形数据分辨率(m)</w:t>
                  </w:r>
                </w:p>
              </w:tc>
              <w:tc>
                <w:tcPr>
                  <w:tcW w:w="1058" w:type="pct"/>
                  <w:vAlign w:val="center"/>
                </w:tcPr>
                <w:p>
                  <w:pPr>
                    <w:widowControl/>
                    <w:jc w:val="center"/>
                    <w:rPr>
                      <w:rFonts w:ascii="Times New Roman" w:hAnsi="Times New Roman" w:eastAsia="宋体" w:cs="Times New Roman"/>
                      <w:color w:val="000000"/>
                      <w:sz w:val="21"/>
                      <w:szCs w:val="21"/>
                      <w:lang w:eastAsia="zh-CN"/>
                    </w:rPr>
                  </w:pPr>
                  <w:r>
                    <w:rPr>
                      <w:rFonts w:hint="eastAsia" w:ascii="Times New Roman" w:hAnsi="Times New Roman" w:eastAsia="宋体" w:cs="Times New Roman"/>
                      <w:color w:val="000000"/>
                      <w:sz w:val="21"/>
                      <w:szCs w:val="21"/>
                      <w:lang w:eastAsia="zh-CN"/>
                    </w:rPr>
                    <w:t>90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1901" w:type="pct"/>
                  <w:vMerge w:val="restart"/>
                  <w:vAlign w:val="center"/>
                </w:tcPr>
                <w:p>
                  <w:pPr>
                    <w:widowControl/>
                    <w:jc w:val="center"/>
                    <w:rPr>
                      <w:rFonts w:ascii="Times New Roman" w:hAnsi="Times New Roman" w:eastAsia="宋体" w:cs="Times New Roman"/>
                      <w:color w:val="000000"/>
                      <w:sz w:val="21"/>
                      <w:szCs w:val="21"/>
                      <w:lang w:eastAsia="zh-CN"/>
                    </w:rPr>
                  </w:pPr>
                  <w:r>
                    <w:rPr>
                      <w:rFonts w:ascii="Times New Roman" w:hAnsi="Times New Roman" w:eastAsia="宋体" w:cs="Times New Roman"/>
                      <w:color w:val="000000"/>
                      <w:sz w:val="21"/>
                      <w:szCs w:val="21"/>
                      <w:lang w:eastAsia="zh-CN"/>
                    </w:rPr>
                    <w:t>是否考虑岸线熏烟</w:t>
                  </w:r>
                </w:p>
              </w:tc>
              <w:tc>
                <w:tcPr>
                  <w:tcW w:w="2041" w:type="pct"/>
                  <w:vAlign w:val="center"/>
                </w:tcPr>
                <w:p>
                  <w:pPr>
                    <w:widowControl/>
                    <w:jc w:val="center"/>
                    <w:rPr>
                      <w:rFonts w:ascii="Times New Roman" w:hAnsi="Times New Roman" w:eastAsia="宋体" w:cs="Times New Roman"/>
                      <w:color w:val="000000"/>
                      <w:sz w:val="21"/>
                      <w:szCs w:val="21"/>
                      <w:lang w:eastAsia="zh-CN"/>
                    </w:rPr>
                  </w:pPr>
                  <w:r>
                    <w:rPr>
                      <w:rFonts w:ascii="Times New Roman" w:hAnsi="Times New Roman" w:eastAsia="宋体" w:cs="Times New Roman"/>
                      <w:color w:val="000000"/>
                      <w:sz w:val="21"/>
                      <w:szCs w:val="21"/>
                      <w:lang w:eastAsia="zh-CN"/>
                    </w:rPr>
                    <w:t>考虑岸线熏烟</w:t>
                  </w:r>
                </w:p>
              </w:tc>
              <w:tc>
                <w:tcPr>
                  <w:tcW w:w="1058" w:type="pct"/>
                  <w:vAlign w:val="center"/>
                </w:tcPr>
                <w:p>
                  <w:pPr>
                    <w:widowControl/>
                    <w:jc w:val="center"/>
                    <w:rPr>
                      <w:rFonts w:ascii="Times New Roman" w:hAnsi="Times New Roman" w:eastAsia="宋体" w:cs="Times New Roman"/>
                      <w:color w:val="000000"/>
                      <w:sz w:val="21"/>
                      <w:szCs w:val="21"/>
                      <w:lang w:eastAsia="zh-CN"/>
                    </w:rPr>
                  </w:pPr>
                  <w:r>
                    <w:rPr>
                      <w:rFonts w:ascii="Times New Roman" w:hAnsi="Times New Roman" w:eastAsia="宋体" w:cs="Times New Roman"/>
                      <w:color w:val="000000"/>
                      <w:sz w:val="21"/>
                      <w:szCs w:val="21"/>
                      <w:lang w:eastAsia="zh-CN"/>
                    </w:rPr>
                    <w:t>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1901" w:type="pct"/>
                  <w:vMerge w:val="continue"/>
                  <w:vAlign w:val="center"/>
                </w:tcPr>
                <w:p>
                  <w:pPr>
                    <w:widowControl/>
                    <w:jc w:val="center"/>
                    <w:rPr>
                      <w:rFonts w:ascii="Times New Roman" w:hAnsi="Times New Roman" w:eastAsia="宋体" w:cs="Times New Roman"/>
                      <w:color w:val="000000"/>
                      <w:sz w:val="21"/>
                      <w:szCs w:val="21"/>
                      <w:lang w:eastAsia="zh-CN"/>
                    </w:rPr>
                  </w:pPr>
                </w:p>
              </w:tc>
              <w:tc>
                <w:tcPr>
                  <w:tcW w:w="2041" w:type="pct"/>
                  <w:vAlign w:val="center"/>
                </w:tcPr>
                <w:p>
                  <w:pPr>
                    <w:widowControl/>
                    <w:jc w:val="center"/>
                    <w:rPr>
                      <w:rFonts w:ascii="Times New Roman" w:hAnsi="Times New Roman" w:eastAsia="宋体" w:cs="Times New Roman"/>
                      <w:color w:val="000000"/>
                      <w:sz w:val="21"/>
                      <w:szCs w:val="21"/>
                      <w:lang w:eastAsia="zh-CN"/>
                    </w:rPr>
                  </w:pPr>
                  <w:r>
                    <w:rPr>
                      <w:rFonts w:ascii="Times New Roman" w:hAnsi="Times New Roman" w:eastAsia="宋体" w:cs="Times New Roman"/>
                      <w:color w:val="000000"/>
                      <w:sz w:val="21"/>
                      <w:szCs w:val="21"/>
                      <w:lang w:eastAsia="zh-CN"/>
                    </w:rPr>
                    <w:t>岸线距离/m</w:t>
                  </w:r>
                </w:p>
              </w:tc>
              <w:tc>
                <w:tcPr>
                  <w:tcW w:w="1058" w:type="pct"/>
                  <w:vAlign w:val="center"/>
                </w:tcPr>
                <w:p>
                  <w:pPr>
                    <w:widowControl/>
                    <w:jc w:val="center"/>
                    <w:rPr>
                      <w:rFonts w:ascii="Times New Roman" w:hAnsi="Times New Roman" w:eastAsia="宋体" w:cs="Times New Roman"/>
                      <w:color w:val="000000"/>
                      <w:sz w:val="21"/>
                      <w:szCs w:val="21"/>
                      <w:lang w:eastAsia="zh-CN"/>
                    </w:rPr>
                  </w:pPr>
                  <w:r>
                    <w:rPr>
                      <w:rFonts w:ascii="Times New Roman" w:hAnsi="Times New Roman" w:eastAsia="宋体" w:cs="Times New Roman"/>
                      <w:color w:val="000000"/>
                      <w:sz w:val="21"/>
                      <w:szCs w:val="21"/>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1901" w:type="pct"/>
                  <w:vMerge w:val="continue"/>
                  <w:vAlign w:val="center"/>
                </w:tcPr>
                <w:p>
                  <w:pPr>
                    <w:widowControl/>
                    <w:jc w:val="center"/>
                    <w:rPr>
                      <w:rFonts w:ascii="Times New Roman" w:hAnsi="Times New Roman" w:eastAsia="宋体" w:cs="Times New Roman"/>
                      <w:color w:val="000000"/>
                      <w:sz w:val="21"/>
                      <w:szCs w:val="21"/>
                      <w:lang w:eastAsia="zh-CN"/>
                    </w:rPr>
                  </w:pPr>
                </w:p>
              </w:tc>
              <w:tc>
                <w:tcPr>
                  <w:tcW w:w="2041" w:type="pct"/>
                  <w:vAlign w:val="center"/>
                </w:tcPr>
                <w:p>
                  <w:pPr>
                    <w:widowControl/>
                    <w:jc w:val="center"/>
                    <w:rPr>
                      <w:rFonts w:ascii="Times New Roman" w:hAnsi="Times New Roman" w:eastAsia="宋体" w:cs="Times New Roman"/>
                      <w:color w:val="000000"/>
                      <w:sz w:val="21"/>
                      <w:szCs w:val="21"/>
                      <w:lang w:eastAsia="zh-CN"/>
                    </w:rPr>
                  </w:pPr>
                  <w:r>
                    <w:rPr>
                      <w:rFonts w:ascii="Times New Roman" w:hAnsi="Times New Roman" w:eastAsia="宋体" w:cs="Times New Roman"/>
                      <w:color w:val="000000"/>
                      <w:sz w:val="21"/>
                      <w:szCs w:val="21"/>
                      <w:lang w:eastAsia="zh-CN"/>
                    </w:rPr>
                    <w:t>岸线方向/°</w:t>
                  </w:r>
                </w:p>
              </w:tc>
              <w:tc>
                <w:tcPr>
                  <w:tcW w:w="1058" w:type="pct"/>
                  <w:vAlign w:val="center"/>
                </w:tcPr>
                <w:p>
                  <w:pPr>
                    <w:widowControl/>
                    <w:jc w:val="center"/>
                    <w:rPr>
                      <w:rFonts w:ascii="Times New Roman" w:hAnsi="Times New Roman" w:eastAsia="宋体" w:cs="Times New Roman"/>
                      <w:color w:val="000000"/>
                      <w:sz w:val="21"/>
                      <w:szCs w:val="21"/>
                      <w:lang w:eastAsia="zh-CN"/>
                    </w:rPr>
                  </w:pPr>
                  <w:r>
                    <w:rPr>
                      <w:rFonts w:ascii="Times New Roman" w:hAnsi="Times New Roman" w:eastAsia="宋体" w:cs="Times New Roman"/>
                      <w:color w:val="000000"/>
                      <w:sz w:val="21"/>
                      <w:szCs w:val="21"/>
                      <w:lang w:eastAsia="zh-CN"/>
                    </w:rPr>
                    <w:t>/</w:t>
                  </w:r>
                </w:p>
              </w:tc>
            </w:tr>
          </w:tbl>
          <w:p>
            <w:pPr>
              <w:overflowPunct w:val="0"/>
              <w:autoSpaceDE w:val="0"/>
              <w:autoSpaceDN w:val="0"/>
              <w:spacing w:line="460" w:lineRule="exact"/>
              <w:ind w:firstLine="480" w:firstLineChars="200"/>
              <w:jc w:val="both"/>
              <w:rPr>
                <w:rFonts w:ascii="Times New Roman" w:hAnsi="Times New Roman" w:eastAsia="宋体" w:cs="Times New Roman"/>
                <w:szCs w:val="24"/>
                <w:lang w:eastAsia="zh-CN"/>
              </w:rPr>
            </w:pPr>
            <w:r>
              <w:rPr>
                <w:rFonts w:ascii="Times New Roman" w:hAnsi="Times New Roman" w:eastAsia="宋体" w:cs="Times New Roman"/>
                <w:sz w:val="24"/>
                <w:szCs w:val="24"/>
                <w:lang w:eastAsia="zh-CN"/>
              </w:rPr>
              <w:t>项目主要污染源估算模型计算结果详见表</w:t>
            </w:r>
            <w:r>
              <w:rPr>
                <w:rFonts w:hint="eastAsia" w:ascii="Times New Roman" w:hAnsi="Times New Roman" w:eastAsia="宋体" w:cs="Times New Roman"/>
                <w:bCs/>
                <w:sz w:val="24"/>
                <w:szCs w:val="24"/>
                <w:lang w:eastAsia="zh-CN"/>
              </w:rPr>
              <w:t>4.2-5</w:t>
            </w:r>
            <w:r>
              <w:rPr>
                <w:rFonts w:ascii="Times New Roman" w:hAnsi="Times New Roman" w:eastAsia="宋体" w:cs="Times New Roman"/>
                <w:bCs/>
                <w:sz w:val="24"/>
                <w:lang w:eastAsia="zh-CN"/>
              </w:rPr>
              <w:t>~</w:t>
            </w:r>
            <w:r>
              <w:rPr>
                <w:rFonts w:hint="eastAsia" w:ascii="Times New Roman" w:hAnsi="Times New Roman" w:eastAsia="宋体" w:cs="Times New Roman"/>
                <w:bCs/>
                <w:sz w:val="24"/>
                <w:lang w:eastAsia="zh-CN"/>
              </w:rPr>
              <w:t>4.2-6</w:t>
            </w:r>
            <w:r>
              <w:rPr>
                <w:rFonts w:ascii="Times New Roman" w:hAnsi="Times New Roman" w:eastAsia="宋体" w:cs="Times New Roman"/>
                <w:sz w:val="24"/>
                <w:szCs w:val="24"/>
                <w:lang w:eastAsia="zh-CN"/>
              </w:rPr>
              <w:t>，</w:t>
            </w:r>
            <w:r>
              <w:rPr>
                <w:rFonts w:ascii="Times New Roman" w:hAnsi="Times New Roman" w:eastAsia="宋体" w:cs="Times New Roman"/>
                <w:sz w:val="24"/>
                <w:szCs w:val="32"/>
                <w:lang w:eastAsia="zh-CN"/>
              </w:rPr>
              <w:t>本项目所有污染源的正常排放的污染物</w:t>
            </w:r>
            <w:r>
              <w:rPr>
                <w:rFonts w:ascii="Times New Roman" w:hAnsi="Times New Roman" w:eastAsia="宋体" w:cs="Times New Roman"/>
                <w:sz w:val="24"/>
                <w:szCs w:val="24"/>
                <w:lang w:eastAsia="zh-CN"/>
              </w:rPr>
              <w:t>的P</w:t>
            </w:r>
            <w:r>
              <w:rPr>
                <w:rFonts w:ascii="Times New Roman" w:hAnsi="Times New Roman" w:eastAsia="宋体" w:cs="Times New Roman"/>
                <w:sz w:val="24"/>
                <w:szCs w:val="24"/>
                <w:vertAlign w:val="subscript"/>
                <w:lang w:eastAsia="zh-CN"/>
              </w:rPr>
              <w:t>max</w:t>
            </w:r>
            <w:r>
              <w:rPr>
                <w:rFonts w:ascii="Times New Roman" w:hAnsi="Times New Roman" w:eastAsia="宋体" w:cs="Times New Roman"/>
                <w:sz w:val="24"/>
                <w:szCs w:val="24"/>
                <w:lang w:eastAsia="zh-CN"/>
              </w:rPr>
              <w:t>和D</w:t>
            </w:r>
            <w:r>
              <w:rPr>
                <w:rFonts w:ascii="Times New Roman" w:hAnsi="Times New Roman" w:eastAsia="宋体" w:cs="Times New Roman"/>
                <w:sz w:val="24"/>
                <w:szCs w:val="24"/>
                <w:vertAlign w:val="subscript"/>
                <w:lang w:eastAsia="zh-CN"/>
              </w:rPr>
              <w:t>10%</w:t>
            </w:r>
            <w:r>
              <w:rPr>
                <w:rFonts w:ascii="Times New Roman" w:hAnsi="Times New Roman" w:eastAsia="宋体" w:cs="Times New Roman"/>
                <w:sz w:val="24"/>
                <w:szCs w:val="24"/>
                <w:lang w:eastAsia="zh-CN"/>
              </w:rPr>
              <w:t>预测结果如下</w:t>
            </w:r>
            <w:r>
              <w:rPr>
                <w:rFonts w:ascii="Times New Roman" w:hAnsi="Times New Roman" w:eastAsia="宋体" w:cs="Times New Roman"/>
                <w:szCs w:val="24"/>
                <w:lang w:eastAsia="zh-CN"/>
              </w:rPr>
              <w:t>：</w:t>
            </w:r>
          </w:p>
          <w:p>
            <w:pPr>
              <w:pStyle w:val="42"/>
              <w:spacing w:before="120"/>
            </w:pPr>
            <w:r>
              <w:t>表</w:t>
            </w:r>
            <w:r>
              <w:rPr>
                <w:rFonts w:hint="eastAsia"/>
              </w:rPr>
              <w:t xml:space="preserve">4.2-5 </w:t>
            </w:r>
            <w:r>
              <w:t xml:space="preserve"> </w:t>
            </w:r>
            <w:r>
              <w:rPr>
                <w:rFonts w:hint="eastAsia"/>
              </w:rPr>
              <w:t>正常工况下P</w:t>
            </w:r>
            <w:r>
              <w:rPr>
                <w:rFonts w:hint="eastAsia"/>
                <w:vertAlign w:val="subscript"/>
              </w:rPr>
              <w:t>max</w:t>
            </w:r>
            <w:r>
              <w:rPr>
                <w:rFonts w:hint="eastAsia"/>
              </w:rPr>
              <w:t>和D</w:t>
            </w:r>
            <w:r>
              <w:rPr>
                <w:rFonts w:hint="eastAsia"/>
                <w:vertAlign w:val="subscript"/>
              </w:rPr>
              <w:t>10%</w:t>
            </w:r>
            <w:r>
              <w:rPr>
                <w:rFonts w:hint="eastAsia"/>
              </w:rPr>
              <w:t>预测和计算</w:t>
            </w:r>
            <w:r>
              <w:t>结果</w:t>
            </w:r>
            <w:r>
              <w:rPr>
                <w:rFonts w:hint="eastAsia"/>
              </w:rPr>
              <w:t>一览表</w:t>
            </w:r>
          </w:p>
          <w:tbl>
            <w:tblPr>
              <w:tblStyle w:val="47"/>
              <w:tblW w:w="499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27"/>
              <w:gridCol w:w="1093"/>
              <w:gridCol w:w="1600"/>
              <w:gridCol w:w="1655"/>
              <w:gridCol w:w="1533"/>
              <w:gridCol w:w="153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807" w:type="pct"/>
                  <w:vAlign w:val="center"/>
                </w:tcPr>
                <w:p>
                  <w:pPr>
                    <w:pStyle w:val="39"/>
                  </w:pPr>
                  <w:r>
                    <w:t>污染源名称</w:t>
                  </w:r>
                </w:p>
              </w:tc>
              <w:tc>
                <w:tcPr>
                  <w:tcW w:w="618" w:type="pct"/>
                  <w:vAlign w:val="center"/>
                </w:tcPr>
                <w:p>
                  <w:pPr>
                    <w:pStyle w:val="39"/>
                  </w:pPr>
                  <w:r>
                    <w:t>评价因子</w:t>
                  </w:r>
                </w:p>
              </w:tc>
              <w:tc>
                <w:tcPr>
                  <w:tcW w:w="905" w:type="pct"/>
                  <w:vAlign w:val="center"/>
                </w:tcPr>
                <w:p>
                  <w:pPr>
                    <w:pStyle w:val="39"/>
                  </w:pPr>
                  <w:r>
                    <w:rPr>
                      <w:rFonts w:hint="eastAsia"/>
                    </w:rPr>
                    <w:t>环境质量</w:t>
                  </w:r>
                  <w:r>
                    <w:t>标准(</w:t>
                  </w:r>
                  <w:r>
                    <w:rPr>
                      <w:rFonts w:hint="eastAsia"/>
                    </w:rPr>
                    <w:t>m</w:t>
                  </w:r>
                  <w:r>
                    <w:t>g/m³)</w:t>
                  </w:r>
                </w:p>
              </w:tc>
              <w:tc>
                <w:tcPr>
                  <w:tcW w:w="936" w:type="pct"/>
                  <w:vAlign w:val="center"/>
                </w:tcPr>
                <w:p>
                  <w:pPr>
                    <w:pStyle w:val="39"/>
                  </w:pPr>
                  <w:r>
                    <w:t>C</w:t>
                  </w:r>
                  <w:r>
                    <w:rPr>
                      <w:vertAlign w:val="subscript"/>
                    </w:rPr>
                    <w:t>max</w:t>
                  </w:r>
                  <w:r>
                    <w:t>(</w:t>
                  </w:r>
                  <w:r>
                    <w:rPr>
                      <w:rFonts w:hint="eastAsia"/>
                    </w:rPr>
                    <w:t>m</w:t>
                  </w:r>
                  <w:r>
                    <w:t>g/m³)</w:t>
                  </w:r>
                </w:p>
              </w:tc>
              <w:tc>
                <w:tcPr>
                  <w:tcW w:w="867" w:type="pct"/>
                  <w:vAlign w:val="center"/>
                </w:tcPr>
                <w:p>
                  <w:pPr>
                    <w:pStyle w:val="39"/>
                  </w:pPr>
                  <w:r>
                    <w:t>P</w:t>
                  </w:r>
                  <w:r>
                    <w:rPr>
                      <w:vertAlign w:val="subscript"/>
                    </w:rPr>
                    <w:t>max</w:t>
                  </w:r>
                  <w:r>
                    <w:t>(%)</w:t>
                  </w:r>
                </w:p>
              </w:tc>
              <w:tc>
                <w:tcPr>
                  <w:tcW w:w="867" w:type="pct"/>
                  <w:vAlign w:val="center"/>
                </w:tcPr>
                <w:p>
                  <w:pPr>
                    <w:pStyle w:val="39"/>
                  </w:pPr>
                  <w:r>
                    <w:rPr>
                      <w:rFonts w:hint="eastAsia"/>
                    </w:rPr>
                    <w:t>厂界监控浓度限值</w:t>
                  </w:r>
                  <w:r>
                    <w:t>mg/m</w:t>
                  </w:r>
                  <w:r>
                    <w:rPr>
                      <w:vertAlign w:val="superscript"/>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7" w:type="pct"/>
                  <w:vAlign w:val="center"/>
                </w:tcPr>
                <w:p>
                  <w:pPr>
                    <w:pStyle w:val="39"/>
                  </w:pPr>
                  <w:r>
                    <w:rPr>
                      <w:rFonts w:hint="eastAsia"/>
                    </w:rPr>
                    <w:t>加油</w:t>
                  </w:r>
                  <w:r>
                    <w:t>区</w:t>
                  </w:r>
                </w:p>
              </w:tc>
              <w:tc>
                <w:tcPr>
                  <w:tcW w:w="618" w:type="pct"/>
                  <w:vAlign w:val="center"/>
                </w:tcPr>
                <w:p>
                  <w:pPr>
                    <w:pStyle w:val="39"/>
                  </w:pPr>
                  <w:r>
                    <w:t>NMHC</w:t>
                  </w:r>
                </w:p>
              </w:tc>
              <w:tc>
                <w:tcPr>
                  <w:tcW w:w="905" w:type="pct"/>
                  <w:vAlign w:val="center"/>
                </w:tcPr>
                <w:p>
                  <w:pPr>
                    <w:pStyle w:val="39"/>
                  </w:pPr>
                  <w:r>
                    <w:rPr>
                      <w:rFonts w:hint="eastAsia"/>
                    </w:rPr>
                    <w:t>2.0</w:t>
                  </w:r>
                </w:p>
              </w:tc>
              <w:tc>
                <w:tcPr>
                  <w:tcW w:w="936" w:type="pct"/>
                  <w:vAlign w:val="center"/>
                </w:tcPr>
                <w:p>
                  <w:pPr>
                    <w:pStyle w:val="39"/>
                  </w:pPr>
                  <w:r>
                    <w:rPr>
                      <w:rFonts w:hint="eastAsia"/>
                    </w:rPr>
                    <w:t>0.19093</w:t>
                  </w:r>
                </w:p>
              </w:tc>
              <w:tc>
                <w:tcPr>
                  <w:tcW w:w="867" w:type="pct"/>
                  <w:vAlign w:val="center"/>
                </w:tcPr>
                <w:p>
                  <w:pPr>
                    <w:pStyle w:val="39"/>
                  </w:pPr>
                  <w:r>
                    <w:rPr>
                      <w:rFonts w:hint="eastAsia"/>
                    </w:rPr>
                    <w:t>9.55</w:t>
                  </w:r>
                </w:p>
              </w:tc>
              <w:tc>
                <w:tcPr>
                  <w:tcW w:w="867" w:type="pct"/>
                  <w:vAlign w:val="center"/>
                </w:tcPr>
                <w:p>
                  <w:pPr>
                    <w:pStyle w:val="39"/>
                  </w:pPr>
                  <w:r>
                    <w:rPr>
                      <w:rFonts w:hint="eastAsia"/>
                    </w:rPr>
                    <w:t>4</w:t>
                  </w:r>
                </w:p>
              </w:tc>
            </w:tr>
          </w:tbl>
          <w:p>
            <w:pPr>
              <w:pStyle w:val="42"/>
              <w:spacing w:before="120"/>
            </w:pPr>
            <w:r>
              <w:t>表</w:t>
            </w:r>
            <w:r>
              <w:rPr>
                <w:rFonts w:hint="eastAsia"/>
              </w:rPr>
              <w:t>4.2-6  正常工况下无组织最大P</w:t>
            </w:r>
            <w:r>
              <w:rPr>
                <w:rFonts w:hint="eastAsia"/>
                <w:vertAlign w:val="subscript"/>
              </w:rPr>
              <w:t>max</w:t>
            </w:r>
            <w:r>
              <w:rPr>
                <w:rFonts w:hint="eastAsia"/>
              </w:rPr>
              <w:t>和D</w:t>
            </w:r>
            <w:r>
              <w:rPr>
                <w:rFonts w:hint="eastAsia"/>
                <w:vertAlign w:val="subscript"/>
              </w:rPr>
              <w:t>10%</w:t>
            </w:r>
            <w:r>
              <w:t>结果</w:t>
            </w:r>
          </w:p>
          <w:tbl>
            <w:tblPr>
              <w:tblStyle w:val="4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06"/>
              <w:gridCol w:w="1528"/>
              <w:gridCol w:w="1463"/>
              <w:gridCol w:w="1447"/>
              <w:gridCol w:w="1528"/>
              <w:gridCol w:w="147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5000" w:type="pct"/>
                  <w:gridSpan w:val="6"/>
                  <w:vAlign w:val="center"/>
                </w:tcPr>
                <w:p>
                  <w:pPr>
                    <w:pStyle w:val="39"/>
                  </w:pPr>
                  <w:r>
                    <w:rPr>
                      <w:rFonts w:hint="eastAsia"/>
                    </w:rPr>
                    <w:t>矩形面源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5" w:type="pct"/>
                  <w:vAlign w:val="center"/>
                </w:tcPr>
                <w:p>
                  <w:pPr>
                    <w:pStyle w:val="39"/>
                  </w:pPr>
                  <w:r>
                    <w:rPr>
                      <w:rFonts w:hint="eastAsia"/>
                    </w:rPr>
                    <w:t>下风向距离（m）</w:t>
                  </w:r>
                </w:p>
              </w:tc>
              <w:tc>
                <w:tcPr>
                  <w:tcW w:w="864" w:type="pct"/>
                  <w:vAlign w:val="center"/>
                </w:tcPr>
                <w:p>
                  <w:pPr>
                    <w:pStyle w:val="39"/>
                  </w:pPr>
                  <w:r>
                    <w:rPr>
                      <w:rFonts w:hint="eastAsia"/>
                    </w:rPr>
                    <w:t>NMHC浓度</w:t>
                  </w:r>
                  <w:r>
                    <w:t>(</w:t>
                  </w:r>
                  <w:r>
                    <w:rPr>
                      <w:rFonts w:hint="eastAsia"/>
                    </w:rPr>
                    <w:t>m</w:t>
                  </w:r>
                  <w:r>
                    <w:t>g/m³)</w:t>
                  </w:r>
                </w:p>
              </w:tc>
              <w:tc>
                <w:tcPr>
                  <w:tcW w:w="827" w:type="pct"/>
                  <w:vAlign w:val="center"/>
                </w:tcPr>
                <w:p>
                  <w:pPr>
                    <w:pStyle w:val="39"/>
                  </w:pPr>
                  <w:r>
                    <w:rPr>
                      <w:rFonts w:hint="eastAsia"/>
                    </w:rPr>
                    <w:t>NMHC占标率</w:t>
                  </w:r>
                  <w:r>
                    <w:t>(%)</w:t>
                  </w:r>
                </w:p>
              </w:tc>
              <w:tc>
                <w:tcPr>
                  <w:tcW w:w="815" w:type="pct"/>
                  <w:vAlign w:val="center"/>
                </w:tcPr>
                <w:p>
                  <w:pPr>
                    <w:pStyle w:val="39"/>
                  </w:pPr>
                  <w:r>
                    <w:rPr>
                      <w:rFonts w:hint="eastAsia"/>
                    </w:rPr>
                    <w:t>下风向距离（m）</w:t>
                  </w:r>
                </w:p>
              </w:tc>
              <w:tc>
                <w:tcPr>
                  <w:tcW w:w="864" w:type="pct"/>
                  <w:vAlign w:val="center"/>
                </w:tcPr>
                <w:p>
                  <w:pPr>
                    <w:pStyle w:val="39"/>
                  </w:pPr>
                  <w:r>
                    <w:rPr>
                      <w:rFonts w:hint="eastAsia"/>
                    </w:rPr>
                    <w:t>NMHC浓度</w:t>
                  </w:r>
                  <w:r>
                    <w:t>(</w:t>
                  </w:r>
                  <w:r>
                    <w:rPr>
                      <w:rFonts w:hint="eastAsia"/>
                    </w:rPr>
                    <w:t>m</w:t>
                  </w:r>
                  <w:r>
                    <w:t>g/m³)</w:t>
                  </w:r>
                </w:p>
              </w:tc>
              <w:tc>
                <w:tcPr>
                  <w:tcW w:w="830" w:type="pct"/>
                  <w:vAlign w:val="center"/>
                </w:tcPr>
                <w:p>
                  <w:pPr>
                    <w:pStyle w:val="39"/>
                  </w:pPr>
                  <w:r>
                    <w:rPr>
                      <w:rFonts w:hint="eastAsia"/>
                    </w:rPr>
                    <w:t>NMHC占标率</w:t>
                  </w:r>
                  <w: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795" w:type="pct"/>
                  <w:vAlign w:val="center"/>
                </w:tcPr>
                <w:p>
                  <w:pPr>
                    <w:pStyle w:val="39"/>
                  </w:pPr>
                  <w:r>
                    <w:t>10.0</w:t>
                  </w:r>
                </w:p>
              </w:tc>
              <w:tc>
                <w:tcPr>
                  <w:tcW w:w="864" w:type="pct"/>
                  <w:vAlign w:val="center"/>
                </w:tcPr>
                <w:p>
                  <w:pPr>
                    <w:pStyle w:val="39"/>
                  </w:pPr>
                  <w:r>
                    <w:rPr>
                      <w:rFonts w:hint="eastAsia"/>
                    </w:rPr>
                    <w:t>0.14291</w:t>
                  </w:r>
                </w:p>
              </w:tc>
              <w:tc>
                <w:tcPr>
                  <w:tcW w:w="827" w:type="pct"/>
                  <w:vAlign w:val="center"/>
                </w:tcPr>
                <w:p>
                  <w:pPr>
                    <w:pStyle w:val="39"/>
                    <w:rPr>
                      <w:color w:val="000000"/>
                    </w:rPr>
                  </w:pPr>
                  <w:r>
                    <w:rPr>
                      <w:rFonts w:hint="eastAsia"/>
                    </w:rPr>
                    <w:t>7.15</w:t>
                  </w:r>
                </w:p>
              </w:tc>
              <w:tc>
                <w:tcPr>
                  <w:tcW w:w="1446" w:type="dxa"/>
                  <w:vAlign w:val="center"/>
                </w:tcPr>
                <w:p>
                  <w:pPr>
                    <w:pStyle w:val="39"/>
                  </w:pPr>
                  <w:r>
                    <w:t>775.0</w:t>
                  </w:r>
                </w:p>
              </w:tc>
              <w:tc>
                <w:tcPr>
                  <w:tcW w:w="864" w:type="pct"/>
                  <w:vAlign w:val="center"/>
                </w:tcPr>
                <w:p>
                  <w:pPr>
                    <w:pStyle w:val="39"/>
                  </w:pPr>
                  <w:r>
                    <w:rPr>
                      <w:rFonts w:hint="eastAsia"/>
                    </w:rPr>
                    <w:t>0.03757</w:t>
                  </w:r>
                </w:p>
              </w:tc>
              <w:tc>
                <w:tcPr>
                  <w:tcW w:w="830" w:type="pct"/>
                  <w:vAlign w:val="center"/>
                </w:tcPr>
                <w:p>
                  <w:pPr>
                    <w:pStyle w:val="39"/>
                  </w:pPr>
                  <w:r>
                    <w:rPr>
                      <w:rFonts w:hint="eastAsia"/>
                    </w:rPr>
                    <w:t>1.88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05" w:type="dxa"/>
                  <w:vAlign w:val="center"/>
                </w:tcPr>
                <w:p>
                  <w:pPr>
                    <w:pStyle w:val="39"/>
                    <w:rPr>
                      <w:bCs/>
                    </w:rPr>
                  </w:pPr>
                  <w:r>
                    <w:rPr>
                      <w:bCs/>
                    </w:rPr>
                    <w:t>25.0</w:t>
                  </w:r>
                </w:p>
              </w:tc>
              <w:tc>
                <w:tcPr>
                  <w:tcW w:w="1527" w:type="dxa"/>
                  <w:vAlign w:val="center"/>
                </w:tcPr>
                <w:p>
                  <w:pPr>
                    <w:pStyle w:val="39"/>
                    <w:rPr>
                      <w:bCs/>
                    </w:rPr>
                  </w:pPr>
                  <w:r>
                    <w:rPr>
                      <w:rFonts w:hint="eastAsia"/>
                      <w:bCs/>
                    </w:rPr>
                    <w:t>0.19093</w:t>
                  </w:r>
                </w:p>
              </w:tc>
              <w:tc>
                <w:tcPr>
                  <w:tcW w:w="1462" w:type="dxa"/>
                  <w:vAlign w:val="center"/>
                </w:tcPr>
                <w:p>
                  <w:pPr>
                    <w:pStyle w:val="39"/>
                    <w:rPr>
                      <w:bCs/>
                    </w:rPr>
                  </w:pPr>
                  <w:r>
                    <w:rPr>
                      <w:rFonts w:hint="eastAsia"/>
                      <w:bCs/>
                    </w:rPr>
                    <w:t>9.55</w:t>
                  </w:r>
                </w:p>
              </w:tc>
              <w:tc>
                <w:tcPr>
                  <w:tcW w:w="1446" w:type="dxa"/>
                  <w:vAlign w:val="center"/>
                </w:tcPr>
                <w:p>
                  <w:pPr>
                    <w:pStyle w:val="39"/>
                  </w:pPr>
                  <w:r>
                    <w:t>800.0</w:t>
                  </w:r>
                </w:p>
              </w:tc>
              <w:tc>
                <w:tcPr>
                  <w:tcW w:w="864" w:type="pct"/>
                  <w:vAlign w:val="center"/>
                </w:tcPr>
                <w:p>
                  <w:pPr>
                    <w:pStyle w:val="39"/>
                  </w:pPr>
                  <w:r>
                    <w:rPr>
                      <w:rFonts w:hint="eastAsia"/>
                    </w:rPr>
                    <w:t>0.037005</w:t>
                  </w:r>
                </w:p>
              </w:tc>
              <w:tc>
                <w:tcPr>
                  <w:tcW w:w="830" w:type="pct"/>
                  <w:vAlign w:val="center"/>
                </w:tcPr>
                <w:p>
                  <w:pPr>
                    <w:pStyle w:val="39"/>
                  </w:pPr>
                  <w:r>
                    <w:rPr>
                      <w:rFonts w:hint="eastAsia"/>
                    </w:rPr>
                    <w:t>1.85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795" w:type="pct"/>
                  <w:vAlign w:val="center"/>
                </w:tcPr>
                <w:p>
                  <w:pPr>
                    <w:pStyle w:val="39"/>
                  </w:pPr>
                  <w:r>
                    <w:t>50.0</w:t>
                  </w:r>
                </w:p>
              </w:tc>
              <w:tc>
                <w:tcPr>
                  <w:tcW w:w="864" w:type="pct"/>
                  <w:vAlign w:val="center"/>
                </w:tcPr>
                <w:p>
                  <w:pPr>
                    <w:pStyle w:val="39"/>
                  </w:pPr>
                  <w:r>
                    <w:t>0.16877</w:t>
                  </w:r>
                </w:p>
              </w:tc>
              <w:tc>
                <w:tcPr>
                  <w:tcW w:w="827" w:type="pct"/>
                  <w:vAlign w:val="center"/>
                </w:tcPr>
                <w:p>
                  <w:pPr>
                    <w:pStyle w:val="39"/>
                  </w:pPr>
                  <w:r>
                    <w:rPr>
                      <w:rFonts w:hint="eastAsia"/>
                    </w:rPr>
                    <w:t>8.44</w:t>
                  </w:r>
                </w:p>
              </w:tc>
              <w:tc>
                <w:tcPr>
                  <w:tcW w:w="1446" w:type="dxa"/>
                  <w:vAlign w:val="center"/>
                </w:tcPr>
                <w:p>
                  <w:pPr>
                    <w:pStyle w:val="39"/>
                  </w:pPr>
                  <w:r>
                    <w:t>825.0</w:t>
                  </w:r>
                </w:p>
              </w:tc>
              <w:tc>
                <w:tcPr>
                  <w:tcW w:w="864" w:type="pct"/>
                  <w:vAlign w:val="center"/>
                </w:tcPr>
                <w:p>
                  <w:pPr>
                    <w:pStyle w:val="39"/>
                  </w:pPr>
                  <w:r>
                    <w:rPr>
                      <w:rFonts w:hint="eastAsia"/>
                    </w:rPr>
                    <w:t>0.036456</w:t>
                  </w:r>
                </w:p>
              </w:tc>
              <w:tc>
                <w:tcPr>
                  <w:tcW w:w="830" w:type="pct"/>
                  <w:vAlign w:val="center"/>
                </w:tcPr>
                <w:p>
                  <w:pPr>
                    <w:pStyle w:val="39"/>
                  </w:pPr>
                  <w:r>
                    <w:rPr>
                      <w:rFonts w:hint="eastAsia"/>
                    </w:rPr>
                    <w:t>1.82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795" w:type="pct"/>
                  <w:vAlign w:val="center"/>
                </w:tcPr>
                <w:p>
                  <w:pPr>
                    <w:pStyle w:val="39"/>
                  </w:pPr>
                  <w:r>
                    <w:t>75.0</w:t>
                  </w:r>
                </w:p>
              </w:tc>
              <w:tc>
                <w:tcPr>
                  <w:tcW w:w="864" w:type="pct"/>
                  <w:vAlign w:val="center"/>
                </w:tcPr>
                <w:p>
                  <w:pPr>
                    <w:pStyle w:val="39"/>
                  </w:pPr>
                  <w:r>
                    <w:t>0.11684</w:t>
                  </w:r>
                </w:p>
              </w:tc>
              <w:tc>
                <w:tcPr>
                  <w:tcW w:w="827" w:type="pct"/>
                  <w:vAlign w:val="center"/>
                </w:tcPr>
                <w:p>
                  <w:pPr>
                    <w:pStyle w:val="39"/>
                  </w:pPr>
                  <w:r>
                    <w:rPr>
                      <w:rFonts w:hint="eastAsia"/>
                    </w:rPr>
                    <w:t>5.84</w:t>
                  </w:r>
                </w:p>
              </w:tc>
              <w:tc>
                <w:tcPr>
                  <w:tcW w:w="1446" w:type="dxa"/>
                  <w:vAlign w:val="center"/>
                </w:tcPr>
                <w:p>
                  <w:pPr>
                    <w:pStyle w:val="39"/>
                  </w:pPr>
                  <w:r>
                    <w:t>850.0</w:t>
                  </w:r>
                </w:p>
              </w:tc>
              <w:tc>
                <w:tcPr>
                  <w:tcW w:w="864" w:type="pct"/>
                  <w:vAlign w:val="center"/>
                </w:tcPr>
                <w:p>
                  <w:pPr>
                    <w:pStyle w:val="39"/>
                  </w:pPr>
                  <w:r>
                    <w:rPr>
                      <w:rFonts w:hint="eastAsia"/>
                    </w:rPr>
                    <w:t>0.035922</w:t>
                  </w:r>
                </w:p>
              </w:tc>
              <w:tc>
                <w:tcPr>
                  <w:tcW w:w="830" w:type="pct"/>
                  <w:vAlign w:val="center"/>
                </w:tcPr>
                <w:p>
                  <w:pPr>
                    <w:pStyle w:val="39"/>
                  </w:pPr>
                  <w:r>
                    <w:rPr>
                      <w:rFonts w:hint="eastAsia"/>
                    </w:rPr>
                    <w:t>1.80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795" w:type="pct"/>
                  <w:vAlign w:val="center"/>
                </w:tcPr>
                <w:p>
                  <w:pPr>
                    <w:pStyle w:val="39"/>
                  </w:pPr>
                  <w:r>
                    <w:rPr>
                      <w:rFonts w:hint="eastAsia"/>
                    </w:rPr>
                    <w:t>100.0</w:t>
                  </w:r>
                </w:p>
              </w:tc>
              <w:tc>
                <w:tcPr>
                  <w:tcW w:w="864" w:type="pct"/>
                  <w:vAlign w:val="center"/>
                </w:tcPr>
                <w:p>
                  <w:pPr>
                    <w:pStyle w:val="39"/>
                  </w:pPr>
                  <w:r>
                    <w:t>0.084732</w:t>
                  </w:r>
                </w:p>
              </w:tc>
              <w:tc>
                <w:tcPr>
                  <w:tcW w:w="827" w:type="pct"/>
                  <w:vAlign w:val="center"/>
                </w:tcPr>
                <w:p>
                  <w:pPr>
                    <w:pStyle w:val="39"/>
                  </w:pPr>
                  <w:r>
                    <w:rPr>
                      <w:rFonts w:hint="eastAsia"/>
                    </w:rPr>
                    <w:t>4.24</w:t>
                  </w:r>
                </w:p>
              </w:tc>
              <w:tc>
                <w:tcPr>
                  <w:tcW w:w="1446" w:type="dxa"/>
                  <w:vAlign w:val="center"/>
                </w:tcPr>
                <w:p>
                  <w:pPr>
                    <w:pStyle w:val="39"/>
                  </w:pPr>
                  <w:r>
                    <w:t>875.0</w:t>
                  </w:r>
                </w:p>
              </w:tc>
              <w:tc>
                <w:tcPr>
                  <w:tcW w:w="864" w:type="pct"/>
                  <w:vAlign w:val="center"/>
                </w:tcPr>
                <w:p>
                  <w:pPr>
                    <w:pStyle w:val="39"/>
                  </w:pPr>
                  <w:r>
                    <w:rPr>
                      <w:rFonts w:hint="eastAsia"/>
                    </w:rPr>
                    <w:t>0.035403</w:t>
                  </w:r>
                </w:p>
              </w:tc>
              <w:tc>
                <w:tcPr>
                  <w:tcW w:w="830" w:type="pct"/>
                  <w:vAlign w:val="center"/>
                </w:tcPr>
                <w:p>
                  <w:pPr>
                    <w:pStyle w:val="39"/>
                  </w:pPr>
                  <w:r>
                    <w:rPr>
                      <w:rFonts w:hint="eastAsia"/>
                    </w:rPr>
                    <w:t>1.77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1405" w:type="dxa"/>
                  <w:vAlign w:val="center"/>
                </w:tcPr>
                <w:p>
                  <w:pPr>
                    <w:pStyle w:val="39"/>
                  </w:pPr>
                  <w:r>
                    <w:rPr>
                      <w:rFonts w:hint="eastAsia"/>
                    </w:rPr>
                    <w:t>125.0</w:t>
                  </w:r>
                </w:p>
              </w:tc>
              <w:tc>
                <w:tcPr>
                  <w:tcW w:w="1527" w:type="dxa"/>
                  <w:vAlign w:val="center"/>
                </w:tcPr>
                <w:p>
                  <w:pPr>
                    <w:pStyle w:val="39"/>
                  </w:pPr>
                  <w:r>
                    <w:t>0.071092</w:t>
                  </w:r>
                </w:p>
              </w:tc>
              <w:tc>
                <w:tcPr>
                  <w:tcW w:w="827" w:type="pct"/>
                  <w:vAlign w:val="center"/>
                </w:tcPr>
                <w:p>
                  <w:pPr>
                    <w:pStyle w:val="39"/>
                  </w:pPr>
                  <w:r>
                    <w:rPr>
                      <w:rFonts w:hint="eastAsia"/>
                    </w:rPr>
                    <w:t>3.55</w:t>
                  </w:r>
                </w:p>
              </w:tc>
              <w:tc>
                <w:tcPr>
                  <w:tcW w:w="1446" w:type="dxa"/>
                  <w:vAlign w:val="center"/>
                </w:tcPr>
                <w:p>
                  <w:pPr>
                    <w:pStyle w:val="39"/>
                  </w:pPr>
                  <w:r>
                    <w:t>900.0</w:t>
                  </w:r>
                </w:p>
              </w:tc>
              <w:tc>
                <w:tcPr>
                  <w:tcW w:w="864" w:type="pct"/>
                  <w:vAlign w:val="center"/>
                </w:tcPr>
                <w:p>
                  <w:pPr>
                    <w:pStyle w:val="39"/>
                  </w:pPr>
                  <w:r>
                    <w:rPr>
                      <w:rFonts w:hint="eastAsia"/>
                    </w:rPr>
                    <w:t>0.034897</w:t>
                  </w:r>
                </w:p>
              </w:tc>
              <w:tc>
                <w:tcPr>
                  <w:tcW w:w="830" w:type="pct"/>
                  <w:vAlign w:val="center"/>
                </w:tcPr>
                <w:p>
                  <w:pPr>
                    <w:pStyle w:val="39"/>
                  </w:pPr>
                  <w:r>
                    <w:rPr>
                      <w:rFonts w:hint="eastAsia"/>
                    </w:rPr>
                    <w:t>1.74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795" w:type="pct"/>
                  <w:vAlign w:val="center"/>
                </w:tcPr>
                <w:p>
                  <w:pPr>
                    <w:pStyle w:val="39"/>
                  </w:pPr>
                  <w:r>
                    <w:rPr>
                      <w:rFonts w:hint="eastAsia"/>
                    </w:rPr>
                    <w:t>150.0</w:t>
                  </w:r>
                </w:p>
              </w:tc>
              <w:tc>
                <w:tcPr>
                  <w:tcW w:w="864" w:type="pct"/>
                  <w:vAlign w:val="center"/>
                </w:tcPr>
                <w:p>
                  <w:pPr>
                    <w:pStyle w:val="39"/>
                  </w:pPr>
                  <w:r>
                    <w:t>0.06672</w:t>
                  </w:r>
                </w:p>
              </w:tc>
              <w:tc>
                <w:tcPr>
                  <w:tcW w:w="827" w:type="pct"/>
                  <w:vAlign w:val="center"/>
                </w:tcPr>
                <w:p>
                  <w:pPr>
                    <w:pStyle w:val="39"/>
                  </w:pPr>
                  <w:r>
                    <w:rPr>
                      <w:rFonts w:hint="eastAsia"/>
                    </w:rPr>
                    <w:t>3.34</w:t>
                  </w:r>
                </w:p>
              </w:tc>
              <w:tc>
                <w:tcPr>
                  <w:tcW w:w="1446" w:type="dxa"/>
                  <w:vAlign w:val="center"/>
                </w:tcPr>
                <w:p>
                  <w:pPr>
                    <w:pStyle w:val="39"/>
                  </w:pPr>
                  <w:r>
                    <w:rPr>
                      <w:rFonts w:hint="eastAsia"/>
                    </w:rPr>
                    <w:t>925.0</w:t>
                  </w:r>
                </w:p>
              </w:tc>
              <w:tc>
                <w:tcPr>
                  <w:tcW w:w="864" w:type="pct"/>
                  <w:vAlign w:val="center"/>
                </w:tcPr>
                <w:p>
                  <w:pPr>
                    <w:pStyle w:val="39"/>
                  </w:pPr>
                  <w:r>
                    <w:rPr>
                      <w:rFonts w:hint="eastAsia"/>
                    </w:rPr>
                    <w:t>0.034405</w:t>
                  </w:r>
                </w:p>
              </w:tc>
              <w:tc>
                <w:tcPr>
                  <w:tcW w:w="830" w:type="pct"/>
                  <w:vAlign w:val="center"/>
                </w:tcPr>
                <w:p>
                  <w:pPr>
                    <w:pStyle w:val="39"/>
                  </w:pPr>
                  <w:r>
                    <w:rPr>
                      <w:rFonts w:hint="eastAsia"/>
                    </w:rPr>
                    <w:t>1.72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1405" w:type="dxa"/>
                  <w:vAlign w:val="center"/>
                </w:tcPr>
                <w:p>
                  <w:pPr>
                    <w:pStyle w:val="39"/>
                  </w:pPr>
                  <w:r>
                    <w:t>175.0</w:t>
                  </w:r>
                </w:p>
              </w:tc>
              <w:tc>
                <w:tcPr>
                  <w:tcW w:w="864" w:type="pct"/>
                  <w:vAlign w:val="center"/>
                </w:tcPr>
                <w:p>
                  <w:pPr>
                    <w:pStyle w:val="39"/>
                  </w:pPr>
                  <w:r>
                    <w:t>0.063376</w:t>
                  </w:r>
                </w:p>
              </w:tc>
              <w:tc>
                <w:tcPr>
                  <w:tcW w:w="827" w:type="pct"/>
                  <w:vAlign w:val="center"/>
                </w:tcPr>
                <w:p>
                  <w:pPr>
                    <w:pStyle w:val="39"/>
                  </w:pPr>
                  <w:r>
                    <w:rPr>
                      <w:rFonts w:hint="eastAsia"/>
                    </w:rPr>
                    <w:t>3.17</w:t>
                  </w:r>
                </w:p>
              </w:tc>
              <w:tc>
                <w:tcPr>
                  <w:tcW w:w="1446" w:type="dxa"/>
                  <w:vAlign w:val="center"/>
                </w:tcPr>
                <w:p>
                  <w:pPr>
                    <w:pStyle w:val="39"/>
                  </w:pPr>
                  <w:r>
                    <w:t>950.0</w:t>
                  </w:r>
                </w:p>
              </w:tc>
              <w:tc>
                <w:tcPr>
                  <w:tcW w:w="864" w:type="pct"/>
                  <w:vAlign w:val="center"/>
                </w:tcPr>
                <w:p>
                  <w:pPr>
                    <w:pStyle w:val="39"/>
                  </w:pPr>
                  <w:r>
                    <w:rPr>
                      <w:rFonts w:hint="eastAsia"/>
                    </w:rPr>
                    <w:t>0.033925</w:t>
                  </w:r>
                </w:p>
              </w:tc>
              <w:tc>
                <w:tcPr>
                  <w:tcW w:w="830" w:type="pct"/>
                  <w:vAlign w:val="center"/>
                </w:tcPr>
                <w:p>
                  <w:pPr>
                    <w:pStyle w:val="39"/>
                  </w:pPr>
                  <w:r>
                    <w:rPr>
                      <w:rFonts w:hint="eastAsia"/>
                    </w:rPr>
                    <w:t>1.70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1405" w:type="dxa"/>
                  <w:vAlign w:val="center"/>
                </w:tcPr>
                <w:p>
                  <w:pPr>
                    <w:pStyle w:val="39"/>
                  </w:pPr>
                  <w:r>
                    <w:t>200.0</w:t>
                  </w:r>
                </w:p>
              </w:tc>
              <w:tc>
                <w:tcPr>
                  <w:tcW w:w="864" w:type="pct"/>
                  <w:vAlign w:val="center"/>
                </w:tcPr>
                <w:p>
                  <w:pPr>
                    <w:pStyle w:val="39"/>
                  </w:pPr>
                  <w:r>
                    <w:t>0.060684</w:t>
                  </w:r>
                </w:p>
              </w:tc>
              <w:tc>
                <w:tcPr>
                  <w:tcW w:w="827" w:type="pct"/>
                  <w:vAlign w:val="center"/>
                </w:tcPr>
                <w:p>
                  <w:pPr>
                    <w:pStyle w:val="39"/>
                  </w:pPr>
                  <w:r>
                    <w:rPr>
                      <w:rFonts w:hint="eastAsia"/>
                    </w:rPr>
                    <w:t>3.03</w:t>
                  </w:r>
                </w:p>
              </w:tc>
              <w:tc>
                <w:tcPr>
                  <w:tcW w:w="1446" w:type="dxa"/>
                  <w:vAlign w:val="center"/>
                </w:tcPr>
                <w:p>
                  <w:pPr>
                    <w:pStyle w:val="39"/>
                  </w:pPr>
                  <w:r>
                    <w:t>975.0</w:t>
                  </w:r>
                </w:p>
              </w:tc>
              <w:tc>
                <w:tcPr>
                  <w:tcW w:w="864" w:type="pct"/>
                  <w:vAlign w:val="center"/>
                </w:tcPr>
                <w:p>
                  <w:pPr>
                    <w:pStyle w:val="39"/>
                  </w:pPr>
                  <w:r>
                    <w:rPr>
                      <w:rFonts w:hint="eastAsia"/>
                    </w:rPr>
                    <w:t>0.033458</w:t>
                  </w:r>
                </w:p>
              </w:tc>
              <w:tc>
                <w:tcPr>
                  <w:tcW w:w="830" w:type="pct"/>
                  <w:vAlign w:val="center"/>
                </w:tcPr>
                <w:p>
                  <w:pPr>
                    <w:pStyle w:val="39"/>
                  </w:pPr>
                  <w:r>
                    <w:rPr>
                      <w:rFonts w:hint="eastAsia"/>
                    </w:rPr>
                    <w:t>1.67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1405" w:type="dxa"/>
                  <w:vAlign w:val="center"/>
                </w:tcPr>
                <w:p>
                  <w:pPr>
                    <w:pStyle w:val="39"/>
                  </w:pPr>
                  <w:r>
                    <w:t>225.0</w:t>
                  </w:r>
                </w:p>
              </w:tc>
              <w:tc>
                <w:tcPr>
                  <w:tcW w:w="864" w:type="pct"/>
                  <w:vAlign w:val="center"/>
                </w:tcPr>
                <w:p>
                  <w:pPr>
                    <w:pStyle w:val="39"/>
                  </w:pPr>
                  <w:r>
                    <w:t>0.058408</w:t>
                  </w:r>
                </w:p>
              </w:tc>
              <w:tc>
                <w:tcPr>
                  <w:tcW w:w="827" w:type="pct"/>
                  <w:vAlign w:val="center"/>
                </w:tcPr>
                <w:p>
                  <w:pPr>
                    <w:pStyle w:val="39"/>
                  </w:pPr>
                  <w:r>
                    <w:rPr>
                      <w:rFonts w:hint="eastAsia"/>
                    </w:rPr>
                    <w:t>2.92</w:t>
                  </w:r>
                </w:p>
              </w:tc>
              <w:tc>
                <w:tcPr>
                  <w:tcW w:w="1446" w:type="dxa"/>
                  <w:vAlign w:val="center"/>
                </w:tcPr>
                <w:p>
                  <w:pPr>
                    <w:pStyle w:val="39"/>
                  </w:pPr>
                  <w:r>
                    <w:t>1000.0</w:t>
                  </w:r>
                </w:p>
              </w:tc>
              <w:tc>
                <w:tcPr>
                  <w:tcW w:w="864" w:type="pct"/>
                  <w:vAlign w:val="center"/>
                </w:tcPr>
                <w:p>
                  <w:pPr>
                    <w:pStyle w:val="39"/>
                  </w:pPr>
                  <w:r>
                    <w:rPr>
                      <w:rFonts w:hint="eastAsia"/>
                    </w:rPr>
                    <w:t>0.033002</w:t>
                  </w:r>
                </w:p>
              </w:tc>
              <w:tc>
                <w:tcPr>
                  <w:tcW w:w="830" w:type="pct"/>
                  <w:vAlign w:val="center"/>
                </w:tcPr>
                <w:p>
                  <w:pPr>
                    <w:pStyle w:val="39"/>
                  </w:pPr>
                  <w:r>
                    <w:rPr>
                      <w:rFonts w:hint="eastAsia"/>
                    </w:rPr>
                    <w:t>1.65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795" w:type="pct"/>
                  <w:vAlign w:val="center"/>
                </w:tcPr>
                <w:p>
                  <w:pPr>
                    <w:pStyle w:val="39"/>
                  </w:pPr>
                  <w:r>
                    <w:rPr>
                      <w:rFonts w:hint="eastAsia"/>
                    </w:rPr>
                    <w:t>250.0</w:t>
                  </w:r>
                </w:p>
              </w:tc>
              <w:tc>
                <w:tcPr>
                  <w:tcW w:w="864" w:type="pct"/>
                  <w:vAlign w:val="center"/>
                </w:tcPr>
                <w:p>
                  <w:pPr>
                    <w:pStyle w:val="39"/>
                  </w:pPr>
                  <w:r>
                    <w:t>0.056484</w:t>
                  </w:r>
                </w:p>
              </w:tc>
              <w:tc>
                <w:tcPr>
                  <w:tcW w:w="827" w:type="pct"/>
                  <w:vAlign w:val="center"/>
                </w:tcPr>
                <w:p>
                  <w:pPr>
                    <w:pStyle w:val="39"/>
                  </w:pPr>
                  <w:r>
                    <w:rPr>
                      <w:rFonts w:hint="eastAsia"/>
                    </w:rPr>
                    <w:t>2.82</w:t>
                  </w:r>
                </w:p>
              </w:tc>
              <w:tc>
                <w:tcPr>
                  <w:tcW w:w="1446" w:type="dxa"/>
                  <w:vAlign w:val="center"/>
                </w:tcPr>
                <w:p>
                  <w:pPr>
                    <w:pStyle w:val="39"/>
                  </w:pPr>
                  <w:r>
                    <w:rPr>
                      <w:rFonts w:hint="eastAsia"/>
                    </w:rPr>
                    <w:t>1100.0</w:t>
                  </w:r>
                </w:p>
              </w:tc>
              <w:tc>
                <w:tcPr>
                  <w:tcW w:w="864" w:type="pct"/>
                  <w:vAlign w:val="center"/>
                </w:tcPr>
                <w:p>
                  <w:pPr>
                    <w:pStyle w:val="39"/>
                  </w:pPr>
                  <w:r>
                    <w:rPr>
                      <w:rFonts w:hint="eastAsia"/>
                    </w:rPr>
                    <w:t>0.031287</w:t>
                  </w:r>
                </w:p>
              </w:tc>
              <w:tc>
                <w:tcPr>
                  <w:tcW w:w="830" w:type="pct"/>
                  <w:vAlign w:val="center"/>
                </w:tcPr>
                <w:p>
                  <w:pPr>
                    <w:pStyle w:val="39"/>
                  </w:pPr>
                  <w:r>
                    <w:rPr>
                      <w:rFonts w:hint="eastAsia"/>
                    </w:rPr>
                    <w:t>1.56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1405" w:type="dxa"/>
                  <w:vAlign w:val="center"/>
                </w:tcPr>
                <w:p>
                  <w:pPr>
                    <w:pStyle w:val="39"/>
                  </w:pPr>
                  <w:r>
                    <w:rPr>
                      <w:rFonts w:hint="eastAsia"/>
                    </w:rPr>
                    <w:t>275.0</w:t>
                  </w:r>
                </w:p>
              </w:tc>
              <w:tc>
                <w:tcPr>
                  <w:tcW w:w="864" w:type="pct"/>
                  <w:vAlign w:val="center"/>
                </w:tcPr>
                <w:p>
                  <w:pPr>
                    <w:pStyle w:val="39"/>
                  </w:pPr>
                  <w:r>
                    <w:t>0.054832</w:t>
                  </w:r>
                </w:p>
              </w:tc>
              <w:tc>
                <w:tcPr>
                  <w:tcW w:w="827" w:type="pct"/>
                  <w:vAlign w:val="center"/>
                </w:tcPr>
                <w:p>
                  <w:pPr>
                    <w:pStyle w:val="39"/>
                  </w:pPr>
                  <w:r>
                    <w:rPr>
                      <w:rFonts w:hint="eastAsia"/>
                    </w:rPr>
                    <w:t>2.74</w:t>
                  </w:r>
                </w:p>
              </w:tc>
              <w:tc>
                <w:tcPr>
                  <w:tcW w:w="1446" w:type="dxa"/>
                  <w:vAlign w:val="center"/>
                </w:tcPr>
                <w:p>
                  <w:pPr>
                    <w:pStyle w:val="39"/>
                  </w:pPr>
                  <w:r>
                    <w:rPr>
                      <w:rFonts w:hint="eastAsia"/>
                    </w:rPr>
                    <w:t>1200.0</w:t>
                  </w:r>
                </w:p>
              </w:tc>
              <w:tc>
                <w:tcPr>
                  <w:tcW w:w="864" w:type="pct"/>
                  <w:vAlign w:val="center"/>
                </w:tcPr>
                <w:p>
                  <w:pPr>
                    <w:pStyle w:val="39"/>
                  </w:pPr>
                  <w:r>
                    <w:rPr>
                      <w:rFonts w:hint="eastAsia"/>
                    </w:rPr>
                    <w:t>0.029727</w:t>
                  </w:r>
                </w:p>
              </w:tc>
              <w:tc>
                <w:tcPr>
                  <w:tcW w:w="830" w:type="pct"/>
                  <w:vAlign w:val="center"/>
                </w:tcPr>
                <w:p>
                  <w:pPr>
                    <w:pStyle w:val="39"/>
                  </w:pPr>
                  <w:r>
                    <w:rPr>
                      <w:rFonts w:hint="eastAsia"/>
                    </w:rPr>
                    <w:t>1.49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1405" w:type="dxa"/>
                  <w:vAlign w:val="center"/>
                </w:tcPr>
                <w:p>
                  <w:pPr>
                    <w:pStyle w:val="39"/>
                  </w:pPr>
                  <w:r>
                    <w:t>300.0</w:t>
                  </w:r>
                </w:p>
              </w:tc>
              <w:tc>
                <w:tcPr>
                  <w:tcW w:w="864" w:type="pct"/>
                  <w:vAlign w:val="center"/>
                </w:tcPr>
                <w:p>
                  <w:pPr>
                    <w:pStyle w:val="39"/>
                  </w:pPr>
                  <w:r>
                    <w:t>0.053344</w:t>
                  </w:r>
                </w:p>
              </w:tc>
              <w:tc>
                <w:tcPr>
                  <w:tcW w:w="827" w:type="pct"/>
                  <w:vAlign w:val="center"/>
                </w:tcPr>
                <w:p>
                  <w:pPr>
                    <w:pStyle w:val="39"/>
                  </w:pPr>
                  <w:r>
                    <w:rPr>
                      <w:rFonts w:hint="eastAsia"/>
                    </w:rPr>
                    <w:t>2.67</w:t>
                  </w:r>
                </w:p>
              </w:tc>
              <w:tc>
                <w:tcPr>
                  <w:tcW w:w="1446" w:type="dxa"/>
                  <w:vAlign w:val="center"/>
                </w:tcPr>
                <w:p>
                  <w:pPr>
                    <w:pStyle w:val="39"/>
                  </w:pPr>
                  <w:r>
                    <w:rPr>
                      <w:rFonts w:hint="eastAsia"/>
                    </w:rPr>
                    <w:t>1300.0</w:t>
                  </w:r>
                </w:p>
              </w:tc>
              <w:tc>
                <w:tcPr>
                  <w:tcW w:w="864" w:type="pct"/>
                  <w:vAlign w:val="center"/>
                </w:tcPr>
                <w:p>
                  <w:pPr>
                    <w:pStyle w:val="39"/>
                  </w:pPr>
                  <w:r>
                    <w:rPr>
                      <w:rFonts w:hint="eastAsia"/>
                    </w:rPr>
                    <w:t>0.028302</w:t>
                  </w:r>
                </w:p>
              </w:tc>
              <w:tc>
                <w:tcPr>
                  <w:tcW w:w="830" w:type="pct"/>
                  <w:vAlign w:val="center"/>
                </w:tcPr>
                <w:p>
                  <w:pPr>
                    <w:pStyle w:val="39"/>
                  </w:pPr>
                  <w:r>
                    <w:rPr>
                      <w:rFonts w:hint="eastAsia"/>
                    </w:rPr>
                    <w:t>1.42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1405" w:type="dxa"/>
                  <w:vAlign w:val="center"/>
                </w:tcPr>
                <w:p>
                  <w:pPr>
                    <w:pStyle w:val="39"/>
                  </w:pPr>
                  <w:r>
                    <w:t>325.0</w:t>
                  </w:r>
                </w:p>
              </w:tc>
              <w:tc>
                <w:tcPr>
                  <w:tcW w:w="864" w:type="pct"/>
                  <w:vAlign w:val="center"/>
                </w:tcPr>
                <w:p>
                  <w:pPr>
                    <w:pStyle w:val="39"/>
                  </w:pPr>
                  <w:r>
                    <w:t>0.051976</w:t>
                  </w:r>
                </w:p>
              </w:tc>
              <w:tc>
                <w:tcPr>
                  <w:tcW w:w="827" w:type="pct"/>
                  <w:vAlign w:val="center"/>
                </w:tcPr>
                <w:p>
                  <w:pPr>
                    <w:pStyle w:val="39"/>
                  </w:pPr>
                  <w:r>
                    <w:rPr>
                      <w:rFonts w:hint="eastAsia"/>
                    </w:rPr>
                    <w:t>2.60</w:t>
                  </w:r>
                </w:p>
              </w:tc>
              <w:tc>
                <w:tcPr>
                  <w:tcW w:w="1446" w:type="dxa"/>
                  <w:vAlign w:val="center"/>
                </w:tcPr>
                <w:p>
                  <w:pPr>
                    <w:pStyle w:val="39"/>
                  </w:pPr>
                  <w:r>
                    <w:rPr>
                      <w:rFonts w:hint="eastAsia"/>
                    </w:rPr>
                    <w:t>1400.0</w:t>
                  </w:r>
                </w:p>
              </w:tc>
              <w:tc>
                <w:tcPr>
                  <w:tcW w:w="864" w:type="pct"/>
                  <w:vAlign w:val="center"/>
                </w:tcPr>
                <w:p>
                  <w:pPr>
                    <w:pStyle w:val="39"/>
                  </w:pPr>
                  <w:r>
                    <w:rPr>
                      <w:rFonts w:hint="eastAsia"/>
                    </w:rPr>
                    <w:t>0.026995</w:t>
                  </w:r>
                </w:p>
              </w:tc>
              <w:tc>
                <w:tcPr>
                  <w:tcW w:w="830" w:type="pct"/>
                  <w:vAlign w:val="center"/>
                </w:tcPr>
                <w:p>
                  <w:pPr>
                    <w:pStyle w:val="39"/>
                  </w:pPr>
                  <w:r>
                    <w:rPr>
                      <w:rFonts w:hint="eastAsia"/>
                    </w:rPr>
                    <w:t>1.35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1405" w:type="dxa"/>
                  <w:vAlign w:val="center"/>
                </w:tcPr>
                <w:p>
                  <w:pPr>
                    <w:pStyle w:val="39"/>
                  </w:pPr>
                  <w:r>
                    <w:t>350.0</w:t>
                  </w:r>
                </w:p>
              </w:tc>
              <w:tc>
                <w:tcPr>
                  <w:tcW w:w="864" w:type="pct"/>
                  <w:vAlign w:val="center"/>
                </w:tcPr>
                <w:p>
                  <w:pPr>
                    <w:pStyle w:val="39"/>
                  </w:pPr>
                  <w:r>
                    <w:t>0.050737</w:t>
                  </w:r>
                </w:p>
              </w:tc>
              <w:tc>
                <w:tcPr>
                  <w:tcW w:w="827" w:type="pct"/>
                  <w:vAlign w:val="center"/>
                </w:tcPr>
                <w:p>
                  <w:pPr>
                    <w:pStyle w:val="39"/>
                  </w:pPr>
                  <w:r>
                    <w:rPr>
                      <w:rFonts w:hint="eastAsia"/>
                    </w:rPr>
                    <w:t>2.54</w:t>
                  </w:r>
                </w:p>
              </w:tc>
              <w:tc>
                <w:tcPr>
                  <w:tcW w:w="1446" w:type="dxa"/>
                  <w:vAlign w:val="center"/>
                </w:tcPr>
                <w:p>
                  <w:pPr>
                    <w:pStyle w:val="39"/>
                  </w:pPr>
                  <w:r>
                    <w:rPr>
                      <w:rFonts w:hint="eastAsia"/>
                    </w:rPr>
                    <w:t>1500.0</w:t>
                  </w:r>
                </w:p>
              </w:tc>
              <w:tc>
                <w:tcPr>
                  <w:tcW w:w="864" w:type="pct"/>
                  <w:vAlign w:val="center"/>
                </w:tcPr>
                <w:p>
                  <w:pPr>
                    <w:pStyle w:val="39"/>
                  </w:pPr>
                  <w:r>
                    <w:rPr>
                      <w:rFonts w:hint="eastAsia"/>
                    </w:rPr>
                    <w:t>0.025792</w:t>
                  </w:r>
                </w:p>
              </w:tc>
              <w:tc>
                <w:tcPr>
                  <w:tcW w:w="830" w:type="pct"/>
                  <w:vAlign w:val="center"/>
                </w:tcPr>
                <w:p>
                  <w:pPr>
                    <w:pStyle w:val="39"/>
                  </w:pPr>
                  <w:r>
                    <w:rPr>
                      <w:rFonts w:hint="eastAsia"/>
                    </w:rPr>
                    <w:t>1.29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1405" w:type="dxa"/>
                  <w:vAlign w:val="center"/>
                </w:tcPr>
                <w:p>
                  <w:pPr>
                    <w:pStyle w:val="39"/>
                  </w:pPr>
                  <w:r>
                    <w:t>375.0</w:t>
                  </w:r>
                </w:p>
              </w:tc>
              <w:tc>
                <w:tcPr>
                  <w:tcW w:w="864" w:type="pct"/>
                  <w:vAlign w:val="center"/>
                </w:tcPr>
                <w:p>
                  <w:pPr>
                    <w:pStyle w:val="39"/>
                  </w:pPr>
                  <w:r>
                    <w:t>0.049599</w:t>
                  </w:r>
                </w:p>
              </w:tc>
              <w:tc>
                <w:tcPr>
                  <w:tcW w:w="827" w:type="pct"/>
                  <w:vAlign w:val="center"/>
                </w:tcPr>
                <w:p>
                  <w:pPr>
                    <w:pStyle w:val="39"/>
                  </w:pPr>
                  <w:r>
                    <w:rPr>
                      <w:rFonts w:hint="eastAsia"/>
                    </w:rPr>
                    <w:t>2.48</w:t>
                  </w:r>
                </w:p>
              </w:tc>
              <w:tc>
                <w:tcPr>
                  <w:tcW w:w="1446" w:type="dxa"/>
                  <w:vAlign w:val="center"/>
                </w:tcPr>
                <w:p>
                  <w:pPr>
                    <w:pStyle w:val="39"/>
                  </w:pPr>
                  <w:r>
                    <w:rPr>
                      <w:rFonts w:hint="eastAsia"/>
                    </w:rPr>
                    <w:t>1600.0</w:t>
                  </w:r>
                </w:p>
              </w:tc>
              <w:tc>
                <w:tcPr>
                  <w:tcW w:w="864" w:type="pct"/>
                  <w:vAlign w:val="center"/>
                </w:tcPr>
                <w:p>
                  <w:pPr>
                    <w:pStyle w:val="39"/>
                  </w:pPr>
                  <w:r>
                    <w:rPr>
                      <w:rFonts w:hint="eastAsia"/>
                    </w:rPr>
                    <w:t>0.024682</w:t>
                  </w:r>
                </w:p>
              </w:tc>
              <w:tc>
                <w:tcPr>
                  <w:tcW w:w="830" w:type="pct"/>
                  <w:vAlign w:val="center"/>
                </w:tcPr>
                <w:p>
                  <w:pPr>
                    <w:pStyle w:val="39"/>
                  </w:pPr>
                  <w:r>
                    <w:rPr>
                      <w:rFonts w:hint="eastAsia"/>
                    </w:rPr>
                    <w:t>1.23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1405" w:type="dxa"/>
                  <w:vAlign w:val="center"/>
                </w:tcPr>
                <w:p>
                  <w:pPr>
                    <w:pStyle w:val="39"/>
                  </w:pPr>
                  <w:r>
                    <w:t>400.0</w:t>
                  </w:r>
                </w:p>
              </w:tc>
              <w:tc>
                <w:tcPr>
                  <w:tcW w:w="864" w:type="pct"/>
                  <w:vAlign w:val="center"/>
                </w:tcPr>
                <w:p>
                  <w:pPr>
                    <w:pStyle w:val="39"/>
                  </w:pPr>
                  <w:r>
                    <w:t>0.04854</w:t>
                  </w:r>
                </w:p>
              </w:tc>
              <w:tc>
                <w:tcPr>
                  <w:tcW w:w="827" w:type="pct"/>
                  <w:vAlign w:val="center"/>
                </w:tcPr>
                <w:p>
                  <w:pPr>
                    <w:pStyle w:val="39"/>
                  </w:pPr>
                  <w:r>
                    <w:rPr>
                      <w:rFonts w:hint="eastAsia"/>
                    </w:rPr>
                    <w:t>2.43</w:t>
                  </w:r>
                </w:p>
              </w:tc>
              <w:tc>
                <w:tcPr>
                  <w:tcW w:w="1446" w:type="dxa"/>
                  <w:vAlign w:val="center"/>
                </w:tcPr>
                <w:p>
                  <w:pPr>
                    <w:pStyle w:val="39"/>
                  </w:pPr>
                  <w:r>
                    <w:rPr>
                      <w:rFonts w:hint="eastAsia"/>
                    </w:rPr>
                    <w:t>1700.0</w:t>
                  </w:r>
                </w:p>
              </w:tc>
              <w:tc>
                <w:tcPr>
                  <w:tcW w:w="864" w:type="pct"/>
                  <w:vAlign w:val="center"/>
                </w:tcPr>
                <w:p>
                  <w:pPr>
                    <w:pStyle w:val="39"/>
                  </w:pPr>
                  <w:r>
                    <w:rPr>
                      <w:rFonts w:hint="eastAsia"/>
                    </w:rPr>
                    <w:t>0.023655</w:t>
                  </w:r>
                </w:p>
              </w:tc>
              <w:tc>
                <w:tcPr>
                  <w:tcW w:w="830" w:type="pct"/>
                  <w:vAlign w:val="center"/>
                </w:tcPr>
                <w:p>
                  <w:pPr>
                    <w:pStyle w:val="39"/>
                  </w:pPr>
                  <w:r>
                    <w:rPr>
                      <w:rFonts w:hint="eastAsia"/>
                    </w:rPr>
                    <w:t>1.18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1405" w:type="dxa"/>
                  <w:vAlign w:val="center"/>
                </w:tcPr>
                <w:p>
                  <w:pPr>
                    <w:pStyle w:val="39"/>
                  </w:pPr>
                  <w:r>
                    <w:t>425.0</w:t>
                  </w:r>
                </w:p>
              </w:tc>
              <w:tc>
                <w:tcPr>
                  <w:tcW w:w="864" w:type="pct"/>
                  <w:vAlign w:val="center"/>
                </w:tcPr>
                <w:p>
                  <w:pPr>
                    <w:pStyle w:val="39"/>
                  </w:pPr>
                  <w:r>
                    <w:t>0.047554</w:t>
                  </w:r>
                </w:p>
              </w:tc>
              <w:tc>
                <w:tcPr>
                  <w:tcW w:w="827" w:type="pct"/>
                  <w:vAlign w:val="center"/>
                </w:tcPr>
                <w:p>
                  <w:pPr>
                    <w:pStyle w:val="39"/>
                  </w:pPr>
                  <w:r>
                    <w:rPr>
                      <w:rFonts w:hint="eastAsia"/>
                    </w:rPr>
                    <w:t>2.38</w:t>
                  </w:r>
                </w:p>
              </w:tc>
              <w:tc>
                <w:tcPr>
                  <w:tcW w:w="1446" w:type="dxa"/>
                  <w:vAlign w:val="center"/>
                </w:tcPr>
                <w:p>
                  <w:pPr>
                    <w:pStyle w:val="39"/>
                  </w:pPr>
                  <w:r>
                    <w:rPr>
                      <w:rFonts w:hint="eastAsia"/>
                    </w:rPr>
                    <w:t>18</w:t>
                  </w:r>
                  <w:r>
                    <w:t>00.0</w:t>
                  </w:r>
                </w:p>
              </w:tc>
              <w:tc>
                <w:tcPr>
                  <w:tcW w:w="864" w:type="pct"/>
                  <w:vAlign w:val="center"/>
                </w:tcPr>
                <w:p>
                  <w:pPr>
                    <w:pStyle w:val="39"/>
                  </w:pPr>
                  <w:r>
                    <w:rPr>
                      <w:rFonts w:hint="eastAsia"/>
                    </w:rPr>
                    <w:t>0.022703</w:t>
                  </w:r>
                </w:p>
              </w:tc>
              <w:tc>
                <w:tcPr>
                  <w:tcW w:w="830" w:type="pct"/>
                  <w:vAlign w:val="center"/>
                </w:tcPr>
                <w:p>
                  <w:pPr>
                    <w:pStyle w:val="39"/>
                  </w:pPr>
                  <w:r>
                    <w:rPr>
                      <w:rFonts w:hint="eastAsia"/>
                    </w:rPr>
                    <w:t>1.14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1405" w:type="dxa"/>
                  <w:vAlign w:val="center"/>
                </w:tcPr>
                <w:p>
                  <w:pPr>
                    <w:pStyle w:val="39"/>
                  </w:pPr>
                  <w:r>
                    <w:t>450.0</w:t>
                  </w:r>
                </w:p>
              </w:tc>
              <w:tc>
                <w:tcPr>
                  <w:tcW w:w="864" w:type="pct"/>
                  <w:vAlign w:val="center"/>
                </w:tcPr>
                <w:p>
                  <w:pPr>
                    <w:pStyle w:val="39"/>
                  </w:pPr>
                  <w:r>
                    <w:t>0.046623</w:t>
                  </w:r>
                </w:p>
              </w:tc>
              <w:tc>
                <w:tcPr>
                  <w:tcW w:w="827" w:type="pct"/>
                  <w:vAlign w:val="center"/>
                </w:tcPr>
                <w:p>
                  <w:pPr>
                    <w:pStyle w:val="39"/>
                  </w:pPr>
                  <w:r>
                    <w:rPr>
                      <w:rFonts w:hint="eastAsia"/>
                    </w:rPr>
                    <w:t>2.33</w:t>
                  </w:r>
                </w:p>
              </w:tc>
              <w:tc>
                <w:tcPr>
                  <w:tcW w:w="1446" w:type="dxa"/>
                  <w:vAlign w:val="center"/>
                </w:tcPr>
                <w:p>
                  <w:pPr>
                    <w:pStyle w:val="39"/>
                  </w:pPr>
                  <w:r>
                    <w:rPr>
                      <w:rFonts w:hint="eastAsia"/>
                    </w:rPr>
                    <w:t>1900</w:t>
                  </w:r>
                  <w:r>
                    <w:t>.0</w:t>
                  </w:r>
                </w:p>
              </w:tc>
              <w:tc>
                <w:tcPr>
                  <w:tcW w:w="864" w:type="pct"/>
                  <w:vAlign w:val="center"/>
                </w:tcPr>
                <w:p>
                  <w:pPr>
                    <w:pStyle w:val="39"/>
                  </w:pPr>
                  <w:r>
                    <w:rPr>
                      <w:rFonts w:hint="eastAsia"/>
                    </w:rPr>
                    <w:t>0.021817</w:t>
                  </w:r>
                </w:p>
              </w:tc>
              <w:tc>
                <w:tcPr>
                  <w:tcW w:w="830" w:type="pct"/>
                  <w:vAlign w:val="center"/>
                </w:tcPr>
                <w:p>
                  <w:pPr>
                    <w:pStyle w:val="39"/>
                  </w:pPr>
                  <w:r>
                    <w:rPr>
                      <w:rFonts w:hint="eastAsia"/>
                    </w:rPr>
                    <w:t>1.09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1405" w:type="dxa"/>
                  <w:vAlign w:val="center"/>
                </w:tcPr>
                <w:p>
                  <w:pPr>
                    <w:pStyle w:val="39"/>
                  </w:pPr>
                  <w:r>
                    <w:t>475.0</w:t>
                  </w:r>
                </w:p>
              </w:tc>
              <w:tc>
                <w:tcPr>
                  <w:tcW w:w="864" w:type="pct"/>
                  <w:vAlign w:val="center"/>
                </w:tcPr>
                <w:p>
                  <w:pPr>
                    <w:pStyle w:val="39"/>
                  </w:pPr>
                  <w:r>
                    <w:t>0.045747</w:t>
                  </w:r>
                </w:p>
              </w:tc>
              <w:tc>
                <w:tcPr>
                  <w:tcW w:w="827" w:type="pct"/>
                  <w:vAlign w:val="center"/>
                </w:tcPr>
                <w:p>
                  <w:pPr>
                    <w:pStyle w:val="39"/>
                  </w:pPr>
                  <w:r>
                    <w:rPr>
                      <w:rFonts w:hint="eastAsia"/>
                    </w:rPr>
                    <w:t>2.29</w:t>
                  </w:r>
                </w:p>
              </w:tc>
              <w:tc>
                <w:tcPr>
                  <w:tcW w:w="1446" w:type="dxa"/>
                  <w:vAlign w:val="center"/>
                </w:tcPr>
                <w:p>
                  <w:pPr>
                    <w:pStyle w:val="39"/>
                  </w:pPr>
                  <w:r>
                    <w:rPr>
                      <w:rFonts w:hint="eastAsia"/>
                    </w:rPr>
                    <w:t>2000</w:t>
                  </w:r>
                  <w:r>
                    <w:t>.0</w:t>
                  </w:r>
                </w:p>
              </w:tc>
              <w:tc>
                <w:tcPr>
                  <w:tcW w:w="864" w:type="pct"/>
                  <w:vAlign w:val="center"/>
                </w:tcPr>
                <w:p>
                  <w:pPr>
                    <w:pStyle w:val="39"/>
                  </w:pPr>
                  <w:r>
                    <w:rPr>
                      <w:rFonts w:hint="eastAsia"/>
                    </w:rPr>
                    <w:t>0.020991</w:t>
                  </w:r>
                </w:p>
              </w:tc>
              <w:tc>
                <w:tcPr>
                  <w:tcW w:w="830" w:type="pct"/>
                  <w:vAlign w:val="center"/>
                </w:tcPr>
                <w:p>
                  <w:pPr>
                    <w:pStyle w:val="39"/>
                  </w:pPr>
                  <w:r>
                    <w:rPr>
                      <w:rFonts w:hint="eastAsia"/>
                    </w:rPr>
                    <w:t>1.05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1405" w:type="dxa"/>
                  <w:vAlign w:val="center"/>
                </w:tcPr>
                <w:p>
                  <w:pPr>
                    <w:pStyle w:val="39"/>
                  </w:pPr>
                  <w:r>
                    <w:t>500.0</w:t>
                  </w:r>
                </w:p>
              </w:tc>
              <w:tc>
                <w:tcPr>
                  <w:tcW w:w="864" w:type="pct"/>
                  <w:vAlign w:val="center"/>
                </w:tcPr>
                <w:p>
                  <w:pPr>
                    <w:pStyle w:val="39"/>
                  </w:pPr>
                  <w:r>
                    <w:t>0.044916</w:t>
                  </w:r>
                </w:p>
              </w:tc>
              <w:tc>
                <w:tcPr>
                  <w:tcW w:w="827" w:type="pct"/>
                  <w:vAlign w:val="center"/>
                </w:tcPr>
                <w:p>
                  <w:pPr>
                    <w:pStyle w:val="39"/>
                  </w:pPr>
                  <w:r>
                    <w:rPr>
                      <w:rFonts w:hint="eastAsia"/>
                    </w:rPr>
                    <w:t>2.25</w:t>
                  </w:r>
                </w:p>
              </w:tc>
              <w:tc>
                <w:tcPr>
                  <w:tcW w:w="1446" w:type="dxa"/>
                  <w:vAlign w:val="center"/>
                </w:tcPr>
                <w:p>
                  <w:pPr>
                    <w:pStyle w:val="39"/>
                  </w:pPr>
                  <w:r>
                    <w:rPr>
                      <w:rFonts w:hint="eastAsia"/>
                    </w:rPr>
                    <w:t>2100</w:t>
                  </w:r>
                  <w:r>
                    <w:t>.0</w:t>
                  </w:r>
                </w:p>
              </w:tc>
              <w:tc>
                <w:tcPr>
                  <w:tcW w:w="864" w:type="pct"/>
                  <w:vAlign w:val="center"/>
                </w:tcPr>
                <w:p>
                  <w:pPr>
                    <w:pStyle w:val="39"/>
                  </w:pPr>
                  <w:r>
                    <w:rPr>
                      <w:rFonts w:hint="eastAsia"/>
                    </w:rPr>
                    <w:t>0.020221</w:t>
                  </w:r>
                </w:p>
              </w:tc>
              <w:tc>
                <w:tcPr>
                  <w:tcW w:w="830" w:type="pct"/>
                  <w:vAlign w:val="center"/>
                </w:tcPr>
                <w:p>
                  <w:pPr>
                    <w:pStyle w:val="39"/>
                  </w:pPr>
                  <w:r>
                    <w:rPr>
                      <w:rFonts w:hint="eastAsia"/>
                    </w:rPr>
                    <w:t>1.01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1405" w:type="dxa"/>
                  <w:vAlign w:val="center"/>
                </w:tcPr>
                <w:p>
                  <w:pPr>
                    <w:pStyle w:val="39"/>
                  </w:pPr>
                  <w:r>
                    <w:t>525.0</w:t>
                  </w:r>
                </w:p>
              </w:tc>
              <w:tc>
                <w:tcPr>
                  <w:tcW w:w="864" w:type="pct"/>
                  <w:vAlign w:val="center"/>
                </w:tcPr>
                <w:p>
                  <w:pPr>
                    <w:pStyle w:val="39"/>
                  </w:pPr>
                  <w:r>
                    <w:t>0.044107</w:t>
                  </w:r>
                </w:p>
              </w:tc>
              <w:tc>
                <w:tcPr>
                  <w:tcW w:w="827" w:type="pct"/>
                  <w:vAlign w:val="center"/>
                </w:tcPr>
                <w:p>
                  <w:pPr>
                    <w:pStyle w:val="39"/>
                  </w:pPr>
                  <w:r>
                    <w:rPr>
                      <w:rFonts w:hint="eastAsia"/>
                    </w:rPr>
                    <w:t>2.21</w:t>
                  </w:r>
                </w:p>
              </w:tc>
              <w:tc>
                <w:tcPr>
                  <w:tcW w:w="1446" w:type="dxa"/>
                  <w:vAlign w:val="center"/>
                </w:tcPr>
                <w:p>
                  <w:pPr>
                    <w:pStyle w:val="39"/>
                  </w:pPr>
                  <w:r>
                    <w:rPr>
                      <w:rFonts w:hint="eastAsia"/>
                    </w:rPr>
                    <w:t>22</w:t>
                  </w:r>
                  <w:r>
                    <w:t>00.0</w:t>
                  </w:r>
                </w:p>
              </w:tc>
              <w:tc>
                <w:tcPr>
                  <w:tcW w:w="864" w:type="pct"/>
                  <w:vAlign w:val="center"/>
                </w:tcPr>
                <w:p>
                  <w:pPr>
                    <w:pStyle w:val="39"/>
                  </w:pPr>
                  <w:r>
                    <w:rPr>
                      <w:rFonts w:hint="eastAsia"/>
                    </w:rPr>
                    <w:t>0.019499</w:t>
                  </w:r>
                </w:p>
              </w:tc>
              <w:tc>
                <w:tcPr>
                  <w:tcW w:w="830" w:type="pct"/>
                  <w:vAlign w:val="center"/>
                </w:tcPr>
                <w:p>
                  <w:pPr>
                    <w:pStyle w:val="39"/>
                  </w:pPr>
                  <w:r>
                    <w:rPr>
                      <w:rFonts w:hint="eastAsia"/>
                    </w:rPr>
                    <w:t>0.97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1405" w:type="dxa"/>
                  <w:vAlign w:val="center"/>
                </w:tcPr>
                <w:p>
                  <w:pPr>
                    <w:pStyle w:val="39"/>
                  </w:pPr>
                  <w:r>
                    <w:t>550.0</w:t>
                  </w:r>
                </w:p>
              </w:tc>
              <w:tc>
                <w:tcPr>
                  <w:tcW w:w="864" w:type="pct"/>
                  <w:vAlign w:val="center"/>
                </w:tcPr>
                <w:p>
                  <w:pPr>
                    <w:pStyle w:val="39"/>
                  </w:pPr>
                  <w:r>
                    <w:t>0.043318</w:t>
                  </w:r>
                </w:p>
              </w:tc>
              <w:tc>
                <w:tcPr>
                  <w:tcW w:w="827" w:type="pct"/>
                  <w:vAlign w:val="center"/>
                </w:tcPr>
                <w:p>
                  <w:pPr>
                    <w:pStyle w:val="39"/>
                  </w:pPr>
                  <w:r>
                    <w:rPr>
                      <w:rFonts w:hint="eastAsia"/>
                    </w:rPr>
                    <w:t>2.17</w:t>
                  </w:r>
                </w:p>
              </w:tc>
              <w:tc>
                <w:tcPr>
                  <w:tcW w:w="1446" w:type="dxa"/>
                  <w:vAlign w:val="center"/>
                </w:tcPr>
                <w:p>
                  <w:pPr>
                    <w:pStyle w:val="39"/>
                  </w:pPr>
                  <w:r>
                    <w:rPr>
                      <w:rFonts w:hint="eastAsia"/>
                    </w:rPr>
                    <w:t>2300</w:t>
                  </w:r>
                  <w:r>
                    <w:t>.0</w:t>
                  </w:r>
                </w:p>
              </w:tc>
              <w:tc>
                <w:tcPr>
                  <w:tcW w:w="864" w:type="pct"/>
                  <w:vAlign w:val="center"/>
                </w:tcPr>
                <w:p>
                  <w:pPr>
                    <w:pStyle w:val="39"/>
                  </w:pPr>
                  <w:r>
                    <w:rPr>
                      <w:rFonts w:hint="eastAsia"/>
                    </w:rPr>
                    <w:t>0.01887</w:t>
                  </w:r>
                </w:p>
              </w:tc>
              <w:tc>
                <w:tcPr>
                  <w:tcW w:w="830" w:type="pct"/>
                  <w:vAlign w:val="center"/>
                </w:tcPr>
                <w:p>
                  <w:pPr>
                    <w:pStyle w:val="39"/>
                  </w:pPr>
                  <w:r>
                    <w:rPr>
                      <w:rFonts w:hint="eastAsia"/>
                    </w:rPr>
                    <w:t>0.94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1405" w:type="dxa"/>
                  <w:vAlign w:val="center"/>
                </w:tcPr>
                <w:p>
                  <w:pPr>
                    <w:pStyle w:val="39"/>
                  </w:pPr>
                  <w:r>
                    <w:t>575.0</w:t>
                  </w:r>
                </w:p>
              </w:tc>
              <w:tc>
                <w:tcPr>
                  <w:tcW w:w="864" w:type="pct"/>
                  <w:vAlign w:val="center"/>
                </w:tcPr>
                <w:p>
                  <w:pPr>
                    <w:pStyle w:val="39"/>
                  </w:pPr>
                  <w:r>
                    <w:t>0.04256</w:t>
                  </w:r>
                </w:p>
              </w:tc>
              <w:tc>
                <w:tcPr>
                  <w:tcW w:w="827" w:type="pct"/>
                  <w:vAlign w:val="center"/>
                </w:tcPr>
                <w:p>
                  <w:pPr>
                    <w:pStyle w:val="39"/>
                  </w:pPr>
                  <w:r>
                    <w:rPr>
                      <w:rFonts w:hint="eastAsia"/>
                    </w:rPr>
                    <w:t>2.13</w:t>
                  </w:r>
                </w:p>
              </w:tc>
              <w:tc>
                <w:tcPr>
                  <w:tcW w:w="1446" w:type="dxa"/>
                  <w:vAlign w:val="center"/>
                </w:tcPr>
                <w:p>
                  <w:pPr>
                    <w:pStyle w:val="39"/>
                  </w:pPr>
                  <w:r>
                    <w:rPr>
                      <w:rFonts w:hint="eastAsia"/>
                    </w:rPr>
                    <w:t>2400</w:t>
                  </w:r>
                  <w:r>
                    <w:t>.0</w:t>
                  </w:r>
                </w:p>
              </w:tc>
              <w:tc>
                <w:tcPr>
                  <w:tcW w:w="864" w:type="pct"/>
                  <w:vAlign w:val="center"/>
                </w:tcPr>
                <w:p>
                  <w:pPr>
                    <w:pStyle w:val="39"/>
                  </w:pPr>
                  <w:r>
                    <w:rPr>
                      <w:rFonts w:hint="eastAsia"/>
                    </w:rPr>
                    <w:t>0.018282</w:t>
                  </w:r>
                </w:p>
              </w:tc>
              <w:tc>
                <w:tcPr>
                  <w:tcW w:w="830" w:type="pct"/>
                  <w:vAlign w:val="center"/>
                </w:tcPr>
                <w:p>
                  <w:pPr>
                    <w:pStyle w:val="39"/>
                  </w:pPr>
                  <w:r>
                    <w:rPr>
                      <w:rFonts w:hint="eastAsia"/>
                    </w:rPr>
                    <w:t>0.91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1405" w:type="dxa"/>
                  <w:vAlign w:val="center"/>
                </w:tcPr>
                <w:p>
                  <w:pPr>
                    <w:pStyle w:val="39"/>
                  </w:pPr>
                  <w:r>
                    <w:rPr>
                      <w:rFonts w:hint="eastAsia"/>
                    </w:rPr>
                    <w:t>600.0</w:t>
                  </w:r>
                </w:p>
              </w:tc>
              <w:tc>
                <w:tcPr>
                  <w:tcW w:w="864" w:type="pct"/>
                  <w:vAlign w:val="center"/>
                </w:tcPr>
                <w:p>
                  <w:pPr>
                    <w:pStyle w:val="39"/>
                  </w:pPr>
                  <w:r>
                    <w:t>0.041832</w:t>
                  </w:r>
                </w:p>
              </w:tc>
              <w:tc>
                <w:tcPr>
                  <w:tcW w:w="827" w:type="pct"/>
                  <w:vAlign w:val="center"/>
                </w:tcPr>
                <w:p>
                  <w:pPr>
                    <w:pStyle w:val="39"/>
                  </w:pPr>
                  <w:r>
                    <w:rPr>
                      <w:rFonts w:hint="eastAsia"/>
                    </w:rPr>
                    <w:t>2.09</w:t>
                  </w:r>
                </w:p>
              </w:tc>
              <w:tc>
                <w:tcPr>
                  <w:tcW w:w="1446" w:type="dxa"/>
                  <w:vAlign w:val="center"/>
                </w:tcPr>
                <w:p>
                  <w:pPr>
                    <w:pStyle w:val="39"/>
                  </w:pPr>
                  <w:r>
                    <w:rPr>
                      <w:rFonts w:hint="eastAsia"/>
                    </w:rPr>
                    <w:t>245</w:t>
                  </w:r>
                  <w:r>
                    <w:t>0.0</w:t>
                  </w:r>
                </w:p>
              </w:tc>
              <w:tc>
                <w:tcPr>
                  <w:tcW w:w="1527" w:type="dxa"/>
                  <w:vAlign w:val="center"/>
                </w:tcPr>
                <w:p>
                  <w:pPr>
                    <w:pStyle w:val="39"/>
                  </w:pPr>
                  <w:r>
                    <w:rPr>
                      <w:rFonts w:hint="eastAsia"/>
                    </w:rPr>
                    <w:t>0.018</w:t>
                  </w:r>
                </w:p>
              </w:tc>
              <w:tc>
                <w:tcPr>
                  <w:tcW w:w="830" w:type="pct"/>
                  <w:vAlign w:val="center"/>
                </w:tcPr>
                <w:p>
                  <w:pPr>
                    <w:pStyle w:val="39"/>
                  </w:pPr>
                  <w:r>
                    <w:rPr>
                      <w:rFonts w:hint="eastAsia"/>
                    </w:rPr>
                    <w:t>0.90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1405" w:type="dxa"/>
                  <w:vAlign w:val="center"/>
                </w:tcPr>
                <w:p>
                  <w:pPr>
                    <w:pStyle w:val="39"/>
                  </w:pPr>
                  <w:r>
                    <w:t>625.0</w:t>
                  </w:r>
                </w:p>
              </w:tc>
              <w:tc>
                <w:tcPr>
                  <w:tcW w:w="864" w:type="pct"/>
                  <w:vAlign w:val="center"/>
                </w:tcPr>
                <w:p>
                  <w:pPr>
                    <w:pStyle w:val="39"/>
                  </w:pPr>
                  <w:r>
                    <w:t>0.041132</w:t>
                  </w:r>
                </w:p>
              </w:tc>
              <w:tc>
                <w:tcPr>
                  <w:tcW w:w="827" w:type="pct"/>
                  <w:vAlign w:val="center"/>
                </w:tcPr>
                <w:p>
                  <w:pPr>
                    <w:pStyle w:val="39"/>
                  </w:pPr>
                  <w:r>
                    <w:rPr>
                      <w:rFonts w:hint="eastAsia"/>
                    </w:rPr>
                    <w:t>2.06</w:t>
                  </w:r>
                </w:p>
              </w:tc>
              <w:tc>
                <w:tcPr>
                  <w:tcW w:w="1446" w:type="dxa"/>
                  <w:vAlign w:val="center"/>
                </w:tcPr>
                <w:p>
                  <w:pPr>
                    <w:pStyle w:val="39"/>
                  </w:pPr>
                  <w:r>
                    <w:rPr>
                      <w:rFonts w:hint="eastAsia"/>
                    </w:rPr>
                    <w:t>25</w:t>
                  </w:r>
                  <w:r>
                    <w:t>00.0</w:t>
                  </w:r>
                </w:p>
              </w:tc>
              <w:tc>
                <w:tcPr>
                  <w:tcW w:w="1527" w:type="dxa"/>
                  <w:vAlign w:val="center"/>
                </w:tcPr>
                <w:p>
                  <w:pPr>
                    <w:pStyle w:val="39"/>
                  </w:pPr>
                  <w:r>
                    <w:rPr>
                      <w:rFonts w:hint="eastAsia"/>
                    </w:rPr>
                    <w:t>0.017727</w:t>
                  </w:r>
                </w:p>
              </w:tc>
              <w:tc>
                <w:tcPr>
                  <w:tcW w:w="830" w:type="pct"/>
                  <w:vAlign w:val="center"/>
                </w:tcPr>
                <w:p>
                  <w:pPr>
                    <w:pStyle w:val="39"/>
                  </w:pPr>
                  <w:r>
                    <w:rPr>
                      <w:rFonts w:hint="eastAsia"/>
                    </w:rPr>
                    <w:t>0.89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1405" w:type="dxa"/>
                  <w:vAlign w:val="center"/>
                </w:tcPr>
                <w:p>
                  <w:pPr>
                    <w:pStyle w:val="39"/>
                  </w:pPr>
                  <w:r>
                    <w:rPr>
                      <w:rFonts w:hint="eastAsia"/>
                    </w:rPr>
                    <w:t>650.0</w:t>
                  </w:r>
                </w:p>
              </w:tc>
              <w:tc>
                <w:tcPr>
                  <w:tcW w:w="864" w:type="pct"/>
                  <w:vAlign w:val="center"/>
                </w:tcPr>
                <w:p>
                  <w:pPr>
                    <w:pStyle w:val="39"/>
                  </w:pPr>
                  <w:r>
                    <w:t>0.040455</w:t>
                  </w:r>
                </w:p>
              </w:tc>
              <w:tc>
                <w:tcPr>
                  <w:tcW w:w="827" w:type="pct"/>
                  <w:vAlign w:val="center"/>
                </w:tcPr>
                <w:p>
                  <w:pPr>
                    <w:pStyle w:val="39"/>
                  </w:pPr>
                  <w:r>
                    <w:rPr>
                      <w:rFonts w:hint="eastAsia"/>
                    </w:rPr>
                    <w:t>2.02</w:t>
                  </w:r>
                </w:p>
              </w:tc>
              <w:tc>
                <w:tcPr>
                  <w:tcW w:w="1446" w:type="dxa"/>
                  <w:vAlign w:val="center"/>
                </w:tcPr>
                <w:p>
                  <w:pPr>
                    <w:pStyle w:val="39"/>
                  </w:pPr>
                  <w:r>
                    <w:rPr>
                      <w:rFonts w:hint="eastAsia"/>
                    </w:rPr>
                    <w:t>3000</w:t>
                  </w:r>
                  <w:r>
                    <w:t>.0</w:t>
                  </w:r>
                </w:p>
              </w:tc>
              <w:tc>
                <w:tcPr>
                  <w:tcW w:w="1527" w:type="dxa"/>
                  <w:vAlign w:val="center"/>
                </w:tcPr>
                <w:p>
                  <w:pPr>
                    <w:pStyle w:val="39"/>
                  </w:pPr>
                  <w:r>
                    <w:rPr>
                      <w:rFonts w:hint="eastAsia"/>
                    </w:rPr>
                    <w:t>0.015421</w:t>
                  </w:r>
                </w:p>
              </w:tc>
              <w:tc>
                <w:tcPr>
                  <w:tcW w:w="830" w:type="pct"/>
                  <w:vAlign w:val="center"/>
                </w:tcPr>
                <w:p>
                  <w:pPr>
                    <w:pStyle w:val="39"/>
                  </w:pPr>
                  <w:r>
                    <w:rPr>
                      <w:rFonts w:hint="eastAsia"/>
                    </w:rPr>
                    <w:t>0.77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1405" w:type="dxa"/>
                  <w:vAlign w:val="center"/>
                </w:tcPr>
                <w:p>
                  <w:pPr>
                    <w:pStyle w:val="39"/>
                  </w:pPr>
                  <w:r>
                    <w:t>675.0</w:t>
                  </w:r>
                </w:p>
              </w:tc>
              <w:tc>
                <w:tcPr>
                  <w:tcW w:w="864" w:type="pct"/>
                  <w:vAlign w:val="center"/>
                </w:tcPr>
                <w:p>
                  <w:pPr>
                    <w:pStyle w:val="39"/>
                  </w:pPr>
                  <w:r>
                    <w:t>0.039804</w:t>
                  </w:r>
                </w:p>
              </w:tc>
              <w:tc>
                <w:tcPr>
                  <w:tcW w:w="827" w:type="pct"/>
                  <w:vAlign w:val="center"/>
                </w:tcPr>
                <w:p>
                  <w:pPr>
                    <w:pStyle w:val="39"/>
                  </w:pPr>
                  <w:r>
                    <w:rPr>
                      <w:rFonts w:hint="eastAsia"/>
                    </w:rPr>
                    <w:t>1.99</w:t>
                  </w:r>
                </w:p>
              </w:tc>
              <w:tc>
                <w:tcPr>
                  <w:tcW w:w="1446" w:type="dxa"/>
                  <w:vAlign w:val="center"/>
                </w:tcPr>
                <w:p>
                  <w:pPr>
                    <w:pStyle w:val="39"/>
                  </w:pPr>
                  <w:r>
                    <w:rPr>
                      <w:rFonts w:hint="eastAsia"/>
                    </w:rPr>
                    <w:t>3500.0</w:t>
                  </w:r>
                </w:p>
              </w:tc>
              <w:tc>
                <w:tcPr>
                  <w:tcW w:w="864" w:type="pct"/>
                  <w:vAlign w:val="center"/>
                </w:tcPr>
                <w:p>
                  <w:pPr>
                    <w:pStyle w:val="39"/>
                  </w:pPr>
                  <w:r>
                    <w:rPr>
                      <w:rFonts w:hint="eastAsia"/>
                    </w:rPr>
                    <w:t>0.013629</w:t>
                  </w:r>
                </w:p>
              </w:tc>
              <w:tc>
                <w:tcPr>
                  <w:tcW w:w="830" w:type="pct"/>
                  <w:vAlign w:val="center"/>
                </w:tcPr>
                <w:p>
                  <w:pPr>
                    <w:pStyle w:val="39"/>
                  </w:pPr>
                  <w:r>
                    <w:rPr>
                      <w:rFonts w:hint="eastAsia"/>
                    </w:rPr>
                    <w:t>0.68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1405" w:type="dxa"/>
                  <w:vAlign w:val="center"/>
                </w:tcPr>
                <w:p>
                  <w:pPr>
                    <w:pStyle w:val="39"/>
                  </w:pPr>
                  <w:r>
                    <w:rPr>
                      <w:rFonts w:hint="eastAsia"/>
                    </w:rPr>
                    <w:t>700.0</w:t>
                  </w:r>
                </w:p>
              </w:tc>
              <w:tc>
                <w:tcPr>
                  <w:tcW w:w="864" w:type="pct"/>
                  <w:vAlign w:val="center"/>
                </w:tcPr>
                <w:p>
                  <w:pPr>
                    <w:pStyle w:val="39"/>
                  </w:pPr>
                  <w:r>
                    <w:t>0.039372</w:t>
                  </w:r>
                </w:p>
              </w:tc>
              <w:tc>
                <w:tcPr>
                  <w:tcW w:w="827" w:type="pct"/>
                  <w:vAlign w:val="center"/>
                </w:tcPr>
                <w:p>
                  <w:pPr>
                    <w:pStyle w:val="39"/>
                  </w:pPr>
                  <w:r>
                    <w:rPr>
                      <w:rFonts w:hint="eastAsia"/>
                    </w:rPr>
                    <w:t>1.97</w:t>
                  </w:r>
                </w:p>
              </w:tc>
              <w:tc>
                <w:tcPr>
                  <w:tcW w:w="1446" w:type="dxa"/>
                  <w:vAlign w:val="center"/>
                </w:tcPr>
                <w:p>
                  <w:pPr>
                    <w:pStyle w:val="39"/>
                  </w:pPr>
                  <w:r>
                    <w:rPr>
                      <w:rFonts w:hint="eastAsia"/>
                    </w:rPr>
                    <w:t>4000.0</w:t>
                  </w:r>
                </w:p>
              </w:tc>
              <w:tc>
                <w:tcPr>
                  <w:tcW w:w="864" w:type="pct"/>
                  <w:vAlign w:val="center"/>
                </w:tcPr>
                <w:p>
                  <w:pPr>
                    <w:pStyle w:val="39"/>
                  </w:pPr>
                  <w:r>
                    <w:rPr>
                      <w:rFonts w:hint="eastAsia"/>
                    </w:rPr>
                    <w:t>0.012182</w:t>
                  </w:r>
                </w:p>
              </w:tc>
              <w:tc>
                <w:tcPr>
                  <w:tcW w:w="830" w:type="pct"/>
                  <w:vAlign w:val="center"/>
                </w:tcPr>
                <w:p>
                  <w:pPr>
                    <w:pStyle w:val="39"/>
                  </w:pPr>
                  <w:r>
                    <w:rPr>
                      <w:rFonts w:hint="eastAsia"/>
                    </w:rPr>
                    <w:t>0.61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1405" w:type="dxa"/>
                  <w:vAlign w:val="center"/>
                </w:tcPr>
                <w:p>
                  <w:pPr>
                    <w:pStyle w:val="39"/>
                  </w:pPr>
                  <w:r>
                    <w:t>725.0</w:t>
                  </w:r>
                </w:p>
              </w:tc>
              <w:tc>
                <w:tcPr>
                  <w:tcW w:w="864" w:type="pct"/>
                  <w:vAlign w:val="center"/>
                </w:tcPr>
                <w:p>
                  <w:pPr>
                    <w:pStyle w:val="39"/>
                  </w:pPr>
                  <w:r>
                    <w:t>0.038753</w:t>
                  </w:r>
                </w:p>
              </w:tc>
              <w:tc>
                <w:tcPr>
                  <w:tcW w:w="827" w:type="pct"/>
                  <w:vAlign w:val="center"/>
                </w:tcPr>
                <w:p>
                  <w:pPr>
                    <w:pStyle w:val="39"/>
                  </w:pPr>
                  <w:r>
                    <w:rPr>
                      <w:rFonts w:hint="eastAsia"/>
                    </w:rPr>
                    <w:t>1.94</w:t>
                  </w:r>
                </w:p>
              </w:tc>
              <w:tc>
                <w:tcPr>
                  <w:tcW w:w="1446" w:type="dxa"/>
                  <w:vAlign w:val="center"/>
                </w:tcPr>
                <w:p>
                  <w:pPr>
                    <w:pStyle w:val="39"/>
                  </w:pPr>
                  <w:r>
                    <w:rPr>
                      <w:rFonts w:hint="eastAsia"/>
                    </w:rPr>
                    <w:t>4500</w:t>
                  </w:r>
                  <w:r>
                    <w:t>.0</w:t>
                  </w:r>
                </w:p>
              </w:tc>
              <w:tc>
                <w:tcPr>
                  <w:tcW w:w="864" w:type="pct"/>
                  <w:vAlign w:val="center"/>
                </w:tcPr>
                <w:p>
                  <w:pPr>
                    <w:pStyle w:val="39"/>
                  </w:pPr>
                  <w:r>
                    <w:rPr>
                      <w:rFonts w:hint="eastAsia"/>
                    </w:rPr>
                    <w:t>0.011078</w:t>
                  </w:r>
                </w:p>
              </w:tc>
              <w:tc>
                <w:tcPr>
                  <w:tcW w:w="830" w:type="pct"/>
                  <w:vAlign w:val="center"/>
                </w:tcPr>
                <w:p>
                  <w:pPr>
                    <w:pStyle w:val="39"/>
                  </w:pPr>
                  <w:r>
                    <w:rPr>
                      <w:rFonts w:hint="eastAsia"/>
                    </w:rPr>
                    <w:t>0.55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795" w:type="pct"/>
                  <w:vAlign w:val="center"/>
                </w:tcPr>
                <w:p>
                  <w:pPr>
                    <w:pStyle w:val="39"/>
                  </w:pPr>
                  <w:r>
                    <w:rPr>
                      <w:rFonts w:hint="eastAsia"/>
                    </w:rPr>
                    <w:t>750.0</w:t>
                  </w:r>
                </w:p>
              </w:tc>
              <w:tc>
                <w:tcPr>
                  <w:tcW w:w="864" w:type="pct"/>
                  <w:vAlign w:val="center"/>
                </w:tcPr>
                <w:p>
                  <w:pPr>
                    <w:pStyle w:val="39"/>
                  </w:pPr>
                  <w:r>
                    <w:rPr>
                      <w:rFonts w:hint="eastAsia"/>
                    </w:rPr>
                    <w:t>0.038153</w:t>
                  </w:r>
                </w:p>
              </w:tc>
              <w:tc>
                <w:tcPr>
                  <w:tcW w:w="827" w:type="pct"/>
                  <w:vAlign w:val="center"/>
                </w:tcPr>
                <w:p>
                  <w:pPr>
                    <w:pStyle w:val="39"/>
                  </w:pPr>
                  <w:r>
                    <w:rPr>
                      <w:rFonts w:hint="eastAsia"/>
                    </w:rPr>
                    <w:t>1.91</w:t>
                  </w:r>
                </w:p>
              </w:tc>
              <w:tc>
                <w:tcPr>
                  <w:tcW w:w="1446" w:type="dxa"/>
                  <w:vAlign w:val="center"/>
                </w:tcPr>
                <w:p>
                  <w:pPr>
                    <w:pStyle w:val="39"/>
                  </w:pPr>
                  <w:r>
                    <w:rPr>
                      <w:rFonts w:hint="eastAsia"/>
                    </w:rPr>
                    <w:t>5000</w:t>
                  </w:r>
                  <w:r>
                    <w:t>.0</w:t>
                  </w:r>
                </w:p>
              </w:tc>
              <w:tc>
                <w:tcPr>
                  <w:tcW w:w="864" w:type="pct"/>
                  <w:vAlign w:val="center"/>
                </w:tcPr>
                <w:p>
                  <w:pPr>
                    <w:pStyle w:val="39"/>
                  </w:pPr>
                  <w:r>
                    <w:rPr>
                      <w:rFonts w:hint="eastAsia"/>
                    </w:rPr>
                    <w:t>0.010316</w:t>
                  </w:r>
                </w:p>
              </w:tc>
              <w:tc>
                <w:tcPr>
                  <w:tcW w:w="830" w:type="pct"/>
                  <w:vAlign w:val="center"/>
                </w:tcPr>
                <w:p>
                  <w:pPr>
                    <w:pStyle w:val="39"/>
                  </w:pPr>
                  <w:r>
                    <w:rPr>
                      <w:rFonts w:hint="eastAsia"/>
                    </w:rPr>
                    <w:t>0.52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3304" w:type="pct"/>
                  <w:gridSpan w:val="4"/>
                  <w:vAlign w:val="center"/>
                </w:tcPr>
                <w:p>
                  <w:pPr>
                    <w:pStyle w:val="39"/>
                  </w:pPr>
                  <w:r>
                    <w:t>下风向最大浓度</w:t>
                  </w:r>
                </w:p>
              </w:tc>
              <w:tc>
                <w:tcPr>
                  <w:tcW w:w="864" w:type="pct"/>
                  <w:vAlign w:val="center"/>
                </w:tcPr>
                <w:p>
                  <w:pPr>
                    <w:pStyle w:val="39"/>
                  </w:pPr>
                  <w:r>
                    <w:rPr>
                      <w:rFonts w:hint="eastAsia"/>
                    </w:rPr>
                    <w:t>0.19093</w:t>
                  </w:r>
                </w:p>
              </w:tc>
              <w:tc>
                <w:tcPr>
                  <w:tcW w:w="830" w:type="pct"/>
                  <w:vAlign w:val="center"/>
                </w:tcPr>
                <w:p>
                  <w:pPr>
                    <w:pStyle w:val="39"/>
                  </w:pPr>
                  <w:r>
                    <w:rPr>
                      <w:rFonts w:hint="eastAsia"/>
                    </w:rPr>
                    <w:t>9.55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3304" w:type="pct"/>
                  <w:gridSpan w:val="4"/>
                  <w:vAlign w:val="center"/>
                </w:tcPr>
                <w:p>
                  <w:pPr>
                    <w:pStyle w:val="39"/>
                  </w:pPr>
                  <w:r>
                    <w:t>下风向最大浓度出现距离</w:t>
                  </w:r>
                </w:p>
              </w:tc>
              <w:tc>
                <w:tcPr>
                  <w:tcW w:w="864" w:type="pct"/>
                  <w:vAlign w:val="center"/>
                </w:tcPr>
                <w:p>
                  <w:pPr>
                    <w:pStyle w:val="39"/>
                  </w:pPr>
                  <w:r>
                    <w:rPr>
                      <w:rFonts w:hint="eastAsia"/>
                    </w:rPr>
                    <w:t>25.0</w:t>
                  </w:r>
                </w:p>
              </w:tc>
              <w:tc>
                <w:tcPr>
                  <w:tcW w:w="830" w:type="pct"/>
                  <w:vAlign w:val="center"/>
                </w:tcPr>
                <w:p>
                  <w:pPr>
                    <w:pStyle w:val="39"/>
                  </w:pPr>
                  <w:r>
                    <w:rPr>
                      <w:rFonts w:hint="eastAsia"/>
                    </w:rPr>
                    <w:t>25.0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3304" w:type="pct"/>
                  <w:gridSpan w:val="4"/>
                  <w:vAlign w:val="center"/>
                </w:tcPr>
                <w:p>
                  <w:pPr>
                    <w:pStyle w:val="39"/>
                  </w:pPr>
                  <w:r>
                    <w:t>D</w:t>
                  </w:r>
                  <w:r>
                    <w:rPr>
                      <w:vertAlign w:val="subscript"/>
                    </w:rPr>
                    <w:t>10%</w:t>
                  </w:r>
                  <w:r>
                    <w:t>最远距离</w:t>
                  </w:r>
                </w:p>
              </w:tc>
              <w:tc>
                <w:tcPr>
                  <w:tcW w:w="864" w:type="pct"/>
                  <w:vAlign w:val="center"/>
                </w:tcPr>
                <w:p>
                  <w:pPr>
                    <w:pStyle w:val="39"/>
                  </w:pPr>
                  <w:r>
                    <w:t>/</w:t>
                  </w:r>
                </w:p>
              </w:tc>
              <w:tc>
                <w:tcPr>
                  <w:tcW w:w="830" w:type="pct"/>
                  <w:vAlign w:val="center"/>
                </w:tcPr>
                <w:p>
                  <w:pPr>
                    <w:pStyle w:val="39"/>
                  </w:pPr>
                  <w:r>
                    <w:t>/</w:t>
                  </w:r>
                </w:p>
              </w:tc>
            </w:tr>
          </w:tbl>
          <w:p>
            <w:pPr>
              <w:spacing w:line="460" w:lineRule="exact"/>
              <w:ind w:firstLine="480" w:firstLineChars="200"/>
              <w:jc w:val="both"/>
              <w:rPr>
                <w:rFonts w:ascii="Times New Roman" w:hAnsi="Times New Roman" w:eastAsia="宋体" w:cs="Times New Roman"/>
                <w:sz w:val="24"/>
                <w:lang w:eastAsia="zh-CN"/>
              </w:rPr>
            </w:pPr>
            <w:r>
              <w:rPr>
                <w:rFonts w:hint="eastAsia" w:ascii="Times New Roman" w:hAnsi="Times New Roman" w:eastAsia="宋体" w:cs="Times New Roman"/>
                <w:sz w:val="24"/>
                <w:lang w:eastAsia="zh-CN"/>
              </w:rPr>
              <w:t>综合以上分析，</w:t>
            </w:r>
            <w:r>
              <w:rPr>
                <w:rFonts w:ascii="Times New Roman" w:hAnsi="Times New Roman" w:eastAsia="宋体" w:cs="Times New Roman"/>
                <w:sz w:val="24"/>
                <w:lang w:eastAsia="zh-CN"/>
              </w:rPr>
              <w:t>本项目P</w:t>
            </w:r>
            <w:r>
              <w:rPr>
                <w:rFonts w:ascii="Times New Roman" w:hAnsi="Times New Roman" w:eastAsia="宋体" w:cs="Times New Roman"/>
                <w:sz w:val="24"/>
                <w:vertAlign w:val="subscript"/>
                <w:lang w:eastAsia="zh-CN"/>
              </w:rPr>
              <w:t>max</w:t>
            </w:r>
            <w:r>
              <w:rPr>
                <w:rFonts w:ascii="Times New Roman" w:hAnsi="Times New Roman" w:eastAsia="宋体" w:cs="Times New Roman"/>
                <w:sz w:val="24"/>
                <w:lang w:eastAsia="zh-CN"/>
              </w:rPr>
              <w:t>最大值出现为加油区排放的NMHC P</w:t>
            </w:r>
            <w:r>
              <w:rPr>
                <w:rFonts w:ascii="Times New Roman" w:hAnsi="Times New Roman" w:eastAsia="宋体" w:cs="Times New Roman"/>
                <w:sz w:val="24"/>
                <w:vertAlign w:val="subscript"/>
                <w:lang w:eastAsia="zh-CN"/>
              </w:rPr>
              <w:t>max</w:t>
            </w:r>
            <w:r>
              <w:rPr>
                <w:rFonts w:ascii="Times New Roman" w:hAnsi="Times New Roman" w:eastAsia="宋体" w:cs="Times New Roman"/>
                <w:sz w:val="24"/>
                <w:lang w:eastAsia="zh-CN"/>
              </w:rPr>
              <w:t>值为</w:t>
            </w:r>
            <w:r>
              <w:rPr>
                <w:rFonts w:hint="eastAsia" w:ascii="Times New Roman" w:hAnsi="Times New Roman" w:eastAsia="宋体" w:cs="Times New Roman"/>
                <w:sz w:val="23"/>
                <w:szCs w:val="23"/>
                <w:lang w:eastAsia="zh-CN"/>
              </w:rPr>
              <w:t>9.55</w:t>
            </w:r>
            <w:r>
              <w:rPr>
                <w:rFonts w:ascii="Times New Roman" w:hAnsi="Times New Roman" w:eastAsia="宋体" w:cs="Times New Roman"/>
                <w:sz w:val="24"/>
                <w:lang w:eastAsia="zh-CN"/>
              </w:rPr>
              <w:t>%</w:t>
            </w:r>
            <w:r>
              <w:rPr>
                <w:rFonts w:hint="eastAsia" w:ascii="Times New Roman" w:hAnsi="Times New Roman" w:eastAsia="宋体" w:cs="Times New Roman"/>
                <w:sz w:val="24"/>
                <w:lang w:eastAsia="zh-CN"/>
              </w:rPr>
              <w:t>，</w:t>
            </w:r>
            <w:r>
              <w:rPr>
                <w:rFonts w:ascii="Times New Roman" w:hAnsi="Times New Roman" w:eastAsia="宋体" w:cs="Times New Roman"/>
                <w:sz w:val="24"/>
                <w:lang w:eastAsia="zh-CN"/>
              </w:rPr>
              <w:t>C</w:t>
            </w:r>
            <w:r>
              <w:rPr>
                <w:rFonts w:ascii="Times New Roman" w:hAnsi="Times New Roman" w:eastAsia="宋体" w:cs="Times New Roman"/>
                <w:sz w:val="24"/>
                <w:vertAlign w:val="subscript"/>
                <w:lang w:eastAsia="zh-CN"/>
              </w:rPr>
              <w:t>max</w:t>
            </w:r>
            <w:r>
              <w:rPr>
                <w:rFonts w:ascii="Times New Roman" w:hAnsi="Times New Roman" w:eastAsia="宋体" w:cs="Times New Roman"/>
                <w:sz w:val="24"/>
                <w:lang w:eastAsia="zh-CN"/>
              </w:rPr>
              <w:t>为</w:t>
            </w:r>
            <w:r>
              <w:rPr>
                <w:rFonts w:hint="eastAsia" w:ascii="Times New Roman" w:hAnsi="Times New Roman" w:eastAsia="宋体" w:cs="Times New Roman"/>
                <w:sz w:val="23"/>
                <w:szCs w:val="23"/>
                <w:lang w:eastAsia="zh-CN"/>
              </w:rPr>
              <w:t>0.19093m</w:t>
            </w:r>
            <w:r>
              <w:rPr>
                <w:rFonts w:ascii="Times New Roman" w:hAnsi="Times New Roman" w:eastAsia="宋体" w:cs="Times New Roman"/>
                <w:sz w:val="24"/>
                <w:lang w:eastAsia="zh-CN"/>
              </w:rPr>
              <w:t>g/m³</w:t>
            </w:r>
            <w:r>
              <w:rPr>
                <w:rFonts w:hint="eastAsia" w:ascii="Times New Roman" w:hAnsi="Times New Roman" w:eastAsia="宋体" w:cs="Times New Roman"/>
                <w:sz w:val="24"/>
                <w:lang w:eastAsia="zh-CN"/>
              </w:rPr>
              <w:t>，</w:t>
            </w:r>
            <w:r>
              <w:rPr>
                <w:rFonts w:hint="eastAsia" w:ascii="Times New Roman" w:hAnsi="Times New Roman" w:cs="Times New Roman" w:eastAsiaTheme="majorEastAsia"/>
                <w:sz w:val="24"/>
                <w:szCs w:val="24"/>
                <w:lang w:eastAsia="zh-CN"/>
              </w:rPr>
              <w:t>项目厂界浓度满足大气污染物厂界浓度限值，且厂界外大气污染物的短期贡献浓度不超过环境质量浓度限值，所以本项目不需要设置大气环境防护距离。</w:t>
            </w:r>
          </w:p>
          <w:p>
            <w:pPr>
              <w:spacing w:line="460" w:lineRule="exact"/>
              <w:ind w:firstLine="440" w:firstLineChars="200"/>
              <w:jc w:val="both"/>
              <w:rPr>
                <w:lang w:eastAsia="zh-CN"/>
              </w:rPr>
            </w:pPr>
          </w:p>
          <w:p>
            <w:pPr>
              <w:tabs>
                <w:tab w:val="left" w:pos="3060"/>
              </w:tabs>
              <w:spacing w:line="460" w:lineRule="exact"/>
              <w:ind w:firstLine="482" w:firstLineChars="200"/>
              <w:jc w:val="both"/>
              <w:rPr>
                <w:rFonts w:ascii="Times New Roman" w:hAnsi="Times New Roman" w:eastAsia="宋体" w:cs="Times New Roman"/>
                <w:b/>
                <w:bCs/>
                <w:sz w:val="24"/>
                <w:lang w:eastAsia="zh-CN"/>
              </w:rPr>
            </w:pPr>
            <w:r>
              <w:rPr>
                <w:rFonts w:ascii="Times New Roman" w:hAnsi="Times New Roman" w:eastAsia="宋体" w:cs="Times New Roman"/>
                <w:b/>
                <w:bCs/>
                <w:sz w:val="24"/>
                <w:lang w:eastAsia="zh-CN"/>
              </w:rPr>
              <w:t>1.3</w:t>
            </w:r>
            <w:r>
              <w:rPr>
                <w:rFonts w:hint="eastAsia" w:ascii="Times New Roman" w:hAnsi="Times New Roman" w:eastAsia="宋体" w:cs="Times New Roman"/>
                <w:b/>
                <w:bCs/>
                <w:sz w:val="24"/>
                <w:lang w:eastAsia="zh-CN"/>
              </w:rPr>
              <w:t>非正常工况下废气排放</w:t>
            </w:r>
          </w:p>
          <w:p>
            <w:pPr>
              <w:spacing w:line="460" w:lineRule="exact"/>
              <w:ind w:firstLine="480" w:firstLineChars="200"/>
              <w:jc w:val="both"/>
              <w:rPr>
                <w:rFonts w:ascii="Times New Roman" w:hAnsi="Times New Roman" w:cs="Times New Roman" w:eastAsiaTheme="majorEastAsia"/>
                <w:sz w:val="24"/>
                <w:szCs w:val="24"/>
                <w:lang w:eastAsia="zh-CN"/>
              </w:rPr>
            </w:pPr>
            <w:r>
              <w:rPr>
                <w:rFonts w:ascii="Times New Roman" w:hAnsi="Times New Roman" w:cs="Times New Roman" w:eastAsiaTheme="majorEastAsia"/>
                <w:sz w:val="24"/>
                <w:szCs w:val="24"/>
                <w:lang w:eastAsia="zh-CN"/>
              </w:rPr>
              <w:t>在非正常排放情况下，即废气未经处理直接排放（废气处理设施出现故障或完全失效），项目各污染源大气污染物排放情况见表</w:t>
            </w:r>
            <w:r>
              <w:rPr>
                <w:rFonts w:hint="eastAsia" w:ascii="Times New Roman" w:hAnsi="Times New Roman" w:cs="Times New Roman" w:eastAsiaTheme="majorEastAsia"/>
                <w:sz w:val="24"/>
                <w:szCs w:val="24"/>
                <w:lang w:eastAsia="zh-CN"/>
              </w:rPr>
              <w:t>4.2-7。</w:t>
            </w:r>
          </w:p>
          <w:p>
            <w:pPr>
              <w:pStyle w:val="42"/>
              <w:spacing w:before="120"/>
            </w:pPr>
            <w:r>
              <w:t>表</w:t>
            </w:r>
            <w:r>
              <w:rPr>
                <w:rFonts w:hint="eastAsia"/>
              </w:rPr>
              <w:t>4.2-7</w:t>
            </w:r>
            <w:r>
              <w:t xml:space="preserve">  </w:t>
            </w:r>
            <w:r>
              <w:rPr>
                <w:rFonts w:hint="eastAsia"/>
              </w:rPr>
              <w:t>各污染源非正常排放情况</w:t>
            </w:r>
            <w:r>
              <w:t>一览表</w:t>
            </w:r>
          </w:p>
          <w:tbl>
            <w:tblPr>
              <w:tblStyle w:val="4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86"/>
              <w:gridCol w:w="1886"/>
              <w:gridCol w:w="1558"/>
              <w:gridCol w:w="2528"/>
              <w:gridCol w:w="148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784" w:type="pct"/>
                  <w:vMerge w:val="restart"/>
                  <w:vAlign w:val="center"/>
                </w:tcPr>
                <w:p>
                  <w:pPr>
                    <w:adjustRightInd w:val="0"/>
                    <w:snapToGrid w:val="0"/>
                    <w:jc w:val="center"/>
                    <w:rPr>
                      <w:rFonts w:ascii="Times New Roman" w:hAnsi="Times New Roman" w:cs="Times New Roman" w:eastAsiaTheme="majorEastAsia"/>
                      <w:sz w:val="21"/>
                      <w:szCs w:val="21"/>
                      <w:lang w:eastAsia="zh-CN"/>
                    </w:rPr>
                  </w:pPr>
                  <w:r>
                    <w:rPr>
                      <w:rFonts w:hint="eastAsia" w:ascii="Times New Roman" w:hAnsi="Times New Roman" w:cs="Times New Roman" w:eastAsiaTheme="majorEastAsia"/>
                      <w:sz w:val="21"/>
                      <w:szCs w:val="21"/>
                      <w:lang w:eastAsia="zh-CN"/>
                    </w:rPr>
                    <w:t>污染源</w:t>
                  </w:r>
                </w:p>
              </w:tc>
              <w:tc>
                <w:tcPr>
                  <w:tcW w:w="1066" w:type="pct"/>
                  <w:vMerge w:val="restart"/>
                  <w:vAlign w:val="center"/>
                </w:tcPr>
                <w:p>
                  <w:pPr>
                    <w:adjustRightInd w:val="0"/>
                    <w:snapToGrid w:val="0"/>
                    <w:jc w:val="center"/>
                    <w:rPr>
                      <w:rFonts w:ascii="Times New Roman" w:hAnsi="Times New Roman" w:cs="Times New Roman" w:eastAsiaTheme="majorEastAsia"/>
                      <w:sz w:val="21"/>
                      <w:szCs w:val="21"/>
                      <w:lang w:eastAsia="zh-CN"/>
                    </w:rPr>
                  </w:pPr>
                  <w:r>
                    <w:rPr>
                      <w:rFonts w:hint="eastAsia" w:ascii="Times New Roman" w:hAnsi="Times New Roman" w:cs="Times New Roman" w:eastAsiaTheme="majorEastAsia"/>
                      <w:sz w:val="21"/>
                      <w:szCs w:val="21"/>
                      <w:lang w:eastAsia="zh-CN"/>
                    </w:rPr>
                    <w:t>非正常排放原因</w:t>
                  </w:r>
                </w:p>
              </w:tc>
              <w:tc>
                <w:tcPr>
                  <w:tcW w:w="3151" w:type="pct"/>
                  <w:gridSpan w:val="3"/>
                  <w:vAlign w:val="center"/>
                </w:tcPr>
                <w:p>
                  <w:pPr>
                    <w:adjustRightInd w:val="0"/>
                    <w:snapToGrid w:val="0"/>
                    <w:jc w:val="center"/>
                    <w:rPr>
                      <w:rFonts w:ascii="Times New Roman" w:hAnsi="Times New Roman" w:cs="Times New Roman" w:eastAsiaTheme="majorEastAsia"/>
                      <w:sz w:val="21"/>
                      <w:szCs w:val="21"/>
                      <w:lang w:eastAsia="zh-CN"/>
                    </w:rPr>
                  </w:pPr>
                  <w:r>
                    <w:rPr>
                      <w:rFonts w:hint="eastAsia" w:ascii="Times New Roman" w:hAnsi="Times New Roman" w:cs="Times New Roman" w:eastAsiaTheme="majorEastAsia"/>
                      <w:sz w:val="21"/>
                      <w:szCs w:val="21"/>
                      <w:lang w:eastAsia="zh-CN"/>
                    </w:rPr>
                    <w:t>非正常排放状况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784" w:type="pct"/>
                  <w:vMerge w:val="continue"/>
                  <w:vAlign w:val="center"/>
                </w:tcPr>
                <w:p>
                  <w:pPr>
                    <w:adjustRightInd w:val="0"/>
                    <w:snapToGrid w:val="0"/>
                    <w:jc w:val="center"/>
                    <w:rPr>
                      <w:rFonts w:ascii="Times New Roman" w:hAnsi="Times New Roman" w:cs="Times New Roman" w:eastAsiaTheme="majorEastAsia"/>
                      <w:sz w:val="21"/>
                      <w:szCs w:val="21"/>
                      <w:lang w:eastAsia="zh-CN"/>
                    </w:rPr>
                  </w:pPr>
                </w:p>
              </w:tc>
              <w:tc>
                <w:tcPr>
                  <w:tcW w:w="1066" w:type="pct"/>
                  <w:vMerge w:val="continue"/>
                  <w:vAlign w:val="center"/>
                </w:tcPr>
                <w:p>
                  <w:pPr>
                    <w:adjustRightInd w:val="0"/>
                    <w:snapToGrid w:val="0"/>
                    <w:jc w:val="center"/>
                    <w:rPr>
                      <w:rFonts w:ascii="Times New Roman" w:hAnsi="Times New Roman" w:cs="Times New Roman" w:eastAsiaTheme="majorEastAsia"/>
                      <w:sz w:val="21"/>
                      <w:szCs w:val="21"/>
                      <w:lang w:eastAsia="zh-CN"/>
                    </w:rPr>
                  </w:pPr>
                </w:p>
              </w:tc>
              <w:tc>
                <w:tcPr>
                  <w:tcW w:w="881" w:type="pct"/>
                  <w:vAlign w:val="center"/>
                </w:tcPr>
                <w:p>
                  <w:pPr>
                    <w:adjustRightInd w:val="0"/>
                    <w:snapToGrid w:val="0"/>
                    <w:jc w:val="center"/>
                    <w:rPr>
                      <w:rFonts w:ascii="Times New Roman" w:hAnsi="Times New Roman" w:cs="Times New Roman" w:eastAsiaTheme="majorEastAsia"/>
                      <w:sz w:val="21"/>
                      <w:szCs w:val="21"/>
                      <w:lang w:eastAsia="zh-CN"/>
                    </w:rPr>
                  </w:pPr>
                  <w:r>
                    <w:rPr>
                      <w:rFonts w:hint="eastAsia" w:ascii="Times New Roman" w:hAnsi="Times New Roman" w:cs="Times New Roman" w:eastAsiaTheme="majorEastAsia"/>
                      <w:sz w:val="21"/>
                      <w:szCs w:val="21"/>
                      <w:lang w:eastAsia="zh-CN"/>
                    </w:rPr>
                    <w:t>污染物</w:t>
                  </w:r>
                </w:p>
              </w:tc>
              <w:tc>
                <w:tcPr>
                  <w:tcW w:w="1429" w:type="pct"/>
                  <w:vAlign w:val="center"/>
                </w:tcPr>
                <w:p>
                  <w:pPr>
                    <w:adjustRightInd w:val="0"/>
                    <w:snapToGrid w:val="0"/>
                    <w:jc w:val="center"/>
                    <w:rPr>
                      <w:rFonts w:ascii="Times New Roman" w:hAnsi="Times New Roman" w:cs="Times New Roman" w:eastAsiaTheme="majorEastAsia"/>
                      <w:sz w:val="21"/>
                      <w:szCs w:val="21"/>
                      <w:lang w:eastAsia="zh-CN"/>
                    </w:rPr>
                  </w:pPr>
                  <w:r>
                    <w:rPr>
                      <w:rFonts w:hint="eastAsia" w:ascii="Times New Roman" w:hAnsi="Times New Roman" w:cs="Times New Roman" w:eastAsiaTheme="majorEastAsia"/>
                      <w:sz w:val="21"/>
                      <w:szCs w:val="21"/>
                      <w:lang w:eastAsia="zh-CN"/>
                    </w:rPr>
                    <w:t>非正常排放速率</w:t>
                  </w:r>
                  <w:r>
                    <w:rPr>
                      <w:rFonts w:ascii="Times New Roman" w:hAnsi="Times New Roman" w:cs="Times New Roman"/>
                      <w:sz w:val="21"/>
                      <w:szCs w:val="21"/>
                    </w:rPr>
                    <w:t>kg/h</w:t>
                  </w:r>
                </w:p>
              </w:tc>
              <w:tc>
                <w:tcPr>
                  <w:tcW w:w="840" w:type="pct"/>
                  <w:vAlign w:val="center"/>
                </w:tcPr>
                <w:p>
                  <w:pPr>
                    <w:adjustRightInd w:val="0"/>
                    <w:snapToGrid w:val="0"/>
                    <w:jc w:val="center"/>
                    <w:rPr>
                      <w:rFonts w:ascii="Times New Roman" w:hAnsi="Times New Roman" w:cs="Times New Roman" w:eastAsiaTheme="majorEastAsia"/>
                      <w:sz w:val="21"/>
                      <w:szCs w:val="21"/>
                      <w:lang w:eastAsia="zh-CN"/>
                    </w:rPr>
                  </w:pPr>
                  <w:r>
                    <w:rPr>
                      <w:rFonts w:hint="eastAsia" w:ascii="Times New Roman" w:hAnsi="Times New Roman" w:cs="Times New Roman" w:eastAsiaTheme="majorEastAsia"/>
                      <w:sz w:val="21"/>
                      <w:szCs w:val="21"/>
                      <w:lang w:eastAsia="zh-CN"/>
                    </w:rPr>
                    <w:t>频次及持续时间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784" w:type="pct"/>
                  <w:vAlign w:val="center"/>
                </w:tcPr>
                <w:p>
                  <w:pPr>
                    <w:adjustRightInd w:val="0"/>
                    <w:snapToGrid w:val="0"/>
                    <w:jc w:val="center"/>
                    <w:rPr>
                      <w:rFonts w:ascii="Times New Roman" w:hAnsi="Times New Roman" w:cs="Times New Roman" w:eastAsiaTheme="majorEastAsia"/>
                      <w:sz w:val="21"/>
                      <w:szCs w:val="21"/>
                      <w:lang w:eastAsia="zh-CN"/>
                    </w:rPr>
                  </w:pPr>
                  <w:r>
                    <w:rPr>
                      <w:rFonts w:hint="eastAsia" w:ascii="Times New Roman" w:hAnsi="Times New Roman" w:cs="Times New Roman" w:eastAsiaTheme="majorEastAsia"/>
                      <w:sz w:val="21"/>
                      <w:szCs w:val="21"/>
                      <w:lang w:eastAsia="zh-CN"/>
                    </w:rPr>
                    <w:t>加油区及埋地储罐区</w:t>
                  </w:r>
                </w:p>
              </w:tc>
              <w:tc>
                <w:tcPr>
                  <w:tcW w:w="1066" w:type="pct"/>
                  <w:vAlign w:val="center"/>
                </w:tcPr>
                <w:p>
                  <w:pPr>
                    <w:adjustRightInd w:val="0"/>
                    <w:snapToGrid w:val="0"/>
                    <w:jc w:val="center"/>
                    <w:rPr>
                      <w:rFonts w:ascii="Times New Roman" w:hAnsi="Times New Roman" w:cs="Times New Roman" w:eastAsiaTheme="majorEastAsia"/>
                      <w:sz w:val="21"/>
                      <w:szCs w:val="21"/>
                      <w:lang w:eastAsia="zh-CN"/>
                    </w:rPr>
                  </w:pPr>
                  <w:r>
                    <w:rPr>
                      <w:rFonts w:hint="eastAsia" w:ascii="Times New Roman" w:hAnsi="Times New Roman" w:cs="Times New Roman" w:eastAsiaTheme="majorEastAsia"/>
                      <w:sz w:val="21"/>
                      <w:szCs w:val="21"/>
                      <w:lang w:eastAsia="zh-CN"/>
                    </w:rPr>
                    <w:t>加油、卸油油气回收系统故障或者完全失效</w:t>
                  </w:r>
                </w:p>
              </w:tc>
              <w:tc>
                <w:tcPr>
                  <w:tcW w:w="881" w:type="pct"/>
                  <w:vAlign w:val="center"/>
                </w:tcPr>
                <w:p>
                  <w:pPr>
                    <w:adjustRightInd w:val="0"/>
                    <w:snapToGrid w:val="0"/>
                    <w:jc w:val="center"/>
                    <w:rPr>
                      <w:rFonts w:ascii="Times New Roman" w:hAnsi="Times New Roman" w:cs="Times New Roman" w:eastAsiaTheme="majorEastAsia"/>
                      <w:sz w:val="21"/>
                      <w:szCs w:val="21"/>
                      <w:lang w:eastAsia="zh-CN"/>
                    </w:rPr>
                  </w:pPr>
                  <w:r>
                    <w:rPr>
                      <w:rFonts w:hint="eastAsia" w:ascii="Times New Roman" w:hAnsi="Times New Roman" w:cs="Times New Roman" w:eastAsiaTheme="majorEastAsia"/>
                      <w:sz w:val="21"/>
                      <w:szCs w:val="21"/>
                      <w:lang w:eastAsia="zh-CN"/>
                    </w:rPr>
                    <w:t>非甲烷总烃</w:t>
                  </w:r>
                </w:p>
              </w:tc>
              <w:tc>
                <w:tcPr>
                  <w:tcW w:w="1429" w:type="pct"/>
                  <w:vAlign w:val="center"/>
                </w:tcPr>
                <w:p>
                  <w:pPr>
                    <w:adjustRightInd w:val="0"/>
                    <w:snapToGrid w:val="0"/>
                    <w:jc w:val="center"/>
                    <w:rPr>
                      <w:rFonts w:ascii="Times New Roman" w:hAnsi="Times New Roman" w:cs="Times New Roman" w:eastAsiaTheme="majorEastAsia"/>
                      <w:sz w:val="21"/>
                      <w:szCs w:val="21"/>
                      <w:lang w:eastAsia="zh-CN"/>
                    </w:rPr>
                  </w:pPr>
                  <w:r>
                    <w:rPr>
                      <w:rFonts w:hint="eastAsia" w:ascii="Times New Roman" w:hAnsi="Times New Roman" w:cs="Times New Roman" w:eastAsiaTheme="majorEastAsia"/>
                      <w:sz w:val="21"/>
                      <w:szCs w:val="21"/>
                      <w:lang w:eastAsia="zh-CN"/>
                    </w:rPr>
                    <w:t>1.215</w:t>
                  </w:r>
                </w:p>
              </w:tc>
              <w:tc>
                <w:tcPr>
                  <w:tcW w:w="840" w:type="pct"/>
                  <w:vAlign w:val="center"/>
                </w:tcPr>
                <w:p>
                  <w:pPr>
                    <w:adjustRightInd w:val="0"/>
                    <w:snapToGrid w:val="0"/>
                    <w:jc w:val="center"/>
                    <w:rPr>
                      <w:rFonts w:ascii="Times New Roman" w:hAnsi="Times New Roman" w:cs="Times New Roman" w:eastAsiaTheme="majorEastAsia"/>
                      <w:sz w:val="21"/>
                      <w:szCs w:val="21"/>
                      <w:lang w:eastAsia="zh-CN"/>
                    </w:rPr>
                  </w:pPr>
                  <w:r>
                    <w:rPr>
                      <w:rFonts w:hint="eastAsia" w:ascii="Times New Roman" w:hAnsi="Times New Roman" w:cs="Times New Roman" w:eastAsiaTheme="majorEastAsia"/>
                      <w:sz w:val="21"/>
                      <w:szCs w:val="21"/>
                      <w:lang w:eastAsia="zh-CN"/>
                    </w:rPr>
                    <w:t>1次/年，1h/次</w:t>
                  </w:r>
                </w:p>
              </w:tc>
            </w:tr>
          </w:tbl>
          <w:p>
            <w:pPr>
              <w:spacing w:line="460" w:lineRule="exact"/>
              <w:ind w:firstLine="480" w:firstLineChars="200"/>
              <w:jc w:val="both"/>
              <w:rPr>
                <w:rFonts w:ascii="Times New Roman" w:hAnsi="Times New Roman" w:cs="Times New Roman" w:eastAsiaTheme="majorEastAsia"/>
                <w:sz w:val="24"/>
                <w:szCs w:val="24"/>
                <w:lang w:eastAsia="zh-CN"/>
              </w:rPr>
            </w:pPr>
            <w:r>
              <w:rPr>
                <w:rFonts w:ascii="Times New Roman" w:hAnsi="Times New Roman" w:cs="Times New Roman" w:eastAsiaTheme="majorEastAsia"/>
                <w:sz w:val="24"/>
                <w:szCs w:val="24"/>
                <w:lang w:eastAsia="zh-CN"/>
              </w:rPr>
              <w:t>由上表可知，非正常工况下，</w:t>
            </w:r>
            <w:r>
              <w:rPr>
                <w:rFonts w:hint="eastAsia" w:ascii="Times New Roman" w:hAnsi="Times New Roman" w:cs="Times New Roman" w:eastAsiaTheme="majorEastAsia"/>
                <w:sz w:val="24"/>
                <w:szCs w:val="24"/>
                <w:lang w:eastAsia="zh-CN"/>
              </w:rPr>
              <w:t>加油区及埋地储罐区</w:t>
            </w:r>
            <w:r>
              <w:rPr>
                <w:rFonts w:ascii="Times New Roman" w:hAnsi="Times New Roman" w:cs="Times New Roman" w:eastAsiaTheme="majorEastAsia"/>
                <w:sz w:val="24"/>
                <w:szCs w:val="24"/>
                <w:lang w:eastAsia="zh-CN"/>
              </w:rPr>
              <w:t>排放的污染物排放速率</w:t>
            </w:r>
            <w:r>
              <w:rPr>
                <w:rFonts w:hint="eastAsia" w:ascii="Times New Roman" w:hAnsi="Times New Roman" w:cs="Times New Roman" w:eastAsiaTheme="majorEastAsia"/>
                <w:sz w:val="24"/>
                <w:szCs w:val="24"/>
                <w:lang w:eastAsia="zh-CN"/>
              </w:rPr>
              <w:t>增加较多</w:t>
            </w:r>
            <w:r>
              <w:rPr>
                <w:rFonts w:ascii="Times New Roman" w:hAnsi="Times New Roman" w:cs="Times New Roman" w:eastAsiaTheme="majorEastAsia"/>
                <w:sz w:val="24"/>
                <w:szCs w:val="24"/>
                <w:lang w:eastAsia="zh-CN"/>
              </w:rPr>
              <w:t>，为预防此类工况发生，除确保生产设备和施工安装质量先进可靠外，还需要加强管理，做好设备的日常维护、保养工作，定期检查环保设施的运行情况，定期检测，确保污染物能够达标排放，同时严格按照操作规程生产，可减少此类非正常工况的发生。</w:t>
            </w:r>
          </w:p>
          <w:p>
            <w:pPr>
              <w:tabs>
                <w:tab w:val="left" w:pos="3060"/>
              </w:tabs>
              <w:spacing w:line="460" w:lineRule="exact"/>
              <w:ind w:firstLine="482" w:firstLineChars="200"/>
              <w:jc w:val="both"/>
              <w:rPr>
                <w:rFonts w:ascii="Times New Roman" w:hAnsi="Times New Roman" w:eastAsia="宋体" w:cs="Times New Roman"/>
                <w:b/>
                <w:bCs/>
                <w:sz w:val="24"/>
                <w:lang w:eastAsia="zh-CN"/>
              </w:rPr>
            </w:pPr>
            <w:r>
              <w:rPr>
                <w:rFonts w:hint="eastAsia" w:ascii="Times New Roman" w:hAnsi="Times New Roman" w:eastAsia="宋体" w:cs="Times New Roman"/>
                <w:b/>
                <w:bCs/>
                <w:sz w:val="24"/>
                <w:lang w:eastAsia="zh-CN"/>
              </w:rPr>
              <w:t>1.4</w:t>
            </w:r>
            <w:r>
              <w:rPr>
                <w:rFonts w:ascii="Times New Roman" w:hAnsi="Times New Roman" w:eastAsia="宋体" w:cs="Times New Roman"/>
                <w:b/>
                <w:bCs/>
                <w:sz w:val="24"/>
                <w:lang w:eastAsia="zh-CN"/>
              </w:rPr>
              <w:t>废气治理设施可行性分析</w:t>
            </w:r>
          </w:p>
          <w:p>
            <w:pPr>
              <w:spacing w:line="460" w:lineRule="exact"/>
              <w:ind w:firstLine="480" w:firstLineChars="200"/>
              <w:jc w:val="both"/>
              <w:rPr>
                <w:rFonts w:ascii="Times New Roman" w:hAnsi="Times New Roman" w:cs="Times New Roman" w:eastAsiaTheme="majorEastAsia"/>
                <w:sz w:val="24"/>
                <w:szCs w:val="24"/>
                <w:lang w:eastAsia="zh-CN"/>
              </w:rPr>
            </w:pPr>
            <w:r>
              <w:rPr>
                <w:rFonts w:hint="eastAsia" w:ascii="Times New Roman" w:hAnsi="Times New Roman" w:cs="Times New Roman" w:eastAsiaTheme="majorEastAsia"/>
                <w:sz w:val="24"/>
                <w:szCs w:val="24"/>
                <w:lang w:eastAsia="zh-CN"/>
              </w:rPr>
              <w:t>项目加油站安装油气回收系统包括油罐车安装卸油</w:t>
            </w:r>
            <w:r>
              <w:rPr>
                <w:rFonts w:ascii="Times New Roman" w:hAnsi="Times New Roman" w:cs="Times New Roman" w:eastAsiaTheme="majorEastAsia"/>
                <w:sz w:val="24"/>
                <w:szCs w:val="24"/>
                <w:lang w:eastAsia="zh-CN"/>
              </w:rPr>
              <w:t>(</w:t>
            </w:r>
            <w:r>
              <w:rPr>
                <w:rFonts w:hint="eastAsia" w:ascii="Times New Roman" w:hAnsi="Times New Roman" w:cs="Times New Roman" w:eastAsiaTheme="majorEastAsia"/>
                <w:sz w:val="24"/>
                <w:szCs w:val="24"/>
                <w:lang w:eastAsia="zh-CN"/>
              </w:rPr>
              <w:t>一次</w:t>
            </w:r>
            <w:r>
              <w:rPr>
                <w:rFonts w:ascii="Times New Roman" w:hAnsi="Times New Roman" w:cs="Times New Roman" w:eastAsiaTheme="majorEastAsia"/>
                <w:sz w:val="24"/>
                <w:szCs w:val="24"/>
                <w:lang w:eastAsia="zh-CN"/>
              </w:rPr>
              <w:t>)</w:t>
            </w:r>
            <w:r>
              <w:rPr>
                <w:rFonts w:hint="eastAsia" w:ascii="Times New Roman" w:hAnsi="Times New Roman" w:cs="Times New Roman" w:eastAsiaTheme="majorEastAsia"/>
                <w:sz w:val="24"/>
                <w:szCs w:val="24"/>
                <w:lang w:eastAsia="zh-CN"/>
              </w:rPr>
              <w:t>油气回收系统、加油机配备加油</w:t>
            </w:r>
            <w:r>
              <w:rPr>
                <w:rFonts w:ascii="Times New Roman" w:hAnsi="Times New Roman" w:cs="Times New Roman" w:eastAsiaTheme="majorEastAsia"/>
                <w:sz w:val="24"/>
                <w:szCs w:val="24"/>
                <w:lang w:eastAsia="zh-CN"/>
              </w:rPr>
              <w:t>(</w:t>
            </w:r>
            <w:r>
              <w:rPr>
                <w:rFonts w:hint="eastAsia" w:ascii="Times New Roman" w:hAnsi="Times New Roman" w:cs="Times New Roman" w:eastAsiaTheme="majorEastAsia"/>
                <w:sz w:val="24"/>
                <w:szCs w:val="24"/>
                <w:lang w:eastAsia="zh-CN"/>
              </w:rPr>
              <w:t>二次</w:t>
            </w:r>
            <w:r>
              <w:rPr>
                <w:rFonts w:ascii="Times New Roman" w:hAnsi="Times New Roman" w:cs="Times New Roman" w:eastAsiaTheme="majorEastAsia"/>
                <w:sz w:val="24"/>
                <w:szCs w:val="24"/>
                <w:lang w:eastAsia="zh-CN"/>
              </w:rPr>
              <w:t>)</w:t>
            </w:r>
            <w:r>
              <w:rPr>
                <w:rFonts w:hint="eastAsia" w:ascii="Times New Roman" w:hAnsi="Times New Roman" w:cs="Times New Roman" w:eastAsiaTheme="majorEastAsia"/>
                <w:sz w:val="24"/>
                <w:szCs w:val="24"/>
                <w:lang w:eastAsia="zh-CN"/>
              </w:rPr>
              <w:t>油气回收系统和储油</w:t>
            </w:r>
            <w:r>
              <w:rPr>
                <w:rFonts w:ascii="Times New Roman" w:hAnsi="Times New Roman" w:cs="Times New Roman" w:eastAsiaTheme="majorEastAsia"/>
                <w:sz w:val="24"/>
                <w:szCs w:val="24"/>
                <w:lang w:eastAsia="zh-CN"/>
              </w:rPr>
              <w:t>(</w:t>
            </w:r>
            <w:r>
              <w:rPr>
                <w:rFonts w:hint="eastAsia" w:ascii="Times New Roman" w:hAnsi="Times New Roman" w:cs="Times New Roman" w:eastAsiaTheme="majorEastAsia"/>
                <w:sz w:val="24"/>
                <w:szCs w:val="24"/>
                <w:lang w:eastAsia="zh-CN"/>
              </w:rPr>
              <w:t>三次</w:t>
            </w:r>
            <w:r>
              <w:rPr>
                <w:rFonts w:ascii="Times New Roman" w:hAnsi="Times New Roman" w:cs="Times New Roman" w:eastAsiaTheme="majorEastAsia"/>
                <w:sz w:val="24"/>
                <w:szCs w:val="24"/>
                <w:lang w:eastAsia="zh-CN"/>
              </w:rPr>
              <w:t>)</w:t>
            </w:r>
            <w:r>
              <w:rPr>
                <w:rFonts w:hint="eastAsia" w:ascii="Times New Roman" w:hAnsi="Times New Roman" w:cs="Times New Roman" w:eastAsiaTheme="majorEastAsia"/>
                <w:sz w:val="24"/>
                <w:szCs w:val="24"/>
                <w:lang w:eastAsia="zh-CN"/>
              </w:rPr>
              <w:t>油气回收系统。</w:t>
            </w:r>
          </w:p>
          <w:p>
            <w:pPr>
              <w:spacing w:line="460" w:lineRule="exact"/>
              <w:ind w:firstLine="480" w:firstLineChars="200"/>
              <w:jc w:val="both"/>
              <w:rPr>
                <w:rFonts w:ascii="Times New Roman" w:hAnsi="Times New Roman" w:cs="Times New Roman" w:eastAsiaTheme="majorEastAsia"/>
                <w:sz w:val="24"/>
                <w:szCs w:val="24"/>
                <w:lang w:eastAsia="zh-CN"/>
              </w:rPr>
            </w:pPr>
            <w:r>
              <w:rPr>
                <w:rFonts w:hint="eastAsia" w:ascii="Times New Roman" w:hAnsi="Times New Roman" w:cs="Times New Roman" w:eastAsiaTheme="majorEastAsia"/>
                <w:sz w:val="24"/>
                <w:szCs w:val="24"/>
                <w:lang w:eastAsia="zh-CN"/>
              </w:rPr>
              <w:t>卸油</w:t>
            </w:r>
            <w:r>
              <w:rPr>
                <w:rFonts w:ascii="Times New Roman" w:hAnsi="Times New Roman" w:cs="Times New Roman" w:eastAsiaTheme="majorEastAsia"/>
                <w:sz w:val="24"/>
                <w:szCs w:val="24"/>
                <w:lang w:eastAsia="zh-CN"/>
              </w:rPr>
              <w:t>(</w:t>
            </w:r>
            <w:r>
              <w:rPr>
                <w:rFonts w:hint="eastAsia" w:ascii="Times New Roman" w:hAnsi="Times New Roman" w:cs="Times New Roman" w:eastAsiaTheme="majorEastAsia"/>
                <w:sz w:val="24"/>
                <w:szCs w:val="24"/>
                <w:lang w:eastAsia="zh-CN"/>
              </w:rPr>
              <w:t>一次</w:t>
            </w:r>
            <w:r>
              <w:rPr>
                <w:rFonts w:ascii="Times New Roman" w:hAnsi="Times New Roman" w:cs="Times New Roman" w:eastAsiaTheme="majorEastAsia"/>
                <w:sz w:val="24"/>
                <w:szCs w:val="24"/>
                <w:lang w:eastAsia="zh-CN"/>
              </w:rPr>
              <w:t>)</w:t>
            </w:r>
            <w:r>
              <w:rPr>
                <w:rFonts w:hint="eastAsia" w:ascii="Times New Roman" w:hAnsi="Times New Roman" w:cs="Times New Roman" w:eastAsiaTheme="majorEastAsia"/>
                <w:sz w:val="24"/>
                <w:szCs w:val="24"/>
                <w:lang w:eastAsia="zh-CN"/>
              </w:rPr>
              <w:t>油气回收系统为油罐车卸油时采用密封式卸油，减少油气向外界溢散。其基本原理是：油罐车卸下一定数量的油品，就需要吸入等体积的气体补气，而加油站的埋地油罐因注入油品而向外排出等量的油气，此油气经导管输入油罐车内，完成油气循环的卸油过程，回收到油罐车内的油气由油罐车带回油库后，再经冷凝、吸附燃烧等方式处理。根据北京市地方标准《加油站油气排放控制和限值</w:t>
            </w:r>
            <w:r>
              <w:rPr>
                <w:rFonts w:ascii="Times New Roman" w:hAnsi="Times New Roman" w:cs="Times New Roman" w:eastAsiaTheme="majorEastAsia"/>
                <w:sz w:val="24"/>
                <w:szCs w:val="24"/>
                <w:lang w:eastAsia="zh-CN"/>
              </w:rPr>
              <w:t>(</w:t>
            </w:r>
            <w:r>
              <w:rPr>
                <w:rFonts w:hint="eastAsia" w:ascii="Times New Roman" w:hAnsi="Times New Roman" w:cs="Times New Roman" w:eastAsiaTheme="majorEastAsia"/>
                <w:sz w:val="24"/>
                <w:szCs w:val="24"/>
                <w:lang w:eastAsia="zh-CN"/>
              </w:rPr>
              <w:t>征求意见稿</w:t>
            </w:r>
            <w:r>
              <w:rPr>
                <w:rFonts w:ascii="Times New Roman" w:hAnsi="Times New Roman" w:cs="Times New Roman" w:eastAsiaTheme="majorEastAsia"/>
                <w:sz w:val="24"/>
                <w:szCs w:val="24"/>
                <w:lang w:eastAsia="zh-CN"/>
              </w:rPr>
              <w:t>)</w:t>
            </w:r>
            <w:r>
              <w:rPr>
                <w:rFonts w:hint="eastAsia" w:ascii="Times New Roman" w:hAnsi="Times New Roman" w:cs="Times New Roman" w:eastAsiaTheme="majorEastAsia"/>
                <w:sz w:val="24"/>
                <w:szCs w:val="24"/>
                <w:lang w:eastAsia="zh-CN"/>
              </w:rPr>
              <w:t>编制说明》中对国内外加油站</w:t>
            </w:r>
            <w:r>
              <w:rPr>
                <w:rFonts w:ascii="Times New Roman" w:hAnsi="Times New Roman" w:cs="Times New Roman" w:eastAsiaTheme="majorEastAsia"/>
                <w:sz w:val="24"/>
                <w:szCs w:val="24"/>
                <w:lang w:eastAsia="zh-CN"/>
              </w:rPr>
              <w:t>VOCS</w:t>
            </w:r>
            <w:r>
              <w:rPr>
                <w:rFonts w:hint="eastAsia" w:ascii="Times New Roman" w:hAnsi="Times New Roman" w:cs="Times New Roman" w:eastAsiaTheme="majorEastAsia"/>
                <w:sz w:val="24"/>
                <w:szCs w:val="24"/>
                <w:lang w:eastAsia="zh-CN"/>
              </w:rPr>
              <w:t>排放因子的调查，</w:t>
            </w:r>
            <w:r>
              <w:rPr>
                <w:rFonts w:ascii="Times New Roman" w:hAnsi="Times New Roman" w:cs="Times New Roman" w:eastAsiaTheme="majorEastAsia"/>
                <w:sz w:val="24"/>
                <w:szCs w:val="24"/>
                <w:lang w:eastAsia="zh-CN"/>
              </w:rPr>
              <w:t>StageI(</w:t>
            </w:r>
            <w:r>
              <w:rPr>
                <w:rFonts w:hint="eastAsia" w:ascii="Times New Roman" w:hAnsi="Times New Roman" w:cs="Times New Roman" w:eastAsiaTheme="majorEastAsia"/>
                <w:sz w:val="24"/>
                <w:szCs w:val="24"/>
                <w:lang w:eastAsia="zh-CN"/>
              </w:rPr>
              <w:t>一次油气回收系统</w:t>
            </w:r>
            <w:r>
              <w:rPr>
                <w:rFonts w:ascii="Times New Roman" w:hAnsi="Times New Roman" w:cs="Times New Roman" w:eastAsiaTheme="majorEastAsia"/>
                <w:sz w:val="24"/>
                <w:szCs w:val="24"/>
                <w:lang w:eastAsia="zh-CN"/>
              </w:rPr>
              <w:t>)</w:t>
            </w:r>
            <w:r>
              <w:rPr>
                <w:rFonts w:hint="eastAsia" w:ascii="Times New Roman" w:hAnsi="Times New Roman" w:cs="Times New Roman" w:eastAsiaTheme="majorEastAsia"/>
                <w:sz w:val="24"/>
                <w:szCs w:val="24"/>
                <w:lang w:eastAsia="zh-CN"/>
              </w:rPr>
              <w:t>对油气的控制效率在</w:t>
            </w:r>
            <w:r>
              <w:rPr>
                <w:rFonts w:ascii="Times New Roman" w:hAnsi="Times New Roman" w:cs="Times New Roman" w:eastAsiaTheme="majorEastAsia"/>
                <w:sz w:val="24"/>
                <w:szCs w:val="24"/>
                <w:lang w:eastAsia="zh-CN"/>
              </w:rPr>
              <w:t>95-97%</w:t>
            </w:r>
            <w:r>
              <w:rPr>
                <w:rFonts w:hint="eastAsia" w:ascii="Times New Roman" w:hAnsi="Times New Roman" w:cs="Times New Roman" w:eastAsiaTheme="majorEastAsia"/>
                <w:sz w:val="24"/>
                <w:szCs w:val="24"/>
                <w:lang w:eastAsia="zh-CN"/>
              </w:rPr>
              <w:t>，本环评取</w:t>
            </w:r>
            <w:r>
              <w:rPr>
                <w:rFonts w:ascii="Times New Roman" w:hAnsi="Times New Roman" w:cs="Times New Roman" w:eastAsiaTheme="majorEastAsia"/>
                <w:sz w:val="24"/>
                <w:szCs w:val="24"/>
                <w:lang w:eastAsia="zh-CN"/>
              </w:rPr>
              <w:t>95%</w:t>
            </w:r>
            <w:r>
              <w:rPr>
                <w:rFonts w:hint="eastAsia" w:ascii="Times New Roman" w:hAnsi="Times New Roman" w:cs="Times New Roman" w:eastAsiaTheme="majorEastAsia"/>
                <w:sz w:val="24"/>
                <w:szCs w:val="24"/>
                <w:lang w:eastAsia="zh-CN"/>
              </w:rPr>
              <w:t>。</w:t>
            </w:r>
          </w:p>
          <w:p>
            <w:pPr>
              <w:spacing w:line="460" w:lineRule="exact"/>
              <w:ind w:firstLine="480" w:firstLineChars="200"/>
              <w:jc w:val="both"/>
              <w:rPr>
                <w:rFonts w:ascii="Times New Roman" w:hAnsi="Times New Roman" w:cs="Times New Roman" w:eastAsiaTheme="majorEastAsia"/>
                <w:sz w:val="24"/>
                <w:szCs w:val="24"/>
                <w:lang w:eastAsia="zh-CN"/>
              </w:rPr>
            </w:pPr>
            <w:r>
              <w:rPr>
                <w:rFonts w:hint="eastAsia" w:ascii="Times New Roman" w:hAnsi="Times New Roman" w:cs="Times New Roman" w:eastAsiaTheme="majorEastAsia"/>
                <w:sz w:val="24"/>
                <w:szCs w:val="24"/>
                <w:lang w:eastAsia="zh-CN"/>
              </w:rPr>
              <w:t>二次油气回收是指汽车加油时，利用加油枪上的特殊装置，将原本会从汽油油箱溢散于空气的油气，经加油枪、抽气马达、回收入油罐内，目前国内外普遍使用的回收设备为真空辅助式油气回收系统，真空辅助式油气回收系统的原理利用外加的辅助动力</w:t>
            </w:r>
            <w:r>
              <w:rPr>
                <w:rFonts w:ascii="Times New Roman" w:hAnsi="Times New Roman" w:cs="Times New Roman" w:eastAsiaTheme="majorEastAsia"/>
                <w:sz w:val="24"/>
                <w:szCs w:val="24"/>
                <w:lang w:eastAsia="zh-CN"/>
              </w:rPr>
              <w:t>(</w:t>
            </w:r>
            <w:r>
              <w:rPr>
                <w:rFonts w:hint="eastAsia" w:ascii="Times New Roman" w:hAnsi="Times New Roman" w:cs="Times New Roman" w:eastAsiaTheme="majorEastAsia"/>
                <w:sz w:val="24"/>
                <w:szCs w:val="24"/>
                <w:lang w:eastAsia="zh-CN"/>
              </w:rPr>
              <w:t>真空马达</w:t>
            </w:r>
            <w:r>
              <w:rPr>
                <w:rFonts w:ascii="Times New Roman" w:hAnsi="Times New Roman" w:cs="Times New Roman" w:eastAsiaTheme="majorEastAsia"/>
                <w:sz w:val="24"/>
                <w:szCs w:val="24"/>
                <w:lang w:eastAsia="zh-CN"/>
              </w:rPr>
              <w:t>)</w:t>
            </w:r>
            <w:r>
              <w:rPr>
                <w:rFonts w:hint="eastAsia" w:ascii="Times New Roman" w:hAnsi="Times New Roman" w:cs="Times New Roman" w:eastAsiaTheme="majorEastAsia"/>
                <w:sz w:val="24"/>
                <w:szCs w:val="24"/>
                <w:lang w:eastAsia="zh-CN"/>
              </w:rPr>
              <w:t>在加油运转时产生的中央真空压力，通过回收管、回收油枪将油气回收至油罐内保压，不做排放。本加油站采用真空辅助式油气回收系统。根据北京市地方标准《加油站油气排放控制和限值</w:t>
            </w:r>
            <w:r>
              <w:rPr>
                <w:rFonts w:ascii="Times New Roman" w:hAnsi="Times New Roman" w:cs="Times New Roman" w:eastAsiaTheme="majorEastAsia"/>
                <w:sz w:val="24"/>
                <w:szCs w:val="24"/>
                <w:lang w:eastAsia="zh-CN"/>
              </w:rPr>
              <w:t>(</w:t>
            </w:r>
            <w:r>
              <w:rPr>
                <w:rFonts w:hint="eastAsia" w:ascii="Times New Roman" w:hAnsi="Times New Roman" w:cs="Times New Roman" w:eastAsiaTheme="majorEastAsia"/>
                <w:sz w:val="24"/>
                <w:szCs w:val="24"/>
                <w:lang w:eastAsia="zh-CN"/>
              </w:rPr>
              <w:t>征求意见稿</w:t>
            </w:r>
            <w:r>
              <w:rPr>
                <w:rFonts w:ascii="Times New Roman" w:hAnsi="Times New Roman" w:cs="Times New Roman" w:eastAsiaTheme="majorEastAsia"/>
                <w:sz w:val="24"/>
                <w:szCs w:val="24"/>
                <w:lang w:eastAsia="zh-CN"/>
              </w:rPr>
              <w:t>)</w:t>
            </w:r>
            <w:r>
              <w:rPr>
                <w:rFonts w:hint="eastAsia" w:ascii="Times New Roman" w:hAnsi="Times New Roman" w:cs="Times New Roman" w:eastAsiaTheme="majorEastAsia"/>
                <w:sz w:val="24"/>
                <w:szCs w:val="24"/>
                <w:lang w:eastAsia="zh-CN"/>
              </w:rPr>
              <w:t>编制说明》中对国内外加油站</w:t>
            </w:r>
            <w:r>
              <w:rPr>
                <w:rFonts w:ascii="Times New Roman" w:hAnsi="Times New Roman" w:cs="Times New Roman" w:eastAsiaTheme="majorEastAsia"/>
                <w:sz w:val="24"/>
                <w:szCs w:val="24"/>
                <w:lang w:eastAsia="zh-CN"/>
              </w:rPr>
              <w:t>VOCS</w:t>
            </w:r>
            <w:r>
              <w:rPr>
                <w:rFonts w:hint="eastAsia" w:ascii="Times New Roman" w:hAnsi="Times New Roman" w:cs="Times New Roman" w:eastAsiaTheme="majorEastAsia"/>
                <w:sz w:val="24"/>
                <w:szCs w:val="24"/>
                <w:lang w:eastAsia="zh-CN"/>
              </w:rPr>
              <w:t>排放因子的调查，</w:t>
            </w:r>
            <w:r>
              <w:rPr>
                <w:rFonts w:ascii="Times New Roman" w:hAnsi="Times New Roman" w:cs="Times New Roman" w:eastAsiaTheme="majorEastAsia"/>
                <w:sz w:val="24"/>
                <w:szCs w:val="24"/>
                <w:lang w:eastAsia="zh-CN"/>
              </w:rPr>
              <w:t>tageII(</w:t>
            </w:r>
            <w:r>
              <w:rPr>
                <w:rFonts w:hint="eastAsia" w:ascii="Times New Roman" w:hAnsi="Times New Roman" w:cs="Times New Roman" w:eastAsiaTheme="majorEastAsia"/>
                <w:sz w:val="24"/>
                <w:szCs w:val="24"/>
                <w:lang w:eastAsia="zh-CN"/>
              </w:rPr>
              <w:t>二次油气回收系统</w:t>
            </w:r>
            <w:r>
              <w:rPr>
                <w:rFonts w:ascii="Times New Roman" w:hAnsi="Times New Roman" w:cs="Times New Roman" w:eastAsiaTheme="majorEastAsia"/>
                <w:sz w:val="24"/>
                <w:szCs w:val="24"/>
                <w:lang w:eastAsia="zh-CN"/>
              </w:rPr>
              <w:t>)</w:t>
            </w:r>
            <w:r>
              <w:rPr>
                <w:rFonts w:hint="eastAsia" w:ascii="Times New Roman" w:hAnsi="Times New Roman" w:cs="Times New Roman" w:eastAsiaTheme="majorEastAsia"/>
                <w:sz w:val="24"/>
                <w:szCs w:val="24"/>
                <w:lang w:eastAsia="zh-CN"/>
              </w:rPr>
              <w:t>对油气的控制效率在</w:t>
            </w:r>
            <w:r>
              <w:rPr>
                <w:rFonts w:ascii="Times New Roman" w:hAnsi="Times New Roman" w:cs="Times New Roman" w:eastAsiaTheme="majorEastAsia"/>
                <w:sz w:val="24"/>
                <w:szCs w:val="24"/>
                <w:lang w:eastAsia="zh-CN"/>
              </w:rPr>
              <w:t>85-90%</w:t>
            </w:r>
            <w:r>
              <w:rPr>
                <w:rFonts w:hint="eastAsia" w:ascii="Times New Roman" w:hAnsi="Times New Roman" w:cs="Times New Roman" w:eastAsiaTheme="majorEastAsia"/>
                <w:sz w:val="24"/>
                <w:szCs w:val="24"/>
                <w:lang w:eastAsia="zh-CN"/>
              </w:rPr>
              <w:t>，本环评取</w:t>
            </w:r>
            <w:r>
              <w:rPr>
                <w:rFonts w:ascii="Times New Roman" w:hAnsi="Times New Roman" w:cs="Times New Roman" w:eastAsiaTheme="majorEastAsia"/>
                <w:sz w:val="24"/>
                <w:szCs w:val="24"/>
                <w:lang w:eastAsia="zh-CN"/>
              </w:rPr>
              <w:t>85%</w:t>
            </w:r>
            <w:r>
              <w:rPr>
                <w:rFonts w:hint="eastAsia" w:ascii="Times New Roman" w:hAnsi="Times New Roman" w:cs="Times New Roman" w:eastAsiaTheme="majorEastAsia"/>
                <w:sz w:val="24"/>
                <w:szCs w:val="24"/>
                <w:lang w:eastAsia="zh-CN"/>
              </w:rPr>
              <w:t>。</w:t>
            </w:r>
          </w:p>
          <w:p>
            <w:pPr>
              <w:spacing w:line="460" w:lineRule="exact"/>
              <w:ind w:firstLine="480" w:firstLineChars="200"/>
              <w:jc w:val="both"/>
              <w:rPr>
                <w:rFonts w:ascii="Times New Roman" w:hAnsi="Times New Roman" w:cs="Times New Roman" w:eastAsiaTheme="majorEastAsia"/>
                <w:sz w:val="24"/>
                <w:szCs w:val="24"/>
                <w:lang w:eastAsia="zh-CN"/>
              </w:rPr>
            </w:pPr>
            <w:r>
              <w:rPr>
                <w:rFonts w:hint="eastAsia" w:ascii="Times New Roman" w:hAnsi="Times New Roman" w:cs="Times New Roman" w:eastAsiaTheme="majorEastAsia"/>
                <w:sz w:val="24"/>
                <w:szCs w:val="24"/>
                <w:lang w:eastAsia="zh-CN"/>
              </w:rPr>
              <w:t>三次油气回收是指是指油品储存过程中，对储油罐内呼出的油气进行处理，三次油气回收系统需安装在已经完成二次油气回收系统的加油站。随着加油量增加油罐压力会不断上升。当汽油储罐压力升高到一定值时，三次油气回收设备启动，高油品油气通过降温使油气中的气压达到饱和状态，冷凝成液态，回收到低油品；油气冷凝系统主机进回气管</w:t>
            </w:r>
            <w:r>
              <w:rPr>
                <w:rFonts w:ascii="Times New Roman" w:hAnsi="Times New Roman" w:cs="Times New Roman" w:eastAsiaTheme="majorEastAsia"/>
                <w:sz w:val="24"/>
                <w:szCs w:val="24"/>
                <w:lang w:eastAsia="zh-CN"/>
              </w:rPr>
              <w:t>DN50</w:t>
            </w:r>
            <w:r>
              <w:rPr>
                <w:rFonts w:hint="eastAsia" w:ascii="Times New Roman" w:hAnsi="Times New Roman" w:cs="Times New Roman" w:eastAsiaTheme="majorEastAsia"/>
                <w:sz w:val="24"/>
                <w:szCs w:val="24"/>
                <w:lang w:eastAsia="zh-CN"/>
              </w:rPr>
              <w:t>，主机进口从高等级油品</w:t>
            </w:r>
            <w:r>
              <w:rPr>
                <w:rFonts w:ascii="Times New Roman" w:hAnsi="Times New Roman" w:cs="Times New Roman" w:eastAsiaTheme="majorEastAsia"/>
                <w:sz w:val="24"/>
                <w:szCs w:val="24"/>
                <w:lang w:eastAsia="zh-CN"/>
              </w:rPr>
              <w:t>(98</w:t>
            </w:r>
            <w:r>
              <w:rPr>
                <w:rFonts w:hint="eastAsia" w:ascii="Times New Roman" w:hAnsi="Times New Roman" w:cs="Times New Roman" w:eastAsiaTheme="majorEastAsia"/>
                <w:sz w:val="24"/>
                <w:szCs w:val="24"/>
                <w:lang w:eastAsia="zh-CN"/>
              </w:rPr>
              <w:t>＃</w:t>
            </w:r>
            <w:r>
              <w:rPr>
                <w:rFonts w:ascii="Times New Roman" w:hAnsi="Times New Roman" w:cs="Times New Roman" w:eastAsiaTheme="majorEastAsia"/>
                <w:sz w:val="24"/>
                <w:szCs w:val="24"/>
                <w:lang w:eastAsia="zh-CN"/>
              </w:rPr>
              <w:t>)</w:t>
            </w:r>
            <w:r>
              <w:rPr>
                <w:rFonts w:hint="eastAsia" w:ascii="Times New Roman" w:hAnsi="Times New Roman" w:cs="Times New Roman" w:eastAsiaTheme="majorEastAsia"/>
                <w:sz w:val="24"/>
                <w:szCs w:val="24"/>
                <w:lang w:eastAsia="zh-CN"/>
              </w:rPr>
              <w:t>的油罐人孔上引出。主机出口回到低等级油品</w:t>
            </w:r>
            <w:r>
              <w:rPr>
                <w:rFonts w:ascii="Times New Roman" w:hAnsi="Times New Roman" w:cs="Times New Roman" w:eastAsiaTheme="majorEastAsia"/>
                <w:sz w:val="24"/>
                <w:szCs w:val="24"/>
                <w:lang w:eastAsia="zh-CN"/>
              </w:rPr>
              <w:t>(92</w:t>
            </w:r>
            <w:r>
              <w:rPr>
                <w:rFonts w:hint="eastAsia" w:ascii="Times New Roman" w:hAnsi="Times New Roman" w:cs="Times New Roman" w:eastAsiaTheme="majorEastAsia"/>
                <w:sz w:val="24"/>
                <w:szCs w:val="24"/>
                <w:lang w:eastAsia="zh-CN"/>
              </w:rPr>
              <w:t>＃</w:t>
            </w:r>
            <w:r>
              <w:rPr>
                <w:rFonts w:ascii="Times New Roman" w:hAnsi="Times New Roman" w:cs="Times New Roman" w:eastAsiaTheme="majorEastAsia"/>
                <w:sz w:val="24"/>
                <w:szCs w:val="24"/>
                <w:lang w:eastAsia="zh-CN"/>
              </w:rPr>
              <w:t>)</w:t>
            </w:r>
            <w:r>
              <w:rPr>
                <w:rFonts w:hint="eastAsia" w:ascii="Times New Roman" w:hAnsi="Times New Roman" w:cs="Times New Roman" w:eastAsiaTheme="majorEastAsia"/>
                <w:sz w:val="24"/>
                <w:szCs w:val="24"/>
                <w:lang w:eastAsia="zh-CN"/>
              </w:rPr>
              <w:t>的油罐人孔上。处理后的清洁空气通过通气管外排，其管径为</w:t>
            </w:r>
            <w:r>
              <w:rPr>
                <w:rFonts w:ascii="Times New Roman" w:hAnsi="Times New Roman" w:cs="Times New Roman" w:eastAsiaTheme="majorEastAsia"/>
                <w:sz w:val="24"/>
                <w:szCs w:val="24"/>
                <w:lang w:eastAsia="zh-CN"/>
              </w:rPr>
              <w:t>DN50</w:t>
            </w:r>
            <w:r>
              <w:rPr>
                <w:rFonts w:hint="eastAsia" w:ascii="Times New Roman" w:hAnsi="Times New Roman" w:cs="Times New Roman" w:eastAsiaTheme="majorEastAsia"/>
                <w:sz w:val="24"/>
                <w:szCs w:val="24"/>
                <w:lang w:eastAsia="zh-CN"/>
              </w:rPr>
              <w:t>。根据项目提供的三级油气回收装置。油气回收效率在</w:t>
            </w:r>
            <w:r>
              <w:rPr>
                <w:rFonts w:ascii="Times New Roman" w:hAnsi="Times New Roman" w:cs="Times New Roman" w:eastAsiaTheme="majorEastAsia"/>
                <w:sz w:val="24"/>
                <w:szCs w:val="24"/>
                <w:lang w:eastAsia="zh-CN"/>
              </w:rPr>
              <w:t>90%~99%</w:t>
            </w:r>
            <w:r>
              <w:rPr>
                <w:rFonts w:hint="eastAsia" w:ascii="Times New Roman" w:hAnsi="Times New Roman" w:cs="Times New Roman" w:eastAsiaTheme="majorEastAsia"/>
                <w:sz w:val="24"/>
                <w:szCs w:val="24"/>
                <w:lang w:eastAsia="zh-CN"/>
              </w:rPr>
              <w:t>，本环评取</w:t>
            </w:r>
            <w:r>
              <w:rPr>
                <w:rFonts w:ascii="Times New Roman" w:hAnsi="Times New Roman" w:cs="Times New Roman" w:eastAsiaTheme="majorEastAsia"/>
                <w:sz w:val="24"/>
                <w:szCs w:val="24"/>
                <w:lang w:eastAsia="zh-CN"/>
              </w:rPr>
              <w:t>90%</w:t>
            </w:r>
            <w:r>
              <w:rPr>
                <w:rFonts w:hint="eastAsia" w:ascii="Times New Roman" w:hAnsi="Times New Roman" w:cs="Times New Roman" w:eastAsiaTheme="majorEastAsia"/>
                <w:sz w:val="24"/>
                <w:szCs w:val="24"/>
                <w:lang w:eastAsia="zh-CN"/>
              </w:rPr>
              <w:t>。</w:t>
            </w:r>
          </w:p>
          <w:p>
            <w:pPr>
              <w:spacing w:line="460" w:lineRule="exact"/>
              <w:ind w:firstLine="480" w:firstLineChars="200"/>
              <w:jc w:val="both"/>
              <w:rPr>
                <w:rFonts w:ascii="Times New Roman" w:hAnsi="Times New Roman" w:cs="Times New Roman" w:eastAsiaTheme="majorEastAsia"/>
                <w:sz w:val="24"/>
                <w:szCs w:val="24"/>
                <w:lang w:eastAsia="zh-CN"/>
              </w:rPr>
            </w:pPr>
            <w:r>
              <w:rPr>
                <w:rFonts w:ascii="Times New Roman" w:hAnsi="Times New Roman" w:cs="Times New Roman" w:eastAsiaTheme="majorEastAsia"/>
                <w:sz w:val="24"/>
                <w:szCs w:val="24"/>
                <w:lang w:eastAsia="zh-CN"/>
              </w:rPr>
              <w:t>项目使用的废气治理设施均为《排污许可证申请与核发技术规范</w:t>
            </w:r>
            <w:r>
              <w:rPr>
                <w:rFonts w:hint="eastAsia" w:ascii="Times New Roman" w:hAnsi="Times New Roman" w:cs="Times New Roman" w:eastAsiaTheme="majorEastAsia"/>
                <w:sz w:val="24"/>
                <w:szCs w:val="24"/>
                <w:lang w:eastAsia="zh-CN"/>
              </w:rPr>
              <w:t>储油库、加油站</w:t>
            </w:r>
            <w:r>
              <w:rPr>
                <w:rFonts w:ascii="Times New Roman" w:hAnsi="Times New Roman" w:cs="Times New Roman" w:eastAsiaTheme="majorEastAsia"/>
                <w:sz w:val="24"/>
                <w:szCs w:val="24"/>
                <w:lang w:eastAsia="zh-CN"/>
              </w:rPr>
              <w:t>》（HJ1</w:t>
            </w:r>
            <w:r>
              <w:rPr>
                <w:rFonts w:hint="eastAsia" w:ascii="Times New Roman" w:hAnsi="Times New Roman" w:cs="Times New Roman" w:eastAsiaTheme="majorEastAsia"/>
                <w:sz w:val="24"/>
                <w:szCs w:val="24"/>
                <w:lang w:eastAsia="zh-CN"/>
              </w:rPr>
              <w:t>118</w:t>
            </w:r>
            <w:r>
              <w:rPr>
                <w:rFonts w:ascii="Times New Roman" w:hAnsi="Times New Roman" w:cs="Times New Roman" w:eastAsiaTheme="majorEastAsia"/>
                <w:sz w:val="24"/>
                <w:szCs w:val="24"/>
                <w:lang w:eastAsia="zh-CN"/>
              </w:rPr>
              <w:t>-20</w:t>
            </w:r>
            <w:r>
              <w:rPr>
                <w:rFonts w:hint="eastAsia" w:ascii="Times New Roman" w:hAnsi="Times New Roman" w:cs="Times New Roman" w:eastAsiaTheme="majorEastAsia"/>
                <w:sz w:val="24"/>
                <w:szCs w:val="24"/>
                <w:lang w:eastAsia="zh-CN"/>
              </w:rPr>
              <w:t>20</w:t>
            </w:r>
            <w:r>
              <w:rPr>
                <w:rFonts w:ascii="Times New Roman" w:hAnsi="Times New Roman" w:cs="Times New Roman" w:eastAsiaTheme="majorEastAsia"/>
                <w:sz w:val="24"/>
                <w:szCs w:val="24"/>
                <w:lang w:eastAsia="zh-CN"/>
              </w:rPr>
              <w:t>）</w:t>
            </w:r>
            <w:r>
              <w:rPr>
                <w:rFonts w:hint="eastAsia" w:ascii="Times New Roman" w:hAnsi="Times New Roman" w:cs="Times New Roman" w:eastAsiaTheme="majorEastAsia"/>
                <w:sz w:val="24"/>
                <w:szCs w:val="24"/>
                <w:lang w:eastAsia="zh-CN"/>
              </w:rPr>
              <w:t>附录F中表F.1</w:t>
            </w:r>
            <w:r>
              <w:rPr>
                <w:rFonts w:ascii="Times New Roman" w:hAnsi="Times New Roman" w:cs="Times New Roman" w:eastAsiaTheme="majorEastAsia"/>
                <w:sz w:val="24"/>
                <w:szCs w:val="24"/>
                <w:lang w:eastAsia="zh-CN"/>
              </w:rPr>
              <w:t>的可行性技术，故本项目废气治理设施可行。</w:t>
            </w:r>
          </w:p>
          <w:p>
            <w:pPr>
              <w:tabs>
                <w:tab w:val="left" w:pos="3060"/>
              </w:tabs>
              <w:spacing w:line="460" w:lineRule="exact"/>
              <w:ind w:firstLine="482" w:firstLineChars="200"/>
              <w:jc w:val="both"/>
              <w:rPr>
                <w:rFonts w:ascii="Times New Roman" w:hAnsi="Times New Roman" w:eastAsia="宋体" w:cs="Times New Roman"/>
                <w:b/>
                <w:bCs/>
                <w:sz w:val="24"/>
                <w:lang w:eastAsia="zh-CN"/>
              </w:rPr>
            </w:pPr>
            <w:r>
              <w:rPr>
                <w:rFonts w:ascii="Times New Roman" w:hAnsi="Times New Roman" w:eastAsia="宋体" w:cs="Times New Roman"/>
                <w:b/>
                <w:bCs/>
                <w:sz w:val="24"/>
                <w:lang w:eastAsia="zh-CN"/>
              </w:rPr>
              <w:t>1.</w:t>
            </w:r>
            <w:r>
              <w:rPr>
                <w:rFonts w:hint="eastAsia" w:ascii="Times New Roman" w:hAnsi="Times New Roman" w:eastAsia="宋体" w:cs="Times New Roman"/>
                <w:b/>
                <w:bCs/>
                <w:sz w:val="24"/>
                <w:lang w:eastAsia="zh-CN"/>
              </w:rPr>
              <w:t>5</w:t>
            </w:r>
            <w:r>
              <w:rPr>
                <w:rFonts w:ascii="Times New Roman" w:hAnsi="Times New Roman" w:eastAsia="宋体" w:cs="Times New Roman"/>
                <w:b/>
                <w:bCs/>
                <w:sz w:val="24"/>
                <w:lang w:eastAsia="zh-CN"/>
              </w:rPr>
              <w:t>废气环境监测</w:t>
            </w:r>
          </w:p>
          <w:p>
            <w:pPr>
              <w:spacing w:line="460" w:lineRule="exact"/>
              <w:ind w:firstLine="480" w:firstLineChars="200"/>
              <w:jc w:val="both"/>
              <w:rPr>
                <w:rFonts w:ascii="Times New Roman" w:hAnsi="Times New Roman" w:cs="Times New Roman" w:eastAsiaTheme="majorEastAsia"/>
                <w:sz w:val="24"/>
                <w:szCs w:val="24"/>
                <w:lang w:eastAsia="zh-CN"/>
              </w:rPr>
            </w:pPr>
            <w:r>
              <w:rPr>
                <w:rFonts w:ascii="Times New Roman" w:hAnsi="Times New Roman" w:cs="Times New Roman" w:eastAsiaTheme="majorEastAsia"/>
                <w:sz w:val="24"/>
                <w:szCs w:val="24"/>
                <w:lang w:eastAsia="zh-CN"/>
              </w:rPr>
              <w:t>项目属新建项目，所属行业为F5265机动车燃油零售，根据《排污许可申请与核发技术规范  储油库、加油站》（HJ1</w:t>
            </w:r>
            <w:r>
              <w:rPr>
                <w:rFonts w:hint="eastAsia" w:ascii="Times New Roman" w:hAnsi="Times New Roman" w:cs="Times New Roman" w:eastAsiaTheme="majorEastAsia"/>
                <w:sz w:val="24"/>
                <w:szCs w:val="24"/>
                <w:lang w:eastAsia="zh-CN"/>
              </w:rPr>
              <w:t>118</w:t>
            </w:r>
            <w:r>
              <w:rPr>
                <w:rFonts w:ascii="Times New Roman" w:hAnsi="Times New Roman" w:cs="Times New Roman" w:eastAsiaTheme="majorEastAsia"/>
                <w:sz w:val="24"/>
                <w:szCs w:val="24"/>
                <w:lang w:eastAsia="zh-CN"/>
              </w:rPr>
              <w:t>-20</w:t>
            </w:r>
            <w:r>
              <w:rPr>
                <w:rFonts w:hint="eastAsia" w:ascii="Times New Roman" w:hAnsi="Times New Roman" w:cs="Times New Roman" w:eastAsiaTheme="majorEastAsia"/>
                <w:sz w:val="24"/>
                <w:szCs w:val="24"/>
                <w:lang w:eastAsia="zh-CN"/>
              </w:rPr>
              <w:t>20</w:t>
            </w:r>
            <w:r>
              <w:rPr>
                <w:rFonts w:ascii="Times New Roman" w:hAnsi="Times New Roman" w:cs="Times New Roman" w:eastAsiaTheme="majorEastAsia"/>
                <w:sz w:val="24"/>
                <w:szCs w:val="24"/>
                <w:lang w:eastAsia="zh-CN"/>
              </w:rPr>
              <w:t>）和《排污单位自行监测技术指南  总则》（HJ819-2017），</w:t>
            </w:r>
            <w:r>
              <w:rPr>
                <w:rFonts w:hint="eastAsia" w:ascii="Times New Roman" w:hAnsi="Times New Roman" w:cs="Times New Roman" w:eastAsiaTheme="majorEastAsia"/>
                <w:sz w:val="24"/>
                <w:szCs w:val="24"/>
                <w:lang w:eastAsia="zh-CN"/>
              </w:rPr>
              <w:t>项目废气自行监测计划见下表</w:t>
            </w:r>
            <w:r>
              <w:rPr>
                <w:rFonts w:ascii="Times New Roman" w:hAnsi="Times New Roman" w:cs="Times New Roman" w:eastAsiaTheme="majorEastAsia"/>
                <w:sz w:val="24"/>
                <w:szCs w:val="24"/>
                <w:lang w:eastAsia="zh-CN"/>
              </w:rPr>
              <w:t>。</w:t>
            </w:r>
          </w:p>
          <w:p>
            <w:pPr>
              <w:pStyle w:val="42"/>
              <w:spacing w:before="120"/>
            </w:pPr>
            <w:r>
              <w:rPr>
                <w:rFonts w:hint="eastAsia"/>
              </w:rPr>
              <w:t>表</w:t>
            </w:r>
            <w:r>
              <w:t xml:space="preserve"> 4.2-</w:t>
            </w:r>
            <w:r>
              <w:rPr>
                <w:rFonts w:hint="eastAsia"/>
              </w:rPr>
              <w:t>8</w:t>
            </w:r>
            <w:r>
              <w:t xml:space="preserve">    </w:t>
            </w:r>
            <w:r>
              <w:rPr>
                <w:rFonts w:hint="eastAsia"/>
              </w:rPr>
              <w:t>项目废气自行监测计划</w:t>
            </w:r>
          </w:p>
          <w:tbl>
            <w:tblPr>
              <w:tblStyle w:val="4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026"/>
              <w:gridCol w:w="3812"/>
              <w:gridCol w:w="200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2804" w:type="dxa"/>
                  <w:vAlign w:val="center"/>
                </w:tcPr>
                <w:p>
                  <w:pPr>
                    <w:pStyle w:val="39"/>
                  </w:pPr>
                  <w:r>
                    <w:t>监测点位</w:t>
                  </w:r>
                </w:p>
              </w:tc>
              <w:tc>
                <w:tcPr>
                  <w:tcW w:w="3531" w:type="dxa"/>
                  <w:vAlign w:val="center"/>
                </w:tcPr>
                <w:p>
                  <w:pPr>
                    <w:pStyle w:val="39"/>
                  </w:pPr>
                  <w:r>
                    <w:t>监测因子</w:t>
                  </w:r>
                </w:p>
              </w:tc>
              <w:tc>
                <w:tcPr>
                  <w:tcW w:w="1858" w:type="dxa"/>
                  <w:vAlign w:val="center"/>
                </w:tcPr>
                <w:p>
                  <w:pPr>
                    <w:pStyle w:val="39"/>
                  </w:pPr>
                  <w:r>
                    <w:t>监测频次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04" w:type="dxa"/>
                  <w:vAlign w:val="center"/>
                </w:tcPr>
                <w:p>
                  <w:pPr>
                    <w:pStyle w:val="39"/>
                  </w:pPr>
                  <w:r>
                    <w:t>油气回收系统</w:t>
                  </w:r>
                </w:p>
              </w:tc>
              <w:tc>
                <w:tcPr>
                  <w:tcW w:w="3531" w:type="dxa"/>
                  <w:vAlign w:val="center"/>
                </w:tcPr>
                <w:p>
                  <w:pPr>
                    <w:pStyle w:val="39"/>
                  </w:pPr>
                  <w:r>
                    <w:rPr>
                      <w:spacing w:val="6"/>
                    </w:rPr>
                    <w:t>气液比、液阻、密闭性</w:t>
                  </w:r>
                </w:p>
              </w:tc>
              <w:tc>
                <w:tcPr>
                  <w:tcW w:w="1858" w:type="dxa"/>
                  <w:vAlign w:val="center"/>
                </w:tcPr>
                <w:p>
                  <w:pPr>
                    <w:pStyle w:val="39"/>
                  </w:pPr>
                  <w:r>
                    <w:t>每年一次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2804" w:type="dxa"/>
                  <w:vAlign w:val="center"/>
                </w:tcPr>
                <w:p>
                  <w:pPr>
                    <w:pStyle w:val="39"/>
                    <w:rPr>
                      <w:rFonts w:eastAsiaTheme="minorEastAsia"/>
                    </w:rPr>
                  </w:pPr>
                  <w:r>
                    <w:rPr>
                      <w:spacing w:val="5"/>
                    </w:rPr>
                    <w:t>厂界</w:t>
                  </w:r>
                  <w:r>
                    <w:rPr>
                      <w:rFonts w:hint="eastAsia" w:eastAsiaTheme="minorEastAsia"/>
                    </w:rPr>
                    <w:t>及厂区内</w:t>
                  </w:r>
                </w:p>
              </w:tc>
              <w:tc>
                <w:tcPr>
                  <w:tcW w:w="3531" w:type="dxa"/>
                  <w:vAlign w:val="center"/>
                </w:tcPr>
                <w:p>
                  <w:pPr>
                    <w:pStyle w:val="39"/>
                  </w:pPr>
                  <w:r>
                    <w:t>非甲烷总烃</w:t>
                  </w:r>
                </w:p>
              </w:tc>
              <w:tc>
                <w:tcPr>
                  <w:tcW w:w="1858" w:type="dxa"/>
                  <w:vAlign w:val="center"/>
                </w:tcPr>
                <w:p>
                  <w:pPr>
                    <w:pStyle w:val="39"/>
                  </w:pPr>
                  <w:r>
                    <w:t>每年一次</w:t>
                  </w:r>
                </w:p>
              </w:tc>
            </w:tr>
          </w:tbl>
          <w:p>
            <w:pPr>
              <w:pStyle w:val="2"/>
              <w:jc w:val="both"/>
              <w:rPr>
                <w:rFonts w:hint="eastAsia"/>
                <w:lang w:eastAsia="zh-CN"/>
              </w:rPr>
            </w:pPr>
          </w:p>
          <w:p>
            <w:pPr>
              <w:pStyle w:val="45"/>
              <w:widowControl w:val="0"/>
              <w:ind w:firstLine="482"/>
              <w:rPr>
                <w:b/>
                <w:bCs/>
              </w:rPr>
            </w:pPr>
            <w:r>
              <w:rPr>
                <w:rFonts w:hint="eastAsia"/>
                <w:b/>
                <w:bCs/>
              </w:rPr>
              <w:t>2、运营期</w:t>
            </w:r>
            <w:r>
              <w:rPr>
                <w:b/>
                <w:bCs/>
              </w:rPr>
              <w:t>水环境影响分析</w:t>
            </w:r>
          </w:p>
          <w:p>
            <w:pPr>
              <w:pStyle w:val="45"/>
              <w:widowControl w:val="0"/>
              <w:ind w:firstLine="482"/>
              <w:rPr>
                <w:b/>
                <w:bCs/>
              </w:rPr>
            </w:pPr>
            <w:r>
              <w:rPr>
                <w:b/>
                <w:bCs/>
              </w:rPr>
              <w:t>2.1废水排放源强</w:t>
            </w:r>
          </w:p>
          <w:p>
            <w:pPr>
              <w:pStyle w:val="45"/>
              <w:widowControl w:val="0"/>
              <w:ind w:firstLine="480"/>
            </w:pPr>
            <w:r>
              <w:rPr>
                <w:rFonts w:hint="eastAsia"/>
              </w:rPr>
              <w:t>（1）</w:t>
            </w:r>
            <w:r>
              <w:rPr>
                <w:rFonts w:hint="eastAsia" w:ascii="宋体" w:hAnsi="宋体" w:cs="宋体"/>
                <w:lang w:val="en-US"/>
              </w:rPr>
              <w:t>员工、司乘人员生活污水</w:t>
            </w:r>
          </w:p>
          <w:p>
            <w:pPr>
              <w:pStyle w:val="45"/>
              <w:widowControl w:val="0"/>
              <w:ind w:firstLine="480"/>
              <w:rPr>
                <w:color w:val="000000"/>
              </w:rPr>
            </w:pPr>
            <w:r>
              <w:t>本站职工</w:t>
            </w:r>
            <w:r>
              <w:rPr>
                <w:rFonts w:hint="eastAsia"/>
              </w:rPr>
              <w:t>8</w:t>
            </w:r>
            <w:r>
              <w:t>人，不设置食堂，工作制度为三班轮换制。职工生活用水量按</w:t>
            </w:r>
            <w:r>
              <w:rPr>
                <w:rFonts w:hint="eastAsia"/>
              </w:rPr>
              <w:t>5</w:t>
            </w:r>
            <w:r>
              <w:t>0L/人·d计，则全年生活用水量为</w:t>
            </w:r>
            <w:r>
              <w:rPr>
                <w:rFonts w:hint="eastAsia"/>
                <w:bCs/>
              </w:rPr>
              <w:t>146</w:t>
            </w:r>
            <w:r>
              <w:t>m</w:t>
            </w:r>
            <w:r>
              <w:rPr>
                <w:vertAlign w:val="superscript"/>
              </w:rPr>
              <w:t>3</w:t>
            </w:r>
            <w:r>
              <w:t>/a，产污系数以0.8计，故本站生活污水排放量为</w:t>
            </w:r>
            <w:r>
              <w:rPr>
                <w:rFonts w:hint="eastAsia"/>
                <w:snapToGrid w:val="0"/>
              </w:rPr>
              <w:t>116.8</w:t>
            </w:r>
            <w:r>
              <w:t>m</w:t>
            </w:r>
            <w:r>
              <w:rPr>
                <w:vertAlign w:val="superscript"/>
              </w:rPr>
              <w:t>3</w:t>
            </w:r>
            <w:r>
              <w:t>/a</w:t>
            </w:r>
            <w:r>
              <w:rPr>
                <w:rFonts w:hint="eastAsia"/>
              </w:rPr>
              <w:t>。</w:t>
            </w:r>
            <w:r>
              <w:rPr>
                <w:rFonts w:hint="eastAsia" w:cs="宋体"/>
                <w:snapToGrid w:val="0"/>
              </w:rPr>
              <w:t>对外开放的公共厕所按预计接纳的最大客流量200人/d计算，用水量按15L/人</w:t>
            </w:r>
            <w:r>
              <w:rPr>
                <w:snapToGrid w:val="0"/>
              </w:rPr>
              <w:t>·</w:t>
            </w:r>
            <w:r>
              <w:rPr>
                <w:rFonts w:hint="eastAsia" w:cs="宋体"/>
                <w:snapToGrid w:val="0"/>
              </w:rPr>
              <w:t>d计，则公厕的生活用水量为1095m</w:t>
            </w:r>
            <w:r>
              <w:rPr>
                <w:rFonts w:hint="eastAsia" w:cs="宋体"/>
                <w:snapToGrid w:val="0"/>
                <w:vertAlign w:val="superscript"/>
              </w:rPr>
              <w:t>3</w:t>
            </w:r>
            <w:r>
              <w:rPr>
                <w:rFonts w:hint="eastAsia" w:cs="宋体"/>
                <w:snapToGrid w:val="0"/>
              </w:rPr>
              <w:t>/a，</w:t>
            </w:r>
            <w:r>
              <w:rPr>
                <w:rFonts w:hint="eastAsia"/>
              </w:rPr>
              <w:t>生活污水经</w:t>
            </w:r>
            <w:r>
              <w:rPr>
                <w:rFonts w:hint="eastAsia"/>
                <w:color w:val="000000"/>
              </w:rPr>
              <w:t>化粪池处理后，</w:t>
            </w:r>
            <w:r>
              <w:t>产污系数以0.8计，</w:t>
            </w:r>
            <w:r>
              <w:rPr>
                <w:rFonts w:hint="eastAsia" w:cs="宋体"/>
                <w:snapToGrid w:val="0"/>
              </w:rPr>
              <w:t>公厕废水产生量为876m</w:t>
            </w:r>
            <w:r>
              <w:rPr>
                <w:rFonts w:hint="eastAsia" w:cs="宋体"/>
                <w:snapToGrid w:val="0"/>
                <w:vertAlign w:val="superscript"/>
              </w:rPr>
              <w:t>3</w:t>
            </w:r>
            <w:r>
              <w:rPr>
                <w:rFonts w:hint="eastAsia" w:cs="宋体"/>
                <w:snapToGrid w:val="0"/>
              </w:rPr>
              <w:t>/a。</w:t>
            </w:r>
            <w:r>
              <w:rPr>
                <w:rFonts w:hint="eastAsia" w:ascii="宋体" w:hAnsi="宋体" w:cs="宋体"/>
              </w:rPr>
              <w:t>员工、司乘人员生活污水</w:t>
            </w:r>
            <w:r>
              <w:rPr>
                <w:rFonts w:hint="eastAsia"/>
              </w:rPr>
              <w:t>经三级化粪池处理后</w:t>
            </w:r>
            <w:r>
              <w:t>通过市政污水管网纳入福清融元污水处理厂集中处理</w:t>
            </w:r>
            <w:r>
              <w:rPr>
                <w:rFonts w:hint="eastAsia"/>
                <w:color w:val="000000"/>
              </w:rPr>
              <w:t>。</w:t>
            </w:r>
          </w:p>
          <w:p>
            <w:pPr>
              <w:pStyle w:val="45"/>
              <w:widowControl w:val="0"/>
              <w:ind w:firstLine="480"/>
            </w:pPr>
            <w:r>
              <w:rPr>
                <w:lang w:val="en-US"/>
              </w:rPr>
              <w:t>生活污水</w:t>
            </w:r>
            <w:r>
              <w:t>主要污染物pH、</w:t>
            </w:r>
            <w:r>
              <w:rPr>
                <w:rFonts w:hint="eastAsia"/>
              </w:rPr>
              <w:t>SS</w:t>
            </w:r>
            <w:r>
              <w:t>、COD、BOD</w:t>
            </w:r>
            <w:r>
              <w:rPr>
                <w:vertAlign w:val="subscript"/>
              </w:rPr>
              <w:t>5</w:t>
            </w:r>
            <w:r>
              <w:t>、NH</w:t>
            </w:r>
            <w:r>
              <w:rPr>
                <w:vertAlign w:val="subscript"/>
              </w:rPr>
              <w:t>3</w:t>
            </w:r>
            <w:r>
              <w:t>-N等；参考《给排水设计手册》(第五册城镇排水)典型生活污水水质，生活污水中各主要污染物浓度按COD：400mg/L ，BOD</w:t>
            </w:r>
            <w:r>
              <w:rPr>
                <w:vertAlign w:val="subscript"/>
              </w:rPr>
              <w:t>5</w:t>
            </w:r>
            <w:r>
              <w:t xml:space="preserve"> ：200mg/L ，SS：220mg/L ，NH</w:t>
            </w:r>
            <w:r>
              <w:rPr>
                <w:vertAlign w:val="subscript"/>
              </w:rPr>
              <w:t>3</w:t>
            </w:r>
            <w:r>
              <w:t>-N：35mg/L计算；COD、BOD</w:t>
            </w:r>
            <w:r>
              <w:rPr>
                <w:vertAlign w:val="subscript"/>
              </w:rPr>
              <w:t>5</w:t>
            </w:r>
            <w:r>
              <w:t>、氨氮的去除率参照《第二次全国污染源普查城镇生活污污染源产排污系数手册》表 6-4 中“四区二类区生活污水”经化粪池预处理后的推荐数据，去除效率分别为19.3%、12.7%、0%，SS参照原环境保护发布的文件《村镇生活污染防治最佳可行技术指南(试行)》(HJ-BAT-9)中化粪池对SS的去除率为60%~70%，本评价按60%计算。</w:t>
            </w:r>
          </w:p>
          <w:p>
            <w:pPr>
              <w:pStyle w:val="45"/>
              <w:widowControl w:val="0"/>
              <w:ind w:firstLine="480"/>
            </w:pPr>
            <w:r>
              <w:t>（2）加油棚地面冲洗水</w:t>
            </w:r>
            <w:r>
              <w:rPr>
                <w:rFonts w:hint="eastAsia"/>
              </w:rPr>
              <w:t>及初期雨水</w:t>
            </w:r>
          </w:p>
          <w:p>
            <w:pPr>
              <w:pStyle w:val="45"/>
              <w:widowControl w:val="0"/>
              <w:ind w:firstLine="480"/>
            </w:pPr>
            <w:r>
              <w:rPr>
                <w:lang w:val="en-US"/>
              </w:rPr>
              <w:t>项目油罐车运输、装卸过程和加油过程中存在着少量油料滴、漏在地面的现象。为了保护站场清洁，项目运营过程需对站内加油棚的地面进行</w:t>
            </w:r>
            <w:r>
              <w:rPr>
                <w:rFonts w:hint="eastAsia"/>
                <w:lang w:val="en-US" w:eastAsia="zh-CN"/>
              </w:rPr>
              <w:t>冲洗</w:t>
            </w:r>
            <w:r>
              <w:rPr>
                <w:lang w:val="en-US"/>
              </w:rPr>
              <w:t>，冲洗废水排放量为0</w:t>
            </w:r>
            <w:r>
              <w:rPr>
                <w:rFonts w:hint="eastAsia"/>
                <w:lang w:val="en-US"/>
              </w:rPr>
              <w:t>.836</w:t>
            </w:r>
            <w:r>
              <w:rPr>
                <w:lang w:val="en-US"/>
              </w:rPr>
              <w:t>m</w:t>
            </w:r>
            <w:r>
              <w:rPr>
                <w:vertAlign w:val="superscript"/>
                <w:lang w:val="en-US"/>
              </w:rPr>
              <w:t>3</w:t>
            </w:r>
            <w:r>
              <w:rPr>
                <w:lang w:val="en-US"/>
              </w:rPr>
              <w:t>/次</w:t>
            </w:r>
            <w:r>
              <w:rPr>
                <w:rFonts w:hint="eastAsia"/>
                <w:lang w:val="en-US"/>
              </w:rPr>
              <w:t>（40.13</w:t>
            </w:r>
            <w:r>
              <w:rPr>
                <w:lang w:val="en-US"/>
              </w:rPr>
              <w:t>m</w:t>
            </w:r>
            <w:r>
              <w:rPr>
                <w:vertAlign w:val="superscript"/>
                <w:lang w:val="en-US"/>
              </w:rPr>
              <w:t>3</w:t>
            </w:r>
            <w:r>
              <w:rPr>
                <w:lang w:val="en-US"/>
              </w:rPr>
              <w:t>/a</w:t>
            </w:r>
            <w:r>
              <w:rPr>
                <w:rFonts w:hint="eastAsia"/>
                <w:lang w:val="en-US"/>
              </w:rPr>
              <w:t>）</w:t>
            </w:r>
            <w:r>
              <w:rPr>
                <w:lang w:val="en-US"/>
              </w:rPr>
              <w:t>。</w:t>
            </w:r>
            <w:r>
              <w:rPr>
                <w:rFonts w:hint="eastAsia"/>
              </w:rPr>
              <w:t>本项目建成后，初期雨水约2.51</w:t>
            </w:r>
            <w:r>
              <w:t>m</w:t>
            </w:r>
            <w:r>
              <w:rPr>
                <w:vertAlign w:val="superscript"/>
              </w:rPr>
              <w:t>3</w:t>
            </w:r>
            <w:r>
              <w:rPr>
                <w:rFonts w:hint="eastAsia"/>
              </w:rPr>
              <w:t>/次、50.2</w:t>
            </w:r>
            <w:r>
              <w:t>m</w:t>
            </w:r>
            <w:r>
              <w:rPr>
                <w:vertAlign w:val="superscript"/>
              </w:rPr>
              <w:t>3</w:t>
            </w:r>
            <w:r>
              <w:t>/a</w:t>
            </w:r>
            <w:r>
              <w:rPr>
                <w:rFonts w:hint="eastAsia"/>
              </w:rPr>
              <w:t>，</w:t>
            </w:r>
            <w:r>
              <w:rPr>
                <w:lang w:val="en-US"/>
              </w:rPr>
              <w:t>加油棚地面冲洗水</w:t>
            </w:r>
            <w:r>
              <w:rPr>
                <w:rFonts w:hint="eastAsia"/>
                <w:lang w:val="en-US"/>
              </w:rPr>
              <w:t>及初期雨水</w:t>
            </w:r>
            <w:r>
              <w:rPr>
                <w:rFonts w:hint="eastAsia"/>
              </w:rPr>
              <w:t>主要污染因子及其浓度分别为COD：350mg/L、SS：300mg/L、石油类：35mg/L，经隔油池处理后</w:t>
            </w:r>
            <w:r>
              <w:t>排入市政污水管网进入福清融元污水处理厂集中处理</w:t>
            </w:r>
            <w:r>
              <w:rPr>
                <w:rFonts w:hint="eastAsia"/>
              </w:rPr>
              <w:t>。</w:t>
            </w:r>
            <w:r>
              <w:t>隔油池对石油类</w:t>
            </w:r>
            <w:r>
              <w:rPr>
                <w:rFonts w:hint="eastAsia"/>
              </w:rPr>
              <w:t>和SS的</w:t>
            </w:r>
            <w:r>
              <w:t>去除率</w:t>
            </w:r>
            <w:r>
              <w:rPr>
                <w:rFonts w:hint="eastAsia"/>
              </w:rPr>
              <w:t>5</w:t>
            </w:r>
            <w:r>
              <w:t>0%左右。</w:t>
            </w:r>
          </w:p>
          <w:p>
            <w:pPr>
              <w:pStyle w:val="45"/>
              <w:widowControl w:val="0"/>
              <w:ind w:firstLine="480"/>
            </w:pPr>
            <w:r>
              <w:t>项目各废水污染物进水和出水情况见表4.2-</w:t>
            </w:r>
            <w:r>
              <w:rPr>
                <w:rFonts w:hint="eastAsia"/>
              </w:rPr>
              <w:t>10</w:t>
            </w:r>
            <w:r>
              <w:t>。</w:t>
            </w:r>
          </w:p>
          <w:p>
            <w:pPr>
              <w:spacing w:before="120" w:beforeLines="50"/>
              <w:jc w:val="center"/>
              <w:rPr>
                <w:rFonts w:ascii="Times New Roman" w:hAnsi="Times New Roman" w:eastAsia="宋体" w:cs="宋体"/>
                <w:b/>
                <w:color w:val="000000"/>
                <w:spacing w:val="6"/>
                <w:kern w:val="2"/>
                <w:sz w:val="24"/>
                <w:szCs w:val="20"/>
                <w:lang w:eastAsia="zh-CN"/>
              </w:rPr>
            </w:pPr>
            <w:r>
              <w:rPr>
                <w:rFonts w:ascii="Times New Roman" w:hAnsi="Times New Roman" w:eastAsia="宋体" w:cs="宋体"/>
                <w:b/>
                <w:color w:val="000000"/>
                <w:spacing w:val="6"/>
                <w:kern w:val="2"/>
                <w:sz w:val="24"/>
                <w:szCs w:val="20"/>
                <w:lang w:eastAsia="zh-CN"/>
              </w:rPr>
              <w:t>表</w:t>
            </w:r>
            <w:r>
              <w:rPr>
                <w:rFonts w:hint="eastAsia" w:ascii="Times New Roman" w:hAnsi="Times New Roman" w:eastAsia="宋体" w:cs="宋体"/>
                <w:b/>
                <w:color w:val="000000"/>
                <w:spacing w:val="6"/>
                <w:kern w:val="2"/>
                <w:sz w:val="24"/>
                <w:szCs w:val="20"/>
                <w:lang w:eastAsia="zh-CN"/>
              </w:rPr>
              <w:t>4.2-10</w:t>
            </w:r>
            <w:r>
              <w:rPr>
                <w:rFonts w:ascii="Times New Roman" w:hAnsi="Times New Roman" w:eastAsia="宋体" w:cs="宋体"/>
                <w:b/>
                <w:color w:val="000000"/>
                <w:spacing w:val="6"/>
                <w:kern w:val="2"/>
                <w:sz w:val="24"/>
                <w:szCs w:val="20"/>
                <w:lang w:eastAsia="zh-CN"/>
              </w:rPr>
              <w:t xml:space="preserve">  </w:t>
            </w:r>
            <w:r>
              <w:rPr>
                <w:rFonts w:hint="eastAsia" w:ascii="Times New Roman" w:hAnsi="Times New Roman" w:eastAsia="宋体" w:cs="宋体"/>
                <w:b/>
                <w:color w:val="000000"/>
                <w:spacing w:val="6"/>
                <w:kern w:val="2"/>
                <w:sz w:val="24"/>
                <w:szCs w:val="20"/>
                <w:lang w:eastAsia="zh-CN"/>
              </w:rPr>
              <w:t>废水</w:t>
            </w:r>
            <w:r>
              <w:rPr>
                <w:rFonts w:ascii="Times New Roman" w:hAnsi="Times New Roman" w:eastAsia="宋体" w:cs="宋体"/>
                <w:b/>
                <w:color w:val="000000"/>
                <w:spacing w:val="6"/>
                <w:kern w:val="2"/>
                <w:sz w:val="24"/>
                <w:szCs w:val="20"/>
                <w:lang w:eastAsia="zh-CN"/>
              </w:rPr>
              <w:t>污染物产</w:t>
            </w:r>
            <w:r>
              <w:rPr>
                <w:rFonts w:hint="eastAsia" w:ascii="Times New Roman" w:hAnsi="Times New Roman" w:eastAsia="宋体" w:cs="宋体"/>
                <w:b/>
                <w:color w:val="000000"/>
                <w:spacing w:val="6"/>
                <w:kern w:val="2"/>
                <w:sz w:val="24"/>
                <w:szCs w:val="20"/>
                <w:lang w:eastAsia="zh-CN"/>
              </w:rPr>
              <w:t>排</w:t>
            </w:r>
            <w:r>
              <w:rPr>
                <w:rFonts w:ascii="Times New Roman" w:hAnsi="Times New Roman" w:eastAsia="宋体" w:cs="宋体"/>
                <w:b/>
                <w:color w:val="000000"/>
                <w:spacing w:val="6"/>
                <w:kern w:val="2"/>
                <w:sz w:val="24"/>
                <w:szCs w:val="20"/>
                <w:lang w:eastAsia="zh-CN"/>
              </w:rPr>
              <w:t>情况</w:t>
            </w:r>
            <w:r>
              <w:rPr>
                <w:rFonts w:hint="eastAsia" w:ascii="Times New Roman" w:hAnsi="Times New Roman" w:eastAsia="宋体" w:cs="宋体"/>
                <w:b/>
                <w:color w:val="000000"/>
                <w:spacing w:val="6"/>
                <w:kern w:val="2"/>
                <w:sz w:val="24"/>
                <w:szCs w:val="20"/>
                <w:lang w:eastAsia="zh-CN"/>
              </w:rPr>
              <w:t>汇总</w:t>
            </w:r>
            <w:r>
              <w:rPr>
                <w:rFonts w:ascii="Times New Roman" w:hAnsi="Times New Roman" w:eastAsia="宋体" w:cs="宋体"/>
                <w:b/>
                <w:color w:val="000000"/>
                <w:spacing w:val="6"/>
                <w:kern w:val="2"/>
                <w:sz w:val="24"/>
                <w:szCs w:val="20"/>
                <w:lang w:eastAsia="zh-CN"/>
              </w:rPr>
              <w:t>一览表</w:t>
            </w:r>
          </w:p>
          <w:tbl>
            <w:tblPr>
              <w:tblStyle w:val="17"/>
              <w:tblW w:w="5000" w:type="pct"/>
              <w:jc w:val="center"/>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Layout w:type="autofit"/>
              <w:tblCellMar>
                <w:top w:w="0" w:type="dxa"/>
                <w:left w:w="108" w:type="dxa"/>
                <w:bottom w:w="0" w:type="dxa"/>
                <w:right w:w="108" w:type="dxa"/>
              </w:tblCellMar>
            </w:tblPr>
            <w:tblGrid>
              <w:gridCol w:w="858"/>
              <w:gridCol w:w="854"/>
              <w:gridCol w:w="1134"/>
              <w:gridCol w:w="1022"/>
              <w:gridCol w:w="1194"/>
              <w:gridCol w:w="1546"/>
              <w:gridCol w:w="1178"/>
              <w:gridCol w:w="1058"/>
            </w:tblGrid>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PrEx>
              <w:trPr>
                <w:trHeight w:val="397" w:hRule="atLeast"/>
                <w:jc w:val="center"/>
              </w:trPr>
              <w:tc>
                <w:tcPr>
                  <w:tcW w:w="485" w:type="pct"/>
                  <w:vMerge w:val="restart"/>
                  <w:tcBorders>
                    <w:tl2br w:val="nil"/>
                    <w:tr2bl w:val="nil"/>
                  </w:tcBorders>
                  <w:vAlign w:val="center"/>
                </w:tcPr>
                <w:p>
                  <w:pPr>
                    <w:widowControl/>
                    <w:jc w:val="center"/>
                    <w:textAlignment w:val="center"/>
                    <w:rPr>
                      <w:rFonts w:hint="eastAsia" w:ascii="宋体" w:hAnsi="宋体" w:eastAsia="宋体" w:cs="宋体"/>
                      <w:color w:val="000000"/>
                      <w:kern w:val="2"/>
                      <w:sz w:val="21"/>
                      <w:szCs w:val="21"/>
                      <w:lang w:eastAsia="zh-CN"/>
                    </w:rPr>
                  </w:pPr>
                  <w:r>
                    <w:rPr>
                      <w:rFonts w:hint="eastAsia" w:ascii="宋体" w:hAnsi="宋体" w:eastAsia="宋体" w:cs="宋体"/>
                      <w:color w:val="000000"/>
                      <w:sz w:val="21"/>
                      <w:szCs w:val="21"/>
                      <w:lang w:eastAsia="zh-CN" w:bidi="ar"/>
                    </w:rPr>
                    <w:t>排放源</w:t>
                  </w:r>
                </w:p>
              </w:tc>
              <w:tc>
                <w:tcPr>
                  <w:tcW w:w="483" w:type="pct"/>
                  <w:vMerge w:val="restart"/>
                  <w:tcBorders>
                    <w:tl2br w:val="nil"/>
                    <w:tr2bl w:val="nil"/>
                  </w:tcBorders>
                  <w:vAlign w:val="center"/>
                </w:tcPr>
                <w:p>
                  <w:pPr>
                    <w:widowControl/>
                    <w:jc w:val="center"/>
                    <w:textAlignment w:val="center"/>
                    <w:rPr>
                      <w:rFonts w:hint="eastAsia" w:ascii="宋体" w:hAnsi="宋体" w:eastAsia="宋体" w:cs="宋体"/>
                      <w:color w:val="000000"/>
                      <w:kern w:val="2"/>
                      <w:sz w:val="21"/>
                      <w:szCs w:val="21"/>
                      <w:lang w:eastAsia="zh-CN"/>
                    </w:rPr>
                  </w:pPr>
                  <w:r>
                    <w:rPr>
                      <w:rFonts w:hint="eastAsia" w:ascii="宋体" w:hAnsi="宋体" w:eastAsia="宋体" w:cs="宋体"/>
                      <w:color w:val="000000"/>
                      <w:sz w:val="21"/>
                      <w:szCs w:val="21"/>
                      <w:lang w:eastAsia="zh-CN" w:bidi="ar"/>
                    </w:rPr>
                    <w:t>污染物名称</w:t>
                  </w:r>
                </w:p>
              </w:tc>
              <w:tc>
                <w:tcPr>
                  <w:tcW w:w="1219" w:type="pct"/>
                  <w:gridSpan w:val="2"/>
                  <w:tcBorders>
                    <w:tl2br w:val="nil"/>
                    <w:tr2bl w:val="nil"/>
                  </w:tcBorders>
                  <w:vAlign w:val="center"/>
                </w:tcPr>
                <w:p>
                  <w:pPr>
                    <w:widowControl/>
                    <w:jc w:val="center"/>
                    <w:textAlignment w:val="center"/>
                    <w:rPr>
                      <w:rFonts w:hint="eastAsia" w:ascii="宋体" w:hAnsi="宋体" w:eastAsia="宋体" w:cs="宋体"/>
                      <w:color w:val="000000"/>
                      <w:kern w:val="2"/>
                      <w:sz w:val="21"/>
                      <w:szCs w:val="21"/>
                      <w:lang w:eastAsia="zh-CN"/>
                    </w:rPr>
                  </w:pPr>
                  <w:r>
                    <w:rPr>
                      <w:rFonts w:hint="eastAsia" w:ascii="宋体" w:hAnsi="宋体" w:eastAsia="宋体" w:cs="宋体"/>
                      <w:color w:val="000000"/>
                      <w:sz w:val="21"/>
                      <w:szCs w:val="21"/>
                      <w:lang w:eastAsia="zh-CN" w:bidi="ar"/>
                    </w:rPr>
                    <w:t>产生情况</w:t>
                  </w:r>
                </w:p>
              </w:tc>
              <w:tc>
                <w:tcPr>
                  <w:tcW w:w="1549" w:type="pct"/>
                  <w:gridSpan w:val="2"/>
                  <w:tcBorders>
                    <w:tl2br w:val="nil"/>
                    <w:tr2bl w:val="nil"/>
                  </w:tcBorders>
                  <w:vAlign w:val="center"/>
                </w:tcPr>
                <w:p>
                  <w:pPr>
                    <w:widowControl/>
                    <w:jc w:val="center"/>
                    <w:textAlignment w:val="center"/>
                    <w:rPr>
                      <w:rFonts w:hint="eastAsia" w:ascii="宋体" w:hAnsi="宋体" w:eastAsia="宋体" w:cs="宋体"/>
                      <w:color w:val="000000"/>
                      <w:kern w:val="2"/>
                      <w:sz w:val="21"/>
                      <w:szCs w:val="21"/>
                      <w:lang w:eastAsia="zh-CN"/>
                    </w:rPr>
                  </w:pPr>
                  <w:r>
                    <w:rPr>
                      <w:rFonts w:hint="eastAsia" w:ascii="宋体" w:hAnsi="宋体" w:eastAsia="宋体" w:cs="宋体"/>
                      <w:color w:val="000000"/>
                      <w:sz w:val="21"/>
                      <w:szCs w:val="21"/>
                      <w:lang w:eastAsia="zh-CN" w:bidi="ar"/>
                    </w:rPr>
                    <w:t>厂内处理后排放情况</w:t>
                  </w:r>
                </w:p>
              </w:tc>
              <w:tc>
                <w:tcPr>
                  <w:tcW w:w="1264" w:type="pct"/>
                  <w:gridSpan w:val="2"/>
                  <w:tcBorders>
                    <w:tl2br w:val="nil"/>
                    <w:tr2bl w:val="nil"/>
                  </w:tcBorders>
                  <w:vAlign w:val="center"/>
                </w:tcPr>
                <w:p>
                  <w:pPr>
                    <w:widowControl/>
                    <w:jc w:val="center"/>
                    <w:textAlignment w:val="center"/>
                    <w:rPr>
                      <w:rFonts w:hint="eastAsia" w:ascii="宋体" w:hAnsi="宋体" w:eastAsia="宋体" w:cs="宋体"/>
                      <w:color w:val="000000"/>
                      <w:kern w:val="2"/>
                      <w:sz w:val="21"/>
                      <w:szCs w:val="21"/>
                      <w:lang w:eastAsia="zh-CN"/>
                    </w:rPr>
                  </w:pPr>
                  <w:r>
                    <w:rPr>
                      <w:rFonts w:hint="eastAsia" w:ascii="宋体" w:hAnsi="宋体" w:eastAsia="宋体" w:cs="宋体"/>
                      <w:color w:val="000000"/>
                      <w:sz w:val="21"/>
                      <w:szCs w:val="21"/>
                      <w:lang w:eastAsia="zh-CN" w:bidi="ar"/>
                    </w:rPr>
                    <w:t>排入外环境情况</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397" w:hRule="atLeast"/>
                <w:jc w:val="center"/>
              </w:trPr>
              <w:tc>
                <w:tcPr>
                  <w:tcW w:w="485" w:type="pct"/>
                  <w:vMerge w:val="continue"/>
                  <w:tcBorders>
                    <w:tl2br w:val="nil"/>
                    <w:tr2bl w:val="nil"/>
                  </w:tcBorders>
                  <w:vAlign w:val="center"/>
                </w:tcPr>
                <w:p>
                  <w:pPr>
                    <w:jc w:val="center"/>
                    <w:rPr>
                      <w:rFonts w:hint="eastAsia" w:ascii="宋体" w:hAnsi="宋体" w:eastAsia="宋体" w:cs="宋体"/>
                      <w:color w:val="000000"/>
                      <w:kern w:val="2"/>
                      <w:sz w:val="21"/>
                      <w:szCs w:val="21"/>
                      <w:lang w:eastAsia="zh-CN"/>
                    </w:rPr>
                  </w:pPr>
                </w:p>
              </w:tc>
              <w:tc>
                <w:tcPr>
                  <w:tcW w:w="483" w:type="pct"/>
                  <w:vMerge w:val="continue"/>
                  <w:tcBorders>
                    <w:tl2br w:val="nil"/>
                    <w:tr2bl w:val="nil"/>
                  </w:tcBorders>
                  <w:vAlign w:val="center"/>
                </w:tcPr>
                <w:p>
                  <w:pPr>
                    <w:jc w:val="center"/>
                    <w:rPr>
                      <w:rFonts w:hint="eastAsia" w:ascii="宋体" w:hAnsi="宋体" w:eastAsia="宋体" w:cs="宋体"/>
                      <w:color w:val="000000"/>
                      <w:kern w:val="2"/>
                      <w:sz w:val="21"/>
                      <w:szCs w:val="21"/>
                      <w:lang w:eastAsia="zh-CN"/>
                    </w:rPr>
                  </w:pPr>
                </w:p>
              </w:tc>
              <w:tc>
                <w:tcPr>
                  <w:tcW w:w="641" w:type="pct"/>
                  <w:tcBorders>
                    <w:tl2br w:val="nil"/>
                    <w:tr2bl w:val="nil"/>
                  </w:tcBorders>
                  <w:vAlign w:val="center"/>
                </w:tcPr>
                <w:p>
                  <w:pPr>
                    <w:widowControl/>
                    <w:jc w:val="center"/>
                    <w:rPr>
                      <w:rFonts w:hint="eastAsia" w:ascii="宋体" w:hAnsi="宋体" w:eastAsia="宋体" w:cs="宋体"/>
                      <w:kern w:val="2"/>
                      <w:sz w:val="21"/>
                      <w:szCs w:val="21"/>
                      <w:lang w:eastAsia="zh-CN"/>
                    </w:rPr>
                  </w:pPr>
                  <w:r>
                    <w:rPr>
                      <w:rFonts w:hint="eastAsia" w:ascii="Times New Roman" w:hAnsi="Times New Roman" w:eastAsia="宋体" w:cs="Times New Roman"/>
                      <w:kern w:val="2"/>
                      <w:sz w:val="21"/>
                      <w:szCs w:val="21"/>
                      <w:lang w:eastAsia="zh-CN"/>
                    </w:rPr>
                    <w:t>产生浓度（</w:t>
                  </w:r>
                  <w:r>
                    <w:rPr>
                      <w:rFonts w:ascii="Times New Roman" w:hAnsi="Times New Roman" w:eastAsia="宋体" w:cs="Times New Roman"/>
                      <w:kern w:val="2"/>
                      <w:sz w:val="21"/>
                      <w:szCs w:val="21"/>
                      <w:lang w:eastAsia="zh-CN"/>
                    </w:rPr>
                    <w:t>mg/L</w:t>
                  </w:r>
                  <w:r>
                    <w:rPr>
                      <w:rFonts w:hint="eastAsia" w:ascii="Times New Roman" w:hAnsi="Times New Roman" w:eastAsia="宋体" w:cs="Times New Roman"/>
                      <w:kern w:val="2"/>
                      <w:sz w:val="21"/>
                      <w:szCs w:val="21"/>
                      <w:lang w:eastAsia="zh-CN"/>
                    </w:rPr>
                    <w:t>）</w:t>
                  </w:r>
                </w:p>
              </w:tc>
              <w:tc>
                <w:tcPr>
                  <w:tcW w:w="578" w:type="pct"/>
                  <w:tcBorders>
                    <w:tl2br w:val="nil"/>
                    <w:tr2bl w:val="nil"/>
                  </w:tcBorders>
                  <w:vAlign w:val="center"/>
                </w:tcPr>
                <w:p>
                  <w:pPr>
                    <w:widowControl/>
                    <w:jc w:val="center"/>
                    <w:rPr>
                      <w:rFonts w:hint="eastAsia" w:ascii="宋体" w:hAnsi="宋体" w:eastAsia="宋体" w:cs="宋体"/>
                      <w:kern w:val="2"/>
                      <w:sz w:val="21"/>
                      <w:szCs w:val="21"/>
                      <w:lang w:eastAsia="zh-CN"/>
                    </w:rPr>
                  </w:pPr>
                  <w:r>
                    <w:rPr>
                      <w:rFonts w:hint="eastAsia" w:ascii="Times New Roman" w:hAnsi="Times New Roman" w:eastAsia="宋体" w:cs="Times New Roman"/>
                      <w:kern w:val="2"/>
                      <w:sz w:val="21"/>
                      <w:szCs w:val="21"/>
                      <w:lang w:eastAsia="zh-CN"/>
                    </w:rPr>
                    <w:t>产生量（</w:t>
                  </w:r>
                  <w:r>
                    <w:rPr>
                      <w:rFonts w:ascii="Times New Roman" w:hAnsi="Times New Roman" w:eastAsia="宋体" w:cs="Times New Roman"/>
                      <w:kern w:val="2"/>
                      <w:sz w:val="21"/>
                      <w:szCs w:val="21"/>
                      <w:lang w:eastAsia="zh-CN"/>
                    </w:rPr>
                    <w:t>t/a</w:t>
                  </w:r>
                  <w:r>
                    <w:rPr>
                      <w:rFonts w:hint="eastAsia" w:ascii="Times New Roman" w:hAnsi="Times New Roman" w:eastAsia="宋体" w:cs="Times New Roman"/>
                      <w:kern w:val="2"/>
                      <w:sz w:val="21"/>
                      <w:szCs w:val="21"/>
                      <w:lang w:eastAsia="zh-CN"/>
                    </w:rPr>
                    <w:t>）</w:t>
                  </w:r>
                </w:p>
              </w:tc>
              <w:tc>
                <w:tcPr>
                  <w:tcW w:w="675" w:type="pct"/>
                  <w:tcBorders>
                    <w:tl2br w:val="nil"/>
                    <w:tr2bl w:val="nil"/>
                  </w:tcBorders>
                  <w:vAlign w:val="center"/>
                </w:tcPr>
                <w:p>
                  <w:pPr>
                    <w:widowControl/>
                    <w:jc w:val="center"/>
                    <w:rPr>
                      <w:rFonts w:hint="eastAsia" w:ascii="宋体" w:hAnsi="宋体" w:eastAsia="宋体" w:cs="宋体"/>
                      <w:kern w:val="2"/>
                      <w:sz w:val="21"/>
                      <w:szCs w:val="21"/>
                      <w:lang w:eastAsia="zh-CN"/>
                    </w:rPr>
                  </w:pPr>
                  <w:r>
                    <w:rPr>
                      <w:rFonts w:hint="eastAsia" w:ascii="Times New Roman" w:hAnsi="Times New Roman" w:eastAsia="宋体" w:cs="Times New Roman"/>
                      <w:kern w:val="2"/>
                      <w:sz w:val="21"/>
                      <w:szCs w:val="21"/>
                      <w:lang w:eastAsia="zh-CN"/>
                    </w:rPr>
                    <w:t>入管浓度（</w:t>
                  </w:r>
                  <w:r>
                    <w:rPr>
                      <w:rFonts w:ascii="Times New Roman" w:hAnsi="Times New Roman" w:eastAsia="宋体" w:cs="Times New Roman"/>
                      <w:kern w:val="2"/>
                      <w:sz w:val="21"/>
                      <w:szCs w:val="21"/>
                      <w:lang w:eastAsia="zh-CN"/>
                    </w:rPr>
                    <w:t>mg/L</w:t>
                  </w:r>
                  <w:r>
                    <w:rPr>
                      <w:rFonts w:hint="eastAsia" w:ascii="Times New Roman" w:hAnsi="Times New Roman" w:eastAsia="宋体" w:cs="Times New Roman"/>
                      <w:kern w:val="2"/>
                      <w:sz w:val="21"/>
                      <w:szCs w:val="21"/>
                      <w:lang w:eastAsia="zh-CN"/>
                    </w:rPr>
                    <w:t>）</w:t>
                  </w:r>
                </w:p>
              </w:tc>
              <w:tc>
                <w:tcPr>
                  <w:tcW w:w="874" w:type="pct"/>
                  <w:tcBorders>
                    <w:tl2br w:val="nil"/>
                    <w:tr2bl w:val="nil"/>
                  </w:tcBorders>
                  <w:vAlign w:val="center"/>
                </w:tcPr>
                <w:p>
                  <w:pPr>
                    <w:widowControl/>
                    <w:jc w:val="center"/>
                    <w:rPr>
                      <w:rFonts w:hint="eastAsia" w:ascii="宋体" w:hAnsi="宋体" w:eastAsia="宋体" w:cs="宋体"/>
                      <w:kern w:val="2"/>
                      <w:sz w:val="21"/>
                      <w:szCs w:val="21"/>
                      <w:lang w:eastAsia="zh-CN"/>
                    </w:rPr>
                  </w:pPr>
                  <w:r>
                    <w:rPr>
                      <w:rFonts w:hint="eastAsia" w:ascii="Times New Roman" w:hAnsi="Times New Roman" w:eastAsia="宋体" w:cs="Times New Roman"/>
                      <w:kern w:val="2"/>
                      <w:sz w:val="21"/>
                      <w:szCs w:val="21"/>
                      <w:lang w:eastAsia="zh-CN"/>
                    </w:rPr>
                    <w:t>入管排放量（</w:t>
                  </w:r>
                  <w:r>
                    <w:rPr>
                      <w:rFonts w:ascii="Times New Roman" w:hAnsi="Times New Roman" w:eastAsia="宋体" w:cs="Times New Roman"/>
                      <w:kern w:val="2"/>
                      <w:sz w:val="21"/>
                      <w:szCs w:val="21"/>
                      <w:lang w:eastAsia="zh-CN"/>
                    </w:rPr>
                    <w:t>t/a</w:t>
                  </w:r>
                  <w:r>
                    <w:rPr>
                      <w:rFonts w:hint="eastAsia" w:ascii="Times New Roman" w:hAnsi="Times New Roman" w:eastAsia="宋体" w:cs="Times New Roman"/>
                      <w:kern w:val="2"/>
                      <w:sz w:val="21"/>
                      <w:szCs w:val="21"/>
                      <w:lang w:eastAsia="zh-CN"/>
                    </w:rPr>
                    <w:t>）</w:t>
                  </w:r>
                </w:p>
              </w:tc>
              <w:tc>
                <w:tcPr>
                  <w:tcW w:w="666" w:type="pct"/>
                  <w:tcBorders>
                    <w:tl2br w:val="nil"/>
                    <w:tr2bl w:val="nil"/>
                  </w:tcBorders>
                  <w:vAlign w:val="center"/>
                </w:tcPr>
                <w:p>
                  <w:pPr>
                    <w:widowControl/>
                    <w:jc w:val="center"/>
                    <w:rPr>
                      <w:rFonts w:hint="eastAsia" w:ascii="宋体" w:hAnsi="宋体" w:eastAsia="宋体" w:cs="宋体"/>
                      <w:kern w:val="2"/>
                      <w:sz w:val="21"/>
                      <w:szCs w:val="21"/>
                      <w:lang w:eastAsia="zh-CN"/>
                    </w:rPr>
                  </w:pPr>
                  <w:r>
                    <w:rPr>
                      <w:rFonts w:hint="eastAsia" w:ascii="Times New Roman" w:hAnsi="Times New Roman" w:eastAsia="宋体" w:cs="Times New Roman"/>
                      <w:kern w:val="2"/>
                      <w:sz w:val="21"/>
                      <w:szCs w:val="21"/>
                      <w:lang w:eastAsia="zh-CN"/>
                    </w:rPr>
                    <w:t>外排浓度（</w:t>
                  </w:r>
                  <w:r>
                    <w:rPr>
                      <w:rFonts w:ascii="Times New Roman" w:hAnsi="Times New Roman" w:eastAsia="宋体" w:cs="Times New Roman"/>
                      <w:kern w:val="2"/>
                      <w:sz w:val="21"/>
                      <w:szCs w:val="21"/>
                      <w:lang w:eastAsia="zh-CN"/>
                    </w:rPr>
                    <w:t>mg/L</w:t>
                  </w:r>
                  <w:r>
                    <w:rPr>
                      <w:rFonts w:hint="eastAsia" w:ascii="Times New Roman" w:hAnsi="Times New Roman" w:eastAsia="宋体" w:cs="Times New Roman"/>
                      <w:kern w:val="2"/>
                      <w:sz w:val="21"/>
                      <w:szCs w:val="21"/>
                      <w:lang w:eastAsia="zh-CN"/>
                    </w:rPr>
                    <w:t>）</w:t>
                  </w:r>
                </w:p>
              </w:tc>
              <w:tc>
                <w:tcPr>
                  <w:tcW w:w="598" w:type="pct"/>
                  <w:tcBorders>
                    <w:tl2br w:val="nil"/>
                    <w:tr2bl w:val="nil"/>
                  </w:tcBorders>
                  <w:vAlign w:val="center"/>
                </w:tcPr>
                <w:p>
                  <w:pPr>
                    <w:widowControl/>
                    <w:jc w:val="center"/>
                    <w:rPr>
                      <w:rFonts w:hint="eastAsia" w:ascii="宋体" w:hAnsi="宋体" w:eastAsia="宋体" w:cs="宋体"/>
                      <w:kern w:val="2"/>
                      <w:sz w:val="21"/>
                      <w:szCs w:val="21"/>
                      <w:lang w:eastAsia="zh-CN"/>
                    </w:rPr>
                  </w:pPr>
                  <w:r>
                    <w:rPr>
                      <w:rFonts w:hint="eastAsia" w:ascii="Times New Roman" w:hAnsi="Times New Roman" w:eastAsia="宋体" w:cs="Times New Roman"/>
                      <w:kern w:val="2"/>
                      <w:sz w:val="21"/>
                      <w:szCs w:val="21"/>
                      <w:lang w:eastAsia="zh-CN"/>
                    </w:rPr>
                    <w:t>外排量（</w:t>
                  </w:r>
                  <w:r>
                    <w:rPr>
                      <w:rFonts w:ascii="Times New Roman" w:hAnsi="Times New Roman" w:eastAsia="宋体" w:cs="Times New Roman"/>
                      <w:kern w:val="2"/>
                      <w:sz w:val="21"/>
                      <w:szCs w:val="21"/>
                      <w:lang w:eastAsia="zh-CN"/>
                    </w:rPr>
                    <w:t>t/a</w:t>
                  </w:r>
                  <w:r>
                    <w:rPr>
                      <w:rFonts w:hint="eastAsia" w:ascii="Times New Roman" w:hAnsi="Times New Roman" w:eastAsia="宋体" w:cs="Times New Roman"/>
                      <w:kern w:val="2"/>
                      <w:sz w:val="21"/>
                      <w:szCs w:val="21"/>
                      <w:lang w:eastAsia="zh-CN"/>
                    </w:rPr>
                    <w:t>）</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397" w:hRule="atLeast"/>
                <w:jc w:val="center"/>
              </w:trPr>
              <w:tc>
                <w:tcPr>
                  <w:tcW w:w="485" w:type="pct"/>
                  <w:vMerge w:val="restart"/>
                  <w:tcBorders>
                    <w:tl2br w:val="nil"/>
                    <w:tr2bl w:val="nil"/>
                  </w:tcBorders>
                  <w:vAlign w:val="center"/>
                </w:tcPr>
                <w:p>
                  <w:pPr>
                    <w:widowControl/>
                    <w:jc w:val="center"/>
                    <w:textAlignment w:val="center"/>
                    <w:rPr>
                      <w:rFonts w:hint="eastAsia" w:ascii="宋体" w:hAnsi="宋体" w:eastAsia="宋体" w:cs="宋体"/>
                      <w:color w:val="000000"/>
                      <w:sz w:val="21"/>
                      <w:szCs w:val="21"/>
                      <w:lang w:eastAsia="zh-CN" w:bidi="ar"/>
                    </w:rPr>
                  </w:pPr>
                  <w:r>
                    <w:rPr>
                      <w:rFonts w:hint="eastAsia" w:ascii="宋体" w:hAnsi="宋体" w:eastAsia="宋体" w:cs="宋体"/>
                      <w:color w:val="000000"/>
                      <w:sz w:val="21"/>
                      <w:szCs w:val="21"/>
                      <w:lang w:eastAsia="zh-CN" w:bidi="ar"/>
                    </w:rPr>
                    <w:t>生活</w:t>
                  </w:r>
                </w:p>
                <w:p>
                  <w:pPr>
                    <w:widowControl/>
                    <w:jc w:val="center"/>
                    <w:textAlignment w:val="center"/>
                    <w:rPr>
                      <w:rFonts w:hint="eastAsia" w:ascii="宋体" w:hAnsi="宋体" w:eastAsia="宋体" w:cs="宋体"/>
                      <w:color w:val="000000"/>
                      <w:kern w:val="2"/>
                      <w:sz w:val="21"/>
                      <w:szCs w:val="21"/>
                      <w:lang w:eastAsia="zh-CN"/>
                    </w:rPr>
                  </w:pPr>
                  <w:r>
                    <w:rPr>
                      <w:rFonts w:hint="eastAsia" w:ascii="宋体" w:hAnsi="宋体" w:eastAsia="宋体" w:cs="宋体"/>
                      <w:color w:val="000000"/>
                      <w:sz w:val="21"/>
                      <w:szCs w:val="21"/>
                      <w:lang w:eastAsia="zh-CN" w:bidi="ar"/>
                    </w:rPr>
                    <w:t>污水</w:t>
                  </w:r>
                </w:p>
              </w:tc>
              <w:tc>
                <w:tcPr>
                  <w:tcW w:w="483" w:type="pct"/>
                  <w:tcBorders>
                    <w:tl2br w:val="nil"/>
                    <w:tr2bl w:val="nil"/>
                  </w:tcBorders>
                  <w:vAlign w:val="center"/>
                </w:tcPr>
                <w:p>
                  <w:pPr>
                    <w:widowControl/>
                    <w:jc w:val="center"/>
                    <w:textAlignment w:val="center"/>
                    <w:rPr>
                      <w:rFonts w:hint="eastAsia" w:ascii="宋体" w:hAnsi="宋体" w:eastAsia="宋体" w:cs="宋体"/>
                      <w:color w:val="000000"/>
                      <w:kern w:val="2"/>
                      <w:sz w:val="21"/>
                      <w:szCs w:val="21"/>
                      <w:lang w:eastAsia="zh-CN"/>
                    </w:rPr>
                  </w:pPr>
                  <w:r>
                    <w:rPr>
                      <w:rFonts w:hint="eastAsia" w:ascii="宋体" w:hAnsi="宋体" w:eastAsia="宋体" w:cs="宋体"/>
                      <w:color w:val="000000"/>
                      <w:sz w:val="21"/>
                      <w:szCs w:val="21"/>
                      <w:lang w:eastAsia="zh-CN" w:bidi="ar"/>
                    </w:rPr>
                    <w:t>废水量</w:t>
                  </w:r>
                </w:p>
              </w:tc>
              <w:tc>
                <w:tcPr>
                  <w:tcW w:w="641" w:type="pct"/>
                  <w:tcBorders>
                    <w:tl2br w:val="nil"/>
                    <w:tr2bl w:val="nil"/>
                  </w:tcBorders>
                  <w:vAlign w:val="center"/>
                </w:tcPr>
                <w:p>
                  <w:pPr>
                    <w:widowControl/>
                    <w:jc w:val="center"/>
                    <w:textAlignment w:val="center"/>
                    <w:rPr>
                      <w:rFonts w:ascii="Times New Roman" w:hAnsi="Times New Roman" w:eastAsia="宋体" w:cs="Times New Roman"/>
                      <w:color w:val="000000"/>
                      <w:kern w:val="2"/>
                      <w:sz w:val="21"/>
                      <w:szCs w:val="21"/>
                      <w:lang w:eastAsia="zh-CN"/>
                    </w:rPr>
                  </w:pPr>
                  <w:r>
                    <w:rPr>
                      <w:rFonts w:hint="eastAsia" w:ascii="Times New Roman" w:hAnsi="Times New Roman" w:eastAsia="宋体" w:cs="Times New Roman"/>
                      <w:color w:val="000000"/>
                      <w:kern w:val="2"/>
                      <w:sz w:val="21"/>
                      <w:szCs w:val="21"/>
                      <w:lang w:eastAsia="zh-CN"/>
                    </w:rPr>
                    <w:t>/</w:t>
                  </w:r>
                </w:p>
              </w:tc>
              <w:tc>
                <w:tcPr>
                  <w:tcW w:w="578" w:type="pct"/>
                  <w:tcBorders>
                    <w:tl2br w:val="nil"/>
                    <w:tr2bl w:val="nil"/>
                  </w:tcBorders>
                  <w:vAlign w:val="center"/>
                </w:tcPr>
                <w:p>
                  <w:pPr>
                    <w:widowControl/>
                    <w:jc w:val="center"/>
                    <w:textAlignment w:val="center"/>
                    <w:rPr>
                      <w:rFonts w:ascii="Times New Roman" w:hAnsi="Times New Roman" w:eastAsia="宋体" w:cs="Times New Roman"/>
                      <w:color w:val="000000"/>
                      <w:kern w:val="2"/>
                      <w:sz w:val="21"/>
                      <w:szCs w:val="21"/>
                      <w:lang w:eastAsia="zh-CN"/>
                    </w:rPr>
                  </w:pPr>
                  <w:r>
                    <w:rPr>
                      <w:rFonts w:hint="eastAsia" w:ascii="Times New Roman" w:hAnsi="Times New Roman" w:eastAsia="宋体" w:cs="Times New Roman"/>
                      <w:color w:val="000000"/>
                      <w:sz w:val="21"/>
                      <w:szCs w:val="21"/>
                      <w:lang w:eastAsia="zh-CN" w:bidi="ar"/>
                    </w:rPr>
                    <w:t>992.8</w:t>
                  </w:r>
                </w:p>
              </w:tc>
              <w:tc>
                <w:tcPr>
                  <w:tcW w:w="675" w:type="pct"/>
                  <w:tcBorders>
                    <w:tl2br w:val="nil"/>
                    <w:tr2bl w:val="nil"/>
                  </w:tcBorders>
                  <w:vAlign w:val="center"/>
                </w:tcPr>
                <w:p>
                  <w:pPr>
                    <w:widowControl/>
                    <w:jc w:val="center"/>
                    <w:textAlignment w:val="center"/>
                    <w:rPr>
                      <w:rFonts w:ascii="Times New Roman" w:hAnsi="Times New Roman" w:eastAsia="宋体" w:cs="Times New Roman"/>
                      <w:color w:val="000000"/>
                      <w:kern w:val="2"/>
                      <w:sz w:val="21"/>
                      <w:szCs w:val="21"/>
                      <w:lang w:eastAsia="zh-CN"/>
                    </w:rPr>
                  </w:pPr>
                  <w:r>
                    <w:rPr>
                      <w:rFonts w:hint="eastAsia" w:ascii="Times New Roman" w:hAnsi="Times New Roman" w:eastAsia="宋体" w:cs="Times New Roman"/>
                      <w:color w:val="000000"/>
                      <w:sz w:val="21"/>
                      <w:szCs w:val="21"/>
                      <w:lang w:eastAsia="zh-CN" w:bidi="ar"/>
                    </w:rPr>
                    <w:t>/</w:t>
                  </w:r>
                </w:p>
              </w:tc>
              <w:tc>
                <w:tcPr>
                  <w:tcW w:w="874" w:type="pct"/>
                  <w:tcBorders>
                    <w:tl2br w:val="nil"/>
                    <w:tr2bl w:val="nil"/>
                  </w:tcBorders>
                  <w:vAlign w:val="center"/>
                </w:tcPr>
                <w:p>
                  <w:pPr>
                    <w:widowControl/>
                    <w:jc w:val="center"/>
                    <w:textAlignment w:val="center"/>
                    <w:rPr>
                      <w:rFonts w:ascii="Times New Roman" w:hAnsi="Times New Roman" w:eastAsia="宋体" w:cs="Times New Roman"/>
                      <w:color w:val="000000"/>
                      <w:kern w:val="2"/>
                      <w:sz w:val="21"/>
                      <w:szCs w:val="21"/>
                      <w:lang w:eastAsia="zh-CN"/>
                    </w:rPr>
                  </w:pPr>
                  <w:r>
                    <w:rPr>
                      <w:rFonts w:hint="eastAsia" w:ascii="Times New Roman" w:hAnsi="Times New Roman" w:eastAsia="宋体" w:cs="Times New Roman"/>
                      <w:color w:val="000000"/>
                      <w:sz w:val="21"/>
                      <w:szCs w:val="21"/>
                      <w:lang w:eastAsia="zh-CN" w:bidi="ar"/>
                    </w:rPr>
                    <w:t>992.8</w:t>
                  </w:r>
                </w:p>
              </w:tc>
              <w:tc>
                <w:tcPr>
                  <w:tcW w:w="666" w:type="pct"/>
                  <w:tcBorders>
                    <w:tl2br w:val="nil"/>
                    <w:tr2bl w:val="nil"/>
                  </w:tcBorders>
                  <w:vAlign w:val="center"/>
                </w:tcPr>
                <w:p>
                  <w:pPr>
                    <w:widowControl/>
                    <w:jc w:val="center"/>
                    <w:textAlignment w:val="center"/>
                    <w:rPr>
                      <w:rFonts w:ascii="Times New Roman" w:hAnsi="Times New Roman" w:eastAsia="宋体" w:cs="Times New Roman"/>
                      <w:color w:val="000000"/>
                      <w:kern w:val="2"/>
                      <w:sz w:val="21"/>
                      <w:szCs w:val="21"/>
                      <w:lang w:eastAsia="zh-CN"/>
                    </w:rPr>
                  </w:pPr>
                  <w:r>
                    <w:rPr>
                      <w:rFonts w:hint="eastAsia" w:ascii="Times New Roman" w:hAnsi="Times New Roman" w:eastAsia="宋体" w:cs="Times New Roman"/>
                      <w:color w:val="000000"/>
                      <w:sz w:val="21"/>
                      <w:szCs w:val="21"/>
                      <w:lang w:eastAsia="zh-CN" w:bidi="ar"/>
                    </w:rPr>
                    <w:t>/</w:t>
                  </w:r>
                </w:p>
              </w:tc>
              <w:tc>
                <w:tcPr>
                  <w:tcW w:w="598" w:type="pct"/>
                  <w:tcBorders>
                    <w:tl2br w:val="nil"/>
                    <w:tr2bl w:val="nil"/>
                  </w:tcBorders>
                  <w:vAlign w:val="center"/>
                </w:tcPr>
                <w:p>
                  <w:pPr>
                    <w:widowControl/>
                    <w:jc w:val="center"/>
                    <w:textAlignment w:val="center"/>
                    <w:rPr>
                      <w:rFonts w:ascii="Times New Roman" w:hAnsi="Times New Roman" w:eastAsia="宋体" w:cs="Times New Roman"/>
                      <w:color w:val="000000"/>
                      <w:kern w:val="2"/>
                      <w:sz w:val="21"/>
                      <w:szCs w:val="21"/>
                      <w:lang w:eastAsia="zh-CN"/>
                    </w:rPr>
                  </w:pPr>
                  <w:r>
                    <w:rPr>
                      <w:rFonts w:hint="eastAsia" w:ascii="Times New Roman" w:hAnsi="Times New Roman" w:eastAsia="宋体" w:cs="Times New Roman"/>
                      <w:color w:val="000000"/>
                      <w:sz w:val="21"/>
                      <w:szCs w:val="21"/>
                      <w:lang w:eastAsia="zh-CN" w:bidi="ar"/>
                    </w:rPr>
                    <w:t>992.8</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PrEx>
              <w:trPr>
                <w:trHeight w:val="397" w:hRule="atLeast"/>
                <w:jc w:val="center"/>
              </w:trPr>
              <w:tc>
                <w:tcPr>
                  <w:tcW w:w="485" w:type="pct"/>
                  <w:vMerge w:val="continue"/>
                  <w:tcBorders>
                    <w:tl2br w:val="nil"/>
                    <w:tr2bl w:val="nil"/>
                  </w:tcBorders>
                  <w:vAlign w:val="center"/>
                </w:tcPr>
                <w:p>
                  <w:pPr>
                    <w:jc w:val="center"/>
                    <w:rPr>
                      <w:rFonts w:hint="eastAsia" w:ascii="宋体" w:hAnsi="宋体" w:eastAsia="宋体" w:cs="宋体"/>
                      <w:color w:val="000000"/>
                      <w:kern w:val="2"/>
                      <w:sz w:val="21"/>
                      <w:szCs w:val="21"/>
                      <w:lang w:eastAsia="zh-CN"/>
                    </w:rPr>
                  </w:pPr>
                </w:p>
              </w:tc>
              <w:tc>
                <w:tcPr>
                  <w:tcW w:w="483" w:type="pct"/>
                  <w:tcBorders>
                    <w:tl2br w:val="nil"/>
                    <w:tr2bl w:val="nil"/>
                  </w:tcBorders>
                  <w:vAlign w:val="center"/>
                </w:tcPr>
                <w:p>
                  <w:pPr>
                    <w:widowControl/>
                    <w:jc w:val="center"/>
                    <w:rPr>
                      <w:rFonts w:ascii="Times New Roman" w:hAnsi="Times New Roman" w:eastAsia="宋体" w:cs="Times New Roman"/>
                      <w:kern w:val="2"/>
                      <w:sz w:val="21"/>
                      <w:szCs w:val="21"/>
                      <w:lang w:eastAsia="zh-CN"/>
                    </w:rPr>
                  </w:pPr>
                  <w:r>
                    <w:rPr>
                      <w:rFonts w:ascii="Times New Roman" w:hAnsi="Times New Roman" w:eastAsia="宋体" w:cs="Times New Roman"/>
                      <w:kern w:val="2"/>
                      <w:sz w:val="21"/>
                      <w:szCs w:val="21"/>
                      <w:lang w:eastAsia="zh-CN"/>
                    </w:rPr>
                    <w:t>COD</w:t>
                  </w:r>
                </w:p>
              </w:tc>
              <w:tc>
                <w:tcPr>
                  <w:tcW w:w="641" w:type="pct"/>
                  <w:tcBorders>
                    <w:tl2br w:val="nil"/>
                    <w:tr2bl w:val="nil"/>
                  </w:tcBorders>
                  <w:vAlign w:val="center"/>
                </w:tcPr>
                <w:p>
                  <w:pPr>
                    <w:widowControl/>
                    <w:jc w:val="center"/>
                    <w:rPr>
                      <w:rFonts w:ascii="Times New Roman" w:hAnsi="Times New Roman" w:eastAsia="宋体" w:cs="Times New Roman"/>
                      <w:kern w:val="2"/>
                      <w:sz w:val="21"/>
                      <w:szCs w:val="21"/>
                      <w:lang w:eastAsia="zh-CN"/>
                    </w:rPr>
                  </w:pPr>
                  <w:r>
                    <w:rPr>
                      <w:rFonts w:ascii="Times New Roman" w:hAnsi="Times New Roman" w:eastAsia="宋体" w:cs="Times New Roman"/>
                      <w:kern w:val="2"/>
                      <w:sz w:val="21"/>
                      <w:szCs w:val="21"/>
                      <w:lang w:eastAsia="zh-CN"/>
                    </w:rPr>
                    <w:t>400</w:t>
                  </w:r>
                </w:p>
              </w:tc>
              <w:tc>
                <w:tcPr>
                  <w:tcW w:w="578" w:type="pct"/>
                  <w:tcBorders>
                    <w:tl2br w:val="nil"/>
                    <w:tr2bl w:val="nil"/>
                  </w:tcBorders>
                  <w:vAlign w:val="center"/>
                </w:tcPr>
                <w:p>
                  <w:pPr>
                    <w:widowControl/>
                    <w:jc w:val="center"/>
                    <w:rPr>
                      <w:rFonts w:ascii="Times New Roman" w:hAnsi="Times New Roman" w:eastAsia="宋体" w:cs="Times New Roman"/>
                      <w:kern w:val="2"/>
                      <w:sz w:val="21"/>
                      <w:szCs w:val="21"/>
                      <w:lang w:eastAsia="zh-CN"/>
                    </w:rPr>
                  </w:pPr>
                  <w:r>
                    <w:rPr>
                      <w:rFonts w:ascii="Times New Roman" w:hAnsi="Times New Roman" w:cs="Times New Roman"/>
                      <w:color w:val="000000"/>
                    </w:rPr>
                    <w:t>0.397</w:t>
                  </w:r>
                </w:p>
              </w:tc>
              <w:tc>
                <w:tcPr>
                  <w:tcW w:w="675" w:type="pct"/>
                  <w:tcBorders>
                    <w:tl2br w:val="nil"/>
                    <w:tr2bl w:val="nil"/>
                  </w:tcBorders>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322.8</w:t>
                  </w:r>
                </w:p>
              </w:tc>
              <w:tc>
                <w:tcPr>
                  <w:tcW w:w="874" w:type="pct"/>
                  <w:tcBorders>
                    <w:tl2br w:val="nil"/>
                    <w:tr2bl w:val="nil"/>
                  </w:tcBorders>
                  <w:vAlign w:val="center"/>
                </w:tcPr>
                <w:p>
                  <w:pPr>
                    <w:widowControl/>
                    <w:jc w:val="center"/>
                    <w:rPr>
                      <w:rFonts w:ascii="Times New Roman" w:hAnsi="Times New Roman" w:eastAsia="宋体" w:cs="Times New Roman"/>
                      <w:kern w:val="2"/>
                      <w:sz w:val="21"/>
                      <w:szCs w:val="21"/>
                      <w:lang w:eastAsia="zh-CN"/>
                    </w:rPr>
                  </w:pPr>
                  <w:r>
                    <w:rPr>
                      <w:rFonts w:ascii="Times New Roman" w:hAnsi="Times New Roman" w:cs="Times New Roman"/>
                      <w:color w:val="000000"/>
                    </w:rPr>
                    <w:t>0.320</w:t>
                  </w:r>
                </w:p>
              </w:tc>
              <w:tc>
                <w:tcPr>
                  <w:tcW w:w="666" w:type="pct"/>
                  <w:tcBorders>
                    <w:tl2br w:val="nil"/>
                    <w:tr2bl w:val="nil"/>
                  </w:tcBorders>
                  <w:vAlign w:val="center"/>
                </w:tcPr>
                <w:p>
                  <w:pPr>
                    <w:widowControl/>
                    <w:jc w:val="center"/>
                    <w:rPr>
                      <w:rFonts w:ascii="Times New Roman" w:hAnsi="Times New Roman" w:eastAsia="宋体" w:cs="Times New Roman"/>
                      <w:kern w:val="2"/>
                      <w:sz w:val="21"/>
                      <w:szCs w:val="21"/>
                      <w:lang w:eastAsia="zh-CN"/>
                    </w:rPr>
                  </w:pPr>
                  <w:r>
                    <w:rPr>
                      <w:rFonts w:ascii="Times New Roman" w:hAnsi="Times New Roman" w:eastAsia="宋体" w:cs="Times New Roman"/>
                      <w:kern w:val="2"/>
                      <w:sz w:val="21"/>
                      <w:szCs w:val="21"/>
                      <w:lang w:eastAsia="zh-CN"/>
                    </w:rPr>
                    <w:t>50</w:t>
                  </w:r>
                </w:p>
              </w:tc>
              <w:tc>
                <w:tcPr>
                  <w:tcW w:w="598" w:type="pct"/>
                  <w:tcBorders>
                    <w:tl2br w:val="nil"/>
                    <w:tr2bl w:val="nil"/>
                  </w:tcBorders>
                  <w:vAlign w:val="center"/>
                </w:tcPr>
                <w:p>
                  <w:pPr>
                    <w:widowControl/>
                    <w:jc w:val="center"/>
                    <w:rPr>
                      <w:rFonts w:ascii="Times New Roman" w:hAnsi="Times New Roman" w:eastAsia="宋体" w:cs="Times New Roman"/>
                      <w:kern w:val="2"/>
                      <w:sz w:val="21"/>
                      <w:szCs w:val="21"/>
                      <w:lang w:eastAsia="zh-CN"/>
                    </w:rPr>
                  </w:pPr>
                  <w:r>
                    <w:rPr>
                      <w:rFonts w:ascii="Times New Roman" w:hAnsi="Times New Roman" w:cs="Times New Roman"/>
                      <w:color w:val="000000"/>
                    </w:rPr>
                    <w:t>0.050</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397" w:hRule="atLeast"/>
                <w:jc w:val="center"/>
              </w:trPr>
              <w:tc>
                <w:tcPr>
                  <w:tcW w:w="485" w:type="pct"/>
                  <w:vMerge w:val="continue"/>
                  <w:tcBorders>
                    <w:tl2br w:val="nil"/>
                    <w:tr2bl w:val="nil"/>
                  </w:tcBorders>
                  <w:vAlign w:val="center"/>
                </w:tcPr>
                <w:p>
                  <w:pPr>
                    <w:jc w:val="center"/>
                    <w:rPr>
                      <w:rFonts w:hint="eastAsia" w:ascii="宋体" w:hAnsi="宋体" w:eastAsia="宋体" w:cs="宋体"/>
                      <w:color w:val="000000"/>
                      <w:kern w:val="2"/>
                      <w:sz w:val="21"/>
                      <w:szCs w:val="21"/>
                      <w:lang w:eastAsia="zh-CN"/>
                    </w:rPr>
                  </w:pPr>
                </w:p>
              </w:tc>
              <w:tc>
                <w:tcPr>
                  <w:tcW w:w="483" w:type="pct"/>
                  <w:tcBorders>
                    <w:tl2br w:val="nil"/>
                    <w:tr2bl w:val="nil"/>
                  </w:tcBorders>
                  <w:vAlign w:val="center"/>
                </w:tcPr>
                <w:p>
                  <w:pPr>
                    <w:widowControl/>
                    <w:jc w:val="center"/>
                    <w:rPr>
                      <w:rFonts w:ascii="Times New Roman" w:hAnsi="Times New Roman" w:eastAsia="宋体" w:cs="Times New Roman"/>
                      <w:kern w:val="2"/>
                      <w:sz w:val="21"/>
                      <w:szCs w:val="21"/>
                      <w:lang w:eastAsia="zh-CN"/>
                    </w:rPr>
                  </w:pPr>
                  <w:r>
                    <w:rPr>
                      <w:rFonts w:ascii="Times New Roman" w:hAnsi="Times New Roman" w:eastAsia="宋体" w:cs="Times New Roman"/>
                      <w:kern w:val="2"/>
                      <w:sz w:val="21"/>
                      <w:szCs w:val="21"/>
                      <w:lang w:eastAsia="zh-CN"/>
                    </w:rPr>
                    <w:t>BOD</w:t>
                  </w:r>
                  <w:r>
                    <w:rPr>
                      <w:rFonts w:ascii="Times New Roman" w:hAnsi="Times New Roman" w:eastAsia="宋体" w:cs="Times New Roman"/>
                      <w:kern w:val="2"/>
                      <w:sz w:val="21"/>
                      <w:szCs w:val="21"/>
                      <w:vertAlign w:val="subscript"/>
                      <w:lang w:eastAsia="zh-CN"/>
                    </w:rPr>
                    <w:t>5</w:t>
                  </w:r>
                </w:p>
              </w:tc>
              <w:tc>
                <w:tcPr>
                  <w:tcW w:w="641" w:type="pct"/>
                  <w:tcBorders>
                    <w:tl2br w:val="nil"/>
                    <w:tr2bl w:val="nil"/>
                  </w:tcBorders>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200</w:t>
                  </w:r>
                </w:p>
              </w:tc>
              <w:tc>
                <w:tcPr>
                  <w:tcW w:w="578" w:type="pct"/>
                  <w:tcBorders>
                    <w:tl2br w:val="nil"/>
                    <w:tr2bl w:val="nil"/>
                  </w:tcBorders>
                  <w:vAlign w:val="center"/>
                </w:tcPr>
                <w:p>
                  <w:pPr>
                    <w:widowControl/>
                    <w:jc w:val="center"/>
                    <w:rPr>
                      <w:rFonts w:ascii="Times New Roman" w:hAnsi="Times New Roman" w:eastAsia="宋体" w:cs="Times New Roman"/>
                      <w:kern w:val="2"/>
                      <w:sz w:val="21"/>
                      <w:szCs w:val="21"/>
                      <w:lang w:eastAsia="zh-CN"/>
                    </w:rPr>
                  </w:pPr>
                  <w:r>
                    <w:rPr>
                      <w:rFonts w:ascii="Times New Roman" w:hAnsi="Times New Roman" w:cs="Times New Roman"/>
                      <w:color w:val="000000"/>
                    </w:rPr>
                    <w:t>0.199</w:t>
                  </w:r>
                </w:p>
              </w:tc>
              <w:tc>
                <w:tcPr>
                  <w:tcW w:w="675" w:type="pct"/>
                  <w:tcBorders>
                    <w:tl2br w:val="nil"/>
                    <w:tr2bl w:val="nil"/>
                  </w:tcBorders>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174.6</w:t>
                  </w:r>
                </w:p>
              </w:tc>
              <w:tc>
                <w:tcPr>
                  <w:tcW w:w="874" w:type="pct"/>
                  <w:tcBorders>
                    <w:tl2br w:val="nil"/>
                    <w:tr2bl w:val="nil"/>
                  </w:tcBorders>
                  <w:vAlign w:val="center"/>
                </w:tcPr>
                <w:p>
                  <w:pPr>
                    <w:widowControl/>
                    <w:jc w:val="center"/>
                    <w:rPr>
                      <w:rFonts w:ascii="Times New Roman" w:hAnsi="Times New Roman" w:eastAsia="宋体" w:cs="Times New Roman"/>
                      <w:kern w:val="2"/>
                      <w:sz w:val="21"/>
                      <w:szCs w:val="21"/>
                      <w:lang w:eastAsia="zh-CN"/>
                    </w:rPr>
                  </w:pPr>
                  <w:r>
                    <w:rPr>
                      <w:rFonts w:ascii="Times New Roman" w:hAnsi="Times New Roman" w:cs="Times New Roman"/>
                      <w:color w:val="000000"/>
                    </w:rPr>
                    <w:t>0.173</w:t>
                  </w:r>
                </w:p>
              </w:tc>
              <w:tc>
                <w:tcPr>
                  <w:tcW w:w="666" w:type="pct"/>
                  <w:tcBorders>
                    <w:tl2br w:val="nil"/>
                    <w:tr2bl w:val="nil"/>
                  </w:tcBorders>
                  <w:vAlign w:val="center"/>
                </w:tcPr>
                <w:p>
                  <w:pPr>
                    <w:widowControl/>
                    <w:jc w:val="center"/>
                    <w:rPr>
                      <w:rFonts w:ascii="Times New Roman" w:hAnsi="Times New Roman" w:eastAsia="宋体" w:cs="Times New Roman"/>
                      <w:kern w:val="2"/>
                      <w:sz w:val="21"/>
                      <w:szCs w:val="21"/>
                      <w:lang w:eastAsia="zh-CN"/>
                    </w:rPr>
                  </w:pPr>
                  <w:r>
                    <w:rPr>
                      <w:rFonts w:ascii="Times New Roman" w:hAnsi="Times New Roman" w:eastAsia="宋体" w:cs="Times New Roman"/>
                      <w:kern w:val="2"/>
                      <w:sz w:val="21"/>
                      <w:szCs w:val="21"/>
                      <w:lang w:eastAsia="zh-CN"/>
                    </w:rPr>
                    <w:t>10</w:t>
                  </w:r>
                </w:p>
              </w:tc>
              <w:tc>
                <w:tcPr>
                  <w:tcW w:w="598" w:type="pct"/>
                  <w:tcBorders>
                    <w:tl2br w:val="nil"/>
                    <w:tr2bl w:val="nil"/>
                  </w:tcBorders>
                  <w:vAlign w:val="center"/>
                </w:tcPr>
                <w:p>
                  <w:pPr>
                    <w:widowControl/>
                    <w:jc w:val="center"/>
                    <w:rPr>
                      <w:rFonts w:ascii="Times New Roman" w:hAnsi="Times New Roman" w:eastAsia="宋体" w:cs="Times New Roman"/>
                      <w:kern w:val="2"/>
                      <w:sz w:val="21"/>
                      <w:szCs w:val="21"/>
                      <w:lang w:eastAsia="zh-CN"/>
                    </w:rPr>
                  </w:pPr>
                  <w:r>
                    <w:rPr>
                      <w:rFonts w:ascii="Times New Roman" w:hAnsi="Times New Roman" w:cs="Times New Roman"/>
                      <w:color w:val="000000"/>
                    </w:rPr>
                    <w:t>0.010</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397" w:hRule="atLeast"/>
                <w:jc w:val="center"/>
              </w:trPr>
              <w:tc>
                <w:tcPr>
                  <w:tcW w:w="485" w:type="pct"/>
                  <w:vMerge w:val="continue"/>
                  <w:tcBorders>
                    <w:tl2br w:val="nil"/>
                    <w:tr2bl w:val="nil"/>
                  </w:tcBorders>
                  <w:vAlign w:val="center"/>
                </w:tcPr>
                <w:p>
                  <w:pPr>
                    <w:jc w:val="center"/>
                    <w:rPr>
                      <w:rFonts w:hint="eastAsia" w:ascii="宋体" w:hAnsi="宋体" w:eastAsia="宋体" w:cs="宋体"/>
                      <w:color w:val="000000"/>
                      <w:kern w:val="2"/>
                      <w:sz w:val="21"/>
                      <w:szCs w:val="21"/>
                      <w:lang w:eastAsia="zh-CN"/>
                    </w:rPr>
                  </w:pPr>
                </w:p>
              </w:tc>
              <w:tc>
                <w:tcPr>
                  <w:tcW w:w="483" w:type="pct"/>
                  <w:tcBorders>
                    <w:tl2br w:val="nil"/>
                    <w:tr2bl w:val="nil"/>
                  </w:tcBorders>
                  <w:vAlign w:val="center"/>
                </w:tcPr>
                <w:p>
                  <w:pPr>
                    <w:widowControl/>
                    <w:jc w:val="center"/>
                    <w:rPr>
                      <w:rFonts w:ascii="Times New Roman" w:hAnsi="Times New Roman" w:eastAsia="宋体" w:cs="Times New Roman"/>
                      <w:kern w:val="2"/>
                      <w:sz w:val="21"/>
                      <w:szCs w:val="21"/>
                      <w:lang w:eastAsia="zh-CN"/>
                    </w:rPr>
                  </w:pPr>
                  <w:r>
                    <w:rPr>
                      <w:rFonts w:ascii="Times New Roman" w:hAnsi="Times New Roman" w:eastAsia="宋体" w:cs="Times New Roman"/>
                      <w:kern w:val="2"/>
                      <w:sz w:val="21"/>
                      <w:szCs w:val="21"/>
                      <w:lang w:eastAsia="zh-CN"/>
                    </w:rPr>
                    <w:t>SS</w:t>
                  </w:r>
                </w:p>
              </w:tc>
              <w:tc>
                <w:tcPr>
                  <w:tcW w:w="641" w:type="pct"/>
                  <w:tcBorders>
                    <w:tl2br w:val="nil"/>
                    <w:tr2bl w:val="nil"/>
                  </w:tcBorders>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220</w:t>
                  </w:r>
                </w:p>
              </w:tc>
              <w:tc>
                <w:tcPr>
                  <w:tcW w:w="578" w:type="pct"/>
                  <w:tcBorders>
                    <w:tl2br w:val="nil"/>
                    <w:tr2bl w:val="nil"/>
                  </w:tcBorders>
                  <w:vAlign w:val="center"/>
                </w:tcPr>
                <w:p>
                  <w:pPr>
                    <w:widowControl/>
                    <w:jc w:val="center"/>
                    <w:rPr>
                      <w:rFonts w:ascii="Times New Roman" w:hAnsi="Times New Roman" w:eastAsia="宋体" w:cs="Times New Roman"/>
                      <w:kern w:val="2"/>
                      <w:sz w:val="21"/>
                      <w:szCs w:val="21"/>
                      <w:lang w:eastAsia="zh-CN"/>
                    </w:rPr>
                  </w:pPr>
                  <w:r>
                    <w:rPr>
                      <w:rFonts w:ascii="Times New Roman" w:hAnsi="Times New Roman" w:cs="Times New Roman"/>
                      <w:color w:val="000000"/>
                    </w:rPr>
                    <w:t>0.218</w:t>
                  </w:r>
                </w:p>
              </w:tc>
              <w:tc>
                <w:tcPr>
                  <w:tcW w:w="675" w:type="pct"/>
                  <w:tcBorders>
                    <w:tl2br w:val="nil"/>
                    <w:tr2bl w:val="nil"/>
                  </w:tcBorders>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88</w:t>
                  </w:r>
                </w:p>
              </w:tc>
              <w:tc>
                <w:tcPr>
                  <w:tcW w:w="874" w:type="pct"/>
                  <w:tcBorders>
                    <w:tl2br w:val="nil"/>
                    <w:tr2bl w:val="nil"/>
                  </w:tcBorders>
                  <w:vAlign w:val="center"/>
                </w:tcPr>
                <w:p>
                  <w:pPr>
                    <w:widowControl/>
                    <w:jc w:val="center"/>
                    <w:rPr>
                      <w:rFonts w:ascii="Times New Roman" w:hAnsi="Times New Roman" w:eastAsia="宋体" w:cs="Times New Roman"/>
                      <w:kern w:val="2"/>
                      <w:sz w:val="21"/>
                      <w:szCs w:val="21"/>
                      <w:lang w:eastAsia="zh-CN"/>
                    </w:rPr>
                  </w:pPr>
                  <w:r>
                    <w:rPr>
                      <w:rFonts w:ascii="Times New Roman" w:hAnsi="Times New Roman" w:cs="Times New Roman"/>
                      <w:color w:val="000000"/>
                    </w:rPr>
                    <w:t>0.087</w:t>
                  </w:r>
                </w:p>
              </w:tc>
              <w:tc>
                <w:tcPr>
                  <w:tcW w:w="666" w:type="pct"/>
                  <w:tcBorders>
                    <w:tl2br w:val="nil"/>
                    <w:tr2bl w:val="nil"/>
                  </w:tcBorders>
                  <w:vAlign w:val="center"/>
                </w:tcPr>
                <w:p>
                  <w:pPr>
                    <w:widowControl/>
                    <w:jc w:val="center"/>
                    <w:rPr>
                      <w:rFonts w:ascii="Times New Roman" w:hAnsi="Times New Roman" w:eastAsia="宋体" w:cs="Times New Roman"/>
                      <w:kern w:val="2"/>
                      <w:sz w:val="21"/>
                      <w:szCs w:val="21"/>
                      <w:lang w:eastAsia="zh-CN"/>
                    </w:rPr>
                  </w:pPr>
                  <w:r>
                    <w:rPr>
                      <w:rFonts w:ascii="Times New Roman" w:hAnsi="Times New Roman" w:eastAsia="宋体" w:cs="Times New Roman"/>
                      <w:kern w:val="2"/>
                      <w:sz w:val="21"/>
                      <w:szCs w:val="21"/>
                      <w:lang w:eastAsia="zh-CN"/>
                    </w:rPr>
                    <w:t>10</w:t>
                  </w:r>
                </w:p>
              </w:tc>
              <w:tc>
                <w:tcPr>
                  <w:tcW w:w="598" w:type="pct"/>
                  <w:tcBorders>
                    <w:tl2br w:val="nil"/>
                    <w:tr2bl w:val="nil"/>
                  </w:tcBorders>
                  <w:vAlign w:val="center"/>
                </w:tcPr>
                <w:p>
                  <w:pPr>
                    <w:widowControl/>
                    <w:jc w:val="center"/>
                    <w:rPr>
                      <w:rFonts w:ascii="Times New Roman" w:hAnsi="Times New Roman" w:eastAsia="宋体" w:cs="Times New Roman"/>
                      <w:kern w:val="2"/>
                      <w:sz w:val="21"/>
                      <w:szCs w:val="21"/>
                      <w:lang w:eastAsia="zh-CN"/>
                    </w:rPr>
                  </w:pPr>
                  <w:r>
                    <w:rPr>
                      <w:rFonts w:ascii="Times New Roman" w:hAnsi="Times New Roman" w:cs="Times New Roman"/>
                      <w:color w:val="000000"/>
                    </w:rPr>
                    <w:t>0.010</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397" w:hRule="atLeast"/>
                <w:jc w:val="center"/>
              </w:trPr>
              <w:tc>
                <w:tcPr>
                  <w:tcW w:w="485" w:type="pct"/>
                  <w:vMerge w:val="continue"/>
                  <w:tcBorders>
                    <w:tl2br w:val="nil"/>
                    <w:tr2bl w:val="nil"/>
                  </w:tcBorders>
                  <w:vAlign w:val="center"/>
                </w:tcPr>
                <w:p>
                  <w:pPr>
                    <w:jc w:val="center"/>
                    <w:rPr>
                      <w:rFonts w:hint="eastAsia" w:ascii="宋体" w:hAnsi="宋体" w:eastAsia="宋体" w:cs="宋体"/>
                      <w:color w:val="000000"/>
                      <w:kern w:val="2"/>
                      <w:sz w:val="21"/>
                      <w:szCs w:val="21"/>
                      <w:lang w:eastAsia="zh-CN"/>
                    </w:rPr>
                  </w:pPr>
                </w:p>
              </w:tc>
              <w:tc>
                <w:tcPr>
                  <w:tcW w:w="483" w:type="pct"/>
                  <w:tcBorders>
                    <w:tl2br w:val="nil"/>
                    <w:tr2bl w:val="nil"/>
                  </w:tcBorders>
                  <w:vAlign w:val="center"/>
                </w:tcPr>
                <w:p>
                  <w:pPr>
                    <w:widowControl/>
                    <w:jc w:val="center"/>
                    <w:rPr>
                      <w:rFonts w:ascii="Times New Roman" w:hAnsi="Times New Roman" w:eastAsia="宋体" w:cs="Times New Roman"/>
                      <w:kern w:val="2"/>
                      <w:sz w:val="21"/>
                      <w:szCs w:val="21"/>
                      <w:lang w:eastAsia="zh-CN"/>
                    </w:rPr>
                  </w:pPr>
                  <w:r>
                    <w:rPr>
                      <w:rFonts w:ascii="Times New Roman" w:hAnsi="Times New Roman" w:eastAsia="宋体" w:cs="Times New Roman"/>
                      <w:kern w:val="2"/>
                      <w:sz w:val="21"/>
                      <w:szCs w:val="21"/>
                      <w:lang w:eastAsia="zh-CN"/>
                    </w:rPr>
                    <w:t>NH</w:t>
                  </w:r>
                  <w:r>
                    <w:rPr>
                      <w:rFonts w:ascii="Times New Roman" w:hAnsi="Times New Roman" w:eastAsia="宋体" w:cs="Times New Roman"/>
                      <w:kern w:val="2"/>
                      <w:sz w:val="21"/>
                      <w:szCs w:val="21"/>
                      <w:vertAlign w:val="subscript"/>
                      <w:lang w:eastAsia="zh-CN"/>
                    </w:rPr>
                    <w:t>3</w:t>
                  </w:r>
                  <w:r>
                    <w:rPr>
                      <w:rFonts w:ascii="Times New Roman" w:hAnsi="Times New Roman" w:eastAsia="宋体" w:cs="Times New Roman"/>
                      <w:kern w:val="2"/>
                      <w:sz w:val="21"/>
                      <w:szCs w:val="21"/>
                      <w:lang w:eastAsia="zh-CN"/>
                    </w:rPr>
                    <w:t>-N</w:t>
                  </w:r>
                </w:p>
              </w:tc>
              <w:tc>
                <w:tcPr>
                  <w:tcW w:w="641" w:type="pct"/>
                  <w:tcBorders>
                    <w:tl2br w:val="nil"/>
                    <w:tr2bl w:val="nil"/>
                  </w:tcBorders>
                  <w:vAlign w:val="center"/>
                </w:tcPr>
                <w:p>
                  <w:pPr>
                    <w:widowControl/>
                    <w:jc w:val="center"/>
                    <w:rPr>
                      <w:rFonts w:ascii="Times New Roman" w:hAnsi="Times New Roman" w:eastAsia="宋体" w:cs="Times New Roman"/>
                      <w:kern w:val="2"/>
                      <w:sz w:val="21"/>
                      <w:szCs w:val="21"/>
                      <w:lang w:eastAsia="zh-CN"/>
                    </w:rPr>
                  </w:pPr>
                  <w:r>
                    <w:rPr>
                      <w:rFonts w:ascii="Times New Roman" w:hAnsi="Times New Roman" w:eastAsia="宋体" w:cs="Times New Roman"/>
                      <w:kern w:val="2"/>
                      <w:sz w:val="21"/>
                      <w:szCs w:val="21"/>
                      <w:lang w:eastAsia="zh-CN"/>
                    </w:rPr>
                    <w:t>35</w:t>
                  </w:r>
                </w:p>
              </w:tc>
              <w:tc>
                <w:tcPr>
                  <w:tcW w:w="578" w:type="pct"/>
                  <w:tcBorders>
                    <w:tl2br w:val="nil"/>
                    <w:tr2bl w:val="nil"/>
                  </w:tcBorders>
                  <w:vAlign w:val="center"/>
                </w:tcPr>
                <w:p>
                  <w:pPr>
                    <w:widowControl/>
                    <w:jc w:val="center"/>
                    <w:rPr>
                      <w:rFonts w:ascii="Times New Roman" w:hAnsi="Times New Roman" w:eastAsia="宋体" w:cs="Times New Roman"/>
                      <w:kern w:val="2"/>
                      <w:sz w:val="21"/>
                      <w:szCs w:val="21"/>
                      <w:lang w:eastAsia="zh-CN"/>
                    </w:rPr>
                  </w:pPr>
                  <w:r>
                    <w:rPr>
                      <w:rFonts w:ascii="Times New Roman" w:hAnsi="Times New Roman" w:cs="Times New Roman"/>
                      <w:color w:val="000000"/>
                    </w:rPr>
                    <w:t>0.035</w:t>
                  </w:r>
                </w:p>
              </w:tc>
              <w:tc>
                <w:tcPr>
                  <w:tcW w:w="675" w:type="pct"/>
                  <w:tcBorders>
                    <w:tl2br w:val="nil"/>
                    <w:tr2bl w:val="nil"/>
                  </w:tcBorders>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35</w:t>
                  </w:r>
                </w:p>
              </w:tc>
              <w:tc>
                <w:tcPr>
                  <w:tcW w:w="874" w:type="pct"/>
                  <w:tcBorders>
                    <w:tl2br w:val="nil"/>
                    <w:tr2bl w:val="nil"/>
                  </w:tcBorders>
                  <w:vAlign w:val="center"/>
                </w:tcPr>
                <w:p>
                  <w:pPr>
                    <w:widowControl/>
                    <w:jc w:val="center"/>
                    <w:rPr>
                      <w:rFonts w:ascii="Times New Roman" w:hAnsi="Times New Roman" w:eastAsia="宋体" w:cs="Times New Roman"/>
                      <w:kern w:val="2"/>
                      <w:sz w:val="21"/>
                      <w:szCs w:val="21"/>
                      <w:lang w:eastAsia="zh-CN"/>
                    </w:rPr>
                  </w:pPr>
                  <w:r>
                    <w:rPr>
                      <w:rFonts w:ascii="Times New Roman" w:hAnsi="Times New Roman" w:cs="Times New Roman"/>
                      <w:color w:val="000000"/>
                    </w:rPr>
                    <w:t>0.035</w:t>
                  </w:r>
                </w:p>
              </w:tc>
              <w:tc>
                <w:tcPr>
                  <w:tcW w:w="666" w:type="pct"/>
                  <w:tcBorders>
                    <w:tl2br w:val="nil"/>
                    <w:tr2bl w:val="nil"/>
                  </w:tcBorders>
                  <w:vAlign w:val="center"/>
                </w:tcPr>
                <w:p>
                  <w:pPr>
                    <w:widowControl/>
                    <w:jc w:val="center"/>
                    <w:rPr>
                      <w:rFonts w:ascii="Times New Roman" w:hAnsi="Times New Roman" w:eastAsia="宋体" w:cs="Times New Roman"/>
                      <w:kern w:val="2"/>
                      <w:sz w:val="21"/>
                      <w:szCs w:val="21"/>
                      <w:lang w:eastAsia="zh-CN"/>
                    </w:rPr>
                  </w:pPr>
                  <w:r>
                    <w:rPr>
                      <w:rFonts w:ascii="Times New Roman" w:hAnsi="Times New Roman" w:eastAsia="宋体" w:cs="Times New Roman"/>
                      <w:kern w:val="2"/>
                      <w:sz w:val="21"/>
                      <w:szCs w:val="21"/>
                      <w:lang w:eastAsia="zh-CN"/>
                    </w:rPr>
                    <w:t>5</w:t>
                  </w:r>
                </w:p>
              </w:tc>
              <w:tc>
                <w:tcPr>
                  <w:tcW w:w="598" w:type="pct"/>
                  <w:tcBorders>
                    <w:tl2br w:val="nil"/>
                    <w:tr2bl w:val="nil"/>
                  </w:tcBorders>
                  <w:vAlign w:val="center"/>
                </w:tcPr>
                <w:p>
                  <w:pPr>
                    <w:widowControl/>
                    <w:jc w:val="center"/>
                    <w:rPr>
                      <w:rFonts w:ascii="Times New Roman" w:hAnsi="Times New Roman" w:eastAsia="宋体" w:cs="Times New Roman"/>
                      <w:kern w:val="2"/>
                      <w:sz w:val="21"/>
                      <w:szCs w:val="21"/>
                      <w:lang w:eastAsia="zh-CN"/>
                    </w:rPr>
                  </w:pPr>
                  <w:r>
                    <w:rPr>
                      <w:rFonts w:ascii="Times New Roman" w:hAnsi="Times New Roman" w:cs="Times New Roman"/>
                      <w:color w:val="000000"/>
                    </w:rPr>
                    <w:t>0.005</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397" w:hRule="atLeast"/>
                <w:jc w:val="center"/>
              </w:trPr>
              <w:tc>
                <w:tcPr>
                  <w:tcW w:w="485" w:type="pct"/>
                  <w:vMerge w:val="restart"/>
                  <w:tcBorders>
                    <w:tl2br w:val="nil"/>
                    <w:tr2bl w:val="nil"/>
                  </w:tcBorders>
                  <w:vAlign w:val="center"/>
                </w:tcPr>
                <w:p>
                  <w:pPr>
                    <w:jc w:val="center"/>
                    <w:rPr>
                      <w:rFonts w:hint="eastAsia" w:ascii="宋体" w:hAnsi="宋体" w:eastAsia="宋体" w:cs="宋体"/>
                      <w:color w:val="000000"/>
                      <w:kern w:val="2"/>
                      <w:sz w:val="21"/>
                      <w:szCs w:val="21"/>
                      <w:lang w:eastAsia="zh-CN"/>
                    </w:rPr>
                  </w:pPr>
                  <w:r>
                    <w:rPr>
                      <w:rFonts w:ascii="宋体" w:hAnsi="宋体" w:eastAsia="宋体" w:cs="宋体"/>
                      <w:color w:val="000000"/>
                      <w:kern w:val="2"/>
                      <w:sz w:val="21"/>
                      <w:szCs w:val="21"/>
                      <w:lang w:eastAsia="zh-CN"/>
                    </w:rPr>
                    <w:t>加油棚地面冲洗水</w:t>
                  </w:r>
                  <w:r>
                    <w:rPr>
                      <w:rFonts w:hint="eastAsia" w:ascii="宋体" w:hAnsi="宋体" w:eastAsia="宋体" w:cs="宋体"/>
                      <w:color w:val="000000"/>
                      <w:kern w:val="2"/>
                      <w:sz w:val="21"/>
                      <w:szCs w:val="21"/>
                      <w:lang w:eastAsia="zh-CN"/>
                    </w:rPr>
                    <w:t>及初期雨水</w:t>
                  </w:r>
                </w:p>
              </w:tc>
              <w:tc>
                <w:tcPr>
                  <w:tcW w:w="483" w:type="pct"/>
                  <w:tcBorders>
                    <w:tl2br w:val="nil"/>
                    <w:tr2bl w:val="nil"/>
                  </w:tcBorders>
                  <w:vAlign w:val="center"/>
                </w:tcPr>
                <w:p>
                  <w:pPr>
                    <w:widowControl/>
                    <w:jc w:val="center"/>
                    <w:textAlignment w:val="center"/>
                    <w:rPr>
                      <w:rFonts w:ascii="Times New Roman" w:hAnsi="Times New Roman" w:eastAsia="宋体" w:cs="Times New Roman"/>
                      <w:color w:val="000000"/>
                      <w:sz w:val="21"/>
                      <w:szCs w:val="21"/>
                      <w:lang w:eastAsia="zh-CN" w:bidi="ar"/>
                    </w:rPr>
                  </w:pPr>
                  <w:r>
                    <w:rPr>
                      <w:rFonts w:hint="eastAsia" w:ascii="宋体" w:hAnsi="宋体" w:eastAsia="宋体" w:cs="宋体"/>
                      <w:color w:val="000000"/>
                      <w:sz w:val="21"/>
                      <w:szCs w:val="21"/>
                      <w:lang w:eastAsia="zh-CN" w:bidi="ar"/>
                    </w:rPr>
                    <w:t>废水量</w:t>
                  </w:r>
                </w:p>
              </w:tc>
              <w:tc>
                <w:tcPr>
                  <w:tcW w:w="641" w:type="pct"/>
                  <w:tcBorders>
                    <w:tl2br w:val="nil"/>
                    <w:tr2bl w:val="nil"/>
                  </w:tcBorders>
                  <w:vAlign w:val="center"/>
                </w:tcPr>
                <w:p>
                  <w:pPr>
                    <w:widowControl/>
                    <w:jc w:val="center"/>
                    <w:textAlignment w:val="center"/>
                    <w:rPr>
                      <w:rFonts w:ascii="Times New Roman" w:hAnsi="Times New Roman" w:eastAsia="宋体" w:cs="Times New Roman"/>
                      <w:color w:val="000000"/>
                      <w:sz w:val="21"/>
                      <w:szCs w:val="21"/>
                      <w:lang w:eastAsia="zh-CN" w:bidi="ar"/>
                    </w:rPr>
                  </w:pPr>
                  <w:r>
                    <w:rPr>
                      <w:rFonts w:hint="eastAsia" w:ascii="Times New Roman" w:hAnsi="Times New Roman" w:eastAsia="宋体" w:cs="Times New Roman"/>
                      <w:color w:val="000000"/>
                      <w:sz w:val="21"/>
                      <w:szCs w:val="21"/>
                      <w:lang w:eastAsia="zh-CN" w:bidi="ar"/>
                    </w:rPr>
                    <w:t>/</w:t>
                  </w:r>
                </w:p>
              </w:tc>
              <w:tc>
                <w:tcPr>
                  <w:tcW w:w="578" w:type="pct"/>
                  <w:tcBorders>
                    <w:tl2br w:val="nil"/>
                    <w:tr2bl w:val="nil"/>
                  </w:tcBorders>
                  <w:vAlign w:val="center"/>
                </w:tcPr>
                <w:p>
                  <w:pPr>
                    <w:widowControl/>
                    <w:jc w:val="center"/>
                    <w:textAlignment w:val="center"/>
                    <w:rPr>
                      <w:rFonts w:ascii="Times New Roman" w:hAnsi="Times New Roman" w:eastAsia="宋体" w:cs="Times New Roman"/>
                      <w:color w:val="000000"/>
                      <w:sz w:val="21"/>
                      <w:szCs w:val="21"/>
                      <w:lang w:eastAsia="zh-CN" w:bidi="ar"/>
                    </w:rPr>
                  </w:pPr>
                  <w:r>
                    <w:rPr>
                      <w:rFonts w:hint="eastAsia" w:ascii="Times New Roman" w:hAnsi="Times New Roman" w:eastAsia="宋体" w:cs="Times New Roman"/>
                      <w:color w:val="000000"/>
                      <w:sz w:val="21"/>
                      <w:szCs w:val="21"/>
                      <w:lang w:eastAsia="zh-CN" w:bidi="ar"/>
                    </w:rPr>
                    <w:t>90.33</w:t>
                  </w:r>
                </w:p>
              </w:tc>
              <w:tc>
                <w:tcPr>
                  <w:tcW w:w="675" w:type="pct"/>
                  <w:tcBorders>
                    <w:tl2br w:val="nil"/>
                    <w:tr2bl w:val="nil"/>
                  </w:tcBorders>
                  <w:vAlign w:val="center"/>
                </w:tcPr>
                <w:p>
                  <w:pPr>
                    <w:widowControl/>
                    <w:jc w:val="center"/>
                    <w:textAlignment w:val="center"/>
                    <w:rPr>
                      <w:rFonts w:ascii="Times New Roman" w:hAnsi="Times New Roman" w:eastAsia="宋体" w:cs="Times New Roman"/>
                      <w:color w:val="000000"/>
                      <w:sz w:val="21"/>
                      <w:szCs w:val="21"/>
                      <w:lang w:eastAsia="zh-CN" w:bidi="ar"/>
                    </w:rPr>
                  </w:pPr>
                  <w:r>
                    <w:rPr>
                      <w:rFonts w:hint="eastAsia" w:ascii="Times New Roman" w:hAnsi="Times New Roman" w:eastAsia="宋体" w:cs="Times New Roman"/>
                      <w:color w:val="000000"/>
                      <w:sz w:val="21"/>
                      <w:szCs w:val="21"/>
                      <w:lang w:eastAsia="zh-CN" w:bidi="ar"/>
                    </w:rPr>
                    <w:t>/</w:t>
                  </w:r>
                </w:p>
              </w:tc>
              <w:tc>
                <w:tcPr>
                  <w:tcW w:w="874" w:type="pct"/>
                  <w:tcBorders>
                    <w:tl2br w:val="nil"/>
                    <w:tr2bl w:val="nil"/>
                  </w:tcBorders>
                  <w:vAlign w:val="center"/>
                </w:tcPr>
                <w:p>
                  <w:pPr>
                    <w:widowControl/>
                    <w:jc w:val="center"/>
                    <w:textAlignment w:val="center"/>
                    <w:rPr>
                      <w:rFonts w:ascii="Times New Roman" w:hAnsi="Times New Roman" w:eastAsia="宋体" w:cs="Times New Roman"/>
                      <w:color w:val="000000"/>
                      <w:sz w:val="21"/>
                      <w:szCs w:val="21"/>
                      <w:lang w:eastAsia="zh-CN" w:bidi="ar"/>
                    </w:rPr>
                  </w:pPr>
                  <w:r>
                    <w:rPr>
                      <w:rFonts w:hint="eastAsia" w:ascii="Times New Roman" w:hAnsi="Times New Roman" w:eastAsia="宋体" w:cs="Times New Roman"/>
                      <w:color w:val="000000"/>
                      <w:sz w:val="21"/>
                      <w:szCs w:val="21"/>
                      <w:lang w:eastAsia="zh-CN" w:bidi="ar"/>
                    </w:rPr>
                    <w:t>90.33</w:t>
                  </w:r>
                </w:p>
              </w:tc>
              <w:tc>
                <w:tcPr>
                  <w:tcW w:w="666" w:type="pct"/>
                  <w:tcBorders>
                    <w:tl2br w:val="nil"/>
                    <w:tr2bl w:val="nil"/>
                  </w:tcBorders>
                  <w:vAlign w:val="center"/>
                </w:tcPr>
                <w:p>
                  <w:pPr>
                    <w:widowControl/>
                    <w:jc w:val="center"/>
                    <w:textAlignment w:val="center"/>
                    <w:rPr>
                      <w:rFonts w:ascii="Times New Roman" w:hAnsi="Times New Roman" w:eastAsia="宋体" w:cs="Times New Roman"/>
                      <w:color w:val="000000"/>
                      <w:sz w:val="21"/>
                      <w:szCs w:val="21"/>
                      <w:lang w:eastAsia="zh-CN" w:bidi="ar"/>
                    </w:rPr>
                  </w:pPr>
                  <w:r>
                    <w:rPr>
                      <w:rFonts w:hint="eastAsia" w:ascii="Times New Roman" w:hAnsi="Times New Roman" w:eastAsia="宋体" w:cs="Times New Roman"/>
                      <w:color w:val="000000"/>
                      <w:sz w:val="21"/>
                      <w:szCs w:val="21"/>
                      <w:lang w:eastAsia="zh-CN" w:bidi="ar"/>
                    </w:rPr>
                    <w:t>/</w:t>
                  </w:r>
                </w:p>
              </w:tc>
              <w:tc>
                <w:tcPr>
                  <w:tcW w:w="598" w:type="pct"/>
                  <w:tcBorders>
                    <w:tl2br w:val="nil"/>
                    <w:tr2bl w:val="nil"/>
                  </w:tcBorders>
                  <w:vAlign w:val="center"/>
                </w:tcPr>
                <w:p>
                  <w:pPr>
                    <w:widowControl/>
                    <w:jc w:val="center"/>
                    <w:textAlignment w:val="center"/>
                    <w:rPr>
                      <w:rFonts w:ascii="Times New Roman" w:hAnsi="Times New Roman" w:eastAsia="宋体" w:cs="Times New Roman"/>
                      <w:color w:val="000000"/>
                      <w:sz w:val="21"/>
                      <w:szCs w:val="21"/>
                      <w:lang w:eastAsia="zh-CN" w:bidi="ar"/>
                    </w:rPr>
                  </w:pPr>
                  <w:r>
                    <w:rPr>
                      <w:rFonts w:hint="eastAsia" w:ascii="Times New Roman" w:hAnsi="Times New Roman" w:eastAsia="宋体" w:cs="Times New Roman"/>
                      <w:color w:val="000000"/>
                      <w:sz w:val="21"/>
                      <w:szCs w:val="21"/>
                      <w:lang w:eastAsia="zh-CN" w:bidi="ar"/>
                    </w:rPr>
                    <w:t>90.33</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397" w:hRule="atLeast"/>
                <w:jc w:val="center"/>
              </w:trPr>
              <w:tc>
                <w:tcPr>
                  <w:tcW w:w="485" w:type="pct"/>
                  <w:vMerge w:val="continue"/>
                  <w:tcBorders>
                    <w:tl2br w:val="nil"/>
                    <w:tr2bl w:val="nil"/>
                  </w:tcBorders>
                  <w:vAlign w:val="center"/>
                </w:tcPr>
                <w:p>
                  <w:pPr>
                    <w:jc w:val="center"/>
                    <w:rPr>
                      <w:rFonts w:hint="eastAsia" w:ascii="宋体" w:hAnsi="宋体" w:eastAsia="宋体" w:cs="宋体"/>
                      <w:color w:val="000000"/>
                      <w:kern w:val="2"/>
                      <w:sz w:val="21"/>
                      <w:szCs w:val="21"/>
                      <w:lang w:eastAsia="zh-CN"/>
                    </w:rPr>
                  </w:pPr>
                </w:p>
              </w:tc>
              <w:tc>
                <w:tcPr>
                  <w:tcW w:w="483" w:type="pct"/>
                  <w:tcBorders>
                    <w:tl2br w:val="nil"/>
                    <w:tr2bl w:val="nil"/>
                  </w:tcBorders>
                  <w:vAlign w:val="center"/>
                </w:tcPr>
                <w:p>
                  <w:pPr>
                    <w:widowControl/>
                    <w:jc w:val="center"/>
                    <w:textAlignment w:val="center"/>
                    <w:rPr>
                      <w:rFonts w:ascii="Times New Roman" w:hAnsi="Times New Roman" w:eastAsia="宋体" w:cs="Times New Roman"/>
                      <w:color w:val="000000"/>
                      <w:sz w:val="21"/>
                      <w:szCs w:val="21"/>
                      <w:lang w:eastAsia="zh-CN" w:bidi="ar"/>
                    </w:rPr>
                  </w:pPr>
                  <w:r>
                    <w:rPr>
                      <w:rFonts w:ascii="Times New Roman" w:hAnsi="Times New Roman" w:eastAsia="宋体" w:cs="Times New Roman"/>
                      <w:color w:val="000000"/>
                      <w:sz w:val="21"/>
                      <w:szCs w:val="21"/>
                      <w:lang w:eastAsia="zh-CN" w:bidi="ar"/>
                    </w:rPr>
                    <w:t>COD</w:t>
                  </w:r>
                </w:p>
              </w:tc>
              <w:tc>
                <w:tcPr>
                  <w:tcW w:w="641" w:type="pct"/>
                  <w:tcBorders>
                    <w:tl2br w:val="nil"/>
                    <w:tr2bl w:val="nil"/>
                  </w:tcBorders>
                  <w:vAlign w:val="center"/>
                </w:tcPr>
                <w:p>
                  <w:pPr>
                    <w:widowControl/>
                    <w:jc w:val="center"/>
                    <w:textAlignment w:val="center"/>
                    <w:rPr>
                      <w:rFonts w:ascii="Times New Roman" w:hAnsi="Times New Roman" w:eastAsia="宋体" w:cs="Times New Roman"/>
                      <w:color w:val="000000"/>
                      <w:sz w:val="21"/>
                      <w:szCs w:val="21"/>
                      <w:lang w:eastAsia="zh-CN" w:bidi="ar"/>
                    </w:rPr>
                  </w:pPr>
                  <w:r>
                    <w:rPr>
                      <w:rFonts w:hint="eastAsia" w:ascii="Times New Roman" w:hAnsi="Times New Roman" w:eastAsia="宋体" w:cs="Times New Roman"/>
                      <w:color w:val="000000"/>
                      <w:sz w:val="21"/>
                      <w:szCs w:val="21"/>
                      <w:lang w:eastAsia="zh-CN" w:bidi="ar"/>
                    </w:rPr>
                    <w:t>350</w:t>
                  </w:r>
                </w:p>
              </w:tc>
              <w:tc>
                <w:tcPr>
                  <w:tcW w:w="578" w:type="pct"/>
                  <w:tcBorders>
                    <w:tl2br w:val="nil"/>
                    <w:tr2bl w:val="nil"/>
                  </w:tcBorders>
                  <w:vAlign w:val="center"/>
                </w:tcPr>
                <w:p>
                  <w:pPr>
                    <w:widowControl/>
                    <w:jc w:val="center"/>
                    <w:textAlignment w:val="center"/>
                    <w:rPr>
                      <w:rFonts w:ascii="Times New Roman" w:hAnsi="Times New Roman" w:eastAsia="宋体" w:cs="Times New Roman"/>
                      <w:color w:val="000000"/>
                      <w:sz w:val="21"/>
                      <w:szCs w:val="21"/>
                      <w:lang w:eastAsia="zh-CN" w:bidi="ar"/>
                    </w:rPr>
                  </w:pPr>
                  <w:r>
                    <w:rPr>
                      <w:rFonts w:ascii="Times New Roman" w:hAnsi="Times New Roman" w:cs="Times New Roman"/>
                      <w:color w:val="000000"/>
                      <w:lang w:eastAsia="zh-CN"/>
                    </w:rPr>
                    <w:t>0.032</w:t>
                  </w:r>
                </w:p>
              </w:tc>
              <w:tc>
                <w:tcPr>
                  <w:tcW w:w="675" w:type="pct"/>
                  <w:tcBorders>
                    <w:tl2br w:val="nil"/>
                    <w:tr2bl w:val="nil"/>
                  </w:tcBorders>
                  <w:vAlign w:val="center"/>
                </w:tcPr>
                <w:p>
                  <w:pPr>
                    <w:widowControl/>
                    <w:jc w:val="center"/>
                    <w:textAlignment w:val="center"/>
                    <w:rPr>
                      <w:rFonts w:ascii="Times New Roman" w:hAnsi="Times New Roman" w:eastAsia="宋体" w:cs="Times New Roman"/>
                      <w:color w:val="000000"/>
                      <w:sz w:val="21"/>
                      <w:szCs w:val="21"/>
                      <w:lang w:eastAsia="zh-CN" w:bidi="ar"/>
                    </w:rPr>
                  </w:pPr>
                  <w:r>
                    <w:rPr>
                      <w:rFonts w:hint="eastAsia" w:ascii="Times New Roman" w:hAnsi="Times New Roman" w:eastAsia="宋体" w:cs="Times New Roman"/>
                      <w:color w:val="000000"/>
                      <w:sz w:val="21"/>
                      <w:szCs w:val="21"/>
                      <w:lang w:eastAsia="zh-CN" w:bidi="ar"/>
                    </w:rPr>
                    <w:t>350</w:t>
                  </w:r>
                </w:p>
              </w:tc>
              <w:tc>
                <w:tcPr>
                  <w:tcW w:w="874" w:type="pct"/>
                  <w:tcBorders>
                    <w:tl2br w:val="nil"/>
                    <w:tr2bl w:val="nil"/>
                  </w:tcBorders>
                  <w:vAlign w:val="center"/>
                </w:tcPr>
                <w:p>
                  <w:pPr>
                    <w:widowControl/>
                    <w:jc w:val="center"/>
                    <w:textAlignment w:val="center"/>
                    <w:rPr>
                      <w:rFonts w:ascii="Times New Roman" w:hAnsi="Times New Roman" w:eastAsia="宋体" w:cs="Times New Roman"/>
                      <w:color w:val="000000"/>
                      <w:sz w:val="21"/>
                      <w:szCs w:val="21"/>
                      <w:lang w:eastAsia="zh-CN" w:bidi="ar"/>
                    </w:rPr>
                  </w:pPr>
                  <w:r>
                    <w:rPr>
                      <w:rFonts w:ascii="Times New Roman" w:hAnsi="Times New Roman" w:cs="Times New Roman"/>
                      <w:color w:val="000000"/>
                      <w:lang w:eastAsia="zh-CN"/>
                    </w:rPr>
                    <w:t>0.032</w:t>
                  </w:r>
                </w:p>
              </w:tc>
              <w:tc>
                <w:tcPr>
                  <w:tcW w:w="666" w:type="pct"/>
                  <w:tcBorders>
                    <w:tl2br w:val="nil"/>
                    <w:tr2bl w:val="nil"/>
                  </w:tcBorders>
                  <w:vAlign w:val="center"/>
                </w:tcPr>
                <w:p>
                  <w:pPr>
                    <w:widowControl/>
                    <w:jc w:val="center"/>
                    <w:textAlignment w:val="center"/>
                    <w:rPr>
                      <w:rFonts w:ascii="Times New Roman" w:hAnsi="Times New Roman" w:eastAsia="宋体" w:cs="Times New Roman"/>
                      <w:color w:val="000000"/>
                      <w:sz w:val="21"/>
                      <w:szCs w:val="21"/>
                      <w:lang w:eastAsia="zh-CN" w:bidi="ar"/>
                    </w:rPr>
                  </w:pPr>
                  <w:r>
                    <w:rPr>
                      <w:rFonts w:hint="eastAsia" w:ascii="Times New Roman" w:hAnsi="Times New Roman" w:eastAsia="宋体" w:cs="Times New Roman"/>
                      <w:color w:val="000000"/>
                      <w:sz w:val="21"/>
                      <w:szCs w:val="21"/>
                      <w:lang w:eastAsia="zh-CN" w:bidi="ar"/>
                    </w:rPr>
                    <w:t>50</w:t>
                  </w:r>
                </w:p>
              </w:tc>
              <w:tc>
                <w:tcPr>
                  <w:tcW w:w="598" w:type="pct"/>
                  <w:tcBorders>
                    <w:tl2br w:val="nil"/>
                    <w:tr2bl w:val="nil"/>
                  </w:tcBorders>
                  <w:vAlign w:val="center"/>
                </w:tcPr>
                <w:p>
                  <w:pPr>
                    <w:widowControl/>
                    <w:jc w:val="center"/>
                    <w:textAlignment w:val="center"/>
                    <w:rPr>
                      <w:rFonts w:ascii="Times New Roman" w:hAnsi="Times New Roman" w:eastAsia="宋体" w:cs="Times New Roman"/>
                      <w:color w:val="000000"/>
                      <w:sz w:val="21"/>
                      <w:szCs w:val="21"/>
                      <w:lang w:eastAsia="zh-CN" w:bidi="ar"/>
                    </w:rPr>
                  </w:pPr>
                  <w:r>
                    <w:rPr>
                      <w:rFonts w:ascii="Times New Roman" w:hAnsi="Times New Roman" w:cs="Times New Roman"/>
                      <w:color w:val="000000"/>
                      <w:lang w:eastAsia="zh-CN"/>
                    </w:rPr>
                    <w:t>0.005</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397" w:hRule="atLeast"/>
                <w:jc w:val="center"/>
              </w:trPr>
              <w:tc>
                <w:tcPr>
                  <w:tcW w:w="485" w:type="pct"/>
                  <w:vMerge w:val="continue"/>
                  <w:tcBorders>
                    <w:tl2br w:val="nil"/>
                    <w:tr2bl w:val="nil"/>
                  </w:tcBorders>
                  <w:vAlign w:val="center"/>
                </w:tcPr>
                <w:p>
                  <w:pPr>
                    <w:jc w:val="center"/>
                    <w:rPr>
                      <w:rFonts w:hint="eastAsia" w:ascii="宋体" w:hAnsi="宋体" w:eastAsia="宋体" w:cs="宋体"/>
                      <w:color w:val="000000"/>
                      <w:kern w:val="2"/>
                      <w:sz w:val="21"/>
                      <w:szCs w:val="21"/>
                      <w:lang w:eastAsia="zh-CN"/>
                    </w:rPr>
                  </w:pPr>
                </w:p>
              </w:tc>
              <w:tc>
                <w:tcPr>
                  <w:tcW w:w="483" w:type="pct"/>
                  <w:tcBorders>
                    <w:tl2br w:val="nil"/>
                    <w:tr2bl w:val="nil"/>
                  </w:tcBorders>
                  <w:vAlign w:val="center"/>
                </w:tcPr>
                <w:p>
                  <w:pPr>
                    <w:widowControl/>
                    <w:jc w:val="center"/>
                    <w:textAlignment w:val="center"/>
                    <w:rPr>
                      <w:rFonts w:ascii="Times New Roman" w:hAnsi="Times New Roman" w:eastAsia="宋体" w:cs="Times New Roman"/>
                      <w:color w:val="000000"/>
                      <w:sz w:val="21"/>
                      <w:szCs w:val="21"/>
                      <w:lang w:eastAsia="zh-CN" w:bidi="ar"/>
                    </w:rPr>
                  </w:pPr>
                  <w:r>
                    <w:rPr>
                      <w:rFonts w:hint="eastAsia" w:ascii="Times New Roman" w:hAnsi="Times New Roman" w:eastAsia="宋体" w:cs="Times New Roman"/>
                      <w:color w:val="000000"/>
                      <w:sz w:val="21"/>
                      <w:szCs w:val="21"/>
                      <w:lang w:eastAsia="zh-CN" w:bidi="ar"/>
                    </w:rPr>
                    <w:t>SS</w:t>
                  </w:r>
                </w:p>
              </w:tc>
              <w:tc>
                <w:tcPr>
                  <w:tcW w:w="641" w:type="pct"/>
                  <w:tcBorders>
                    <w:tl2br w:val="nil"/>
                    <w:tr2bl w:val="nil"/>
                  </w:tcBorders>
                  <w:vAlign w:val="center"/>
                </w:tcPr>
                <w:p>
                  <w:pPr>
                    <w:widowControl/>
                    <w:jc w:val="center"/>
                    <w:textAlignment w:val="center"/>
                    <w:rPr>
                      <w:rFonts w:ascii="Times New Roman" w:hAnsi="Times New Roman" w:eastAsia="宋体" w:cs="Times New Roman"/>
                      <w:color w:val="000000"/>
                      <w:sz w:val="21"/>
                      <w:szCs w:val="21"/>
                      <w:lang w:eastAsia="zh-CN" w:bidi="ar"/>
                    </w:rPr>
                  </w:pPr>
                  <w:r>
                    <w:rPr>
                      <w:rFonts w:hint="eastAsia" w:ascii="Times New Roman" w:hAnsi="Times New Roman" w:eastAsia="宋体" w:cs="Times New Roman"/>
                      <w:color w:val="000000"/>
                      <w:sz w:val="21"/>
                      <w:szCs w:val="21"/>
                      <w:lang w:eastAsia="zh-CN" w:bidi="ar"/>
                    </w:rPr>
                    <w:t>300</w:t>
                  </w:r>
                </w:p>
              </w:tc>
              <w:tc>
                <w:tcPr>
                  <w:tcW w:w="578" w:type="pct"/>
                  <w:tcBorders>
                    <w:tl2br w:val="nil"/>
                    <w:tr2bl w:val="nil"/>
                  </w:tcBorders>
                  <w:vAlign w:val="center"/>
                </w:tcPr>
                <w:p>
                  <w:pPr>
                    <w:widowControl/>
                    <w:jc w:val="center"/>
                    <w:textAlignment w:val="center"/>
                    <w:rPr>
                      <w:rFonts w:ascii="Times New Roman" w:hAnsi="Times New Roman" w:eastAsia="宋体" w:cs="Times New Roman"/>
                      <w:color w:val="000000"/>
                      <w:sz w:val="21"/>
                      <w:szCs w:val="21"/>
                      <w:lang w:eastAsia="zh-CN" w:bidi="ar"/>
                    </w:rPr>
                  </w:pPr>
                  <w:r>
                    <w:rPr>
                      <w:rFonts w:ascii="Times New Roman" w:hAnsi="Times New Roman" w:cs="Times New Roman"/>
                      <w:color w:val="000000"/>
                      <w:lang w:eastAsia="zh-CN"/>
                    </w:rPr>
                    <w:t>0.027</w:t>
                  </w:r>
                </w:p>
              </w:tc>
              <w:tc>
                <w:tcPr>
                  <w:tcW w:w="675" w:type="pct"/>
                  <w:tcBorders>
                    <w:tl2br w:val="nil"/>
                    <w:tr2bl w:val="nil"/>
                  </w:tcBorders>
                  <w:vAlign w:val="center"/>
                </w:tcPr>
                <w:p>
                  <w:pPr>
                    <w:widowControl/>
                    <w:jc w:val="center"/>
                    <w:textAlignment w:val="center"/>
                    <w:rPr>
                      <w:rFonts w:ascii="Times New Roman" w:hAnsi="Times New Roman" w:eastAsia="宋体" w:cs="Times New Roman"/>
                      <w:color w:val="000000"/>
                      <w:sz w:val="21"/>
                      <w:szCs w:val="21"/>
                      <w:lang w:eastAsia="zh-CN" w:bidi="ar"/>
                    </w:rPr>
                  </w:pPr>
                  <w:r>
                    <w:rPr>
                      <w:rFonts w:hint="eastAsia" w:ascii="Times New Roman" w:hAnsi="Times New Roman" w:eastAsia="宋体" w:cs="Times New Roman"/>
                      <w:color w:val="000000"/>
                      <w:sz w:val="21"/>
                      <w:szCs w:val="21"/>
                      <w:lang w:eastAsia="zh-CN" w:bidi="ar"/>
                    </w:rPr>
                    <w:t>150</w:t>
                  </w:r>
                </w:p>
              </w:tc>
              <w:tc>
                <w:tcPr>
                  <w:tcW w:w="874" w:type="pct"/>
                  <w:tcBorders>
                    <w:tl2br w:val="nil"/>
                    <w:tr2bl w:val="nil"/>
                  </w:tcBorders>
                  <w:vAlign w:val="center"/>
                </w:tcPr>
                <w:p>
                  <w:pPr>
                    <w:widowControl/>
                    <w:jc w:val="center"/>
                    <w:textAlignment w:val="center"/>
                    <w:rPr>
                      <w:rFonts w:ascii="Times New Roman" w:hAnsi="Times New Roman" w:eastAsia="宋体" w:cs="Times New Roman"/>
                      <w:color w:val="000000"/>
                      <w:sz w:val="21"/>
                      <w:szCs w:val="21"/>
                      <w:lang w:eastAsia="zh-CN" w:bidi="ar"/>
                    </w:rPr>
                  </w:pPr>
                  <w:r>
                    <w:rPr>
                      <w:rFonts w:ascii="Times New Roman" w:hAnsi="Times New Roman" w:cs="Times New Roman"/>
                      <w:color w:val="000000"/>
                      <w:lang w:eastAsia="zh-CN"/>
                    </w:rPr>
                    <w:t>0.014</w:t>
                  </w:r>
                </w:p>
              </w:tc>
              <w:tc>
                <w:tcPr>
                  <w:tcW w:w="666" w:type="pct"/>
                  <w:tcBorders>
                    <w:tl2br w:val="nil"/>
                    <w:tr2bl w:val="nil"/>
                  </w:tcBorders>
                  <w:vAlign w:val="center"/>
                </w:tcPr>
                <w:p>
                  <w:pPr>
                    <w:widowControl/>
                    <w:jc w:val="center"/>
                    <w:textAlignment w:val="center"/>
                    <w:rPr>
                      <w:rFonts w:ascii="Times New Roman" w:hAnsi="Times New Roman" w:eastAsia="宋体" w:cs="Times New Roman"/>
                      <w:color w:val="000000"/>
                      <w:sz w:val="21"/>
                      <w:szCs w:val="21"/>
                      <w:lang w:eastAsia="zh-CN" w:bidi="ar"/>
                    </w:rPr>
                  </w:pPr>
                  <w:r>
                    <w:rPr>
                      <w:rFonts w:hint="eastAsia" w:ascii="Times New Roman" w:hAnsi="Times New Roman" w:eastAsia="宋体" w:cs="Times New Roman"/>
                      <w:color w:val="000000"/>
                      <w:sz w:val="21"/>
                      <w:szCs w:val="21"/>
                      <w:lang w:eastAsia="zh-CN" w:bidi="ar"/>
                    </w:rPr>
                    <w:t>10</w:t>
                  </w:r>
                </w:p>
              </w:tc>
              <w:tc>
                <w:tcPr>
                  <w:tcW w:w="598" w:type="pct"/>
                  <w:tcBorders>
                    <w:tl2br w:val="nil"/>
                    <w:tr2bl w:val="nil"/>
                  </w:tcBorders>
                  <w:vAlign w:val="center"/>
                </w:tcPr>
                <w:p>
                  <w:pPr>
                    <w:widowControl/>
                    <w:jc w:val="center"/>
                    <w:textAlignment w:val="center"/>
                    <w:rPr>
                      <w:rFonts w:ascii="Times New Roman" w:hAnsi="Times New Roman" w:eastAsia="宋体" w:cs="Times New Roman"/>
                      <w:color w:val="000000"/>
                      <w:sz w:val="21"/>
                      <w:szCs w:val="21"/>
                      <w:lang w:eastAsia="zh-CN" w:bidi="ar"/>
                    </w:rPr>
                  </w:pPr>
                  <w:r>
                    <w:rPr>
                      <w:rFonts w:ascii="Times New Roman" w:hAnsi="Times New Roman" w:cs="Times New Roman"/>
                      <w:color w:val="000000"/>
                      <w:lang w:eastAsia="zh-CN"/>
                    </w:rPr>
                    <w:t>0.001</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397" w:hRule="atLeast"/>
                <w:jc w:val="center"/>
              </w:trPr>
              <w:tc>
                <w:tcPr>
                  <w:tcW w:w="485" w:type="pct"/>
                  <w:vMerge w:val="continue"/>
                  <w:tcBorders>
                    <w:tl2br w:val="nil"/>
                    <w:tr2bl w:val="nil"/>
                  </w:tcBorders>
                  <w:vAlign w:val="center"/>
                </w:tcPr>
                <w:p>
                  <w:pPr>
                    <w:jc w:val="center"/>
                    <w:rPr>
                      <w:rFonts w:hint="eastAsia" w:ascii="宋体" w:hAnsi="宋体" w:eastAsia="宋体" w:cs="宋体"/>
                      <w:color w:val="000000"/>
                      <w:kern w:val="2"/>
                      <w:sz w:val="21"/>
                      <w:szCs w:val="21"/>
                      <w:lang w:eastAsia="zh-CN"/>
                    </w:rPr>
                  </w:pPr>
                </w:p>
              </w:tc>
              <w:tc>
                <w:tcPr>
                  <w:tcW w:w="483" w:type="pct"/>
                  <w:tcBorders>
                    <w:tl2br w:val="nil"/>
                    <w:tr2bl w:val="nil"/>
                  </w:tcBorders>
                  <w:vAlign w:val="center"/>
                </w:tcPr>
                <w:p>
                  <w:pPr>
                    <w:widowControl/>
                    <w:jc w:val="center"/>
                    <w:textAlignment w:val="center"/>
                    <w:rPr>
                      <w:rFonts w:ascii="Times New Roman" w:hAnsi="Times New Roman" w:eastAsia="宋体" w:cs="Times New Roman"/>
                      <w:color w:val="000000"/>
                      <w:sz w:val="21"/>
                      <w:szCs w:val="21"/>
                      <w:lang w:eastAsia="zh-CN" w:bidi="ar"/>
                    </w:rPr>
                  </w:pPr>
                  <w:r>
                    <w:rPr>
                      <w:rFonts w:hint="eastAsia" w:ascii="Times New Roman" w:hAnsi="Times New Roman" w:eastAsia="宋体" w:cs="Times New Roman"/>
                      <w:color w:val="000000"/>
                      <w:sz w:val="21"/>
                      <w:szCs w:val="21"/>
                      <w:lang w:eastAsia="zh-CN" w:bidi="ar"/>
                    </w:rPr>
                    <w:t>石油类</w:t>
                  </w:r>
                </w:p>
              </w:tc>
              <w:tc>
                <w:tcPr>
                  <w:tcW w:w="641" w:type="pct"/>
                  <w:tcBorders>
                    <w:tl2br w:val="nil"/>
                    <w:tr2bl w:val="nil"/>
                  </w:tcBorders>
                  <w:vAlign w:val="center"/>
                </w:tcPr>
                <w:p>
                  <w:pPr>
                    <w:widowControl/>
                    <w:jc w:val="center"/>
                    <w:textAlignment w:val="center"/>
                    <w:rPr>
                      <w:rFonts w:ascii="Times New Roman" w:hAnsi="Times New Roman" w:eastAsia="宋体" w:cs="Times New Roman"/>
                      <w:color w:val="000000"/>
                      <w:sz w:val="21"/>
                      <w:szCs w:val="21"/>
                      <w:lang w:eastAsia="zh-CN" w:bidi="ar"/>
                    </w:rPr>
                  </w:pPr>
                  <w:r>
                    <w:rPr>
                      <w:rFonts w:hint="eastAsia" w:ascii="Times New Roman" w:hAnsi="Times New Roman" w:eastAsia="宋体" w:cs="Times New Roman"/>
                      <w:color w:val="000000"/>
                      <w:sz w:val="21"/>
                      <w:szCs w:val="21"/>
                      <w:lang w:eastAsia="zh-CN" w:bidi="ar"/>
                    </w:rPr>
                    <w:t>35</w:t>
                  </w:r>
                </w:p>
              </w:tc>
              <w:tc>
                <w:tcPr>
                  <w:tcW w:w="578" w:type="pct"/>
                  <w:tcBorders>
                    <w:tl2br w:val="nil"/>
                    <w:tr2bl w:val="nil"/>
                  </w:tcBorders>
                  <w:vAlign w:val="center"/>
                </w:tcPr>
                <w:p>
                  <w:pPr>
                    <w:widowControl/>
                    <w:jc w:val="center"/>
                    <w:textAlignment w:val="center"/>
                    <w:rPr>
                      <w:rFonts w:ascii="Times New Roman" w:hAnsi="Times New Roman" w:eastAsia="宋体" w:cs="Times New Roman"/>
                      <w:color w:val="000000"/>
                      <w:sz w:val="21"/>
                      <w:szCs w:val="21"/>
                      <w:lang w:eastAsia="zh-CN" w:bidi="ar"/>
                    </w:rPr>
                  </w:pPr>
                  <w:r>
                    <w:rPr>
                      <w:rFonts w:ascii="Times New Roman" w:hAnsi="Times New Roman" w:cs="Times New Roman"/>
                      <w:color w:val="000000"/>
                      <w:lang w:eastAsia="zh-CN"/>
                    </w:rPr>
                    <w:t>0.003</w:t>
                  </w:r>
                </w:p>
              </w:tc>
              <w:tc>
                <w:tcPr>
                  <w:tcW w:w="675" w:type="pct"/>
                  <w:tcBorders>
                    <w:tl2br w:val="nil"/>
                    <w:tr2bl w:val="nil"/>
                  </w:tcBorders>
                  <w:vAlign w:val="center"/>
                </w:tcPr>
                <w:p>
                  <w:pPr>
                    <w:widowControl/>
                    <w:jc w:val="center"/>
                    <w:textAlignment w:val="center"/>
                    <w:rPr>
                      <w:rFonts w:ascii="Times New Roman" w:hAnsi="Times New Roman" w:eastAsia="宋体" w:cs="Times New Roman"/>
                      <w:color w:val="000000"/>
                      <w:sz w:val="21"/>
                      <w:szCs w:val="21"/>
                      <w:lang w:eastAsia="zh-CN" w:bidi="ar"/>
                    </w:rPr>
                  </w:pPr>
                  <w:r>
                    <w:rPr>
                      <w:rFonts w:hint="eastAsia" w:ascii="Times New Roman" w:hAnsi="Times New Roman" w:eastAsia="宋体" w:cs="Times New Roman"/>
                      <w:color w:val="000000"/>
                      <w:sz w:val="21"/>
                      <w:szCs w:val="21"/>
                      <w:lang w:eastAsia="zh-CN" w:bidi="ar"/>
                    </w:rPr>
                    <w:t>17.5</w:t>
                  </w:r>
                </w:p>
              </w:tc>
              <w:tc>
                <w:tcPr>
                  <w:tcW w:w="874" w:type="pct"/>
                  <w:tcBorders>
                    <w:tl2br w:val="nil"/>
                    <w:tr2bl w:val="nil"/>
                  </w:tcBorders>
                  <w:vAlign w:val="center"/>
                </w:tcPr>
                <w:p>
                  <w:pPr>
                    <w:widowControl/>
                    <w:jc w:val="center"/>
                    <w:textAlignment w:val="center"/>
                    <w:rPr>
                      <w:rFonts w:ascii="Times New Roman" w:hAnsi="Times New Roman" w:eastAsia="宋体" w:cs="Times New Roman"/>
                      <w:color w:val="000000"/>
                      <w:sz w:val="21"/>
                      <w:szCs w:val="21"/>
                      <w:lang w:eastAsia="zh-CN" w:bidi="ar"/>
                    </w:rPr>
                  </w:pPr>
                  <w:r>
                    <w:rPr>
                      <w:rFonts w:ascii="Times New Roman" w:hAnsi="Times New Roman" w:cs="Times New Roman"/>
                      <w:color w:val="000000"/>
                      <w:lang w:eastAsia="zh-CN"/>
                    </w:rPr>
                    <w:t>0.002</w:t>
                  </w:r>
                </w:p>
              </w:tc>
              <w:tc>
                <w:tcPr>
                  <w:tcW w:w="666" w:type="pct"/>
                  <w:tcBorders>
                    <w:tl2br w:val="nil"/>
                    <w:tr2bl w:val="nil"/>
                  </w:tcBorders>
                  <w:vAlign w:val="center"/>
                </w:tcPr>
                <w:p>
                  <w:pPr>
                    <w:widowControl/>
                    <w:jc w:val="center"/>
                    <w:textAlignment w:val="center"/>
                    <w:rPr>
                      <w:rFonts w:ascii="Times New Roman" w:hAnsi="Times New Roman" w:eastAsia="宋体" w:cs="Times New Roman"/>
                      <w:color w:val="000000"/>
                      <w:sz w:val="21"/>
                      <w:szCs w:val="21"/>
                      <w:lang w:eastAsia="zh-CN" w:bidi="ar"/>
                    </w:rPr>
                  </w:pPr>
                </w:p>
              </w:tc>
              <w:tc>
                <w:tcPr>
                  <w:tcW w:w="598" w:type="pct"/>
                  <w:tcBorders>
                    <w:tl2br w:val="nil"/>
                    <w:tr2bl w:val="nil"/>
                  </w:tcBorders>
                  <w:vAlign w:val="center"/>
                </w:tcPr>
                <w:p>
                  <w:pPr>
                    <w:widowControl/>
                    <w:jc w:val="center"/>
                    <w:textAlignment w:val="center"/>
                    <w:rPr>
                      <w:rFonts w:ascii="Times New Roman" w:hAnsi="Times New Roman" w:cs="Times New Roman" w:eastAsiaTheme="minorEastAsia"/>
                      <w:color w:val="000000"/>
                      <w:sz w:val="21"/>
                      <w:szCs w:val="21"/>
                      <w:lang w:eastAsia="zh-CN" w:bidi="ar"/>
                    </w:rPr>
                  </w:pPr>
                  <w:r>
                    <w:rPr>
                      <w:rFonts w:ascii="Times New Roman" w:hAnsi="Times New Roman" w:cs="Times New Roman"/>
                      <w:color w:val="000000"/>
                      <w:lang w:eastAsia="zh-CN"/>
                    </w:rPr>
                    <w:t>0.00</w:t>
                  </w:r>
                  <w:r>
                    <w:rPr>
                      <w:rFonts w:hint="eastAsia" w:ascii="Times New Roman" w:hAnsi="Times New Roman" w:cs="Times New Roman" w:eastAsiaTheme="minorEastAsia"/>
                      <w:color w:val="000000"/>
                      <w:lang w:eastAsia="zh-CN"/>
                    </w:rPr>
                    <w:t>01</w:t>
                  </w:r>
                </w:p>
              </w:tc>
            </w:tr>
          </w:tbl>
          <w:p>
            <w:pPr>
              <w:spacing w:before="120" w:beforeLines="50"/>
              <w:jc w:val="center"/>
              <w:rPr>
                <w:rFonts w:ascii="Times New Roman" w:hAnsi="Times New Roman" w:eastAsia="宋体" w:cs="宋体"/>
                <w:b/>
                <w:color w:val="000000"/>
                <w:spacing w:val="6"/>
                <w:kern w:val="2"/>
                <w:sz w:val="24"/>
                <w:szCs w:val="20"/>
                <w:lang w:eastAsia="zh-CN"/>
              </w:rPr>
            </w:pPr>
            <w:r>
              <w:rPr>
                <w:rFonts w:ascii="Times New Roman" w:hAnsi="Times New Roman" w:eastAsia="宋体" w:cs="宋体"/>
                <w:b/>
                <w:color w:val="000000"/>
                <w:spacing w:val="6"/>
                <w:kern w:val="2"/>
                <w:sz w:val="24"/>
                <w:szCs w:val="20"/>
                <w:lang w:eastAsia="zh-CN"/>
              </w:rPr>
              <w:t>表</w:t>
            </w:r>
            <w:r>
              <w:rPr>
                <w:rFonts w:hint="eastAsia" w:ascii="Times New Roman" w:hAnsi="Times New Roman" w:eastAsia="宋体" w:cs="宋体"/>
                <w:b/>
                <w:color w:val="000000"/>
                <w:spacing w:val="6"/>
                <w:kern w:val="2"/>
                <w:sz w:val="24"/>
                <w:szCs w:val="20"/>
                <w:lang w:eastAsia="zh-CN"/>
              </w:rPr>
              <w:t>4.2-11</w:t>
            </w:r>
            <w:r>
              <w:rPr>
                <w:rFonts w:ascii="Times New Roman" w:hAnsi="Times New Roman" w:eastAsia="宋体" w:cs="宋体"/>
                <w:b/>
                <w:color w:val="000000"/>
                <w:spacing w:val="6"/>
                <w:kern w:val="2"/>
                <w:sz w:val="24"/>
                <w:szCs w:val="20"/>
                <w:lang w:eastAsia="zh-CN"/>
              </w:rPr>
              <w:t xml:space="preserve">  项目废水治理设施基本情况一览表</w:t>
            </w:r>
          </w:p>
          <w:tbl>
            <w:tblPr>
              <w:tblStyle w:val="1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83"/>
              <w:gridCol w:w="500"/>
              <w:gridCol w:w="930"/>
              <w:gridCol w:w="728"/>
              <w:gridCol w:w="768"/>
              <w:gridCol w:w="1563"/>
              <w:gridCol w:w="754"/>
              <w:gridCol w:w="1105"/>
              <w:gridCol w:w="997"/>
              <w:gridCol w:w="71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jc w:val="center"/>
              </w:trPr>
              <w:tc>
                <w:tcPr>
                  <w:tcW w:w="780" w:type="dxa"/>
                  <w:vMerge w:val="restart"/>
                  <w:noWrap/>
                  <w:vAlign w:val="center"/>
                </w:tcPr>
                <w:p>
                  <w:pPr>
                    <w:widowControl/>
                    <w:jc w:val="center"/>
                    <w:rPr>
                      <w:rFonts w:ascii="Times New Roman" w:hAnsi="Times New Roman" w:eastAsia="宋体" w:cs="Times New Roman"/>
                      <w:color w:val="000000"/>
                      <w:sz w:val="21"/>
                      <w:szCs w:val="21"/>
                      <w:lang w:eastAsia="zh-CN"/>
                    </w:rPr>
                  </w:pPr>
                  <w:r>
                    <w:rPr>
                      <w:rFonts w:ascii="Times New Roman" w:hAnsi="Times New Roman" w:eastAsia="宋体" w:cs="Times New Roman"/>
                      <w:color w:val="000000"/>
                      <w:sz w:val="21"/>
                      <w:szCs w:val="21"/>
                      <w:lang w:eastAsia="zh-CN"/>
                    </w:rPr>
                    <w:t>产排污环节</w:t>
                  </w:r>
                </w:p>
              </w:tc>
              <w:tc>
                <w:tcPr>
                  <w:tcW w:w="498" w:type="dxa"/>
                  <w:vMerge w:val="restart"/>
                  <w:noWrap/>
                  <w:vAlign w:val="center"/>
                </w:tcPr>
                <w:p>
                  <w:pPr>
                    <w:widowControl/>
                    <w:jc w:val="center"/>
                    <w:rPr>
                      <w:rFonts w:ascii="Times New Roman" w:hAnsi="Times New Roman" w:eastAsia="宋体" w:cs="Times New Roman"/>
                      <w:color w:val="000000"/>
                      <w:sz w:val="21"/>
                      <w:szCs w:val="21"/>
                      <w:lang w:eastAsia="zh-CN"/>
                    </w:rPr>
                  </w:pPr>
                  <w:r>
                    <w:rPr>
                      <w:rFonts w:ascii="Times New Roman" w:hAnsi="Times New Roman" w:eastAsia="宋体" w:cs="Times New Roman"/>
                      <w:color w:val="000000"/>
                      <w:sz w:val="21"/>
                      <w:szCs w:val="21"/>
                      <w:lang w:eastAsia="zh-CN"/>
                    </w:rPr>
                    <w:t>类别</w:t>
                  </w:r>
                </w:p>
              </w:tc>
              <w:tc>
                <w:tcPr>
                  <w:tcW w:w="926" w:type="dxa"/>
                  <w:vMerge w:val="restart"/>
                  <w:noWrap/>
                  <w:vAlign w:val="center"/>
                </w:tcPr>
                <w:p>
                  <w:pPr>
                    <w:widowControl/>
                    <w:jc w:val="center"/>
                    <w:rPr>
                      <w:rFonts w:ascii="Times New Roman" w:hAnsi="Times New Roman" w:eastAsia="宋体" w:cs="Times New Roman"/>
                      <w:color w:val="000000"/>
                      <w:sz w:val="21"/>
                      <w:szCs w:val="21"/>
                      <w:lang w:eastAsia="zh-CN"/>
                    </w:rPr>
                  </w:pPr>
                  <w:r>
                    <w:rPr>
                      <w:rFonts w:ascii="Times New Roman" w:hAnsi="Times New Roman" w:eastAsia="宋体" w:cs="Times New Roman"/>
                      <w:color w:val="000000"/>
                      <w:sz w:val="21"/>
                      <w:szCs w:val="21"/>
                      <w:lang w:eastAsia="zh-CN"/>
                    </w:rPr>
                    <w:t>污染物种类</w:t>
                  </w:r>
                </w:p>
              </w:tc>
              <w:tc>
                <w:tcPr>
                  <w:tcW w:w="725" w:type="dxa"/>
                  <w:vMerge w:val="restart"/>
                  <w:noWrap/>
                  <w:vAlign w:val="center"/>
                </w:tcPr>
                <w:p>
                  <w:pPr>
                    <w:widowControl/>
                    <w:jc w:val="center"/>
                    <w:rPr>
                      <w:rFonts w:ascii="Times New Roman" w:hAnsi="Times New Roman" w:eastAsia="宋体" w:cs="Times New Roman"/>
                      <w:color w:val="000000"/>
                      <w:sz w:val="21"/>
                      <w:szCs w:val="21"/>
                      <w:lang w:eastAsia="zh-CN"/>
                    </w:rPr>
                  </w:pPr>
                  <w:r>
                    <w:rPr>
                      <w:rFonts w:ascii="Times New Roman" w:hAnsi="Times New Roman" w:eastAsia="宋体" w:cs="Times New Roman"/>
                      <w:color w:val="000000"/>
                      <w:sz w:val="21"/>
                      <w:szCs w:val="21"/>
                      <w:lang w:eastAsia="zh-CN"/>
                    </w:rPr>
                    <w:t>排放方式</w:t>
                  </w:r>
                </w:p>
              </w:tc>
              <w:tc>
                <w:tcPr>
                  <w:tcW w:w="765" w:type="dxa"/>
                  <w:vMerge w:val="restart"/>
                  <w:noWrap/>
                  <w:vAlign w:val="center"/>
                </w:tcPr>
                <w:p>
                  <w:pPr>
                    <w:widowControl/>
                    <w:jc w:val="center"/>
                    <w:rPr>
                      <w:rFonts w:ascii="Times New Roman" w:hAnsi="Times New Roman" w:eastAsia="宋体" w:cs="Times New Roman"/>
                      <w:color w:val="000000"/>
                      <w:sz w:val="21"/>
                      <w:szCs w:val="21"/>
                      <w:lang w:eastAsia="zh-CN"/>
                    </w:rPr>
                  </w:pPr>
                  <w:r>
                    <w:rPr>
                      <w:rFonts w:ascii="Times New Roman" w:hAnsi="Times New Roman" w:eastAsia="宋体" w:cs="Times New Roman"/>
                      <w:color w:val="000000"/>
                      <w:sz w:val="21"/>
                      <w:szCs w:val="21"/>
                      <w:lang w:eastAsia="zh-CN"/>
                    </w:rPr>
                    <w:t>排放去向</w:t>
                  </w:r>
                </w:p>
              </w:tc>
              <w:tc>
                <w:tcPr>
                  <w:tcW w:w="1556" w:type="dxa"/>
                  <w:vMerge w:val="restart"/>
                  <w:noWrap/>
                  <w:vAlign w:val="center"/>
                </w:tcPr>
                <w:p>
                  <w:pPr>
                    <w:widowControl/>
                    <w:jc w:val="center"/>
                    <w:rPr>
                      <w:rFonts w:ascii="Times New Roman" w:hAnsi="Times New Roman" w:eastAsia="宋体" w:cs="Times New Roman"/>
                      <w:color w:val="000000"/>
                      <w:sz w:val="21"/>
                      <w:szCs w:val="21"/>
                      <w:lang w:eastAsia="zh-CN"/>
                    </w:rPr>
                  </w:pPr>
                  <w:r>
                    <w:rPr>
                      <w:rFonts w:ascii="Times New Roman" w:hAnsi="Times New Roman" w:eastAsia="宋体" w:cs="Times New Roman"/>
                      <w:color w:val="000000"/>
                      <w:sz w:val="21"/>
                      <w:szCs w:val="21"/>
                      <w:lang w:eastAsia="zh-CN"/>
                    </w:rPr>
                    <w:t>排放规律</w:t>
                  </w:r>
                </w:p>
              </w:tc>
              <w:tc>
                <w:tcPr>
                  <w:tcW w:w="3557" w:type="dxa"/>
                  <w:gridSpan w:val="4"/>
                  <w:noWrap/>
                  <w:vAlign w:val="center"/>
                </w:tcPr>
                <w:p>
                  <w:pPr>
                    <w:widowControl/>
                    <w:jc w:val="center"/>
                    <w:rPr>
                      <w:rFonts w:ascii="Times New Roman" w:hAnsi="Times New Roman" w:eastAsia="宋体" w:cs="Times New Roman"/>
                      <w:color w:val="000000"/>
                      <w:sz w:val="21"/>
                      <w:szCs w:val="21"/>
                      <w:lang w:eastAsia="zh-CN"/>
                    </w:rPr>
                  </w:pPr>
                  <w:r>
                    <w:rPr>
                      <w:rFonts w:ascii="Times New Roman" w:hAnsi="Times New Roman" w:eastAsia="宋体" w:cs="Times New Roman"/>
                      <w:color w:val="000000"/>
                      <w:sz w:val="21"/>
                      <w:szCs w:val="21"/>
                      <w:lang w:eastAsia="zh-CN"/>
                    </w:rPr>
                    <w:t>治理设施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80" w:type="dxa"/>
                  <w:vMerge w:val="continue"/>
                  <w:vAlign w:val="center"/>
                </w:tcPr>
                <w:p>
                  <w:pPr>
                    <w:widowControl/>
                    <w:jc w:val="center"/>
                    <w:rPr>
                      <w:rFonts w:ascii="Times New Roman" w:hAnsi="Times New Roman" w:eastAsia="宋体" w:cs="Times New Roman"/>
                      <w:color w:val="000000"/>
                      <w:sz w:val="21"/>
                      <w:szCs w:val="21"/>
                      <w:lang w:eastAsia="zh-CN"/>
                    </w:rPr>
                  </w:pPr>
                </w:p>
              </w:tc>
              <w:tc>
                <w:tcPr>
                  <w:tcW w:w="498" w:type="dxa"/>
                  <w:vMerge w:val="continue"/>
                  <w:vAlign w:val="center"/>
                </w:tcPr>
                <w:p>
                  <w:pPr>
                    <w:widowControl/>
                    <w:jc w:val="center"/>
                    <w:rPr>
                      <w:rFonts w:ascii="Times New Roman" w:hAnsi="Times New Roman" w:eastAsia="宋体" w:cs="Times New Roman"/>
                      <w:color w:val="000000"/>
                      <w:sz w:val="21"/>
                      <w:szCs w:val="21"/>
                      <w:lang w:eastAsia="zh-CN"/>
                    </w:rPr>
                  </w:pPr>
                </w:p>
              </w:tc>
              <w:tc>
                <w:tcPr>
                  <w:tcW w:w="926" w:type="dxa"/>
                  <w:vMerge w:val="continue"/>
                  <w:vAlign w:val="center"/>
                </w:tcPr>
                <w:p>
                  <w:pPr>
                    <w:widowControl/>
                    <w:jc w:val="center"/>
                    <w:rPr>
                      <w:rFonts w:ascii="Times New Roman" w:hAnsi="Times New Roman" w:eastAsia="宋体" w:cs="Times New Roman"/>
                      <w:color w:val="000000"/>
                      <w:sz w:val="21"/>
                      <w:szCs w:val="21"/>
                      <w:lang w:eastAsia="zh-CN"/>
                    </w:rPr>
                  </w:pPr>
                </w:p>
              </w:tc>
              <w:tc>
                <w:tcPr>
                  <w:tcW w:w="725" w:type="dxa"/>
                  <w:vMerge w:val="continue"/>
                  <w:vAlign w:val="center"/>
                </w:tcPr>
                <w:p>
                  <w:pPr>
                    <w:widowControl/>
                    <w:jc w:val="center"/>
                    <w:rPr>
                      <w:rFonts w:ascii="Times New Roman" w:hAnsi="Times New Roman" w:eastAsia="宋体" w:cs="Times New Roman"/>
                      <w:color w:val="000000"/>
                      <w:sz w:val="21"/>
                      <w:szCs w:val="21"/>
                      <w:lang w:eastAsia="zh-CN"/>
                    </w:rPr>
                  </w:pPr>
                </w:p>
              </w:tc>
              <w:tc>
                <w:tcPr>
                  <w:tcW w:w="765" w:type="dxa"/>
                  <w:vMerge w:val="continue"/>
                  <w:vAlign w:val="center"/>
                </w:tcPr>
                <w:p>
                  <w:pPr>
                    <w:widowControl/>
                    <w:jc w:val="center"/>
                    <w:rPr>
                      <w:rFonts w:ascii="Times New Roman" w:hAnsi="Times New Roman" w:eastAsia="宋体" w:cs="Times New Roman"/>
                      <w:color w:val="000000"/>
                      <w:sz w:val="21"/>
                      <w:szCs w:val="21"/>
                      <w:lang w:eastAsia="zh-CN"/>
                    </w:rPr>
                  </w:pPr>
                </w:p>
              </w:tc>
              <w:tc>
                <w:tcPr>
                  <w:tcW w:w="1556" w:type="dxa"/>
                  <w:vMerge w:val="continue"/>
                  <w:vAlign w:val="center"/>
                </w:tcPr>
                <w:p>
                  <w:pPr>
                    <w:widowControl/>
                    <w:jc w:val="center"/>
                    <w:rPr>
                      <w:rFonts w:ascii="Times New Roman" w:hAnsi="Times New Roman" w:eastAsia="宋体" w:cs="Times New Roman"/>
                      <w:color w:val="000000"/>
                      <w:sz w:val="21"/>
                      <w:szCs w:val="21"/>
                      <w:lang w:eastAsia="zh-CN"/>
                    </w:rPr>
                  </w:pPr>
                </w:p>
              </w:tc>
              <w:tc>
                <w:tcPr>
                  <w:tcW w:w="751" w:type="dxa"/>
                  <w:noWrap/>
                  <w:vAlign w:val="center"/>
                </w:tcPr>
                <w:p>
                  <w:pPr>
                    <w:widowControl/>
                    <w:jc w:val="center"/>
                    <w:rPr>
                      <w:rFonts w:ascii="Times New Roman" w:hAnsi="Times New Roman" w:eastAsia="宋体" w:cs="Times New Roman"/>
                      <w:color w:val="000000"/>
                      <w:sz w:val="21"/>
                      <w:szCs w:val="21"/>
                      <w:lang w:eastAsia="zh-CN"/>
                    </w:rPr>
                  </w:pPr>
                  <w:r>
                    <w:rPr>
                      <w:rFonts w:ascii="Times New Roman" w:hAnsi="Times New Roman" w:eastAsia="宋体" w:cs="Times New Roman"/>
                      <w:color w:val="000000"/>
                      <w:sz w:val="21"/>
                      <w:szCs w:val="21"/>
                      <w:lang w:eastAsia="zh-CN"/>
                    </w:rPr>
                    <w:t>处理能力</w:t>
                  </w:r>
                </w:p>
              </w:tc>
              <w:tc>
                <w:tcPr>
                  <w:tcW w:w="1100" w:type="dxa"/>
                  <w:noWrap/>
                  <w:vAlign w:val="center"/>
                </w:tcPr>
                <w:p>
                  <w:pPr>
                    <w:widowControl/>
                    <w:jc w:val="center"/>
                    <w:rPr>
                      <w:rFonts w:ascii="Times New Roman" w:hAnsi="Times New Roman" w:eastAsia="宋体" w:cs="Times New Roman"/>
                      <w:color w:val="000000"/>
                      <w:sz w:val="21"/>
                      <w:szCs w:val="21"/>
                      <w:lang w:eastAsia="zh-CN"/>
                    </w:rPr>
                  </w:pPr>
                  <w:r>
                    <w:rPr>
                      <w:rFonts w:ascii="Times New Roman" w:hAnsi="Times New Roman" w:eastAsia="宋体" w:cs="Times New Roman"/>
                      <w:color w:val="000000"/>
                      <w:sz w:val="21"/>
                      <w:szCs w:val="21"/>
                      <w:lang w:eastAsia="zh-CN"/>
                    </w:rPr>
                    <w:t>治理工艺</w:t>
                  </w:r>
                </w:p>
              </w:tc>
              <w:tc>
                <w:tcPr>
                  <w:tcW w:w="993" w:type="dxa"/>
                  <w:noWrap/>
                  <w:vAlign w:val="center"/>
                </w:tcPr>
                <w:p>
                  <w:pPr>
                    <w:widowControl/>
                    <w:jc w:val="center"/>
                    <w:rPr>
                      <w:rFonts w:ascii="Times New Roman" w:hAnsi="Times New Roman" w:eastAsia="宋体" w:cs="Times New Roman"/>
                      <w:color w:val="000000"/>
                      <w:sz w:val="21"/>
                      <w:szCs w:val="21"/>
                      <w:lang w:eastAsia="zh-CN"/>
                    </w:rPr>
                  </w:pPr>
                  <w:r>
                    <w:rPr>
                      <w:rFonts w:ascii="Times New Roman" w:hAnsi="Times New Roman" w:eastAsia="宋体" w:cs="Times New Roman"/>
                      <w:color w:val="000000"/>
                      <w:sz w:val="21"/>
                      <w:szCs w:val="21"/>
                      <w:lang w:eastAsia="zh-CN"/>
                    </w:rPr>
                    <w:t>治理效率%</w:t>
                  </w:r>
                </w:p>
              </w:tc>
              <w:tc>
                <w:tcPr>
                  <w:tcW w:w="713" w:type="dxa"/>
                  <w:noWrap/>
                  <w:vAlign w:val="center"/>
                </w:tcPr>
                <w:p>
                  <w:pPr>
                    <w:widowControl/>
                    <w:jc w:val="center"/>
                    <w:rPr>
                      <w:rFonts w:ascii="Times New Roman" w:hAnsi="Times New Roman" w:eastAsia="宋体" w:cs="Times New Roman"/>
                      <w:color w:val="000000"/>
                      <w:sz w:val="21"/>
                      <w:szCs w:val="21"/>
                      <w:lang w:eastAsia="zh-CN"/>
                    </w:rPr>
                  </w:pPr>
                  <w:r>
                    <w:rPr>
                      <w:rFonts w:ascii="Times New Roman" w:hAnsi="Times New Roman" w:eastAsia="宋体" w:cs="Times New Roman"/>
                      <w:color w:val="000000"/>
                      <w:sz w:val="21"/>
                      <w:szCs w:val="21"/>
                      <w:lang w:eastAsia="zh-CN"/>
                    </w:rPr>
                    <w:t>可行技术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jc w:val="center"/>
              </w:trPr>
              <w:tc>
                <w:tcPr>
                  <w:tcW w:w="780" w:type="dxa"/>
                  <w:vMerge w:val="restart"/>
                  <w:noWrap/>
                  <w:vAlign w:val="center"/>
                </w:tcPr>
                <w:p>
                  <w:pPr>
                    <w:widowControl/>
                    <w:jc w:val="center"/>
                    <w:rPr>
                      <w:rFonts w:ascii="Times New Roman" w:hAnsi="Times New Roman" w:eastAsia="宋体" w:cs="Times New Roman"/>
                      <w:color w:val="000000"/>
                      <w:sz w:val="21"/>
                      <w:szCs w:val="21"/>
                      <w:lang w:eastAsia="zh-CN"/>
                    </w:rPr>
                  </w:pPr>
                  <w:r>
                    <w:rPr>
                      <w:rFonts w:ascii="Times New Roman" w:hAnsi="Times New Roman" w:eastAsia="宋体" w:cs="Times New Roman"/>
                      <w:color w:val="000000"/>
                      <w:sz w:val="21"/>
                      <w:szCs w:val="21"/>
                      <w:lang w:eastAsia="zh-CN"/>
                    </w:rPr>
                    <w:t>员工、司乘人员</w:t>
                  </w:r>
                </w:p>
              </w:tc>
              <w:tc>
                <w:tcPr>
                  <w:tcW w:w="498" w:type="dxa"/>
                  <w:vMerge w:val="restart"/>
                  <w:noWrap/>
                  <w:vAlign w:val="center"/>
                </w:tcPr>
                <w:p>
                  <w:pPr>
                    <w:widowControl/>
                    <w:jc w:val="center"/>
                    <w:rPr>
                      <w:rFonts w:ascii="Times New Roman" w:hAnsi="Times New Roman" w:eastAsia="宋体" w:cs="Times New Roman"/>
                      <w:color w:val="000000"/>
                      <w:sz w:val="21"/>
                      <w:szCs w:val="21"/>
                      <w:lang w:eastAsia="zh-CN"/>
                    </w:rPr>
                  </w:pPr>
                  <w:r>
                    <w:rPr>
                      <w:rFonts w:ascii="Times New Roman" w:hAnsi="Times New Roman" w:eastAsia="宋体" w:cs="Times New Roman"/>
                      <w:color w:val="000000"/>
                      <w:sz w:val="21"/>
                      <w:szCs w:val="21"/>
                      <w:lang w:eastAsia="zh-CN"/>
                    </w:rPr>
                    <w:t>生活污水</w:t>
                  </w:r>
                </w:p>
              </w:tc>
              <w:tc>
                <w:tcPr>
                  <w:tcW w:w="926" w:type="dxa"/>
                  <w:noWrap/>
                  <w:vAlign w:val="center"/>
                </w:tcPr>
                <w:p>
                  <w:pPr>
                    <w:widowControl/>
                    <w:jc w:val="center"/>
                    <w:rPr>
                      <w:rFonts w:ascii="Times New Roman" w:hAnsi="Times New Roman" w:eastAsia="宋体" w:cs="Times New Roman"/>
                      <w:color w:val="000000"/>
                      <w:sz w:val="21"/>
                      <w:szCs w:val="21"/>
                      <w:lang w:eastAsia="zh-CN"/>
                    </w:rPr>
                  </w:pPr>
                  <w:r>
                    <w:rPr>
                      <w:rFonts w:ascii="Times New Roman" w:hAnsi="Times New Roman" w:eastAsia="宋体" w:cs="Times New Roman"/>
                      <w:color w:val="000000"/>
                      <w:kern w:val="2"/>
                      <w:sz w:val="21"/>
                      <w:szCs w:val="21"/>
                      <w:lang w:eastAsia="zh-CN"/>
                    </w:rPr>
                    <w:t>COD</w:t>
                  </w:r>
                </w:p>
              </w:tc>
              <w:tc>
                <w:tcPr>
                  <w:tcW w:w="725" w:type="dxa"/>
                  <w:vMerge w:val="restart"/>
                  <w:noWrap/>
                  <w:vAlign w:val="center"/>
                </w:tcPr>
                <w:p>
                  <w:pPr>
                    <w:widowControl/>
                    <w:jc w:val="center"/>
                    <w:rPr>
                      <w:rFonts w:ascii="Times New Roman" w:hAnsi="Times New Roman" w:eastAsia="宋体" w:cs="Times New Roman"/>
                      <w:color w:val="000000"/>
                      <w:sz w:val="21"/>
                      <w:szCs w:val="21"/>
                      <w:lang w:eastAsia="zh-CN"/>
                    </w:rPr>
                  </w:pPr>
                  <w:r>
                    <w:rPr>
                      <w:rFonts w:ascii="Times New Roman" w:hAnsi="Times New Roman" w:eastAsia="宋体" w:cs="Times New Roman"/>
                      <w:color w:val="000000"/>
                      <w:sz w:val="21"/>
                      <w:szCs w:val="21"/>
                      <w:lang w:eastAsia="zh-CN"/>
                    </w:rPr>
                    <w:t>间接排放</w:t>
                  </w:r>
                </w:p>
              </w:tc>
              <w:tc>
                <w:tcPr>
                  <w:tcW w:w="765" w:type="dxa"/>
                  <w:vMerge w:val="restart"/>
                  <w:noWrap/>
                  <w:vAlign w:val="center"/>
                </w:tcPr>
                <w:p>
                  <w:pPr>
                    <w:widowControl/>
                    <w:jc w:val="center"/>
                    <w:rPr>
                      <w:rFonts w:ascii="Times New Roman" w:hAnsi="Times New Roman" w:eastAsia="宋体" w:cs="Times New Roman"/>
                      <w:color w:val="000000"/>
                      <w:sz w:val="21"/>
                      <w:szCs w:val="21"/>
                      <w:lang w:eastAsia="zh-CN"/>
                    </w:rPr>
                  </w:pPr>
                  <w:r>
                    <w:rPr>
                      <w:rFonts w:ascii="Times New Roman" w:hAnsi="Times New Roman" w:eastAsia="宋体" w:cs="Times New Roman"/>
                      <w:color w:val="000000"/>
                      <w:sz w:val="21"/>
                      <w:szCs w:val="21"/>
                      <w:lang w:eastAsia="zh-CN"/>
                    </w:rPr>
                    <w:t>福清融元污水处理厂</w:t>
                  </w:r>
                </w:p>
              </w:tc>
              <w:tc>
                <w:tcPr>
                  <w:tcW w:w="1556" w:type="dxa"/>
                  <w:vMerge w:val="restart"/>
                  <w:noWrap/>
                  <w:vAlign w:val="center"/>
                </w:tcPr>
                <w:p>
                  <w:pPr>
                    <w:widowControl/>
                    <w:jc w:val="center"/>
                    <w:rPr>
                      <w:rFonts w:ascii="Times New Roman" w:hAnsi="Times New Roman" w:eastAsia="宋体" w:cs="Times New Roman"/>
                      <w:color w:val="000000"/>
                      <w:sz w:val="21"/>
                      <w:szCs w:val="21"/>
                      <w:lang w:eastAsia="zh-CN"/>
                    </w:rPr>
                  </w:pPr>
                  <w:r>
                    <w:rPr>
                      <w:rFonts w:hint="eastAsia" w:ascii="Times New Roman" w:hAnsi="Times New Roman" w:eastAsia="宋体" w:cs="Times New Roman"/>
                      <w:color w:val="000000"/>
                      <w:sz w:val="21"/>
                      <w:szCs w:val="21"/>
                      <w:lang w:eastAsia="zh-CN"/>
                    </w:rPr>
                    <w:t>间接排放，排放期间流量不稳定且无规律，但不属于冲击排放</w:t>
                  </w:r>
                </w:p>
              </w:tc>
              <w:tc>
                <w:tcPr>
                  <w:tcW w:w="751" w:type="dxa"/>
                  <w:vMerge w:val="restart"/>
                  <w:noWrap/>
                  <w:vAlign w:val="center"/>
                </w:tcPr>
                <w:p>
                  <w:pPr>
                    <w:widowControl/>
                    <w:jc w:val="center"/>
                    <w:rPr>
                      <w:rFonts w:ascii="Times New Roman" w:hAnsi="Times New Roman" w:eastAsia="宋体" w:cs="Times New Roman"/>
                      <w:color w:val="000000"/>
                      <w:sz w:val="21"/>
                      <w:szCs w:val="21"/>
                      <w:lang w:eastAsia="zh-CN"/>
                    </w:rPr>
                  </w:pPr>
                  <w:r>
                    <w:rPr>
                      <w:rFonts w:hint="eastAsia" w:ascii="Times New Roman" w:hAnsi="Times New Roman" w:eastAsia="宋体" w:cs="Times New Roman"/>
                      <w:color w:val="000000"/>
                      <w:sz w:val="21"/>
                      <w:szCs w:val="21"/>
                      <w:lang w:eastAsia="zh-CN"/>
                    </w:rPr>
                    <w:t>5t</w:t>
                  </w:r>
                  <w:r>
                    <w:rPr>
                      <w:rFonts w:ascii="Times New Roman" w:hAnsi="Times New Roman" w:eastAsia="宋体" w:cs="Times New Roman"/>
                      <w:color w:val="000000"/>
                      <w:kern w:val="2"/>
                      <w:sz w:val="21"/>
                      <w:szCs w:val="21"/>
                      <w:lang w:eastAsia="zh-CN"/>
                    </w:rPr>
                    <w:t>/d</w:t>
                  </w:r>
                </w:p>
              </w:tc>
              <w:tc>
                <w:tcPr>
                  <w:tcW w:w="1100" w:type="dxa"/>
                  <w:vMerge w:val="restart"/>
                  <w:noWrap/>
                  <w:vAlign w:val="center"/>
                </w:tcPr>
                <w:p>
                  <w:pPr>
                    <w:widowControl/>
                    <w:jc w:val="center"/>
                    <w:rPr>
                      <w:rFonts w:ascii="Times New Roman" w:hAnsi="Times New Roman" w:eastAsia="宋体" w:cs="Times New Roman"/>
                      <w:color w:val="000000"/>
                      <w:sz w:val="21"/>
                      <w:szCs w:val="21"/>
                      <w:lang w:eastAsia="zh-CN"/>
                    </w:rPr>
                  </w:pPr>
                  <w:r>
                    <w:rPr>
                      <w:rFonts w:ascii="Times New Roman" w:hAnsi="Times New Roman" w:eastAsia="宋体" w:cs="Times New Roman"/>
                      <w:color w:val="000000"/>
                      <w:sz w:val="21"/>
                      <w:szCs w:val="21"/>
                      <w:lang w:eastAsia="zh-CN"/>
                    </w:rPr>
                    <w:t>化粪池</w:t>
                  </w:r>
                </w:p>
              </w:tc>
              <w:tc>
                <w:tcPr>
                  <w:tcW w:w="993" w:type="dxa"/>
                  <w:noWrap/>
                  <w:vAlign w:val="center"/>
                </w:tcPr>
                <w:p>
                  <w:pPr>
                    <w:widowControl/>
                    <w:jc w:val="center"/>
                    <w:rPr>
                      <w:rFonts w:ascii="Times New Roman" w:hAnsi="Times New Roman" w:eastAsia="宋体" w:cs="Times New Roman"/>
                      <w:color w:val="000000"/>
                      <w:sz w:val="21"/>
                      <w:szCs w:val="21"/>
                      <w:lang w:eastAsia="zh-CN"/>
                    </w:rPr>
                  </w:pPr>
                  <w:r>
                    <w:rPr>
                      <w:rFonts w:ascii="Times New Roman" w:hAnsi="Times New Roman" w:eastAsia="宋体" w:cs="Times New Roman"/>
                      <w:color w:val="000000"/>
                      <w:sz w:val="21"/>
                      <w:szCs w:val="21"/>
                      <w:lang w:eastAsia="zh-CN"/>
                    </w:rPr>
                    <w:t>19.3</w:t>
                  </w:r>
                </w:p>
              </w:tc>
              <w:tc>
                <w:tcPr>
                  <w:tcW w:w="713" w:type="dxa"/>
                  <w:vMerge w:val="restart"/>
                  <w:noWrap/>
                  <w:vAlign w:val="center"/>
                </w:tcPr>
                <w:p>
                  <w:pPr>
                    <w:widowControl/>
                    <w:jc w:val="center"/>
                    <w:rPr>
                      <w:rFonts w:ascii="Times New Roman" w:hAnsi="Times New Roman" w:eastAsia="宋体" w:cs="Times New Roman"/>
                      <w:color w:val="000000"/>
                      <w:sz w:val="21"/>
                      <w:szCs w:val="21"/>
                      <w:lang w:eastAsia="zh-CN"/>
                    </w:rPr>
                  </w:pPr>
                  <w:r>
                    <w:rPr>
                      <w:rFonts w:ascii="Times New Roman" w:hAnsi="Times New Roman" w:eastAsia="宋体" w:cs="Times New Roman"/>
                      <w:color w:val="000000"/>
                      <w:sz w:val="21"/>
                      <w:szCs w:val="21"/>
                      <w:lang w:eastAsia="zh-CN"/>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jc w:val="center"/>
              </w:trPr>
              <w:tc>
                <w:tcPr>
                  <w:tcW w:w="780" w:type="dxa"/>
                  <w:vMerge w:val="continue"/>
                  <w:noWrap/>
                  <w:vAlign w:val="center"/>
                </w:tcPr>
                <w:p>
                  <w:pPr>
                    <w:widowControl/>
                    <w:jc w:val="center"/>
                    <w:rPr>
                      <w:rFonts w:ascii="Times New Roman" w:hAnsi="Times New Roman" w:eastAsia="宋体" w:cs="Times New Roman"/>
                      <w:color w:val="000000"/>
                      <w:sz w:val="21"/>
                      <w:szCs w:val="21"/>
                      <w:lang w:eastAsia="zh-CN"/>
                    </w:rPr>
                  </w:pPr>
                </w:p>
              </w:tc>
              <w:tc>
                <w:tcPr>
                  <w:tcW w:w="498" w:type="dxa"/>
                  <w:vMerge w:val="continue"/>
                  <w:noWrap/>
                  <w:vAlign w:val="center"/>
                </w:tcPr>
                <w:p>
                  <w:pPr>
                    <w:widowControl/>
                    <w:jc w:val="center"/>
                    <w:rPr>
                      <w:rFonts w:ascii="Times New Roman" w:hAnsi="Times New Roman" w:eastAsia="宋体" w:cs="Times New Roman"/>
                      <w:color w:val="000000"/>
                      <w:sz w:val="21"/>
                      <w:szCs w:val="21"/>
                      <w:lang w:eastAsia="zh-CN"/>
                    </w:rPr>
                  </w:pPr>
                </w:p>
              </w:tc>
              <w:tc>
                <w:tcPr>
                  <w:tcW w:w="926" w:type="dxa"/>
                  <w:noWrap/>
                  <w:vAlign w:val="center"/>
                </w:tcPr>
                <w:p>
                  <w:pPr>
                    <w:widowControl/>
                    <w:jc w:val="center"/>
                    <w:rPr>
                      <w:rFonts w:ascii="Times New Roman" w:hAnsi="Times New Roman" w:eastAsia="宋体" w:cs="Times New Roman"/>
                      <w:color w:val="000000"/>
                      <w:sz w:val="21"/>
                      <w:szCs w:val="21"/>
                      <w:lang w:eastAsia="zh-CN"/>
                    </w:rPr>
                  </w:pPr>
                  <w:r>
                    <w:rPr>
                      <w:rFonts w:ascii="Times New Roman" w:hAnsi="Times New Roman" w:eastAsia="宋体" w:cs="Times New Roman"/>
                      <w:color w:val="000000"/>
                      <w:kern w:val="2"/>
                      <w:sz w:val="21"/>
                      <w:szCs w:val="21"/>
                      <w:lang w:eastAsia="zh-CN"/>
                    </w:rPr>
                    <w:t>BOD</w:t>
                  </w:r>
                  <w:r>
                    <w:rPr>
                      <w:rFonts w:ascii="Times New Roman" w:hAnsi="Times New Roman" w:eastAsia="宋体" w:cs="Times New Roman"/>
                      <w:color w:val="000000"/>
                      <w:kern w:val="2"/>
                      <w:sz w:val="21"/>
                      <w:szCs w:val="21"/>
                      <w:vertAlign w:val="subscript"/>
                      <w:lang w:eastAsia="zh-CN"/>
                    </w:rPr>
                    <w:t>5</w:t>
                  </w:r>
                </w:p>
              </w:tc>
              <w:tc>
                <w:tcPr>
                  <w:tcW w:w="725" w:type="dxa"/>
                  <w:vMerge w:val="continue"/>
                  <w:noWrap/>
                  <w:vAlign w:val="center"/>
                </w:tcPr>
                <w:p>
                  <w:pPr>
                    <w:widowControl/>
                    <w:jc w:val="center"/>
                    <w:rPr>
                      <w:rFonts w:ascii="Times New Roman" w:hAnsi="Times New Roman" w:eastAsia="宋体" w:cs="Times New Roman"/>
                      <w:color w:val="000000"/>
                      <w:sz w:val="21"/>
                      <w:szCs w:val="21"/>
                      <w:lang w:eastAsia="zh-CN"/>
                    </w:rPr>
                  </w:pPr>
                </w:p>
              </w:tc>
              <w:tc>
                <w:tcPr>
                  <w:tcW w:w="765" w:type="dxa"/>
                  <w:vMerge w:val="continue"/>
                  <w:noWrap/>
                  <w:vAlign w:val="center"/>
                </w:tcPr>
                <w:p>
                  <w:pPr>
                    <w:widowControl/>
                    <w:jc w:val="center"/>
                    <w:rPr>
                      <w:rFonts w:ascii="Times New Roman" w:hAnsi="Times New Roman" w:eastAsia="宋体" w:cs="Times New Roman"/>
                      <w:color w:val="000000"/>
                      <w:sz w:val="21"/>
                      <w:szCs w:val="21"/>
                      <w:lang w:eastAsia="zh-CN"/>
                    </w:rPr>
                  </w:pPr>
                </w:p>
              </w:tc>
              <w:tc>
                <w:tcPr>
                  <w:tcW w:w="1556" w:type="dxa"/>
                  <w:vMerge w:val="continue"/>
                  <w:noWrap/>
                  <w:vAlign w:val="center"/>
                </w:tcPr>
                <w:p>
                  <w:pPr>
                    <w:widowControl/>
                    <w:jc w:val="center"/>
                    <w:rPr>
                      <w:rFonts w:ascii="Times New Roman" w:hAnsi="Times New Roman" w:eastAsia="宋体" w:cs="Times New Roman"/>
                      <w:color w:val="000000"/>
                      <w:sz w:val="21"/>
                      <w:szCs w:val="21"/>
                      <w:lang w:eastAsia="zh-CN"/>
                    </w:rPr>
                  </w:pPr>
                </w:p>
              </w:tc>
              <w:tc>
                <w:tcPr>
                  <w:tcW w:w="751" w:type="dxa"/>
                  <w:vMerge w:val="continue"/>
                  <w:noWrap/>
                  <w:vAlign w:val="center"/>
                </w:tcPr>
                <w:p>
                  <w:pPr>
                    <w:widowControl/>
                    <w:jc w:val="center"/>
                    <w:rPr>
                      <w:rFonts w:ascii="Times New Roman" w:hAnsi="Times New Roman" w:eastAsia="宋体" w:cs="Times New Roman"/>
                      <w:color w:val="000000"/>
                      <w:sz w:val="21"/>
                      <w:szCs w:val="21"/>
                      <w:lang w:eastAsia="zh-CN"/>
                    </w:rPr>
                  </w:pPr>
                </w:p>
              </w:tc>
              <w:tc>
                <w:tcPr>
                  <w:tcW w:w="1100" w:type="dxa"/>
                  <w:vMerge w:val="continue"/>
                  <w:noWrap/>
                  <w:vAlign w:val="center"/>
                </w:tcPr>
                <w:p>
                  <w:pPr>
                    <w:widowControl/>
                    <w:jc w:val="center"/>
                    <w:rPr>
                      <w:rFonts w:ascii="Times New Roman" w:hAnsi="Times New Roman" w:eastAsia="宋体" w:cs="Times New Roman"/>
                      <w:color w:val="000000"/>
                      <w:sz w:val="21"/>
                      <w:szCs w:val="21"/>
                      <w:lang w:eastAsia="zh-CN"/>
                    </w:rPr>
                  </w:pPr>
                </w:p>
              </w:tc>
              <w:tc>
                <w:tcPr>
                  <w:tcW w:w="993" w:type="dxa"/>
                  <w:noWrap/>
                  <w:vAlign w:val="center"/>
                </w:tcPr>
                <w:p>
                  <w:pPr>
                    <w:widowControl/>
                    <w:jc w:val="center"/>
                    <w:rPr>
                      <w:rFonts w:ascii="Times New Roman" w:hAnsi="Times New Roman" w:eastAsia="宋体" w:cs="Times New Roman"/>
                      <w:color w:val="000000"/>
                      <w:sz w:val="21"/>
                      <w:szCs w:val="21"/>
                      <w:lang w:eastAsia="zh-CN"/>
                    </w:rPr>
                  </w:pPr>
                  <w:r>
                    <w:rPr>
                      <w:rFonts w:hint="eastAsia" w:ascii="Times New Roman" w:hAnsi="Times New Roman" w:eastAsia="宋体" w:cs="Times New Roman"/>
                      <w:color w:val="000000"/>
                      <w:sz w:val="21"/>
                      <w:szCs w:val="21"/>
                      <w:lang w:eastAsia="zh-CN"/>
                    </w:rPr>
                    <w:t>12.7</w:t>
                  </w:r>
                </w:p>
              </w:tc>
              <w:tc>
                <w:tcPr>
                  <w:tcW w:w="713" w:type="dxa"/>
                  <w:vMerge w:val="continue"/>
                  <w:noWrap/>
                  <w:vAlign w:val="center"/>
                </w:tcPr>
                <w:p>
                  <w:pPr>
                    <w:widowControl/>
                    <w:jc w:val="center"/>
                    <w:rPr>
                      <w:rFonts w:ascii="Times New Roman" w:hAnsi="Times New Roman" w:eastAsia="宋体" w:cs="Times New Roman"/>
                      <w:color w:val="000000"/>
                      <w:sz w:val="21"/>
                      <w:szCs w:val="21"/>
                      <w:lang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jc w:val="center"/>
              </w:trPr>
              <w:tc>
                <w:tcPr>
                  <w:tcW w:w="780" w:type="dxa"/>
                  <w:vMerge w:val="continue"/>
                  <w:noWrap/>
                  <w:vAlign w:val="center"/>
                </w:tcPr>
                <w:p>
                  <w:pPr>
                    <w:widowControl/>
                    <w:jc w:val="center"/>
                    <w:rPr>
                      <w:rFonts w:ascii="Times New Roman" w:hAnsi="Times New Roman" w:eastAsia="宋体" w:cs="Times New Roman"/>
                      <w:color w:val="000000"/>
                      <w:sz w:val="21"/>
                      <w:szCs w:val="21"/>
                      <w:lang w:eastAsia="zh-CN"/>
                    </w:rPr>
                  </w:pPr>
                </w:p>
              </w:tc>
              <w:tc>
                <w:tcPr>
                  <w:tcW w:w="498" w:type="dxa"/>
                  <w:vMerge w:val="continue"/>
                  <w:noWrap/>
                  <w:vAlign w:val="center"/>
                </w:tcPr>
                <w:p>
                  <w:pPr>
                    <w:widowControl/>
                    <w:jc w:val="center"/>
                    <w:rPr>
                      <w:rFonts w:ascii="Times New Roman" w:hAnsi="Times New Roman" w:eastAsia="宋体" w:cs="Times New Roman"/>
                      <w:color w:val="000000"/>
                      <w:sz w:val="21"/>
                      <w:szCs w:val="21"/>
                      <w:lang w:eastAsia="zh-CN"/>
                    </w:rPr>
                  </w:pPr>
                </w:p>
              </w:tc>
              <w:tc>
                <w:tcPr>
                  <w:tcW w:w="926" w:type="dxa"/>
                  <w:noWrap/>
                  <w:vAlign w:val="center"/>
                </w:tcPr>
                <w:p>
                  <w:pPr>
                    <w:widowControl/>
                    <w:jc w:val="center"/>
                    <w:rPr>
                      <w:rFonts w:ascii="Times New Roman" w:hAnsi="Times New Roman" w:eastAsia="宋体" w:cs="Times New Roman"/>
                      <w:color w:val="000000"/>
                      <w:kern w:val="2"/>
                      <w:sz w:val="21"/>
                      <w:szCs w:val="21"/>
                      <w:lang w:eastAsia="zh-CN"/>
                    </w:rPr>
                  </w:pPr>
                  <w:r>
                    <w:rPr>
                      <w:rFonts w:ascii="Times New Roman" w:hAnsi="Times New Roman" w:eastAsia="宋体" w:cs="Times New Roman"/>
                      <w:color w:val="000000"/>
                      <w:kern w:val="2"/>
                      <w:sz w:val="21"/>
                      <w:szCs w:val="21"/>
                      <w:lang w:eastAsia="zh-CN"/>
                    </w:rPr>
                    <w:t>SS</w:t>
                  </w:r>
                </w:p>
              </w:tc>
              <w:tc>
                <w:tcPr>
                  <w:tcW w:w="725" w:type="dxa"/>
                  <w:vMerge w:val="continue"/>
                  <w:noWrap/>
                  <w:vAlign w:val="center"/>
                </w:tcPr>
                <w:p>
                  <w:pPr>
                    <w:widowControl/>
                    <w:jc w:val="center"/>
                    <w:rPr>
                      <w:rFonts w:ascii="Times New Roman" w:hAnsi="Times New Roman" w:eastAsia="宋体" w:cs="Times New Roman"/>
                      <w:color w:val="000000"/>
                      <w:sz w:val="21"/>
                      <w:szCs w:val="21"/>
                      <w:lang w:eastAsia="zh-CN"/>
                    </w:rPr>
                  </w:pPr>
                </w:p>
              </w:tc>
              <w:tc>
                <w:tcPr>
                  <w:tcW w:w="765" w:type="dxa"/>
                  <w:vMerge w:val="continue"/>
                  <w:noWrap/>
                  <w:vAlign w:val="center"/>
                </w:tcPr>
                <w:p>
                  <w:pPr>
                    <w:widowControl/>
                    <w:jc w:val="center"/>
                    <w:rPr>
                      <w:rFonts w:ascii="Times New Roman" w:hAnsi="Times New Roman" w:eastAsia="宋体" w:cs="Times New Roman"/>
                      <w:color w:val="000000"/>
                      <w:sz w:val="21"/>
                      <w:szCs w:val="21"/>
                      <w:lang w:eastAsia="zh-CN"/>
                    </w:rPr>
                  </w:pPr>
                </w:p>
              </w:tc>
              <w:tc>
                <w:tcPr>
                  <w:tcW w:w="1556" w:type="dxa"/>
                  <w:vMerge w:val="continue"/>
                  <w:noWrap/>
                  <w:vAlign w:val="center"/>
                </w:tcPr>
                <w:p>
                  <w:pPr>
                    <w:widowControl/>
                    <w:jc w:val="center"/>
                    <w:rPr>
                      <w:rFonts w:ascii="Times New Roman" w:hAnsi="Times New Roman" w:eastAsia="宋体" w:cs="Times New Roman"/>
                      <w:color w:val="000000"/>
                      <w:sz w:val="21"/>
                      <w:szCs w:val="21"/>
                      <w:lang w:eastAsia="zh-CN"/>
                    </w:rPr>
                  </w:pPr>
                </w:p>
              </w:tc>
              <w:tc>
                <w:tcPr>
                  <w:tcW w:w="751" w:type="dxa"/>
                  <w:vMerge w:val="continue"/>
                  <w:noWrap/>
                  <w:vAlign w:val="center"/>
                </w:tcPr>
                <w:p>
                  <w:pPr>
                    <w:widowControl/>
                    <w:jc w:val="center"/>
                    <w:rPr>
                      <w:rFonts w:ascii="Times New Roman" w:hAnsi="Times New Roman" w:eastAsia="宋体" w:cs="Times New Roman"/>
                      <w:color w:val="000000"/>
                      <w:sz w:val="21"/>
                      <w:szCs w:val="21"/>
                      <w:lang w:eastAsia="zh-CN"/>
                    </w:rPr>
                  </w:pPr>
                </w:p>
              </w:tc>
              <w:tc>
                <w:tcPr>
                  <w:tcW w:w="1100" w:type="dxa"/>
                  <w:vMerge w:val="continue"/>
                  <w:noWrap/>
                  <w:vAlign w:val="center"/>
                </w:tcPr>
                <w:p>
                  <w:pPr>
                    <w:widowControl/>
                    <w:jc w:val="center"/>
                    <w:rPr>
                      <w:rFonts w:ascii="Times New Roman" w:hAnsi="Times New Roman" w:eastAsia="宋体" w:cs="Times New Roman"/>
                      <w:color w:val="000000"/>
                      <w:sz w:val="21"/>
                      <w:szCs w:val="21"/>
                      <w:lang w:eastAsia="zh-CN"/>
                    </w:rPr>
                  </w:pPr>
                </w:p>
              </w:tc>
              <w:tc>
                <w:tcPr>
                  <w:tcW w:w="993" w:type="dxa"/>
                  <w:noWrap/>
                  <w:vAlign w:val="center"/>
                </w:tcPr>
                <w:p>
                  <w:pPr>
                    <w:widowControl/>
                    <w:jc w:val="center"/>
                    <w:rPr>
                      <w:rFonts w:ascii="Times New Roman" w:hAnsi="Times New Roman" w:eastAsia="宋体" w:cs="Times New Roman"/>
                      <w:color w:val="000000"/>
                      <w:sz w:val="21"/>
                      <w:szCs w:val="21"/>
                      <w:lang w:eastAsia="zh-CN"/>
                    </w:rPr>
                  </w:pPr>
                  <w:r>
                    <w:rPr>
                      <w:rFonts w:hint="eastAsia" w:ascii="Times New Roman" w:hAnsi="Times New Roman" w:eastAsia="宋体" w:cs="Times New Roman"/>
                      <w:color w:val="000000"/>
                      <w:sz w:val="21"/>
                      <w:szCs w:val="21"/>
                      <w:lang w:eastAsia="zh-CN"/>
                    </w:rPr>
                    <w:t>60</w:t>
                  </w:r>
                </w:p>
              </w:tc>
              <w:tc>
                <w:tcPr>
                  <w:tcW w:w="713" w:type="dxa"/>
                  <w:vMerge w:val="continue"/>
                  <w:noWrap/>
                  <w:vAlign w:val="center"/>
                </w:tcPr>
                <w:p>
                  <w:pPr>
                    <w:widowControl/>
                    <w:jc w:val="center"/>
                    <w:rPr>
                      <w:rFonts w:ascii="Times New Roman" w:hAnsi="Times New Roman" w:eastAsia="宋体" w:cs="Times New Roman"/>
                      <w:color w:val="000000"/>
                      <w:sz w:val="21"/>
                      <w:szCs w:val="21"/>
                      <w:lang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jc w:val="center"/>
              </w:trPr>
              <w:tc>
                <w:tcPr>
                  <w:tcW w:w="780" w:type="dxa"/>
                  <w:vMerge w:val="continue"/>
                  <w:noWrap/>
                  <w:vAlign w:val="center"/>
                </w:tcPr>
                <w:p>
                  <w:pPr>
                    <w:widowControl/>
                    <w:jc w:val="center"/>
                    <w:rPr>
                      <w:rFonts w:ascii="Times New Roman" w:hAnsi="Times New Roman" w:eastAsia="宋体" w:cs="Times New Roman"/>
                      <w:color w:val="000000"/>
                      <w:sz w:val="21"/>
                      <w:szCs w:val="21"/>
                      <w:lang w:eastAsia="zh-CN"/>
                    </w:rPr>
                  </w:pPr>
                </w:p>
              </w:tc>
              <w:tc>
                <w:tcPr>
                  <w:tcW w:w="498" w:type="dxa"/>
                  <w:vMerge w:val="continue"/>
                  <w:noWrap/>
                  <w:vAlign w:val="center"/>
                </w:tcPr>
                <w:p>
                  <w:pPr>
                    <w:widowControl/>
                    <w:jc w:val="center"/>
                    <w:rPr>
                      <w:rFonts w:ascii="Times New Roman" w:hAnsi="Times New Roman" w:eastAsia="宋体" w:cs="Times New Roman"/>
                      <w:color w:val="000000"/>
                      <w:sz w:val="21"/>
                      <w:szCs w:val="21"/>
                      <w:lang w:eastAsia="zh-CN"/>
                    </w:rPr>
                  </w:pPr>
                </w:p>
              </w:tc>
              <w:tc>
                <w:tcPr>
                  <w:tcW w:w="926" w:type="dxa"/>
                  <w:noWrap/>
                  <w:vAlign w:val="center"/>
                </w:tcPr>
                <w:p>
                  <w:pPr>
                    <w:widowControl/>
                    <w:jc w:val="center"/>
                    <w:rPr>
                      <w:rFonts w:ascii="Times New Roman" w:hAnsi="Times New Roman" w:eastAsia="宋体" w:cs="Times New Roman"/>
                      <w:color w:val="000000"/>
                      <w:kern w:val="2"/>
                      <w:sz w:val="21"/>
                      <w:szCs w:val="21"/>
                      <w:lang w:eastAsia="zh-CN"/>
                    </w:rPr>
                  </w:pPr>
                  <w:r>
                    <w:rPr>
                      <w:rFonts w:ascii="Times New Roman" w:hAnsi="Times New Roman" w:eastAsia="宋体" w:cs="Times New Roman"/>
                      <w:color w:val="000000"/>
                      <w:kern w:val="2"/>
                      <w:sz w:val="21"/>
                      <w:szCs w:val="21"/>
                      <w:lang w:eastAsia="zh-CN"/>
                    </w:rPr>
                    <w:t>NH</w:t>
                  </w:r>
                  <w:r>
                    <w:rPr>
                      <w:rFonts w:ascii="Times New Roman" w:hAnsi="Times New Roman" w:eastAsia="宋体" w:cs="Times New Roman"/>
                      <w:color w:val="000000"/>
                      <w:kern w:val="2"/>
                      <w:sz w:val="21"/>
                      <w:szCs w:val="21"/>
                      <w:vertAlign w:val="subscript"/>
                      <w:lang w:eastAsia="zh-CN"/>
                    </w:rPr>
                    <w:t>3</w:t>
                  </w:r>
                  <w:r>
                    <w:rPr>
                      <w:rFonts w:ascii="Times New Roman" w:hAnsi="Times New Roman" w:eastAsia="宋体" w:cs="Times New Roman"/>
                      <w:color w:val="000000"/>
                      <w:kern w:val="2"/>
                      <w:sz w:val="21"/>
                      <w:szCs w:val="21"/>
                      <w:lang w:eastAsia="zh-CN"/>
                    </w:rPr>
                    <w:t>-N</w:t>
                  </w:r>
                </w:p>
              </w:tc>
              <w:tc>
                <w:tcPr>
                  <w:tcW w:w="725" w:type="dxa"/>
                  <w:vMerge w:val="continue"/>
                  <w:noWrap/>
                  <w:vAlign w:val="center"/>
                </w:tcPr>
                <w:p>
                  <w:pPr>
                    <w:widowControl/>
                    <w:jc w:val="center"/>
                    <w:rPr>
                      <w:rFonts w:ascii="Times New Roman" w:hAnsi="Times New Roman" w:eastAsia="宋体" w:cs="Times New Roman"/>
                      <w:color w:val="000000"/>
                      <w:sz w:val="21"/>
                      <w:szCs w:val="21"/>
                      <w:lang w:eastAsia="zh-CN"/>
                    </w:rPr>
                  </w:pPr>
                </w:p>
              </w:tc>
              <w:tc>
                <w:tcPr>
                  <w:tcW w:w="765" w:type="dxa"/>
                  <w:vMerge w:val="continue"/>
                  <w:noWrap/>
                  <w:vAlign w:val="center"/>
                </w:tcPr>
                <w:p>
                  <w:pPr>
                    <w:widowControl/>
                    <w:jc w:val="center"/>
                    <w:rPr>
                      <w:rFonts w:ascii="Times New Roman" w:hAnsi="Times New Roman" w:eastAsia="宋体" w:cs="Times New Roman"/>
                      <w:color w:val="000000"/>
                      <w:sz w:val="21"/>
                      <w:szCs w:val="21"/>
                      <w:lang w:eastAsia="zh-CN"/>
                    </w:rPr>
                  </w:pPr>
                </w:p>
              </w:tc>
              <w:tc>
                <w:tcPr>
                  <w:tcW w:w="1556" w:type="dxa"/>
                  <w:vMerge w:val="continue"/>
                  <w:noWrap/>
                  <w:vAlign w:val="center"/>
                </w:tcPr>
                <w:p>
                  <w:pPr>
                    <w:widowControl/>
                    <w:jc w:val="center"/>
                    <w:rPr>
                      <w:rFonts w:ascii="Times New Roman" w:hAnsi="Times New Roman" w:eastAsia="宋体" w:cs="Times New Roman"/>
                      <w:color w:val="000000"/>
                      <w:sz w:val="21"/>
                      <w:szCs w:val="21"/>
                      <w:lang w:eastAsia="zh-CN"/>
                    </w:rPr>
                  </w:pPr>
                </w:p>
              </w:tc>
              <w:tc>
                <w:tcPr>
                  <w:tcW w:w="751" w:type="dxa"/>
                  <w:vMerge w:val="continue"/>
                  <w:noWrap/>
                  <w:vAlign w:val="center"/>
                </w:tcPr>
                <w:p>
                  <w:pPr>
                    <w:widowControl/>
                    <w:jc w:val="center"/>
                    <w:rPr>
                      <w:rFonts w:ascii="Times New Roman" w:hAnsi="Times New Roman" w:eastAsia="宋体" w:cs="Times New Roman"/>
                      <w:color w:val="000000"/>
                      <w:sz w:val="21"/>
                      <w:szCs w:val="21"/>
                      <w:lang w:eastAsia="zh-CN"/>
                    </w:rPr>
                  </w:pPr>
                </w:p>
              </w:tc>
              <w:tc>
                <w:tcPr>
                  <w:tcW w:w="1100" w:type="dxa"/>
                  <w:vMerge w:val="continue"/>
                  <w:noWrap/>
                  <w:vAlign w:val="center"/>
                </w:tcPr>
                <w:p>
                  <w:pPr>
                    <w:widowControl/>
                    <w:jc w:val="center"/>
                    <w:rPr>
                      <w:rFonts w:ascii="Times New Roman" w:hAnsi="Times New Roman" w:eastAsia="宋体" w:cs="Times New Roman"/>
                      <w:color w:val="000000"/>
                      <w:sz w:val="21"/>
                      <w:szCs w:val="21"/>
                      <w:lang w:eastAsia="zh-CN"/>
                    </w:rPr>
                  </w:pPr>
                </w:p>
              </w:tc>
              <w:tc>
                <w:tcPr>
                  <w:tcW w:w="993" w:type="dxa"/>
                  <w:noWrap/>
                  <w:vAlign w:val="center"/>
                </w:tcPr>
                <w:p>
                  <w:pPr>
                    <w:widowControl/>
                    <w:jc w:val="center"/>
                    <w:rPr>
                      <w:rFonts w:ascii="Times New Roman" w:hAnsi="Times New Roman" w:eastAsia="宋体" w:cs="Times New Roman"/>
                      <w:color w:val="000000"/>
                      <w:sz w:val="21"/>
                      <w:szCs w:val="21"/>
                      <w:lang w:eastAsia="zh-CN"/>
                    </w:rPr>
                  </w:pPr>
                  <w:r>
                    <w:rPr>
                      <w:rFonts w:hint="eastAsia" w:ascii="Times New Roman" w:hAnsi="Times New Roman" w:eastAsia="宋体" w:cs="Times New Roman"/>
                      <w:color w:val="000000"/>
                      <w:sz w:val="21"/>
                      <w:szCs w:val="21"/>
                      <w:lang w:eastAsia="zh-CN"/>
                    </w:rPr>
                    <w:t>0</w:t>
                  </w:r>
                </w:p>
              </w:tc>
              <w:tc>
                <w:tcPr>
                  <w:tcW w:w="713" w:type="dxa"/>
                  <w:vMerge w:val="continue"/>
                  <w:noWrap/>
                  <w:vAlign w:val="center"/>
                </w:tcPr>
                <w:p>
                  <w:pPr>
                    <w:widowControl/>
                    <w:jc w:val="center"/>
                    <w:rPr>
                      <w:rFonts w:ascii="Times New Roman" w:hAnsi="Times New Roman" w:eastAsia="宋体" w:cs="Times New Roman"/>
                      <w:color w:val="000000"/>
                      <w:sz w:val="21"/>
                      <w:szCs w:val="21"/>
                      <w:lang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jc w:val="center"/>
              </w:trPr>
              <w:tc>
                <w:tcPr>
                  <w:tcW w:w="780" w:type="dxa"/>
                  <w:vMerge w:val="restart"/>
                  <w:noWrap/>
                  <w:vAlign w:val="center"/>
                </w:tcPr>
                <w:p>
                  <w:pPr>
                    <w:widowControl/>
                    <w:jc w:val="center"/>
                    <w:rPr>
                      <w:rFonts w:ascii="Times New Roman" w:hAnsi="Times New Roman" w:eastAsia="宋体" w:cs="Times New Roman"/>
                      <w:color w:val="000000"/>
                      <w:sz w:val="21"/>
                      <w:szCs w:val="21"/>
                      <w:lang w:eastAsia="zh-CN"/>
                    </w:rPr>
                  </w:pPr>
                  <w:r>
                    <w:rPr>
                      <w:rFonts w:ascii="Times New Roman" w:hAnsi="Times New Roman" w:eastAsia="宋体" w:cs="Times New Roman"/>
                      <w:color w:val="000000"/>
                      <w:sz w:val="21"/>
                      <w:szCs w:val="21"/>
                      <w:lang w:eastAsia="zh-CN"/>
                    </w:rPr>
                    <w:t>地面冲洗</w:t>
                  </w:r>
                  <w:r>
                    <w:rPr>
                      <w:rFonts w:hint="eastAsia" w:ascii="Times New Roman" w:hAnsi="Times New Roman" w:eastAsia="宋体" w:cs="Times New Roman"/>
                      <w:color w:val="000000"/>
                      <w:sz w:val="21"/>
                      <w:szCs w:val="21"/>
                      <w:lang w:eastAsia="zh-CN"/>
                    </w:rPr>
                    <w:t>及初期雨水</w:t>
                  </w:r>
                </w:p>
              </w:tc>
              <w:tc>
                <w:tcPr>
                  <w:tcW w:w="498" w:type="dxa"/>
                  <w:vMerge w:val="restart"/>
                  <w:noWrap/>
                  <w:vAlign w:val="center"/>
                </w:tcPr>
                <w:p>
                  <w:pPr>
                    <w:widowControl/>
                    <w:jc w:val="center"/>
                    <w:rPr>
                      <w:rFonts w:ascii="Times New Roman" w:hAnsi="Times New Roman" w:eastAsia="宋体" w:cs="Times New Roman"/>
                      <w:color w:val="000000"/>
                      <w:sz w:val="21"/>
                      <w:szCs w:val="21"/>
                      <w:lang w:eastAsia="zh-CN"/>
                    </w:rPr>
                  </w:pPr>
                  <w:r>
                    <w:rPr>
                      <w:rFonts w:hint="eastAsia" w:ascii="Times New Roman" w:hAnsi="Times New Roman" w:eastAsia="宋体" w:cs="Times New Roman"/>
                      <w:color w:val="000000"/>
                      <w:sz w:val="21"/>
                      <w:szCs w:val="21"/>
                      <w:lang w:eastAsia="zh-CN"/>
                    </w:rPr>
                    <w:t>生产废水</w:t>
                  </w:r>
                </w:p>
              </w:tc>
              <w:tc>
                <w:tcPr>
                  <w:tcW w:w="926" w:type="dxa"/>
                  <w:noWrap/>
                  <w:vAlign w:val="center"/>
                </w:tcPr>
                <w:p>
                  <w:pPr>
                    <w:widowControl/>
                    <w:jc w:val="center"/>
                    <w:rPr>
                      <w:rFonts w:ascii="Times New Roman" w:hAnsi="Times New Roman" w:eastAsia="宋体" w:cs="Times New Roman"/>
                      <w:color w:val="000000"/>
                      <w:kern w:val="2"/>
                      <w:sz w:val="21"/>
                      <w:szCs w:val="21"/>
                      <w:lang w:eastAsia="zh-CN"/>
                    </w:rPr>
                  </w:pPr>
                  <w:r>
                    <w:rPr>
                      <w:rFonts w:ascii="Times New Roman" w:hAnsi="Times New Roman" w:eastAsia="宋体" w:cs="Times New Roman"/>
                      <w:color w:val="000000"/>
                      <w:kern w:val="2"/>
                      <w:sz w:val="21"/>
                      <w:szCs w:val="21"/>
                      <w:lang w:eastAsia="zh-CN"/>
                    </w:rPr>
                    <w:t>COD</w:t>
                  </w:r>
                </w:p>
              </w:tc>
              <w:tc>
                <w:tcPr>
                  <w:tcW w:w="725" w:type="dxa"/>
                  <w:vMerge w:val="restart"/>
                  <w:noWrap/>
                  <w:vAlign w:val="center"/>
                </w:tcPr>
                <w:p>
                  <w:pPr>
                    <w:widowControl/>
                    <w:jc w:val="center"/>
                    <w:rPr>
                      <w:rFonts w:ascii="Times New Roman" w:hAnsi="Times New Roman" w:eastAsia="宋体" w:cs="Times New Roman"/>
                      <w:color w:val="000000"/>
                      <w:sz w:val="21"/>
                      <w:szCs w:val="21"/>
                      <w:lang w:eastAsia="zh-CN"/>
                    </w:rPr>
                  </w:pPr>
                  <w:r>
                    <w:rPr>
                      <w:rFonts w:ascii="Times New Roman" w:hAnsi="Times New Roman" w:eastAsia="宋体" w:cs="Times New Roman"/>
                      <w:color w:val="000000"/>
                      <w:sz w:val="21"/>
                      <w:szCs w:val="21"/>
                      <w:lang w:eastAsia="zh-CN"/>
                    </w:rPr>
                    <w:t>间接排放</w:t>
                  </w:r>
                </w:p>
              </w:tc>
              <w:tc>
                <w:tcPr>
                  <w:tcW w:w="765" w:type="dxa"/>
                  <w:vMerge w:val="restart"/>
                  <w:noWrap/>
                  <w:vAlign w:val="center"/>
                </w:tcPr>
                <w:p>
                  <w:pPr>
                    <w:widowControl/>
                    <w:jc w:val="center"/>
                    <w:rPr>
                      <w:rFonts w:ascii="Times New Roman" w:hAnsi="Times New Roman" w:eastAsia="宋体" w:cs="Times New Roman"/>
                      <w:color w:val="000000"/>
                      <w:sz w:val="21"/>
                      <w:szCs w:val="21"/>
                      <w:lang w:eastAsia="zh-CN"/>
                    </w:rPr>
                  </w:pPr>
                  <w:r>
                    <w:rPr>
                      <w:rFonts w:ascii="Times New Roman" w:hAnsi="Times New Roman" w:eastAsia="宋体" w:cs="Times New Roman"/>
                      <w:color w:val="000000"/>
                      <w:sz w:val="21"/>
                      <w:szCs w:val="21"/>
                      <w:lang w:eastAsia="zh-CN"/>
                    </w:rPr>
                    <w:t>福清融元污水处理厂</w:t>
                  </w:r>
                </w:p>
              </w:tc>
              <w:tc>
                <w:tcPr>
                  <w:tcW w:w="1556" w:type="dxa"/>
                  <w:vMerge w:val="restart"/>
                  <w:noWrap/>
                  <w:vAlign w:val="center"/>
                </w:tcPr>
                <w:p>
                  <w:pPr>
                    <w:widowControl/>
                    <w:jc w:val="center"/>
                    <w:rPr>
                      <w:rFonts w:ascii="Times New Roman" w:hAnsi="Times New Roman" w:eastAsia="宋体" w:cs="Times New Roman"/>
                      <w:color w:val="000000"/>
                      <w:sz w:val="21"/>
                      <w:szCs w:val="21"/>
                      <w:lang w:eastAsia="zh-CN"/>
                    </w:rPr>
                  </w:pPr>
                  <w:r>
                    <w:rPr>
                      <w:rFonts w:hint="eastAsia" w:ascii="Times New Roman" w:hAnsi="Times New Roman" w:eastAsia="宋体" w:cs="Times New Roman"/>
                      <w:color w:val="000000"/>
                      <w:sz w:val="21"/>
                      <w:szCs w:val="21"/>
                      <w:lang w:eastAsia="zh-CN"/>
                    </w:rPr>
                    <w:t>间接排放，排放期间流量不稳定且无规律，但不属于冲击排放</w:t>
                  </w:r>
                </w:p>
              </w:tc>
              <w:tc>
                <w:tcPr>
                  <w:tcW w:w="751" w:type="dxa"/>
                  <w:vMerge w:val="restart"/>
                  <w:noWrap/>
                  <w:vAlign w:val="center"/>
                </w:tcPr>
                <w:p>
                  <w:pPr>
                    <w:widowControl/>
                    <w:jc w:val="center"/>
                    <w:rPr>
                      <w:rFonts w:ascii="Times New Roman" w:hAnsi="Times New Roman" w:eastAsia="宋体" w:cs="Times New Roman"/>
                      <w:color w:val="000000"/>
                      <w:sz w:val="21"/>
                      <w:szCs w:val="21"/>
                      <w:lang w:eastAsia="zh-CN"/>
                    </w:rPr>
                  </w:pPr>
                  <w:r>
                    <w:rPr>
                      <w:rFonts w:hint="eastAsia" w:ascii="Times New Roman" w:hAnsi="Times New Roman" w:eastAsia="宋体" w:cs="Times New Roman"/>
                      <w:color w:val="000000"/>
                      <w:sz w:val="21"/>
                      <w:szCs w:val="21"/>
                      <w:lang w:eastAsia="zh-CN"/>
                    </w:rPr>
                    <w:t>5t/d</w:t>
                  </w:r>
                </w:p>
              </w:tc>
              <w:tc>
                <w:tcPr>
                  <w:tcW w:w="1100" w:type="dxa"/>
                  <w:vMerge w:val="restart"/>
                  <w:noWrap/>
                  <w:vAlign w:val="center"/>
                </w:tcPr>
                <w:p>
                  <w:pPr>
                    <w:widowControl/>
                    <w:jc w:val="center"/>
                    <w:rPr>
                      <w:rFonts w:ascii="Times New Roman" w:hAnsi="Times New Roman" w:eastAsia="宋体" w:cs="Times New Roman"/>
                      <w:color w:val="000000"/>
                      <w:sz w:val="21"/>
                      <w:szCs w:val="21"/>
                      <w:lang w:eastAsia="zh-CN"/>
                    </w:rPr>
                  </w:pPr>
                  <w:r>
                    <w:rPr>
                      <w:rFonts w:hint="eastAsia" w:ascii="Times New Roman" w:hAnsi="Times New Roman" w:eastAsia="宋体" w:cs="Times New Roman"/>
                      <w:color w:val="000000"/>
                      <w:sz w:val="21"/>
                      <w:szCs w:val="21"/>
                      <w:lang w:eastAsia="zh-CN"/>
                    </w:rPr>
                    <w:t>隔油池</w:t>
                  </w:r>
                </w:p>
              </w:tc>
              <w:tc>
                <w:tcPr>
                  <w:tcW w:w="993" w:type="dxa"/>
                  <w:noWrap/>
                  <w:vAlign w:val="center"/>
                </w:tcPr>
                <w:p>
                  <w:pPr>
                    <w:widowControl/>
                    <w:jc w:val="center"/>
                    <w:rPr>
                      <w:rFonts w:ascii="Times New Roman" w:hAnsi="Times New Roman" w:eastAsia="宋体" w:cs="Times New Roman"/>
                      <w:color w:val="000000"/>
                      <w:sz w:val="21"/>
                      <w:szCs w:val="21"/>
                      <w:lang w:eastAsia="zh-CN"/>
                    </w:rPr>
                  </w:pPr>
                  <w:r>
                    <w:rPr>
                      <w:rFonts w:hint="eastAsia" w:ascii="Times New Roman" w:hAnsi="Times New Roman" w:eastAsia="宋体" w:cs="Times New Roman"/>
                      <w:color w:val="000000"/>
                      <w:sz w:val="21"/>
                      <w:szCs w:val="21"/>
                      <w:lang w:eastAsia="zh-CN"/>
                    </w:rPr>
                    <w:t>0</w:t>
                  </w:r>
                </w:p>
              </w:tc>
              <w:tc>
                <w:tcPr>
                  <w:tcW w:w="713" w:type="dxa"/>
                  <w:vMerge w:val="restart"/>
                  <w:noWrap/>
                  <w:vAlign w:val="center"/>
                </w:tcPr>
                <w:p>
                  <w:pPr>
                    <w:widowControl/>
                    <w:jc w:val="center"/>
                    <w:rPr>
                      <w:rFonts w:ascii="Times New Roman" w:hAnsi="Times New Roman" w:eastAsia="宋体" w:cs="Times New Roman"/>
                      <w:color w:val="000000"/>
                      <w:sz w:val="21"/>
                      <w:szCs w:val="21"/>
                      <w:lang w:eastAsia="zh-CN"/>
                    </w:rPr>
                  </w:pPr>
                  <w:r>
                    <w:rPr>
                      <w:rFonts w:ascii="Times New Roman" w:hAnsi="Times New Roman" w:eastAsia="宋体" w:cs="Times New Roman"/>
                      <w:color w:val="000000"/>
                      <w:sz w:val="21"/>
                      <w:szCs w:val="21"/>
                      <w:lang w:eastAsia="zh-CN"/>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jc w:val="center"/>
              </w:trPr>
              <w:tc>
                <w:tcPr>
                  <w:tcW w:w="780" w:type="dxa"/>
                  <w:vMerge w:val="continue"/>
                  <w:noWrap/>
                  <w:vAlign w:val="center"/>
                </w:tcPr>
                <w:p>
                  <w:pPr>
                    <w:widowControl/>
                    <w:jc w:val="center"/>
                    <w:rPr>
                      <w:rFonts w:ascii="Times New Roman" w:hAnsi="Times New Roman" w:eastAsia="宋体" w:cs="Times New Roman"/>
                      <w:color w:val="000000"/>
                      <w:sz w:val="21"/>
                      <w:szCs w:val="21"/>
                      <w:lang w:eastAsia="zh-CN"/>
                    </w:rPr>
                  </w:pPr>
                </w:p>
              </w:tc>
              <w:tc>
                <w:tcPr>
                  <w:tcW w:w="498" w:type="dxa"/>
                  <w:vMerge w:val="continue"/>
                  <w:noWrap/>
                  <w:vAlign w:val="center"/>
                </w:tcPr>
                <w:p>
                  <w:pPr>
                    <w:widowControl/>
                    <w:jc w:val="center"/>
                    <w:rPr>
                      <w:rFonts w:ascii="Times New Roman" w:hAnsi="Times New Roman" w:eastAsia="宋体" w:cs="Times New Roman"/>
                      <w:color w:val="000000"/>
                      <w:sz w:val="21"/>
                      <w:szCs w:val="21"/>
                      <w:lang w:eastAsia="zh-CN"/>
                    </w:rPr>
                  </w:pPr>
                </w:p>
              </w:tc>
              <w:tc>
                <w:tcPr>
                  <w:tcW w:w="926" w:type="dxa"/>
                  <w:noWrap/>
                  <w:vAlign w:val="center"/>
                </w:tcPr>
                <w:p>
                  <w:pPr>
                    <w:widowControl/>
                    <w:jc w:val="center"/>
                    <w:rPr>
                      <w:rFonts w:ascii="Times New Roman" w:hAnsi="Times New Roman" w:eastAsia="宋体" w:cs="Times New Roman"/>
                      <w:color w:val="000000"/>
                      <w:kern w:val="2"/>
                      <w:sz w:val="21"/>
                      <w:szCs w:val="21"/>
                      <w:lang w:eastAsia="zh-CN"/>
                    </w:rPr>
                  </w:pPr>
                  <w:r>
                    <w:rPr>
                      <w:rFonts w:ascii="Times New Roman" w:hAnsi="Times New Roman" w:eastAsia="宋体" w:cs="Times New Roman"/>
                      <w:color w:val="000000"/>
                      <w:kern w:val="2"/>
                      <w:sz w:val="21"/>
                      <w:szCs w:val="21"/>
                      <w:lang w:eastAsia="zh-CN"/>
                    </w:rPr>
                    <w:t>BOD</w:t>
                  </w:r>
                  <w:r>
                    <w:rPr>
                      <w:rFonts w:ascii="Times New Roman" w:hAnsi="Times New Roman" w:eastAsia="宋体" w:cs="Times New Roman"/>
                      <w:color w:val="000000"/>
                      <w:kern w:val="2"/>
                      <w:sz w:val="21"/>
                      <w:szCs w:val="21"/>
                      <w:vertAlign w:val="subscript"/>
                      <w:lang w:eastAsia="zh-CN"/>
                    </w:rPr>
                    <w:t>5</w:t>
                  </w:r>
                </w:p>
              </w:tc>
              <w:tc>
                <w:tcPr>
                  <w:tcW w:w="725" w:type="dxa"/>
                  <w:vMerge w:val="continue"/>
                  <w:noWrap/>
                  <w:vAlign w:val="center"/>
                </w:tcPr>
                <w:p>
                  <w:pPr>
                    <w:widowControl/>
                    <w:jc w:val="center"/>
                    <w:rPr>
                      <w:rFonts w:ascii="Times New Roman" w:hAnsi="Times New Roman" w:eastAsia="宋体" w:cs="Times New Roman"/>
                      <w:color w:val="000000"/>
                      <w:sz w:val="21"/>
                      <w:szCs w:val="21"/>
                      <w:lang w:eastAsia="zh-CN"/>
                    </w:rPr>
                  </w:pPr>
                </w:p>
              </w:tc>
              <w:tc>
                <w:tcPr>
                  <w:tcW w:w="765" w:type="dxa"/>
                  <w:vMerge w:val="continue"/>
                  <w:noWrap/>
                  <w:vAlign w:val="center"/>
                </w:tcPr>
                <w:p>
                  <w:pPr>
                    <w:widowControl/>
                    <w:jc w:val="center"/>
                    <w:rPr>
                      <w:rFonts w:ascii="Times New Roman" w:hAnsi="Times New Roman" w:eastAsia="宋体" w:cs="Times New Roman"/>
                      <w:color w:val="000000"/>
                      <w:sz w:val="21"/>
                      <w:szCs w:val="21"/>
                      <w:lang w:eastAsia="zh-CN"/>
                    </w:rPr>
                  </w:pPr>
                </w:p>
              </w:tc>
              <w:tc>
                <w:tcPr>
                  <w:tcW w:w="1556" w:type="dxa"/>
                  <w:vMerge w:val="continue"/>
                  <w:noWrap/>
                  <w:vAlign w:val="center"/>
                </w:tcPr>
                <w:p>
                  <w:pPr>
                    <w:widowControl/>
                    <w:jc w:val="center"/>
                    <w:rPr>
                      <w:rFonts w:ascii="Times New Roman" w:hAnsi="Times New Roman" w:eastAsia="宋体" w:cs="Times New Roman"/>
                      <w:color w:val="000000"/>
                      <w:sz w:val="21"/>
                      <w:szCs w:val="21"/>
                      <w:lang w:eastAsia="zh-CN"/>
                    </w:rPr>
                  </w:pPr>
                </w:p>
              </w:tc>
              <w:tc>
                <w:tcPr>
                  <w:tcW w:w="751" w:type="dxa"/>
                  <w:vMerge w:val="continue"/>
                  <w:noWrap/>
                  <w:vAlign w:val="center"/>
                </w:tcPr>
                <w:p>
                  <w:pPr>
                    <w:widowControl/>
                    <w:jc w:val="center"/>
                    <w:rPr>
                      <w:rFonts w:ascii="Times New Roman" w:hAnsi="Times New Roman" w:eastAsia="宋体" w:cs="Times New Roman"/>
                      <w:color w:val="000000"/>
                      <w:sz w:val="21"/>
                      <w:szCs w:val="21"/>
                      <w:lang w:eastAsia="zh-CN"/>
                    </w:rPr>
                  </w:pPr>
                </w:p>
              </w:tc>
              <w:tc>
                <w:tcPr>
                  <w:tcW w:w="1100" w:type="dxa"/>
                  <w:vMerge w:val="continue"/>
                  <w:noWrap/>
                  <w:vAlign w:val="center"/>
                </w:tcPr>
                <w:p>
                  <w:pPr>
                    <w:widowControl/>
                    <w:jc w:val="center"/>
                    <w:rPr>
                      <w:rFonts w:ascii="Times New Roman" w:hAnsi="Times New Roman" w:eastAsia="宋体" w:cs="Times New Roman"/>
                      <w:color w:val="000000"/>
                      <w:sz w:val="21"/>
                      <w:szCs w:val="21"/>
                      <w:lang w:eastAsia="zh-CN"/>
                    </w:rPr>
                  </w:pPr>
                </w:p>
              </w:tc>
              <w:tc>
                <w:tcPr>
                  <w:tcW w:w="993" w:type="dxa"/>
                  <w:noWrap/>
                  <w:vAlign w:val="center"/>
                </w:tcPr>
                <w:p>
                  <w:pPr>
                    <w:widowControl/>
                    <w:jc w:val="center"/>
                    <w:rPr>
                      <w:rFonts w:ascii="Times New Roman" w:hAnsi="Times New Roman" w:eastAsia="宋体" w:cs="Times New Roman"/>
                      <w:color w:val="000000"/>
                      <w:sz w:val="21"/>
                      <w:szCs w:val="21"/>
                      <w:lang w:eastAsia="zh-CN"/>
                    </w:rPr>
                  </w:pPr>
                  <w:r>
                    <w:rPr>
                      <w:rFonts w:hint="eastAsia" w:ascii="Times New Roman" w:hAnsi="Times New Roman" w:eastAsia="宋体" w:cs="Times New Roman"/>
                      <w:color w:val="000000"/>
                      <w:sz w:val="21"/>
                      <w:szCs w:val="21"/>
                      <w:lang w:eastAsia="zh-CN"/>
                    </w:rPr>
                    <w:t>50</w:t>
                  </w:r>
                </w:p>
              </w:tc>
              <w:tc>
                <w:tcPr>
                  <w:tcW w:w="713" w:type="dxa"/>
                  <w:vMerge w:val="continue"/>
                  <w:noWrap/>
                  <w:vAlign w:val="center"/>
                </w:tcPr>
                <w:p>
                  <w:pPr>
                    <w:widowControl/>
                    <w:jc w:val="center"/>
                    <w:rPr>
                      <w:rFonts w:ascii="Times New Roman" w:hAnsi="Times New Roman" w:eastAsia="宋体" w:cs="Times New Roman"/>
                      <w:color w:val="000000"/>
                      <w:sz w:val="21"/>
                      <w:szCs w:val="21"/>
                      <w:lang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jc w:val="center"/>
              </w:trPr>
              <w:tc>
                <w:tcPr>
                  <w:tcW w:w="780" w:type="dxa"/>
                  <w:vMerge w:val="continue"/>
                  <w:noWrap/>
                  <w:vAlign w:val="center"/>
                </w:tcPr>
                <w:p>
                  <w:pPr>
                    <w:widowControl/>
                    <w:jc w:val="center"/>
                    <w:rPr>
                      <w:rFonts w:ascii="Times New Roman" w:hAnsi="Times New Roman" w:eastAsia="宋体" w:cs="Times New Roman"/>
                      <w:color w:val="000000"/>
                      <w:sz w:val="21"/>
                      <w:szCs w:val="21"/>
                      <w:lang w:eastAsia="zh-CN"/>
                    </w:rPr>
                  </w:pPr>
                </w:p>
              </w:tc>
              <w:tc>
                <w:tcPr>
                  <w:tcW w:w="498" w:type="dxa"/>
                  <w:vMerge w:val="continue"/>
                  <w:noWrap/>
                  <w:vAlign w:val="center"/>
                </w:tcPr>
                <w:p>
                  <w:pPr>
                    <w:widowControl/>
                    <w:jc w:val="center"/>
                    <w:rPr>
                      <w:rFonts w:ascii="Times New Roman" w:hAnsi="Times New Roman" w:eastAsia="宋体" w:cs="Times New Roman"/>
                      <w:color w:val="000000"/>
                      <w:sz w:val="21"/>
                      <w:szCs w:val="21"/>
                      <w:lang w:eastAsia="zh-CN"/>
                    </w:rPr>
                  </w:pPr>
                </w:p>
              </w:tc>
              <w:tc>
                <w:tcPr>
                  <w:tcW w:w="926" w:type="dxa"/>
                  <w:noWrap/>
                  <w:vAlign w:val="center"/>
                </w:tcPr>
                <w:p>
                  <w:pPr>
                    <w:widowControl/>
                    <w:jc w:val="center"/>
                    <w:rPr>
                      <w:rFonts w:ascii="Times New Roman" w:hAnsi="Times New Roman" w:eastAsia="宋体" w:cs="Times New Roman"/>
                      <w:color w:val="000000"/>
                      <w:kern w:val="2"/>
                      <w:sz w:val="21"/>
                      <w:szCs w:val="21"/>
                      <w:lang w:eastAsia="zh-CN"/>
                    </w:rPr>
                  </w:pPr>
                  <w:r>
                    <w:rPr>
                      <w:rFonts w:ascii="Times New Roman" w:hAnsi="Times New Roman" w:eastAsia="宋体" w:cs="Times New Roman"/>
                      <w:color w:val="000000"/>
                      <w:kern w:val="2"/>
                      <w:sz w:val="21"/>
                      <w:szCs w:val="21"/>
                      <w:lang w:eastAsia="zh-CN"/>
                    </w:rPr>
                    <w:t>SS</w:t>
                  </w:r>
                </w:p>
              </w:tc>
              <w:tc>
                <w:tcPr>
                  <w:tcW w:w="725" w:type="dxa"/>
                  <w:vMerge w:val="continue"/>
                  <w:noWrap/>
                  <w:vAlign w:val="center"/>
                </w:tcPr>
                <w:p>
                  <w:pPr>
                    <w:widowControl/>
                    <w:jc w:val="center"/>
                    <w:rPr>
                      <w:rFonts w:ascii="Times New Roman" w:hAnsi="Times New Roman" w:eastAsia="宋体" w:cs="Times New Roman"/>
                      <w:color w:val="000000"/>
                      <w:sz w:val="21"/>
                      <w:szCs w:val="21"/>
                      <w:lang w:eastAsia="zh-CN"/>
                    </w:rPr>
                  </w:pPr>
                </w:p>
              </w:tc>
              <w:tc>
                <w:tcPr>
                  <w:tcW w:w="765" w:type="dxa"/>
                  <w:vMerge w:val="continue"/>
                  <w:noWrap/>
                  <w:vAlign w:val="center"/>
                </w:tcPr>
                <w:p>
                  <w:pPr>
                    <w:widowControl/>
                    <w:jc w:val="center"/>
                    <w:rPr>
                      <w:rFonts w:ascii="Times New Roman" w:hAnsi="Times New Roman" w:eastAsia="宋体" w:cs="Times New Roman"/>
                      <w:color w:val="000000"/>
                      <w:sz w:val="21"/>
                      <w:szCs w:val="21"/>
                      <w:lang w:eastAsia="zh-CN"/>
                    </w:rPr>
                  </w:pPr>
                </w:p>
              </w:tc>
              <w:tc>
                <w:tcPr>
                  <w:tcW w:w="1556" w:type="dxa"/>
                  <w:vMerge w:val="continue"/>
                  <w:noWrap/>
                  <w:vAlign w:val="center"/>
                </w:tcPr>
                <w:p>
                  <w:pPr>
                    <w:widowControl/>
                    <w:jc w:val="center"/>
                    <w:rPr>
                      <w:rFonts w:ascii="Times New Roman" w:hAnsi="Times New Roman" w:eastAsia="宋体" w:cs="Times New Roman"/>
                      <w:color w:val="000000"/>
                      <w:sz w:val="21"/>
                      <w:szCs w:val="21"/>
                      <w:lang w:eastAsia="zh-CN"/>
                    </w:rPr>
                  </w:pPr>
                </w:p>
              </w:tc>
              <w:tc>
                <w:tcPr>
                  <w:tcW w:w="751" w:type="dxa"/>
                  <w:vMerge w:val="continue"/>
                  <w:noWrap/>
                  <w:vAlign w:val="center"/>
                </w:tcPr>
                <w:p>
                  <w:pPr>
                    <w:widowControl/>
                    <w:jc w:val="center"/>
                    <w:rPr>
                      <w:rFonts w:ascii="Times New Roman" w:hAnsi="Times New Roman" w:eastAsia="宋体" w:cs="Times New Roman"/>
                      <w:color w:val="000000"/>
                      <w:sz w:val="21"/>
                      <w:szCs w:val="21"/>
                      <w:lang w:eastAsia="zh-CN"/>
                    </w:rPr>
                  </w:pPr>
                </w:p>
              </w:tc>
              <w:tc>
                <w:tcPr>
                  <w:tcW w:w="1100" w:type="dxa"/>
                  <w:vMerge w:val="continue"/>
                  <w:noWrap/>
                  <w:vAlign w:val="center"/>
                </w:tcPr>
                <w:p>
                  <w:pPr>
                    <w:widowControl/>
                    <w:jc w:val="center"/>
                    <w:rPr>
                      <w:rFonts w:ascii="Times New Roman" w:hAnsi="Times New Roman" w:eastAsia="宋体" w:cs="Times New Roman"/>
                      <w:color w:val="000000"/>
                      <w:sz w:val="21"/>
                      <w:szCs w:val="21"/>
                      <w:lang w:eastAsia="zh-CN"/>
                    </w:rPr>
                  </w:pPr>
                </w:p>
              </w:tc>
              <w:tc>
                <w:tcPr>
                  <w:tcW w:w="993" w:type="dxa"/>
                  <w:noWrap/>
                  <w:vAlign w:val="center"/>
                </w:tcPr>
                <w:p>
                  <w:pPr>
                    <w:widowControl/>
                    <w:jc w:val="center"/>
                    <w:rPr>
                      <w:rFonts w:ascii="Times New Roman" w:hAnsi="Times New Roman" w:eastAsia="宋体" w:cs="Times New Roman"/>
                      <w:color w:val="000000"/>
                      <w:sz w:val="21"/>
                      <w:szCs w:val="21"/>
                      <w:lang w:eastAsia="zh-CN"/>
                    </w:rPr>
                  </w:pPr>
                  <w:r>
                    <w:rPr>
                      <w:rFonts w:hint="eastAsia" w:ascii="Times New Roman" w:hAnsi="Times New Roman" w:eastAsia="宋体" w:cs="Times New Roman"/>
                      <w:color w:val="000000"/>
                      <w:sz w:val="21"/>
                      <w:szCs w:val="21"/>
                      <w:lang w:eastAsia="zh-CN"/>
                    </w:rPr>
                    <w:t>50</w:t>
                  </w:r>
                </w:p>
              </w:tc>
              <w:tc>
                <w:tcPr>
                  <w:tcW w:w="713" w:type="dxa"/>
                  <w:vMerge w:val="continue"/>
                  <w:noWrap/>
                  <w:vAlign w:val="center"/>
                </w:tcPr>
                <w:p>
                  <w:pPr>
                    <w:widowControl/>
                    <w:jc w:val="center"/>
                    <w:rPr>
                      <w:rFonts w:ascii="Times New Roman" w:hAnsi="Times New Roman" w:eastAsia="宋体" w:cs="Times New Roman"/>
                      <w:color w:val="000000"/>
                      <w:sz w:val="21"/>
                      <w:szCs w:val="21"/>
                      <w:lang w:eastAsia="zh-CN"/>
                    </w:rPr>
                  </w:pPr>
                </w:p>
              </w:tc>
            </w:tr>
          </w:tbl>
          <w:p>
            <w:pPr>
              <w:spacing w:before="120" w:beforeLines="50"/>
              <w:jc w:val="center"/>
              <w:rPr>
                <w:rFonts w:ascii="Times New Roman" w:hAnsi="Times New Roman" w:eastAsia="宋体" w:cs="宋体"/>
                <w:b/>
                <w:color w:val="000000"/>
                <w:spacing w:val="6"/>
                <w:kern w:val="2"/>
                <w:sz w:val="24"/>
                <w:szCs w:val="20"/>
                <w:lang w:eastAsia="zh-CN"/>
              </w:rPr>
            </w:pPr>
            <w:r>
              <w:rPr>
                <w:rFonts w:ascii="Times New Roman" w:hAnsi="Times New Roman" w:eastAsia="宋体" w:cs="宋体"/>
                <w:b/>
                <w:color w:val="000000"/>
                <w:spacing w:val="6"/>
                <w:kern w:val="2"/>
                <w:sz w:val="24"/>
                <w:szCs w:val="20"/>
                <w:lang w:eastAsia="zh-CN"/>
              </w:rPr>
              <w:t>表</w:t>
            </w:r>
            <w:r>
              <w:rPr>
                <w:rFonts w:hint="eastAsia" w:ascii="Times New Roman" w:hAnsi="Times New Roman" w:eastAsia="宋体" w:cs="宋体"/>
                <w:b/>
                <w:color w:val="000000"/>
                <w:spacing w:val="6"/>
                <w:kern w:val="2"/>
                <w:sz w:val="24"/>
                <w:szCs w:val="20"/>
                <w:lang w:eastAsia="zh-CN"/>
              </w:rPr>
              <w:t>4.2-12</w:t>
            </w:r>
            <w:r>
              <w:rPr>
                <w:rFonts w:ascii="Times New Roman" w:hAnsi="Times New Roman" w:eastAsia="宋体" w:cs="宋体"/>
                <w:b/>
                <w:color w:val="000000"/>
                <w:spacing w:val="6"/>
                <w:kern w:val="2"/>
                <w:sz w:val="24"/>
                <w:szCs w:val="20"/>
                <w:lang w:eastAsia="zh-CN"/>
              </w:rPr>
              <w:t xml:space="preserve">  废水排放口基本情况、排放标准一览表</w:t>
            </w:r>
          </w:p>
          <w:tbl>
            <w:tblPr>
              <w:tblStyle w:val="17"/>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532"/>
              <w:gridCol w:w="956"/>
              <w:gridCol w:w="1293"/>
              <w:gridCol w:w="1195"/>
              <w:gridCol w:w="3868"/>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397" w:hRule="exact"/>
                <w:jc w:val="center"/>
              </w:trPr>
              <w:tc>
                <w:tcPr>
                  <w:tcW w:w="1532" w:type="dxa"/>
                  <w:vMerge w:val="restart"/>
                  <w:noWrap/>
                  <w:vAlign w:val="center"/>
                </w:tcPr>
                <w:p>
                  <w:pPr>
                    <w:widowControl/>
                    <w:jc w:val="center"/>
                    <w:rPr>
                      <w:rFonts w:ascii="Times New Roman" w:hAnsi="Times New Roman" w:eastAsia="宋体" w:cs="Times New Roman"/>
                      <w:color w:val="000000"/>
                      <w:sz w:val="21"/>
                      <w:szCs w:val="21"/>
                      <w:lang w:eastAsia="zh-CN"/>
                    </w:rPr>
                  </w:pPr>
                  <w:r>
                    <w:rPr>
                      <w:rFonts w:ascii="Times New Roman" w:hAnsi="Times New Roman" w:eastAsia="宋体" w:cs="Times New Roman"/>
                      <w:color w:val="000000"/>
                      <w:sz w:val="21"/>
                      <w:szCs w:val="21"/>
                      <w:lang w:eastAsia="zh-CN"/>
                    </w:rPr>
                    <w:t>废水排放口编号</w:t>
                  </w:r>
                </w:p>
              </w:tc>
              <w:tc>
                <w:tcPr>
                  <w:tcW w:w="3444" w:type="dxa"/>
                  <w:gridSpan w:val="3"/>
                  <w:noWrap/>
                  <w:vAlign w:val="center"/>
                </w:tcPr>
                <w:p>
                  <w:pPr>
                    <w:widowControl/>
                    <w:jc w:val="center"/>
                    <w:rPr>
                      <w:rFonts w:ascii="Times New Roman" w:hAnsi="Times New Roman" w:eastAsia="宋体" w:cs="Times New Roman"/>
                      <w:color w:val="000000"/>
                      <w:sz w:val="21"/>
                      <w:szCs w:val="21"/>
                      <w:lang w:eastAsia="zh-CN"/>
                    </w:rPr>
                  </w:pPr>
                  <w:r>
                    <w:rPr>
                      <w:rFonts w:ascii="Times New Roman" w:hAnsi="Times New Roman" w:eastAsia="宋体" w:cs="Times New Roman"/>
                      <w:color w:val="000000"/>
                      <w:sz w:val="21"/>
                      <w:szCs w:val="21"/>
                      <w:lang w:eastAsia="zh-CN"/>
                    </w:rPr>
                    <w:t>排放口基本情况</w:t>
                  </w:r>
                </w:p>
              </w:tc>
              <w:tc>
                <w:tcPr>
                  <w:tcW w:w="3868" w:type="dxa"/>
                  <w:vMerge w:val="restart"/>
                  <w:noWrap/>
                  <w:vAlign w:val="center"/>
                </w:tcPr>
                <w:p>
                  <w:pPr>
                    <w:widowControl/>
                    <w:jc w:val="center"/>
                    <w:rPr>
                      <w:rFonts w:ascii="Times New Roman" w:hAnsi="Times New Roman" w:eastAsia="宋体" w:cs="Times New Roman"/>
                      <w:color w:val="000000"/>
                      <w:sz w:val="21"/>
                      <w:szCs w:val="21"/>
                      <w:lang w:eastAsia="zh-CN"/>
                    </w:rPr>
                  </w:pPr>
                  <w:r>
                    <w:rPr>
                      <w:rFonts w:ascii="Times New Roman" w:hAnsi="Times New Roman" w:eastAsia="宋体" w:cs="Times New Roman"/>
                      <w:color w:val="000000"/>
                      <w:sz w:val="21"/>
                      <w:szCs w:val="21"/>
                      <w:lang w:eastAsia="zh-CN"/>
                    </w:rPr>
                    <w:t>排放标准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exact"/>
                <w:jc w:val="center"/>
              </w:trPr>
              <w:tc>
                <w:tcPr>
                  <w:tcW w:w="1532" w:type="dxa"/>
                  <w:vMerge w:val="continue"/>
                  <w:vAlign w:val="center"/>
                </w:tcPr>
                <w:p>
                  <w:pPr>
                    <w:widowControl/>
                    <w:jc w:val="center"/>
                    <w:rPr>
                      <w:rFonts w:ascii="Times New Roman" w:hAnsi="Times New Roman" w:eastAsia="宋体" w:cs="Times New Roman"/>
                      <w:color w:val="000000"/>
                      <w:sz w:val="21"/>
                      <w:szCs w:val="21"/>
                      <w:lang w:eastAsia="zh-CN"/>
                    </w:rPr>
                  </w:pPr>
                </w:p>
              </w:tc>
              <w:tc>
                <w:tcPr>
                  <w:tcW w:w="956" w:type="dxa"/>
                  <w:vMerge w:val="restart"/>
                  <w:noWrap/>
                  <w:vAlign w:val="center"/>
                </w:tcPr>
                <w:p>
                  <w:pPr>
                    <w:widowControl/>
                    <w:jc w:val="center"/>
                    <w:rPr>
                      <w:rFonts w:ascii="Times New Roman" w:hAnsi="Times New Roman" w:eastAsia="宋体" w:cs="Times New Roman"/>
                      <w:color w:val="000000"/>
                      <w:sz w:val="21"/>
                      <w:szCs w:val="21"/>
                      <w:lang w:eastAsia="zh-CN"/>
                    </w:rPr>
                  </w:pPr>
                  <w:r>
                    <w:rPr>
                      <w:rFonts w:ascii="Times New Roman" w:hAnsi="Times New Roman" w:eastAsia="宋体" w:cs="Times New Roman"/>
                      <w:color w:val="000000"/>
                      <w:sz w:val="21"/>
                      <w:szCs w:val="21"/>
                      <w:lang w:eastAsia="zh-CN"/>
                    </w:rPr>
                    <w:t>类型</w:t>
                  </w:r>
                </w:p>
              </w:tc>
              <w:tc>
                <w:tcPr>
                  <w:tcW w:w="2488" w:type="dxa"/>
                  <w:gridSpan w:val="2"/>
                  <w:noWrap/>
                  <w:vAlign w:val="center"/>
                </w:tcPr>
                <w:p>
                  <w:pPr>
                    <w:widowControl/>
                    <w:jc w:val="center"/>
                    <w:rPr>
                      <w:rFonts w:ascii="Times New Roman" w:hAnsi="Times New Roman" w:eastAsia="宋体" w:cs="Times New Roman"/>
                      <w:color w:val="000000"/>
                      <w:sz w:val="21"/>
                      <w:szCs w:val="21"/>
                      <w:lang w:eastAsia="zh-CN"/>
                    </w:rPr>
                  </w:pPr>
                  <w:r>
                    <w:rPr>
                      <w:rFonts w:ascii="Times New Roman" w:hAnsi="Times New Roman" w:eastAsia="宋体" w:cs="Times New Roman"/>
                      <w:color w:val="000000"/>
                      <w:sz w:val="21"/>
                      <w:szCs w:val="21"/>
                      <w:lang w:eastAsia="zh-CN"/>
                    </w:rPr>
                    <w:t>地理坐标</w:t>
                  </w:r>
                </w:p>
              </w:tc>
              <w:tc>
                <w:tcPr>
                  <w:tcW w:w="3868" w:type="dxa"/>
                  <w:vMerge w:val="continue"/>
                  <w:vAlign w:val="center"/>
                </w:tcPr>
                <w:p>
                  <w:pPr>
                    <w:widowControl/>
                    <w:jc w:val="center"/>
                    <w:rPr>
                      <w:rFonts w:ascii="Times New Roman" w:hAnsi="Times New Roman" w:eastAsia="宋体" w:cs="Times New Roman"/>
                      <w:color w:val="000000"/>
                      <w:sz w:val="21"/>
                      <w:szCs w:val="21"/>
                      <w:lang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397" w:hRule="exact"/>
                <w:jc w:val="center"/>
              </w:trPr>
              <w:tc>
                <w:tcPr>
                  <w:tcW w:w="1532" w:type="dxa"/>
                  <w:vMerge w:val="continue"/>
                  <w:vAlign w:val="center"/>
                </w:tcPr>
                <w:p>
                  <w:pPr>
                    <w:widowControl/>
                    <w:jc w:val="center"/>
                    <w:rPr>
                      <w:rFonts w:ascii="Times New Roman" w:hAnsi="Times New Roman" w:eastAsia="宋体" w:cs="Times New Roman"/>
                      <w:color w:val="000000"/>
                      <w:sz w:val="21"/>
                      <w:szCs w:val="21"/>
                      <w:lang w:eastAsia="zh-CN"/>
                    </w:rPr>
                  </w:pPr>
                </w:p>
              </w:tc>
              <w:tc>
                <w:tcPr>
                  <w:tcW w:w="956" w:type="dxa"/>
                  <w:vMerge w:val="continue"/>
                  <w:noWrap/>
                  <w:vAlign w:val="center"/>
                </w:tcPr>
                <w:p>
                  <w:pPr>
                    <w:widowControl/>
                    <w:jc w:val="center"/>
                    <w:rPr>
                      <w:rFonts w:ascii="Times New Roman" w:hAnsi="Times New Roman" w:eastAsia="宋体" w:cs="Times New Roman"/>
                      <w:color w:val="000000"/>
                      <w:sz w:val="21"/>
                      <w:szCs w:val="21"/>
                      <w:lang w:eastAsia="zh-CN"/>
                    </w:rPr>
                  </w:pPr>
                </w:p>
              </w:tc>
              <w:tc>
                <w:tcPr>
                  <w:tcW w:w="1293" w:type="dxa"/>
                  <w:noWrap/>
                  <w:vAlign w:val="center"/>
                </w:tcPr>
                <w:p>
                  <w:pPr>
                    <w:widowControl/>
                    <w:jc w:val="center"/>
                    <w:rPr>
                      <w:rFonts w:ascii="Times New Roman" w:hAnsi="Times New Roman" w:eastAsia="宋体" w:cs="Times New Roman"/>
                      <w:color w:val="000000"/>
                      <w:sz w:val="21"/>
                      <w:szCs w:val="21"/>
                      <w:lang w:eastAsia="zh-CN"/>
                    </w:rPr>
                  </w:pPr>
                  <w:r>
                    <w:rPr>
                      <w:rFonts w:ascii="Times New Roman" w:hAnsi="Times New Roman" w:eastAsia="宋体" w:cs="Times New Roman"/>
                      <w:color w:val="000000"/>
                      <w:sz w:val="21"/>
                      <w:szCs w:val="21"/>
                      <w:lang w:eastAsia="zh-CN"/>
                    </w:rPr>
                    <w:t>经度</w:t>
                  </w:r>
                </w:p>
              </w:tc>
              <w:tc>
                <w:tcPr>
                  <w:tcW w:w="1195" w:type="dxa"/>
                  <w:noWrap/>
                  <w:vAlign w:val="center"/>
                </w:tcPr>
                <w:p>
                  <w:pPr>
                    <w:widowControl/>
                    <w:jc w:val="center"/>
                    <w:rPr>
                      <w:rFonts w:ascii="Times New Roman" w:hAnsi="Times New Roman" w:eastAsia="宋体" w:cs="Times New Roman"/>
                      <w:color w:val="000000"/>
                      <w:sz w:val="21"/>
                      <w:szCs w:val="21"/>
                      <w:lang w:eastAsia="zh-CN"/>
                    </w:rPr>
                  </w:pPr>
                  <w:r>
                    <w:rPr>
                      <w:rFonts w:ascii="Times New Roman" w:hAnsi="Times New Roman" w:eastAsia="宋体" w:cs="Times New Roman"/>
                      <w:color w:val="000000"/>
                      <w:sz w:val="21"/>
                      <w:szCs w:val="21"/>
                      <w:lang w:eastAsia="zh-CN"/>
                    </w:rPr>
                    <w:t>纬度</w:t>
                  </w:r>
                </w:p>
              </w:tc>
              <w:tc>
                <w:tcPr>
                  <w:tcW w:w="3868" w:type="dxa"/>
                  <w:vMerge w:val="continue"/>
                  <w:vAlign w:val="center"/>
                </w:tcPr>
                <w:p>
                  <w:pPr>
                    <w:widowControl/>
                    <w:jc w:val="center"/>
                    <w:rPr>
                      <w:rFonts w:ascii="Times New Roman" w:hAnsi="Times New Roman" w:eastAsia="宋体" w:cs="Times New Roman"/>
                      <w:color w:val="000000"/>
                      <w:sz w:val="21"/>
                      <w:szCs w:val="21"/>
                      <w:lang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1085" w:hRule="exact"/>
                <w:jc w:val="center"/>
              </w:trPr>
              <w:tc>
                <w:tcPr>
                  <w:tcW w:w="1532" w:type="dxa"/>
                  <w:noWrap/>
                  <w:vAlign w:val="center"/>
                </w:tcPr>
                <w:p>
                  <w:pPr>
                    <w:widowControl/>
                    <w:jc w:val="center"/>
                    <w:rPr>
                      <w:rFonts w:ascii="Times New Roman" w:hAnsi="Times New Roman" w:eastAsia="宋体" w:cs="Times New Roman"/>
                      <w:color w:val="000000"/>
                      <w:sz w:val="21"/>
                      <w:szCs w:val="21"/>
                      <w:lang w:eastAsia="zh-CN"/>
                    </w:rPr>
                  </w:pPr>
                  <w:r>
                    <w:rPr>
                      <w:rFonts w:hint="eastAsia" w:ascii="Times New Roman" w:hAnsi="Times New Roman" w:eastAsia="宋体" w:cs="Times New Roman"/>
                      <w:color w:val="000000"/>
                      <w:sz w:val="21"/>
                      <w:szCs w:val="21"/>
                      <w:lang w:eastAsia="zh-CN"/>
                    </w:rPr>
                    <w:t>废水总</w:t>
                  </w:r>
                  <w:r>
                    <w:rPr>
                      <w:rFonts w:ascii="Times New Roman" w:hAnsi="Times New Roman" w:eastAsia="宋体" w:cs="Times New Roman"/>
                      <w:color w:val="000000"/>
                      <w:sz w:val="21"/>
                      <w:szCs w:val="21"/>
                      <w:lang w:eastAsia="zh-CN"/>
                    </w:rPr>
                    <w:t>排放口DW001</w:t>
                  </w:r>
                </w:p>
              </w:tc>
              <w:tc>
                <w:tcPr>
                  <w:tcW w:w="956" w:type="dxa"/>
                  <w:noWrap/>
                  <w:vAlign w:val="center"/>
                </w:tcPr>
                <w:p>
                  <w:pPr>
                    <w:widowControl/>
                    <w:jc w:val="center"/>
                    <w:rPr>
                      <w:rFonts w:ascii="Times New Roman" w:hAnsi="Times New Roman" w:eastAsia="宋体" w:cs="Times New Roman"/>
                      <w:color w:val="000000"/>
                      <w:sz w:val="21"/>
                      <w:szCs w:val="21"/>
                      <w:lang w:eastAsia="zh-CN"/>
                    </w:rPr>
                  </w:pPr>
                  <w:r>
                    <w:rPr>
                      <w:rFonts w:ascii="Times New Roman" w:hAnsi="Times New Roman" w:eastAsia="宋体" w:cs="Times New Roman"/>
                      <w:color w:val="000000"/>
                      <w:sz w:val="21"/>
                      <w:szCs w:val="21"/>
                      <w:lang w:eastAsia="zh-CN"/>
                    </w:rPr>
                    <w:t>一般排放口</w:t>
                  </w:r>
                </w:p>
              </w:tc>
              <w:tc>
                <w:tcPr>
                  <w:tcW w:w="1293" w:type="dxa"/>
                  <w:noWrap/>
                  <w:vAlign w:val="center"/>
                </w:tcPr>
                <w:p>
                  <w:pPr>
                    <w:jc w:val="center"/>
                    <w:textAlignment w:val="center"/>
                    <w:rPr>
                      <w:rFonts w:ascii="Times New Roman" w:hAnsi="Times New Roman" w:eastAsia="宋体" w:cs="Times New Roman"/>
                      <w:color w:val="000000"/>
                      <w:sz w:val="21"/>
                      <w:szCs w:val="21"/>
                      <w:lang w:eastAsia="zh-CN"/>
                    </w:rPr>
                  </w:pPr>
                  <w:r>
                    <w:rPr>
                      <w:rFonts w:ascii="Times New Roman" w:hAnsi="Times New Roman" w:eastAsia="宋体" w:cs="Times New Roman"/>
                      <w:color w:val="000000"/>
                      <w:sz w:val="21"/>
                      <w:szCs w:val="21"/>
                      <w:lang w:eastAsia="zh-CN"/>
                    </w:rPr>
                    <w:t>119.404360</w:t>
                  </w:r>
                </w:p>
              </w:tc>
              <w:tc>
                <w:tcPr>
                  <w:tcW w:w="1195" w:type="dxa"/>
                  <w:noWrap/>
                  <w:vAlign w:val="center"/>
                </w:tcPr>
                <w:p>
                  <w:pPr>
                    <w:jc w:val="center"/>
                    <w:textAlignment w:val="center"/>
                    <w:rPr>
                      <w:rFonts w:ascii="Times New Roman" w:hAnsi="Times New Roman" w:eastAsia="宋体" w:cs="Times New Roman"/>
                      <w:color w:val="000000"/>
                      <w:sz w:val="21"/>
                      <w:szCs w:val="21"/>
                      <w:lang w:eastAsia="zh-CN"/>
                    </w:rPr>
                  </w:pPr>
                  <w:r>
                    <w:rPr>
                      <w:rFonts w:ascii="Times New Roman" w:hAnsi="Times New Roman" w:eastAsia="宋体" w:cs="Times New Roman"/>
                      <w:color w:val="000000"/>
                      <w:sz w:val="21"/>
                      <w:szCs w:val="21"/>
                      <w:lang w:eastAsia="zh-CN"/>
                    </w:rPr>
                    <w:t>25.723692</w:t>
                  </w:r>
                </w:p>
              </w:tc>
              <w:tc>
                <w:tcPr>
                  <w:tcW w:w="3868" w:type="dxa"/>
                  <w:noWrap/>
                  <w:vAlign w:val="center"/>
                </w:tcPr>
                <w:p>
                  <w:pPr>
                    <w:widowControl/>
                    <w:jc w:val="center"/>
                    <w:rPr>
                      <w:rFonts w:ascii="Times New Roman" w:hAnsi="Times New Roman" w:eastAsia="宋体" w:cs="Times New Roman"/>
                      <w:color w:val="000000"/>
                      <w:sz w:val="21"/>
                      <w:szCs w:val="21"/>
                      <w:lang w:eastAsia="zh-CN"/>
                    </w:rPr>
                  </w:pPr>
                  <w:r>
                    <w:rPr>
                      <w:rFonts w:ascii="Times New Roman" w:hAnsi="Times New Roman" w:eastAsia="宋体" w:cs="Times New Roman"/>
                      <w:color w:val="000000"/>
                      <w:sz w:val="21"/>
                      <w:szCs w:val="21"/>
                      <w:lang w:eastAsia="zh-CN"/>
                    </w:rPr>
                    <w:t>《污水综合排放标准》</w:t>
                  </w:r>
                  <w:r>
                    <w:rPr>
                      <w:rFonts w:hint="eastAsia" w:ascii="Times New Roman" w:hAnsi="Times New Roman" w:eastAsia="宋体" w:cs="Times New Roman"/>
                      <w:color w:val="000000"/>
                      <w:sz w:val="21"/>
                      <w:szCs w:val="21"/>
                      <w:lang w:eastAsia="zh-CN"/>
                    </w:rPr>
                    <w:t>（</w:t>
                  </w:r>
                  <w:r>
                    <w:rPr>
                      <w:rFonts w:ascii="Times New Roman" w:hAnsi="Times New Roman" w:eastAsia="宋体" w:cs="Times New Roman"/>
                      <w:color w:val="000000"/>
                      <w:sz w:val="21"/>
                      <w:szCs w:val="21"/>
                      <w:lang w:eastAsia="zh-CN"/>
                    </w:rPr>
                    <w:t>GB8978-1996</w:t>
                  </w:r>
                  <w:r>
                    <w:rPr>
                      <w:rFonts w:hint="eastAsia" w:ascii="Times New Roman" w:hAnsi="Times New Roman" w:eastAsia="宋体" w:cs="Times New Roman"/>
                      <w:color w:val="000000"/>
                      <w:sz w:val="21"/>
                      <w:szCs w:val="21"/>
                      <w:lang w:eastAsia="zh-CN"/>
                    </w:rPr>
                    <w:t>）</w:t>
                  </w:r>
                  <w:r>
                    <w:rPr>
                      <w:rFonts w:ascii="Times New Roman" w:hAnsi="Times New Roman" w:eastAsia="宋体" w:cs="Times New Roman"/>
                      <w:color w:val="000000"/>
                      <w:sz w:val="21"/>
                      <w:szCs w:val="21"/>
                      <w:lang w:eastAsia="zh-CN"/>
                    </w:rPr>
                    <w:t>表4三级标准</w:t>
                  </w:r>
                  <w:r>
                    <w:rPr>
                      <w:rFonts w:hint="eastAsia" w:ascii="Times New Roman" w:hAnsi="Times New Roman" w:eastAsia="宋体" w:cs="Times New Roman"/>
                      <w:color w:val="000000"/>
                      <w:sz w:val="21"/>
                      <w:szCs w:val="21"/>
                      <w:lang w:eastAsia="zh-CN"/>
                    </w:rPr>
                    <w:t>（</w:t>
                  </w:r>
                  <w:r>
                    <w:rPr>
                      <w:rFonts w:ascii="Times New Roman" w:hAnsi="Times New Roman" w:eastAsia="宋体" w:cs="Times New Roman"/>
                      <w:color w:val="000000"/>
                      <w:sz w:val="21"/>
                      <w:szCs w:val="21"/>
                      <w:lang w:eastAsia="zh-CN"/>
                    </w:rPr>
                    <w:t>其中NH</w:t>
                  </w:r>
                  <w:r>
                    <w:rPr>
                      <w:rFonts w:ascii="Times New Roman" w:hAnsi="Times New Roman" w:eastAsia="宋体" w:cs="Times New Roman"/>
                      <w:color w:val="000000"/>
                      <w:sz w:val="21"/>
                      <w:szCs w:val="21"/>
                      <w:vertAlign w:val="subscript"/>
                      <w:lang w:eastAsia="zh-CN"/>
                    </w:rPr>
                    <w:t>3</w:t>
                  </w:r>
                  <w:r>
                    <w:rPr>
                      <w:rFonts w:ascii="Times New Roman" w:hAnsi="Times New Roman" w:eastAsia="宋体" w:cs="Times New Roman"/>
                      <w:color w:val="000000"/>
                      <w:sz w:val="21"/>
                      <w:szCs w:val="21"/>
                      <w:lang w:eastAsia="zh-CN"/>
                    </w:rPr>
                    <w:t>-N指标执行《污水排入城镇下水道水质标准》</w:t>
                  </w:r>
                  <w:r>
                    <w:rPr>
                      <w:rFonts w:hint="eastAsia" w:ascii="Times New Roman" w:hAnsi="Times New Roman" w:eastAsia="宋体" w:cs="Times New Roman"/>
                      <w:color w:val="000000"/>
                      <w:sz w:val="21"/>
                      <w:szCs w:val="21"/>
                      <w:lang w:eastAsia="zh-CN"/>
                    </w:rPr>
                    <w:t>（</w:t>
                  </w:r>
                  <w:r>
                    <w:rPr>
                      <w:rFonts w:ascii="Times New Roman" w:hAnsi="Times New Roman" w:eastAsia="宋体" w:cs="Times New Roman"/>
                      <w:color w:val="000000"/>
                      <w:sz w:val="21"/>
                      <w:szCs w:val="21"/>
                      <w:lang w:eastAsia="zh-CN"/>
                    </w:rPr>
                    <w:t>GB/T31962-2015</w:t>
                  </w:r>
                  <w:r>
                    <w:rPr>
                      <w:rFonts w:hint="eastAsia" w:ascii="Times New Roman" w:hAnsi="Times New Roman" w:eastAsia="宋体" w:cs="Times New Roman"/>
                      <w:color w:val="000000"/>
                      <w:sz w:val="21"/>
                      <w:szCs w:val="21"/>
                      <w:lang w:eastAsia="zh-CN"/>
                    </w:rPr>
                    <w:t>）</w:t>
                  </w:r>
                  <w:r>
                    <w:rPr>
                      <w:rFonts w:ascii="Times New Roman" w:hAnsi="Times New Roman" w:eastAsia="宋体" w:cs="Times New Roman"/>
                      <w:color w:val="000000"/>
                      <w:sz w:val="21"/>
                      <w:szCs w:val="21"/>
                      <w:lang w:eastAsia="zh-CN"/>
                    </w:rPr>
                    <w:t>表1中B级标准</w:t>
                  </w:r>
                  <w:r>
                    <w:rPr>
                      <w:rFonts w:hint="eastAsia" w:ascii="Times New Roman" w:hAnsi="Times New Roman" w:eastAsia="宋体" w:cs="Times New Roman"/>
                      <w:color w:val="000000"/>
                      <w:sz w:val="21"/>
                      <w:szCs w:val="21"/>
                      <w:lang w:eastAsia="zh-CN"/>
                    </w:rPr>
                    <w:t>）</w:t>
                  </w:r>
                </w:p>
              </w:tc>
            </w:tr>
          </w:tbl>
          <w:p>
            <w:pPr>
              <w:tabs>
                <w:tab w:val="left" w:pos="3060"/>
              </w:tabs>
              <w:spacing w:line="460" w:lineRule="exact"/>
              <w:ind w:firstLine="482" w:firstLineChars="200"/>
              <w:jc w:val="both"/>
              <w:rPr>
                <w:rFonts w:ascii="Times New Roman" w:hAnsi="Times New Roman" w:eastAsia="宋体" w:cs="Times New Roman"/>
                <w:b/>
                <w:bCs/>
                <w:sz w:val="24"/>
                <w:lang w:eastAsia="zh-CN"/>
              </w:rPr>
            </w:pPr>
            <w:r>
              <w:rPr>
                <w:rFonts w:ascii="Times New Roman" w:hAnsi="Times New Roman" w:eastAsia="宋体" w:cs="Times New Roman"/>
                <w:b/>
                <w:bCs/>
                <w:sz w:val="24"/>
                <w:lang w:eastAsia="zh-CN"/>
              </w:rPr>
              <w:t>2.</w:t>
            </w:r>
            <w:r>
              <w:rPr>
                <w:rFonts w:hint="eastAsia" w:ascii="Times New Roman" w:hAnsi="Times New Roman" w:eastAsia="宋体" w:cs="Times New Roman"/>
                <w:b/>
                <w:bCs/>
                <w:sz w:val="24"/>
                <w:lang w:eastAsia="zh-CN"/>
              </w:rPr>
              <w:t>2</w:t>
            </w:r>
            <w:r>
              <w:rPr>
                <w:rFonts w:ascii="Times New Roman" w:hAnsi="Times New Roman" w:eastAsia="宋体" w:cs="Times New Roman"/>
                <w:b/>
                <w:bCs/>
                <w:sz w:val="24"/>
                <w:lang w:eastAsia="zh-CN"/>
              </w:rPr>
              <w:t>废水</w:t>
            </w:r>
            <w:r>
              <w:rPr>
                <w:rFonts w:hint="eastAsia" w:ascii="Times New Roman" w:hAnsi="Times New Roman" w:eastAsia="宋体" w:cs="Times New Roman"/>
                <w:b/>
                <w:bCs/>
                <w:sz w:val="24"/>
                <w:lang w:eastAsia="zh-CN"/>
              </w:rPr>
              <w:t>排放达标分析</w:t>
            </w:r>
          </w:p>
          <w:p>
            <w:pPr>
              <w:spacing w:line="460" w:lineRule="exact"/>
              <w:ind w:firstLine="480" w:firstLineChars="200"/>
              <w:jc w:val="both"/>
              <w:rPr>
                <w:rFonts w:ascii="Times New Roman" w:hAnsi="Times New Roman" w:cs="Times New Roman"/>
                <w:b/>
                <w:sz w:val="21"/>
                <w:szCs w:val="21"/>
                <w:lang w:eastAsia="zh-CN"/>
              </w:rPr>
            </w:pPr>
            <w:r>
              <w:rPr>
                <w:rFonts w:ascii="Times New Roman" w:hAnsi="Times New Roman" w:eastAsia="宋体" w:cs="Times New Roman"/>
                <w:sz w:val="24"/>
                <w:lang w:eastAsia="zh-CN"/>
              </w:rPr>
              <w:t>项目</w:t>
            </w:r>
            <w:r>
              <w:rPr>
                <w:rFonts w:ascii="Times New Roman" w:hAnsi="Times New Roman" w:cs="Times New Roman"/>
                <w:sz w:val="24"/>
                <w:lang w:eastAsia="zh-CN"/>
              </w:rPr>
              <w:t>废水</w:t>
            </w:r>
            <w:r>
              <w:rPr>
                <w:rFonts w:hint="eastAsia" w:ascii="Times New Roman" w:hAnsi="Times New Roman" w:eastAsia="宋体" w:cs="Times New Roman"/>
                <w:sz w:val="24"/>
                <w:lang w:eastAsia="zh-CN"/>
              </w:rPr>
              <w:t>达标情况</w:t>
            </w:r>
            <w:r>
              <w:rPr>
                <w:rFonts w:ascii="Times New Roman" w:hAnsi="Times New Roman" w:cs="Times New Roman"/>
                <w:sz w:val="24"/>
                <w:lang w:eastAsia="zh-CN"/>
              </w:rPr>
              <w:t>见表</w:t>
            </w:r>
            <w:r>
              <w:rPr>
                <w:rFonts w:hint="eastAsia" w:ascii="Times New Roman" w:hAnsi="Times New Roman" w:eastAsia="宋体" w:cs="Times New Roman"/>
                <w:bCs/>
                <w:sz w:val="24"/>
                <w:lang w:eastAsia="zh-CN"/>
              </w:rPr>
              <w:t>4.2-13</w:t>
            </w:r>
            <w:r>
              <w:rPr>
                <w:rFonts w:ascii="Times New Roman" w:hAnsi="Times New Roman" w:cs="Times New Roman"/>
                <w:sz w:val="24"/>
                <w:lang w:eastAsia="zh-CN"/>
              </w:rPr>
              <w:t>。</w:t>
            </w:r>
          </w:p>
          <w:p>
            <w:pPr>
              <w:pStyle w:val="42"/>
              <w:spacing w:before="120"/>
            </w:pPr>
            <w:r>
              <w:t>表</w:t>
            </w:r>
            <w:r>
              <w:rPr>
                <w:rFonts w:hint="eastAsia"/>
              </w:rPr>
              <w:t>4.2-</w:t>
            </w:r>
            <w:r>
              <w:rPr>
                <w:rFonts w:hint="eastAsia" w:eastAsiaTheme="minorEastAsia"/>
              </w:rPr>
              <w:t>13</w:t>
            </w:r>
            <w:r>
              <w:t xml:space="preserve">  项目废水污染物达标情况一览表</w:t>
            </w:r>
          </w:p>
          <w:tbl>
            <w:tblPr>
              <w:tblStyle w:val="47"/>
              <w:tblW w:w="497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60"/>
              <w:gridCol w:w="1984"/>
              <w:gridCol w:w="2126"/>
              <w:gridCol w:w="2341"/>
              <w:gridCol w:w="108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717" w:type="pct"/>
                  <w:vAlign w:val="center"/>
                </w:tcPr>
                <w:p>
                  <w:pPr>
                    <w:pStyle w:val="39"/>
                  </w:pPr>
                  <w:r>
                    <w:t>废水</w:t>
                  </w:r>
                  <w:r>
                    <w:rPr>
                      <w:rFonts w:hint="eastAsia"/>
                    </w:rPr>
                    <w:t>类型</w:t>
                  </w:r>
                </w:p>
              </w:tc>
              <w:tc>
                <w:tcPr>
                  <w:tcW w:w="1128" w:type="pct"/>
                  <w:vAlign w:val="center"/>
                </w:tcPr>
                <w:p>
                  <w:pPr>
                    <w:pStyle w:val="39"/>
                  </w:pPr>
                  <w:r>
                    <w:t>主要污染物名称</w:t>
                  </w:r>
                </w:p>
              </w:tc>
              <w:tc>
                <w:tcPr>
                  <w:tcW w:w="1209" w:type="pct"/>
                  <w:vAlign w:val="center"/>
                </w:tcPr>
                <w:p>
                  <w:pPr>
                    <w:pStyle w:val="39"/>
                  </w:pPr>
                  <w:r>
                    <w:rPr>
                      <w:rFonts w:hint="eastAsia"/>
                    </w:rPr>
                    <w:t>厂区出水</w:t>
                  </w:r>
                  <w:r>
                    <w:t>浓度mg/L</w:t>
                  </w:r>
                </w:p>
              </w:tc>
              <w:tc>
                <w:tcPr>
                  <w:tcW w:w="1331" w:type="pct"/>
                  <w:vAlign w:val="center"/>
                </w:tcPr>
                <w:p>
                  <w:pPr>
                    <w:pStyle w:val="39"/>
                  </w:pPr>
                  <w:r>
                    <w:rPr>
                      <w:rFonts w:hint="eastAsia"/>
                    </w:rPr>
                    <w:t>排放</w:t>
                  </w:r>
                  <w:r>
                    <w:t>浓度限值mg/L</w:t>
                  </w:r>
                </w:p>
              </w:tc>
              <w:tc>
                <w:tcPr>
                  <w:tcW w:w="614" w:type="pct"/>
                  <w:vAlign w:val="center"/>
                </w:tcPr>
                <w:p>
                  <w:pPr>
                    <w:pStyle w:val="39"/>
                  </w:pPr>
                  <w:r>
                    <w:rPr>
                      <w:rFonts w:hint="eastAsia"/>
                    </w:rPr>
                    <w:t>达标情况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7" w:type="pct"/>
                  <w:vMerge w:val="restart"/>
                  <w:vAlign w:val="center"/>
                </w:tcPr>
                <w:p>
                  <w:pPr>
                    <w:pStyle w:val="39"/>
                  </w:pPr>
                  <w:r>
                    <w:rPr>
                      <w:rFonts w:hint="eastAsia" w:eastAsiaTheme="minorEastAsia"/>
                    </w:rPr>
                    <w:t>综合废水</w:t>
                  </w:r>
                </w:p>
              </w:tc>
              <w:tc>
                <w:tcPr>
                  <w:tcW w:w="1128" w:type="pct"/>
                  <w:vAlign w:val="center"/>
                </w:tcPr>
                <w:p>
                  <w:pPr>
                    <w:pStyle w:val="39"/>
                    <w:rPr>
                      <w:rFonts w:eastAsiaTheme="minorEastAsia"/>
                    </w:rPr>
                  </w:pPr>
                  <w:r>
                    <w:t>废水量</w:t>
                  </w:r>
                  <w:r>
                    <w:rPr>
                      <w:rFonts w:hint="eastAsia"/>
                    </w:rPr>
                    <w:t>（</w:t>
                  </w:r>
                  <w:r>
                    <w:t>m</w:t>
                  </w:r>
                  <w:r>
                    <w:rPr>
                      <w:vertAlign w:val="superscript"/>
                    </w:rPr>
                    <w:t>3</w:t>
                  </w:r>
                  <w:r>
                    <w:t>/a</w:t>
                  </w:r>
                  <w:r>
                    <w:rPr>
                      <w:rFonts w:hint="eastAsia"/>
                    </w:rPr>
                    <w:t>）</w:t>
                  </w:r>
                </w:p>
              </w:tc>
              <w:tc>
                <w:tcPr>
                  <w:tcW w:w="1209" w:type="pct"/>
                  <w:vAlign w:val="center"/>
                </w:tcPr>
                <w:p>
                  <w:pPr>
                    <w:pStyle w:val="39"/>
                    <w:rPr>
                      <w:color w:val="000000"/>
                      <w:lang w:bidi="ar"/>
                    </w:rPr>
                  </w:pPr>
                  <w:r>
                    <w:rPr>
                      <w:rFonts w:hint="eastAsia"/>
                      <w:color w:val="000000"/>
                      <w:lang w:bidi="ar"/>
                    </w:rPr>
                    <w:t>1083.13</w:t>
                  </w:r>
                </w:p>
              </w:tc>
              <w:tc>
                <w:tcPr>
                  <w:tcW w:w="1331" w:type="pct"/>
                  <w:vAlign w:val="center"/>
                </w:tcPr>
                <w:p>
                  <w:pPr>
                    <w:pStyle w:val="39"/>
                  </w:pPr>
                  <w:r>
                    <w:rPr>
                      <w:rFonts w:hint="eastAsia"/>
                    </w:rPr>
                    <w:t>/</w:t>
                  </w:r>
                </w:p>
              </w:tc>
              <w:tc>
                <w:tcPr>
                  <w:tcW w:w="614" w:type="pct"/>
                  <w:vAlign w:val="center"/>
                </w:tcPr>
                <w:p>
                  <w:pPr>
                    <w:pStyle w:val="39"/>
                  </w:pPr>
                  <w:r>
                    <w:rPr>
                      <w:rFonts w:hint="eastAsi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717" w:type="pct"/>
                  <w:vMerge w:val="continue"/>
                  <w:vAlign w:val="center"/>
                </w:tcPr>
                <w:p>
                  <w:pPr>
                    <w:pStyle w:val="39"/>
                  </w:pPr>
                </w:p>
              </w:tc>
              <w:tc>
                <w:tcPr>
                  <w:tcW w:w="1128" w:type="pct"/>
                  <w:vAlign w:val="center"/>
                </w:tcPr>
                <w:p>
                  <w:pPr>
                    <w:pStyle w:val="39"/>
                  </w:pPr>
                  <w:r>
                    <w:rPr>
                      <w:rFonts w:eastAsiaTheme="minorEastAsia"/>
                    </w:rPr>
                    <w:t>COD</w:t>
                  </w:r>
                </w:p>
              </w:tc>
              <w:tc>
                <w:tcPr>
                  <w:tcW w:w="1209" w:type="pct"/>
                  <w:vAlign w:val="center"/>
                </w:tcPr>
                <w:p>
                  <w:pPr>
                    <w:pStyle w:val="39"/>
                    <w:rPr>
                      <w:rFonts w:eastAsiaTheme="minorEastAsia"/>
                    </w:rPr>
                  </w:pPr>
                  <w:r>
                    <w:rPr>
                      <w:rFonts w:hint="eastAsia" w:eastAsiaTheme="minorEastAsia"/>
                    </w:rPr>
                    <w:t>325.0</w:t>
                  </w:r>
                </w:p>
              </w:tc>
              <w:tc>
                <w:tcPr>
                  <w:tcW w:w="1331" w:type="pct"/>
                  <w:vAlign w:val="center"/>
                </w:tcPr>
                <w:p>
                  <w:pPr>
                    <w:pStyle w:val="39"/>
                  </w:pPr>
                  <w:r>
                    <w:rPr>
                      <w:rFonts w:hint="eastAsia"/>
                    </w:rPr>
                    <w:t>500</w:t>
                  </w:r>
                </w:p>
              </w:tc>
              <w:tc>
                <w:tcPr>
                  <w:tcW w:w="614" w:type="pct"/>
                  <w:vAlign w:val="center"/>
                </w:tcPr>
                <w:p>
                  <w:pPr>
                    <w:pStyle w:val="39"/>
                  </w:pPr>
                  <w:r>
                    <w:rPr>
                      <w:rFonts w:hint="eastAsia"/>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717" w:type="pct"/>
                  <w:vMerge w:val="continue"/>
                  <w:vAlign w:val="center"/>
                </w:tcPr>
                <w:p>
                  <w:pPr>
                    <w:pStyle w:val="39"/>
                  </w:pPr>
                </w:p>
              </w:tc>
              <w:tc>
                <w:tcPr>
                  <w:tcW w:w="1128" w:type="pct"/>
                  <w:vAlign w:val="center"/>
                </w:tcPr>
                <w:p>
                  <w:pPr>
                    <w:pStyle w:val="39"/>
                  </w:pPr>
                  <w:r>
                    <w:rPr>
                      <w:rFonts w:hint="eastAsia"/>
                    </w:rPr>
                    <w:t>BOD</w:t>
                  </w:r>
                </w:p>
              </w:tc>
              <w:tc>
                <w:tcPr>
                  <w:tcW w:w="1209" w:type="pct"/>
                  <w:vAlign w:val="center"/>
                </w:tcPr>
                <w:p>
                  <w:pPr>
                    <w:pStyle w:val="39"/>
                    <w:rPr>
                      <w:rFonts w:eastAsiaTheme="minorEastAsia"/>
                    </w:rPr>
                  </w:pPr>
                  <w:r>
                    <w:rPr>
                      <w:rFonts w:hint="eastAsia" w:eastAsiaTheme="minorEastAsia"/>
                    </w:rPr>
                    <w:t>172.6</w:t>
                  </w:r>
                </w:p>
              </w:tc>
              <w:tc>
                <w:tcPr>
                  <w:tcW w:w="1331" w:type="pct"/>
                  <w:vAlign w:val="center"/>
                </w:tcPr>
                <w:p>
                  <w:pPr>
                    <w:pStyle w:val="39"/>
                  </w:pPr>
                  <w:r>
                    <w:rPr>
                      <w:rFonts w:hint="eastAsia"/>
                    </w:rPr>
                    <w:t>300</w:t>
                  </w:r>
                </w:p>
              </w:tc>
              <w:tc>
                <w:tcPr>
                  <w:tcW w:w="614" w:type="pct"/>
                  <w:vAlign w:val="center"/>
                </w:tcPr>
                <w:p>
                  <w:pPr>
                    <w:pStyle w:val="39"/>
                  </w:pPr>
                  <w:r>
                    <w:rPr>
                      <w:rFonts w:hint="eastAsia"/>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717" w:type="pct"/>
                  <w:vMerge w:val="continue"/>
                  <w:vAlign w:val="center"/>
                </w:tcPr>
                <w:p>
                  <w:pPr>
                    <w:pStyle w:val="39"/>
                  </w:pPr>
                </w:p>
              </w:tc>
              <w:tc>
                <w:tcPr>
                  <w:tcW w:w="1128" w:type="pct"/>
                  <w:vAlign w:val="center"/>
                </w:tcPr>
                <w:p>
                  <w:pPr>
                    <w:pStyle w:val="39"/>
                  </w:pPr>
                  <w:r>
                    <w:rPr>
                      <w:rFonts w:eastAsiaTheme="minorEastAsia"/>
                    </w:rPr>
                    <w:t>SS</w:t>
                  </w:r>
                </w:p>
              </w:tc>
              <w:tc>
                <w:tcPr>
                  <w:tcW w:w="1209" w:type="pct"/>
                  <w:vAlign w:val="center"/>
                </w:tcPr>
                <w:p>
                  <w:pPr>
                    <w:pStyle w:val="39"/>
                    <w:rPr>
                      <w:rFonts w:eastAsiaTheme="minorEastAsia"/>
                    </w:rPr>
                  </w:pPr>
                  <w:r>
                    <w:rPr>
                      <w:rFonts w:hint="eastAsia" w:eastAsiaTheme="minorEastAsia"/>
                    </w:rPr>
                    <w:t>82.2</w:t>
                  </w:r>
                </w:p>
              </w:tc>
              <w:tc>
                <w:tcPr>
                  <w:tcW w:w="1331" w:type="pct"/>
                  <w:vAlign w:val="center"/>
                </w:tcPr>
                <w:p>
                  <w:pPr>
                    <w:pStyle w:val="39"/>
                  </w:pPr>
                  <w:r>
                    <w:rPr>
                      <w:rFonts w:hint="eastAsia"/>
                    </w:rPr>
                    <w:t>400</w:t>
                  </w:r>
                </w:p>
              </w:tc>
              <w:tc>
                <w:tcPr>
                  <w:tcW w:w="614" w:type="pct"/>
                  <w:vAlign w:val="center"/>
                </w:tcPr>
                <w:p>
                  <w:pPr>
                    <w:pStyle w:val="39"/>
                  </w:pPr>
                  <w:r>
                    <w:rPr>
                      <w:rFonts w:hint="eastAsia"/>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717" w:type="pct"/>
                  <w:vMerge w:val="continue"/>
                  <w:vAlign w:val="center"/>
                </w:tcPr>
                <w:p>
                  <w:pPr>
                    <w:pStyle w:val="39"/>
                  </w:pPr>
                </w:p>
              </w:tc>
              <w:tc>
                <w:tcPr>
                  <w:tcW w:w="1128" w:type="pct"/>
                  <w:vAlign w:val="center"/>
                </w:tcPr>
                <w:p>
                  <w:pPr>
                    <w:pStyle w:val="39"/>
                  </w:pPr>
                  <w:r>
                    <w:rPr>
                      <w:rFonts w:eastAsiaTheme="minorEastAsia"/>
                    </w:rPr>
                    <w:t>NH</w:t>
                  </w:r>
                  <w:r>
                    <w:rPr>
                      <w:rFonts w:eastAsiaTheme="minorEastAsia"/>
                      <w:vertAlign w:val="subscript"/>
                    </w:rPr>
                    <w:t>3</w:t>
                  </w:r>
                  <w:r>
                    <w:rPr>
                      <w:rFonts w:eastAsiaTheme="minorEastAsia"/>
                    </w:rPr>
                    <w:t>-N</w:t>
                  </w:r>
                </w:p>
              </w:tc>
              <w:tc>
                <w:tcPr>
                  <w:tcW w:w="1209" w:type="pct"/>
                  <w:vAlign w:val="center"/>
                </w:tcPr>
                <w:p>
                  <w:pPr>
                    <w:pStyle w:val="39"/>
                    <w:rPr>
                      <w:rFonts w:eastAsiaTheme="minorEastAsia"/>
                    </w:rPr>
                  </w:pPr>
                  <w:r>
                    <w:rPr>
                      <w:rFonts w:hint="eastAsia" w:eastAsiaTheme="minorEastAsia"/>
                    </w:rPr>
                    <w:t>33.2</w:t>
                  </w:r>
                </w:p>
              </w:tc>
              <w:tc>
                <w:tcPr>
                  <w:tcW w:w="1331" w:type="pct"/>
                  <w:vAlign w:val="center"/>
                </w:tcPr>
                <w:p>
                  <w:pPr>
                    <w:pStyle w:val="39"/>
                  </w:pPr>
                  <w:r>
                    <w:rPr>
                      <w:rFonts w:hint="eastAsia"/>
                    </w:rPr>
                    <w:t>45</w:t>
                  </w:r>
                </w:p>
              </w:tc>
              <w:tc>
                <w:tcPr>
                  <w:tcW w:w="614" w:type="pct"/>
                  <w:vAlign w:val="center"/>
                </w:tcPr>
                <w:p>
                  <w:pPr>
                    <w:pStyle w:val="39"/>
                  </w:pPr>
                  <w:r>
                    <w:rPr>
                      <w:rFonts w:hint="eastAsia"/>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717" w:type="pct"/>
                  <w:vMerge w:val="continue"/>
                  <w:vAlign w:val="center"/>
                </w:tcPr>
                <w:p>
                  <w:pPr>
                    <w:pStyle w:val="39"/>
                  </w:pPr>
                </w:p>
              </w:tc>
              <w:tc>
                <w:tcPr>
                  <w:tcW w:w="1128" w:type="pct"/>
                  <w:vAlign w:val="center"/>
                </w:tcPr>
                <w:p>
                  <w:pPr>
                    <w:pStyle w:val="39"/>
                  </w:pPr>
                  <w:r>
                    <w:rPr>
                      <w:rFonts w:hint="eastAsia" w:eastAsiaTheme="minorEastAsia"/>
                    </w:rPr>
                    <w:t>石油类</w:t>
                  </w:r>
                </w:p>
              </w:tc>
              <w:tc>
                <w:tcPr>
                  <w:tcW w:w="1209" w:type="pct"/>
                  <w:vAlign w:val="center"/>
                </w:tcPr>
                <w:p>
                  <w:pPr>
                    <w:pStyle w:val="39"/>
                    <w:rPr>
                      <w:rFonts w:eastAsiaTheme="minorEastAsia"/>
                    </w:rPr>
                  </w:pPr>
                  <w:r>
                    <w:rPr>
                      <w:rFonts w:hint="eastAsia" w:eastAsiaTheme="minorEastAsia"/>
                    </w:rPr>
                    <w:t>0.9</w:t>
                  </w:r>
                </w:p>
              </w:tc>
              <w:tc>
                <w:tcPr>
                  <w:tcW w:w="1331" w:type="pct"/>
                  <w:vAlign w:val="center"/>
                </w:tcPr>
                <w:p>
                  <w:pPr>
                    <w:pStyle w:val="39"/>
                  </w:pPr>
                  <w:r>
                    <w:rPr>
                      <w:rFonts w:hint="eastAsia"/>
                    </w:rPr>
                    <w:t>20</w:t>
                  </w:r>
                </w:p>
              </w:tc>
              <w:tc>
                <w:tcPr>
                  <w:tcW w:w="614" w:type="pct"/>
                  <w:vAlign w:val="center"/>
                </w:tcPr>
                <w:p>
                  <w:pPr>
                    <w:pStyle w:val="39"/>
                  </w:pPr>
                  <w:r>
                    <w:rPr>
                      <w:rFonts w:hint="eastAsia"/>
                    </w:rPr>
                    <w:t>达标</w:t>
                  </w:r>
                </w:p>
              </w:tc>
            </w:tr>
          </w:tbl>
          <w:p>
            <w:pPr>
              <w:tabs>
                <w:tab w:val="left" w:pos="3060"/>
              </w:tabs>
              <w:spacing w:line="460" w:lineRule="exact"/>
              <w:ind w:firstLine="480" w:firstLineChars="200"/>
              <w:jc w:val="both"/>
              <w:rPr>
                <w:rFonts w:ascii="Times New Roman" w:hAnsi="Times New Roman" w:eastAsia="宋体" w:cs="Times New Roman"/>
                <w:sz w:val="24"/>
                <w:szCs w:val="24"/>
                <w:lang w:eastAsia="zh-CN"/>
              </w:rPr>
            </w:pPr>
            <w:r>
              <w:rPr>
                <w:rFonts w:hint="eastAsia" w:ascii="Times New Roman" w:hAnsi="Times New Roman" w:eastAsia="宋体" w:cs="Times New Roman"/>
                <w:sz w:val="24"/>
                <w:szCs w:val="24"/>
                <w:lang w:eastAsia="zh-CN"/>
              </w:rPr>
              <w:t>由表</w:t>
            </w:r>
            <w:r>
              <w:rPr>
                <w:rFonts w:hint="eastAsia" w:ascii="Times New Roman" w:hAnsi="Times New Roman" w:eastAsia="宋体" w:cs="Times New Roman"/>
                <w:bCs/>
                <w:sz w:val="24"/>
                <w:szCs w:val="24"/>
                <w:lang w:eastAsia="zh-CN"/>
              </w:rPr>
              <w:t>4.2-13</w:t>
            </w:r>
            <w:r>
              <w:rPr>
                <w:rFonts w:hint="eastAsia" w:ascii="Times New Roman" w:hAnsi="Times New Roman" w:eastAsia="宋体" w:cs="Times New Roman"/>
                <w:sz w:val="24"/>
                <w:szCs w:val="24"/>
                <w:lang w:eastAsia="zh-CN"/>
              </w:rPr>
              <w:t>可知，项目废水排放口可满足</w:t>
            </w:r>
            <w:r>
              <w:rPr>
                <w:rFonts w:ascii="Times New Roman" w:hAnsi="Times New Roman" w:eastAsia="宋体" w:cs="Times New Roman"/>
                <w:sz w:val="24"/>
                <w:szCs w:val="24"/>
                <w:lang w:eastAsia="zh-CN"/>
              </w:rPr>
              <w:t>《污水综合排放标准》</w:t>
            </w:r>
            <w:r>
              <w:rPr>
                <w:rFonts w:hint="eastAsia" w:ascii="Times New Roman" w:hAnsi="Times New Roman" w:eastAsia="宋体" w:cs="Times New Roman"/>
                <w:sz w:val="24"/>
                <w:szCs w:val="24"/>
                <w:lang w:eastAsia="zh-CN"/>
              </w:rPr>
              <w:t>（</w:t>
            </w:r>
            <w:r>
              <w:rPr>
                <w:rFonts w:ascii="Times New Roman" w:hAnsi="Times New Roman" w:eastAsia="宋体" w:cs="Times New Roman"/>
                <w:sz w:val="24"/>
                <w:szCs w:val="24"/>
                <w:lang w:eastAsia="zh-CN"/>
              </w:rPr>
              <w:t>GB8978-1996</w:t>
            </w:r>
            <w:r>
              <w:rPr>
                <w:rFonts w:hint="eastAsia" w:ascii="Times New Roman" w:hAnsi="Times New Roman" w:eastAsia="宋体" w:cs="Times New Roman"/>
                <w:sz w:val="24"/>
                <w:szCs w:val="24"/>
                <w:lang w:eastAsia="zh-CN"/>
              </w:rPr>
              <w:t>）</w:t>
            </w:r>
            <w:r>
              <w:rPr>
                <w:rFonts w:ascii="Times New Roman" w:hAnsi="Times New Roman" w:eastAsia="宋体" w:cs="Times New Roman"/>
                <w:sz w:val="24"/>
                <w:szCs w:val="24"/>
                <w:lang w:eastAsia="zh-CN"/>
              </w:rPr>
              <w:t>表4三级标准</w:t>
            </w:r>
            <w:r>
              <w:rPr>
                <w:rFonts w:hint="eastAsia" w:ascii="Times New Roman" w:hAnsi="Times New Roman" w:eastAsia="宋体" w:cs="Times New Roman"/>
                <w:sz w:val="24"/>
                <w:szCs w:val="24"/>
                <w:lang w:eastAsia="zh-CN"/>
              </w:rPr>
              <w:t>（</w:t>
            </w:r>
            <w:r>
              <w:rPr>
                <w:rFonts w:ascii="Times New Roman" w:hAnsi="Times New Roman" w:eastAsia="宋体" w:cs="Times New Roman"/>
                <w:sz w:val="24"/>
                <w:szCs w:val="24"/>
                <w:lang w:eastAsia="zh-CN"/>
              </w:rPr>
              <w:t>其中NH</w:t>
            </w:r>
            <w:r>
              <w:rPr>
                <w:rFonts w:ascii="Times New Roman" w:hAnsi="Times New Roman" w:eastAsia="宋体" w:cs="Times New Roman"/>
                <w:sz w:val="24"/>
                <w:szCs w:val="24"/>
                <w:vertAlign w:val="subscript"/>
                <w:lang w:eastAsia="zh-CN"/>
              </w:rPr>
              <w:t>3</w:t>
            </w:r>
            <w:r>
              <w:rPr>
                <w:rFonts w:ascii="Times New Roman" w:hAnsi="Times New Roman" w:eastAsia="宋体" w:cs="Times New Roman"/>
                <w:sz w:val="24"/>
                <w:szCs w:val="24"/>
                <w:lang w:eastAsia="zh-CN"/>
              </w:rPr>
              <w:t>-N指标执行《污水排入城镇下水道水质标准》</w:t>
            </w:r>
            <w:r>
              <w:rPr>
                <w:rFonts w:hint="eastAsia" w:ascii="Times New Roman" w:hAnsi="Times New Roman" w:eastAsia="宋体" w:cs="Times New Roman"/>
                <w:sz w:val="24"/>
                <w:szCs w:val="24"/>
                <w:lang w:eastAsia="zh-CN"/>
              </w:rPr>
              <w:t>（</w:t>
            </w:r>
            <w:r>
              <w:rPr>
                <w:rFonts w:ascii="Times New Roman" w:hAnsi="Times New Roman" w:eastAsia="宋体" w:cs="Times New Roman"/>
                <w:sz w:val="24"/>
                <w:szCs w:val="24"/>
                <w:lang w:eastAsia="zh-CN"/>
              </w:rPr>
              <w:t>GB/T31962-2015</w:t>
            </w:r>
            <w:r>
              <w:rPr>
                <w:rFonts w:hint="eastAsia" w:ascii="Times New Roman" w:hAnsi="Times New Roman" w:eastAsia="宋体" w:cs="Times New Roman"/>
                <w:sz w:val="24"/>
                <w:szCs w:val="24"/>
                <w:lang w:eastAsia="zh-CN"/>
              </w:rPr>
              <w:t>）</w:t>
            </w:r>
            <w:r>
              <w:rPr>
                <w:rFonts w:ascii="Times New Roman" w:hAnsi="Times New Roman" w:eastAsia="宋体" w:cs="Times New Roman"/>
                <w:sz w:val="24"/>
                <w:szCs w:val="24"/>
                <w:lang w:eastAsia="zh-CN"/>
              </w:rPr>
              <w:t>表1中B级标准</w:t>
            </w:r>
            <w:r>
              <w:rPr>
                <w:rFonts w:hint="eastAsia" w:ascii="Times New Roman" w:hAnsi="Times New Roman" w:eastAsia="宋体" w:cs="Times New Roman"/>
                <w:sz w:val="24"/>
                <w:szCs w:val="24"/>
                <w:lang w:eastAsia="zh-CN"/>
              </w:rPr>
              <w:t>）。</w:t>
            </w:r>
          </w:p>
          <w:p>
            <w:pPr>
              <w:tabs>
                <w:tab w:val="left" w:pos="3060"/>
              </w:tabs>
              <w:spacing w:line="460" w:lineRule="exact"/>
              <w:ind w:firstLine="482" w:firstLineChars="200"/>
              <w:jc w:val="both"/>
              <w:rPr>
                <w:rFonts w:ascii="Times New Roman" w:hAnsi="Times New Roman" w:eastAsia="宋体" w:cs="Times New Roman"/>
                <w:b/>
                <w:bCs/>
                <w:sz w:val="24"/>
                <w:lang w:eastAsia="zh-CN"/>
              </w:rPr>
            </w:pPr>
            <w:r>
              <w:rPr>
                <w:rFonts w:ascii="Times New Roman" w:hAnsi="Times New Roman" w:eastAsia="宋体" w:cs="Times New Roman"/>
                <w:b/>
                <w:bCs/>
                <w:sz w:val="24"/>
                <w:lang w:eastAsia="zh-CN"/>
              </w:rPr>
              <w:t>2.</w:t>
            </w:r>
            <w:r>
              <w:rPr>
                <w:rFonts w:hint="eastAsia" w:ascii="Times New Roman" w:hAnsi="Times New Roman" w:eastAsia="宋体" w:cs="Times New Roman"/>
                <w:b/>
                <w:bCs/>
                <w:sz w:val="24"/>
                <w:lang w:eastAsia="zh-CN"/>
              </w:rPr>
              <w:t>3</w:t>
            </w:r>
            <w:r>
              <w:rPr>
                <w:rFonts w:ascii="Times New Roman" w:hAnsi="Times New Roman" w:eastAsia="宋体" w:cs="Times New Roman"/>
                <w:b/>
                <w:bCs/>
                <w:sz w:val="24"/>
                <w:lang w:eastAsia="zh-CN"/>
              </w:rPr>
              <w:t>废水</w:t>
            </w:r>
            <w:r>
              <w:rPr>
                <w:rFonts w:hint="eastAsia" w:ascii="Times New Roman" w:hAnsi="Times New Roman" w:eastAsia="宋体" w:cs="Times New Roman"/>
                <w:b/>
                <w:bCs/>
                <w:sz w:val="24"/>
                <w:lang w:eastAsia="zh-CN"/>
              </w:rPr>
              <w:t>污染防治措施</w:t>
            </w:r>
            <w:r>
              <w:rPr>
                <w:rFonts w:ascii="Times New Roman" w:hAnsi="Times New Roman" w:eastAsia="宋体" w:cs="Times New Roman"/>
                <w:b/>
                <w:bCs/>
                <w:sz w:val="24"/>
                <w:lang w:eastAsia="zh-CN"/>
              </w:rPr>
              <w:t>可行性分析</w:t>
            </w:r>
          </w:p>
          <w:p>
            <w:pPr>
              <w:spacing w:line="460" w:lineRule="exact"/>
              <w:ind w:firstLine="480" w:firstLineChars="200"/>
              <w:jc w:val="both"/>
              <w:rPr>
                <w:rFonts w:ascii="Times New Roman" w:hAnsi="Times New Roman" w:eastAsia="宋体"/>
                <w:bCs/>
                <w:sz w:val="24"/>
                <w:lang w:eastAsia="zh-CN"/>
              </w:rPr>
            </w:pPr>
            <w:r>
              <w:rPr>
                <w:rFonts w:hint="eastAsia" w:ascii="Times New Roman" w:hAnsi="Times New Roman" w:eastAsia="宋体"/>
                <w:bCs/>
                <w:sz w:val="24"/>
                <w:lang w:eastAsia="zh-CN"/>
              </w:rPr>
              <w:t>隔油池工作原理：隔油池是按油类物质的密度一般都比水小，可以依靠油水比重差从水中分离。废水从池的一端流入，以较小的流速流经池体，在流动过程中，密度小于水的油粒上升至水面，水从池的另一端流出。在池体上部设置集油管，收集浮油并将其导出池外。本项目加油棚地面冲洗废水排放量为</w:t>
            </w:r>
            <w:r>
              <w:rPr>
                <w:rFonts w:ascii="Times New Roman" w:hAnsi="Times New Roman" w:eastAsia="宋体"/>
                <w:bCs/>
                <w:sz w:val="24"/>
                <w:lang w:eastAsia="zh-CN" w:bidi="zh-CN"/>
              </w:rPr>
              <w:t>0</w:t>
            </w:r>
            <w:r>
              <w:rPr>
                <w:rFonts w:hint="eastAsia" w:ascii="Times New Roman" w:hAnsi="Times New Roman" w:eastAsia="宋体"/>
                <w:bCs/>
                <w:sz w:val="24"/>
                <w:lang w:eastAsia="zh-CN" w:bidi="zh-CN"/>
              </w:rPr>
              <w:t>.836</w:t>
            </w:r>
            <w:r>
              <w:rPr>
                <w:rFonts w:ascii="Times New Roman" w:hAnsi="Times New Roman" w:eastAsia="宋体"/>
                <w:bCs/>
                <w:sz w:val="24"/>
                <w:lang w:eastAsia="zh-CN" w:bidi="zh-CN"/>
              </w:rPr>
              <w:t>m</w:t>
            </w:r>
            <w:r>
              <w:rPr>
                <w:rFonts w:ascii="Times New Roman" w:hAnsi="Times New Roman" w:eastAsia="宋体"/>
                <w:bCs/>
                <w:sz w:val="24"/>
                <w:vertAlign w:val="superscript"/>
                <w:lang w:eastAsia="zh-CN" w:bidi="zh-CN"/>
              </w:rPr>
              <w:t>3</w:t>
            </w:r>
            <w:r>
              <w:rPr>
                <w:rFonts w:ascii="Times New Roman" w:hAnsi="Times New Roman" w:eastAsia="宋体"/>
                <w:bCs/>
                <w:sz w:val="24"/>
                <w:lang w:eastAsia="zh-CN" w:bidi="zh-CN"/>
              </w:rPr>
              <w:t>/次</w:t>
            </w:r>
            <w:r>
              <w:rPr>
                <w:rFonts w:hint="eastAsia" w:ascii="Times New Roman" w:hAnsi="Times New Roman" w:eastAsia="宋体"/>
                <w:bCs/>
                <w:sz w:val="24"/>
                <w:lang w:eastAsia="zh-CN"/>
              </w:rPr>
              <w:t>，</w:t>
            </w:r>
            <w:r>
              <w:rPr>
                <w:rFonts w:ascii="Times New Roman" w:hAnsi="Times New Roman" w:eastAsia="宋体"/>
                <w:bCs/>
                <w:sz w:val="24"/>
                <w:lang w:eastAsia="zh-CN"/>
              </w:rPr>
              <w:t>初期雨水约</w:t>
            </w:r>
            <w:r>
              <w:rPr>
                <w:rFonts w:hint="eastAsia" w:ascii="Times New Roman" w:hAnsi="Times New Roman" w:eastAsia="宋体"/>
                <w:bCs/>
                <w:sz w:val="24"/>
                <w:lang w:eastAsia="zh-CN"/>
              </w:rPr>
              <w:t>2.51</w:t>
            </w:r>
            <w:r>
              <w:rPr>
                <w:rFonts w:ascii="Times New Roman" w:hAnsi="Times New Roman" w:eastAsia="宋体"/>
                <w:bCs/>
                <w:sz w:val="24"/>
                <w:lang w:eastAsia="zh-CN"/>
              </w:rPr>
              <w:t>m</w:t>
            </w:r>
            <w:r>
              <w:rPr>
                <w:rFonts w:ascii="Times New Roman" w:hAnsi="Times New Roman" w:eastAsia="宋体"/>
                <w:bCs/>
                <w:sz w:val="24"/>
                <w:vertAlign w:val="superscript"/>
                <w:lang w:eastAsia="zh-CN"/>
              </w:rPr>
              <w:t>3</w:t>
            </w:r>
            <w:r>
              <w:rPr>
                <w:rFonts w:hint="eastAsia" w:ascii="Times New Roman" w:hAnsi="Times New Roman" w:eastAsia="宋体"/>
                <w:bCs/>
                <w:sz w:val="24"/>
                <w:lang w:eastAsia="zh-CN"/>
              </w:rPr>
              <w:t>/次。经集油沟收集后排入隔油池处理。项目拟建</w:t>
            </w:r>
            <w:r>
              <w:rPr>
                <w:rFonts w:ascii="Times New Roman" w:hAnsi="Times New Roman" w:eastAsia="宋体"/>
                <w:bCs/>
                <w:sz w:val="24"/>
                <w:lang w:eastAsia="zh-CN"/>
              </w:rPr>
              <w:t>1</w:t>
            </w:r>
            <w:r>
              <w:rPr>
                <w:rFonts w:hint="eastAsia" w:ascii="Times New Roman" w:hAnsi="Times New Roman" w:eastAsia="宋体"/>
                <w:bCs/>
                <w:sz w:val="24"/>
                <w:lang w:eastAsia="zh-CN"/>
              </w:rPr>
              <w:t>个隔油池，容积为</w:t>
            </w:r>
            <w:r>
              <w:rPr>
                <w:rFonts w:ascii="Times New Roman" w:hAnsi="Times New Roman" w:eastAsia="宋体"/>
                <w:bCs/>
                <w:sz w:val="24"/>
                <w:lang w:eastAsia="zh-CN"/>
              </w:rPr>
              <w:t>3m</w:t>
            </w:r>
            <w:r>
              <w:rPr>
                <w:rFonts w:ascii="Times New Roman" w:hAnsi="Times New Roman" w:eastAsia="宋体"/>
                <w:bCs/>
                <w:sz w:val="24"/>
                <w:vertAlign w:val="superscript"/>
                <w:lang w:eastAsia="zh-CN"/>
              </w:rPr>
              <w:t>3</w:t>
            </w:r>
            <w:r>
              <w:rPr>
                <w:rFonts w:hint="eastAsia" w:ascii="Times New Roman" w:hAnsi="Times New Roman" w:eastAsia="宋体"/>
                <w:bCs/>
                <w:sz w:val="24"/>
                <w:lang w:eastAsia="zh-CN"/>
              </w:rPr>
              <w:t>，可满足最大2.51</w:t>
            </w:r>
            <w:r>
              <w:rPr>
                <w:rFonts w:ascii="Times New Roman" w:hAnsi="Times New Roman" w:eastAsia="宋体"/>
                <w:bCs/>
                <w:sz w:val="24"/>
                <w:lang w:eastAsia="zh-CN"/>
              </w:rPr>
              <w:t>m</w:t>
            </w:r>
            <w:r>
              <w:rPr>
                <w:rFonts w:ascii="Times New Roman" w:hAnsi="Times New Roman" w:eastAsia="宋体"/>
                <w:bCs/>
                <w:sz w:val="24"/>
                <w:vertAlign w:val="superscript"/>
                <w:lang w:eastAsia="zh-CN"/>
              </w:rPr>
              <w:t>3</w:t>
            </w:r>
            <w:r>
              <w:rPr>
                <w:rFonts w:hint="eastAsia" w:ascii="Times New Roman" w:hAnsi="Times New Roman" w:eastAsia="宋体"/>
                <w:bCs/>
                <w:sz w:val="24"/>
                <w:lang w:eastAsia="zh-CN"/>
              </w:rPr>
              <w:t>/次的使用需求。</w:t>
            </w:r>
          </w:p>
          <w:p>
            <w:pPr>
              <w:spacing w:line="460" w:lineRule="exact"/>
              <w:ind w:firstLine="480" w:firstLineChars="200"/>
              <w:jc w:val="both"/>
              <w:rPr>
                <w:rFonts w:ascii="Times New Roman" w:hAnsi="Times New Roman" w:eastAsia="宋体"/>
                <w:bCs/>
                <w:sz w:val="24"/>
                <w:lang w:eastAsia="zh-CN"/>
              </w:rPr>
            </w:pPr>
            <w:r>
              <w:rPr>
                <w:rFonts w:hint="eastAsia" w:ascii="Times New Roman" w:hAnsi="Times New Roman" w:eastAsia="宋体"/>
                <w:bCs/>
                <w:sz w:val="24"/>
                <w:lang w:eastAsia="zh-CN"/>
              </w:rPr>
              <w:t>三级化粪池工作原理：新鲜粪便由厕所管道进入第一池，池内粪便产生沼气开始发酵分解，因比重不同粪便可分为三层，上层为比较浓的粪渣垃圾，下层为块状或颗粒状粪渣，中层为比较清的粪液，在上层粪便和下层粪渣中含细菌和寄生虫卵最多，中层含虫卵最少，初步发酵的中层粪液经过化粪管流到第二格池，第二格池内再化酵分解沉淀后溢流到第三格，第三格池再经过沉淀过滤后清水排放。</w:t>
            </w:r>
          </w:p>
          <w:p>
            <w:pPr>
              <w:pStyle w:val="21"/>
              <w:spacing w:line="460" w:lineRule="exact"/>
              <w:ind w:firstLine="480" w:firstLineChars="200"/>
              <w:jc w:val="both"/>
              <w:rPr>
                <w:rFonts w:ascii="Times New Roman" w:hAnsi="Times New Roman" w:eastAsia="宋体"/>
                <w:lang w:eastAsia="zh-CN"/>
              </w:rPr>
            </w:pPr>
            <w:r>
              <w:rPr>
                <w:rFonts w:hint="eastAsia" w:ascii="Times New Roman" w:hAnsi="Times New Roman" w:eastAsia="宋体"/>
                <w:bCs/>
                <w:lang w:eastAsia="zh-CN"/>
              </w:rPr>
              <w:t>本项目生活污水排放量为2.27</w:t>
            </w:r>
            <w:r>
              <w:rPr>
                <w:rFonts w:ascii="Times New Roman" w:hAnsi="Times New Roman" w:eastAsia="宋体"/>
                <w:bCs/>
                <w:lang w:eastAsia="zh-CN"/>
              </w:rPr>
              <w:t>m</w:t>
            </w:r>
            <w:r>
              <w:rPr>
                <w:rFonts w:ascii="Times New Roman" w:hAnsi="Times New Roman" w:eastAsia="宋体"/>
                <w:bCs/>
                <w:vertAlign w:val="superscript"/>
                <w:lang w:eastAsia="zh-CN"/>
              </w:rPr>
              <w:t>3</w:t>
            </w:r>
            <w:r>
              <w:rPr>
                <w:rFonts w:ascii="Times New Roman" w:hAnsi="Times New Roman" w:eastAsia="宋体"/>
                <w:bCs/>
                <w:lang w:eastAsia="zh-CN"/>
              </w:rPr>
              <w:t>/d</w:t>
            </w:r>
            <w:r>
              <w:rPr>
                <w:rFonts w:hint="eastAsia" w:ascii="Times New Roman" w:hAnsi="Times New Roman" w:eastAsia="宋体"/>
                <w:bCs/>
                <w:lang w:eastAsia="zh-CN"/>
              </w:rPr>
              <w:t>，生活污水经收集管道收集后，进入化粪池预处理，项目拟建设</w:t>
            </w:r>
            <w:r>
              <w:rPr>
                <w:rFonts w:ascii="Times New Roman" w:hAnsi="Times New Roman" w:eastAsia="宋体"/>
                <w:bCs/>
                <w:lang w:eastAsia="zh-CN"/>
              </w:rPr>
              <w:t>1</w:t>
            </w:r>
            <w:r>
              <w:rPr>
                <w:rFonts w:hint="eastAsia" w:ascii="Times New Roman" w:hAnsi="Times New Roman" w:eastAsia="宋体"/>
                <w:bCs/>
                <w:lang w:eastAsia="zh-CN"/>
              </w:rPr>
              <w:t>座三级化粪池</w:t>
            </w:r>
            <w:r>
              <w:rPr>
                <w:rFonts w:ascii="Times New Roman" w:hAnsi="Times New Roman" w:eastAsia="宋体"/>
                <w:bCs/>
                <w:lang w:eastAsia="zh-CN"/>
              </w:rPr>
              <w:t>10m</w:t>
            </w:r>
            <w:r>
              <w:rPr>
                <w:rFonts w:ascii="Times New Roman" w:hAnsi="Times New Roman" w:eastAsia="宋体"/>
                <w:bCs/>
                <w:vertAlign w:val="superscript"/>
                <w:lang w:eastAsia="zh-CN"/>
              </w:rPr>
              <w:t>3</w:t>
            </w:r>
            <w:r>
              <w:rPr>
                <w:rFonts w:hint="eastAsia" w:ascii="Times New Roman" w:hAnsi="Times New Roman" w:eastAsia="宋体"/>
                <w:bCs/>
                <w:lang w:eastAsia="zh-CN"/>
              </w:rPr>
              <w:t>，可满足生活污水停留时间不低于</w:t>
            </w:r>
            <w:r>
              <w:rPr>
                <w:rFonts w:ascii="Times New Roman" w:hAnsi="Times New Roman" w:eastAsia="宋体"/>
                <w:bCs/>
                <w:lang w:eastAsia="zh-CN"/>
              </w:rPr>
              <w:t>12h</w:t>
            </w:r>
            <w:r>
              <w:rPr>
                <w:rFonts w:hint="eastAsia" w:ascii="Times New Roman" w:hAnsi="Times New Roman" w:eastAsia="宋体"/>
                <w:bCs/>
                <w:lang w:eastAsia="zh-CN"/>
              </w:rPr>
              <w:t>。</w:t>
            </w:r>
          </w:p>
          <w:p>
            <w:pPr>
              <w:spacing w:line="460" w:lineRule="exact"/>
              <w:ind w:firstLine="480" w:firstLineChars="200"/>
              <w:jc w:val="both"/>
              <w:rPr>
                <w:rFonts w:ascii="Times New Roman" w:hAnsi="Times New Roman" w:eastAsia="宋体"/>
                <w:bCs/>
                <w:sz w:val="24"/>
                <w:highlight w:val="yellow"/>
                <w:lang w:eastAsia="zh-CN"/>
              </w:rPr>
            </w:pPr>
            <w:r>
              <w:rPr>
                <w:rFonts w:hint="eastAsia" w:ascii="Times New Roman" w:hAnsi="Times New Roman" w:eastAsia="宋体"/>
                <w:bCs/>
                <w:sz w:val="24"/>
                <w:lang w:eastAsia="zh-CN"/>
              </w:rPr>
              <w:t>项目废水使用的化粪池、隔油池均为《排污许可证申请与核发技术规范  总则》（HJ942-2018）中可行技术，故本项目废水治理设施可行。</w:t>
            </w:r>
          </w:p>
          <w:p>
            <w:pPr>
              <w:tabs>
                <w:tab w:val="left" w:pos="3060"/>
              </w:tabs>
              <w:spacing w:line="460" w:lineRule="exact"/>
              <w:ind w:firstLine="482" w:firstLineChars="200"/>
              <w:jc w:val="both"/>
              <w:rPr>
                <w:rFonts w:ascii="Times New Roman" w:hAnsi="Times New Roman" w:eastAsia="宋体" w:cs="Times New Roman"/>
                <w:b/>
                <w:bCs/>
                <w:sz w:val="24"/>
                <w:lang w:eastAsia="zh-CN"/>
              </w:rPr>
            </w:pPr>
            <w:r>
              <w:rPr>
                <w:rFonts w:ascii="Times New Roman" w:hAnsi="Times New Roman" w:eastAsia="宋体" w:cs="Times New Roman"/>
                <w:b/>
                <w:bCs/>
                <w:sz w:val="24"/>
                <w:lang w:eastAsia="zh-CN"/>
              </w:rPr>
              <w:t>2.</w:t>
            </w:r>
            <w:r>
              <w:rPr>
                <w:rFonts w:hint="eastAsia" w:ascii="Times New Roman" w:hAnsi="Times New Roman" w:eastAsia="宋体" w:cs="Times New Roman"/>
                <w:b/>
                <w:bCs/>
                <w:sz w:val="24"/>
                <w:lang w:eastAsia="zh-CN"/>
              </w:rPr>
              <w:t>4依托污水处理厂可行性分析</w:t>
            </w:r>
          </w:p>
          <w:p>
            <w:pPr>
              <w:pStyle w:val="45"/>
              <w:widowControl w:val="0"/>
              <w:spacing w:before="120" w:beforeLines="50"/>
              <w:ind w:firstLine="480"/>
            </w:pPr>
            <w:r>
              <w:t>（</w:t>
            </w:r>
            <w:r>
              <w:rPr>
                <w:rFonts w:hint="eastAsia"/>
              </w:rPr>
              <w:t>1</w:t>
            </w:r>
            <w:r>
              <w:t>）</w:t>
            </w:r>
            <w:r>
              <w:rPr>
                <w:rFonts w:hint="eastAsia"/>
              </w:rPr>
              <w:t>与市政管网的衔接性</w:t>
            </w:r>
          </w:p>
          <w:p>
            <w:pPr>
              <w:pStyle w:val="45"/>
              <w:widowControl w:val="0"/>
              <w:ind w:firstLine="480"/>
            </w:pPr>
            <w:r>
              <w:rPr>
                <w:rFonts w:hint="eastAsia"/>
              </w:rPr>
              <w:t>本项目属于福清市融元污水处理厂的服务范围内，项目周边元华路均已敷设雨水管网和污水管网，并与区域市政管网相衔接，可确保站内污废水正常排入市政雨污管网。</w:t>
            </w:r>
          </w:p>
          <w:p>
            <w:pPr>
              <w:pStyle w:val="45"/>
              <w:widowControl w:val="0"/>
              <w:ind w:firstLine="480"/>
            </w:pPr>
            <w:r>
              <w:t>（</w:t>
            </w:r>
            <w:r>
              <w:rPr>
                <w:rFonts w:hint="eastAsia"/>
              </w:rPr>
              <w:t>2</w:t>
            </w:r>
            <w:r>
              <w:t>）</w:t>
            </w:r>
            <w:r>
              <w:rPr>
                <w:rFonts w:hint="eastAsia"/>
              </w:rPr>
              <w:t>项目废水排入福清市融元污水处理厂的可行性</w:t>
            </w:r>
          </w:p>
          <w:p>
            <w:pPr>
              <w:pStyle w:val="45"/>
              <w:widowControl w:val="0"/>
              <w:ind w:firstLine="480"/>
            </w:pPr>
            <w:r>
              <w:rPr>
                <w:rFonts w:hint="eastAsia"/>
              </w:rPr>
              <w:t>福清市融元污水处理厂为城市二级污水处理厂，厂址位于福清市龙山街道玉塘村，规划远期总规模为</w:t>
            </w:r>
            <w:r>
              <w:t>18</w:t>
            </w:r>
            <w:r>
              <w:rPr>
                <w:rFonts w:hint="eastAsia"/>
              </w:rPr>
              <w:t>万</w:t>
            </w:r>
            <w:r>
              <w:t>m</w:t>
            </w:r>
            <w:r>
              <w:rPr>
                <w:rFonts w:hint="eastAsia"/>
                <w:vertAlign w:val="superscript"/>
              </w:rPr>
              <w:t>3</w:t>
            </w:r>
            <w:r>
              <w:t>/d</w:t>
            </w:r>
            <w:r>
              <w:rPr>
                <w:rFonts w:hint="eastAsia"/>
              </w:rPr>
              <w:t>，工程分三期实施，现状</w:t>
            </w:r>
            <w:r>
              <w:t>(</w:t>
            </w:r>
            <w:r>
              <w:rPr>
                <w:rFonts w:hint="eastAsia"/>
              </w:rPr>
              <w:t>已实施的一期及二期工程</w:t>
            </w:r>
            <w:r>
              <w:t>)</w:t>
            </w:r>
            <w:r>
              <w:rPr>
                <w:rFonts w:hint="eastAsia"/>
              </w:rPr>
              <w:t>规模为</w:t>
            </w:r>
            <w:r>
              <w:t>12</w:t>
            </w:r>
            <w:r>
              <w:rPr>
                <w:rFonts w:hint="eastAsia"/>
              </w:rPr>
              <w:t>万</w:t>
            </w:r>
            <w:r>
              <w:rPr>
                <w:lang w:val="en-US"/>
              </w:rPr>
              <w:t>m</w:t>
            </w:r>
            <w:r>
              <w:rPr>
                <w:rFonts w:hint="eastAsia"/>
                <w:vertAlign w:val="superscript"/>
                <w:lang w:val="en-US"/>
              </w:rPr>
              <w:t>3</w:t>
            </w:r>
            <w:r>
              <w:rPr>
                <w:lang w:val="en-US"/>
              </w:rPr>
              <w:t>/d</w:t>
            </w:r>
            <w:r>
              <w:rPr>
                <w:rFonts w:hint="eastAsia"/>
              </w:rPr>
              <w:t>，远期扩建规模为</w:t>
            </w:r>
            <w:r>
              <w:t>6</w:t>
            </w:r>
            <w:r>
              <w:rPr>
                <w:rFonts w:hint="eastAsia"/>
              </w:rPr>
              <w:t>万</w:t>
            </w:r>
            <w:r>
              <w:rPr>
                <w:lang w:val="en-US"/>
              </w:rPr>
              <w:t>m</w:t>
            </w:r>
            <w:r>
              <w:rPr>
                <w:rFonts w:hint="eastAsia"/>
                <w:vertAlign w:val="superscript"/>
                <w:lang w:val="en-US"/>
              </w:rPr>
              <w:t>3</w:t>
            </w:r>
            <w:r>
              <w:rPr>
                <w:lang w:val="en-US"/>
              </w:rPr>
              <w:t>/d</w:t>
            </w:r>
            <w:r>
              <w:rPr>
                <w:rFonts w:hint="eastAsia"/>
              </w:rPr>
              <w:t>。工程的规划建设年限为：近期</w:t>
            </w:r>
            <w:r>
              <w:t>2020</w:t>
            </w:r>
            <w:r>
              <w:rPr>
                <w:rFonts w:hint="eastAsia"/>
              </w:rPr>
              <w:t>年，远期</w:t>
            </w:r>
            <w:r>
              <w:t>2030</w:t>
            </w:r>
            <w:r>
              <w:rPr>
                <w:rFonts w:hint="eastAsia"/>
              </w:rPr>
              <w:t>年。</w:t>
            </w:r>
          </w:p>
          <w:p>
            <w:pPr>
              <w:pStyle w:val="45"/>
              <w:widowControl w:val="0"/>
              <w:ind w:firstLine="480"/>
            </w:pPr>
            <w:r>
              <w:rPr>
                <w:rFonts w:hint="eastAsia"/>
              </w:rPr>
              <w:t>福清市融元污水厂现有处理规模为</w:t>
            </w:r>
            <w:r>
              <w:t>12</w:t>
            </w:r>
            <w:r>
              <w:rPr>
                <w:rFonts w:hint="eastAsia"/>
              </w:rPr>
              <w:t>万</w:t>
            </w:r>
            <w:r>
              <w:rPr>
                <w:lang w:val="en-US"/>
              </w:rPr>
              <w:t>m</w:t>
            </w:r>
            <w:r>
              <w:rPr>
                <w:rFonts w:hint="eastAsia"/>
                <w:vertAlign w:val="superscript"/>
                <w:lang w:val="en-US"/>
              </w:rPr>
              <w:t>3</w:t>
            </w:r>
            <w:r>
              <w:rPr>
                <w:lang w:val="en-US"/>
              </w:rPr>
              <w:t>/d</w:t>
            </w:r>
            <w:r>
              <w:rPr>
                <w:rFonts w:hint="eastAsia"/>
              </w:rPr>
              <w:t>，尾水排放口设置在猪母湾西南岸，排入龙江。一期工程于</w:t>
            </w:r>
            <w:r>
              <w:t>2008</w:t>
            </w:r>
            <w:r>
              <w:rPr>
                <w:rFonts w:hint="eastAsia"/>
              </w:rPr>
              <w:t>年</w:t>
            </w:r>
            <w:r>
              <w:t>1</w:t>
            </w:r>
            <w:r>
              <w:rPr>
                <w:rFonts w:hint="eastAsia"/>
              </w:rPr>
              <w:t>月通过了竣工环保验收；二期工程于</w:t>
            </w:r>
            <w:r>
              <w:t>2014</w:t>
            </w:r>
            <w:r>
              <w:rPr>
                <w:rFonts w:hint="eastAsia"/>
              </w:rPr>
              <w:t>年</w:t>
            </w:r>
            <w:r>
              <w:t>5</w:t>
            </w:r>
            <w:r>
              <w:rPr>
                <w:rFonts w:hint="eastAsia"/>
              </w:rPr>
              <w:t>月通过了竣工环保验收。</w:t>
            </w:r>
            <w:r>
              <w:t>2014</w:t>
            </w:r>
            <w:r>
              <w:rPr>
                <w:rFonts w:hint="eastAsia"/>
              </w:rPr>
              <w:t>年以来福清市融元污水处理厂出水水质效果好，能够满足一级</w:t>
            </w:r>
            <w:r>
              <w:t>B</w:t>
            </w:r>
            <w:r>
              <w:rPr>
                <w:rFonts w:hint="eastAsia"/>
              </w:rPr>
              <w:t>标准的排放要求。</w:t>
            </w:r>
          </w:p>
          <w:p>
            <w:pPr>
              <w:pStyle w:val="45"/>
              <w:widowControl w:val="0"/>
              <w:ind w:firstLine="480"/>
            </w:pPr>
            <w:r>
              <w:t>2016</w:t>
            </w:r>
            <w:r>
              <w:rPr>
                <w:rFonts w:hint="eastAsia"/>
              </w:rPr>
              <w:t>年</w:t>
            </w:r>
            <w:r>
              <w:t>10</w:t>
            </w:r>
            <w:r>
              <w:rPr>
                <w:rFonts w:hint="eastAsia"/>
              </w:rPr>
              <w:t>月，福清黎阳水务有限公司对现状福清市融元污水处理厂厂内提标及改造，本次提标改造工程按近期规模</w:t>
            </w:r>
            <w:r>
              <w:t>12.0</w:t>
            </w:r>
            <w:r>
              <w:rPr>
                <w:rFonts w:hint="eastAsia"/>
              </w:rPr>
              <w:t>万</w:t>
            </w:r>
            <w:r>
              <w:rPr>
                <w:lang w:val="en-US"/>
              </w:rPr>
              <w:t>m</w:t>
            </w:r>
            <w:r>
              <w:rPr>
                <w:rFonts w:hint="eastAsia"/>
                <w:vertAlign w:val="superscript"/>
                <w:lang w:val="en-US"/>
              </w:rPr>
              <w:t>3</w:t>
            </w:r>
            <w:r>
              <w:rPr>
                <w:lang w:val="en-US"/>
              </w:rPr>
              <w:t>/d</w:t>
            </w:r>
            <w:r>
              <w:rPr>
                <w:rFonts w:hint="eastAsia"/>
              </w:rPr>
              <w:t>设计和建设，主要技改内容：技改后一期工程降低处理负荷，污水处理规模由</w:t>
            </w:r>
            <w:r>
              <w:t>6</w:t>
            </w:r>
            <w:r>
              <w:rPr>
                <w:rFonts w:hint="eastAsia"/>
              </w:rPr>
              <w:t>万</w:t>
            </w:r>
            <w:r>
              <w:rPr>
                <w:lang w:val="en-US"/>
              </w:rPr>
              <w:t>m</w:t>
            </w:r>
            <w:r>
              <w:rPr>
                <w:rFonts w:hint="eastAsia"/>
                <w:vertAlign w:val="superscript"/>
                <w:lang w:val="en-US"/>
              </w:rPr>
              <w:t>3</w:t>
            </w:r>
            <w:r>
              <w:rPr>
                <w:lang w:val="en-US"/>
              </w:rPr>
              <w:t>/d</w:t>
            </w:r>
            <w:r>
              <w:rPr>
                <w:rFonts w:hint="eastAsia"/>
              </w:rPr>
              <w:t>调整为</w:t>
            </w:r>
            <w:r>
              <w:t>4</w:t>
            </w:r>
            <w:r>
              <w:rPr>
                <w:rFonts w:hint="eastAsia"/>
              </w:rPr>
              <w:t>万</w:t>
            </w:r>
            <w:r>
              <w:rPr>
                <w:lang w:val="en-US"/>
              </w:rPr>
              <w:t>m</w:t>
            </w:r>
            <w:r>
              <w:rPr>
                <w:rFonts w:hint="eastAsia"/>
                <w:vertAlign w:val="superscript"/>
                <w:lang w:val="en-US"/>
              </w:rPr>
              <w:t>3</w:t>
            </w:r>
            <w:r>
              <w:rPr>
                <w:lang w:val="en-US"/>
              </w:rPr>
              <w:t>/d</w:t>
            </w:r>
            <w:r>
              <w:rPr>
                <w:rFonts w:hint="eastAsia"/>
              </w:rPr>
              <w:t>运行并在现有一期工程生化池基础上增设化学除磷和投加碳源措施，以进一步改善出水水质。厂区原二期工程提标后污水处理规模由</w:t>
            </w:r>
            <w:r>
              <w:t>6</w:t>
            </w:r>
            <w:r>
              <w:rPr>
                <w:rFonts w:hint="eastAsia"/>
              </w:rPr>
              <w:t>万</w:t>
            </w:r>
            <w:r>
              <w:rPr>
                <w:lang w:val="en-US"/>
              </w:rPr>
              <w:t>m</w:t>
            </w:r>
            <w:r>
              <w:rPr>
                <w:rFonts w:hint="eastAsia"/>
                <w:vertAlign w:val="superscript"/>
                <w:lang w:val="en-US"/>
              </w:rPr>
              <w:t>3</w:t>
            </w:r>
            <w:r>
              <w:rPr>
                <w:lang w:val="en-US"/>
              </w:rPr>
              <w:t>/d</w:t>
            </w:r>
            <w:r>
              <w:rPr>
                <w:rFonts w:hint="eastAsia"/>
              </w:rPr>
              <w:t>调整为</w:t>
            </w:r>
            <w:r>
              <w:t>8</w:t>
            </w:r>
            <w:r>
              <w:rPr>
                <w:rFonts w:hint="eastAsia"/>
              </w:rPr>
              <w:t>万</w:t>
            </w:r>
            <w:r>
              <w:rPr>
                <w:lang w:val="en-US"/>
              </w:rPr>
              <w:t>m</w:t>
            </w:r>
            <w:r>
              <w:rPr>
                <w:rFonts w:hint="eastAsia"/>
                <w:vertAlign w:val="superscript"/>
                <w:lang w:val="en-US"/>
              </w:rPr>
              <w:t>3</w:t>
            </w:r>
            <w:r>
              <w:rPr>
                <w:lang w:val="en-US"/>
              </w:rPr>
              <w:t>/d</w:t>
            </w:r>
            <w:r>
              <w:rPr>
                <w:rFonts w:hint="eastAsia"/>
              </w:rPr>
              <w:t>运行旋流沉砂池出水与生化池进水管之间增设精细格栅间，在现有二期工程生化池基础上增设化学除磷和投加碳源措施、在缺氧池至厌氧池之间、好氧池与缺氧池之间改造污泥回流泵、在现有生化处理池基础上改造新增</w:t>
            </w:r>
            <w:r>
              <w:t>MP-MBR</w:t>
            </w:r>
            <w:r>
              <w:rPr>
                <w:rFonts w:hint="eastAsia"/>
              </w:rPr>
              <w:t>膜系统，改造后污水处理工艺详见图</w:t>
            </w:r>
            <w:r>
              <w:t>4.2-1</w:t>
            </w:r>
            <w:r>
              <w:rPr>
                <w:rFonts w:hint="eastAsia"/>
              </w:rPr>
              <w:t>。</w:t>
            </w:r>
          </w:p>
          <w:p>
            <w:pPr>
              <w:pStyle w:val="45"/>
              <w:widowControl w:val="0"/>
              <w:ind w:firstLine="480"/>
            </w:pPr>
            <w:r>
              <w:rPr>
                <w:rFonts w:hint="eastAsia"/>
              </w:rPr>
              <w:t>根据调查，目前福清市融元污水处理厂厂内提标及改造工程已经完成并正常使用，平均处理规模约为</w:t>
            </w:r>
            <w:r>
              <w:t>11.85</w:t>
            </w:r>
            <w:r>
              <w:rPr>
                <w:rFonts w:hint="eastAsia"/>
              </w:rPr>
              <w:t>万</w:t>
            </w:r>
            <w:r>
              <w:rPr>
                <w:lang w:val="en-US"/>
              </w:rPr>
              <w:t>m</w:t>
            </w:r>
            <w:r>
              <w:rPr>
                <w:rFonts w:hint="eastAsia"/>
                <w:vertAlign w:val="superscript"/>
                <w:lang w:val="en-US"/>
              </w:rPr>
              <w:t>3</w:t>
            </w:r>
            <w:r>
              <w:rPr>
                <w:lang w:val="en-US"/>
              </w:rPr>
              <w:t>/d</w:t>
            </w:r>
            <w:r>
              <w:rPr>
                <w:rFonts w:hint="eastAsia"/>
              </w:rPr>
              <w:t>，处理后的尾水执行《城镇污水处理厂污染物排放标准》</w:t>
            </w:r>
            <w:r>
              <w:t>(GB18918-2002)</w:t>
            </w:r>
            <w:r>
              <w:rPr>
                <w:rFonts w:hint="eastAsia"/>
              </w:rPr>
              <w:t>及其修改单中的一级</w:t>
            </w:r>
            <w:r>
              <w:t>A</w:t>
            </w:r>
            <w:r>
              <w:rPr>
                <w:rFonts w:hint="eastAsia"/>
              </w:rPr>
              <w:t>标准，尾水排放龙江。</w:t>
            </w:r>
          </w:p>
          <w:p>
            <w:pPr>
              <w:pStyle w:val="45"/>
              <w:widowControl w:val="0"/>
              <w:ind w:firstLine="480"/>
              <w:rPr>
                <w:bCs/>
              </w:rPr>
            </w:pPr>
            <w:r>
              <w:rPr>
                <w:bCs/>
              </w:rPr>
              <w:t>A</w:t>
            </w:r>
            <w:r>
              <w:rPr>
                <w:rFonts w:hint="eastAsia"/>
                <w:bCs/>
              </w:rPr>
              <w:t>、废水水质的影响</w:t>
            </w:r>
          </w:p>
          <w:p>
            <w:pPr>
              <w:pStyle w:val="45"/>
              <w:widowControl w:val="0"/>
              <w:ind w:firstLine="480"/>
              <w:rPr>
                <w:bCs/>
              </w:rPr>
            </w:pPr>
            <w:r>
              <w:rPr>
                <w:rFonts w:hint="eastAsia"/>
                <w:bCs/>
              </w:rPr>
              <w:t>项目运营期外排污废水主要为生活污水和初期雨水，由于项目生活废水所含的污染因子浓度低，污染物成分简单，不含有腐蚀成分，污水的可生化性高，经过化粪池处理后，出水水质可满足</w:t>
            </w:r>
            <w:r>
              <w:rPr>
                <w:rFonts w:hint="eastAsia"/>
                <w:bCs/>
                <w:lang w:val="en-US"/>
              </w:rPr>
              <w:t>《污水综合排放标准》（GB8978-1996）表4中三级标准，其中氨氮、总氮、总磷浓度限值执行《污水排入城镇下水道水质标准》（GB/T 31962-2015）相关限值要求</w:t>
            </w:r>
            <w:r>
              <w:rPr>
                <w:rFonts w:hint="eastAsia"/>
                <w:bCs/>
              </w:rPr>
              <w:t>，项目污水排放不会对福清市融元污水处理厂负荷和处理工艺产生影响，也不会对城市污水管道产生腐蚀影响。因此，从废水水质方面考虑，项目产生的废水经过化粪池处理后排入福清市融元污水处理厂处理是可行的。</w:t>
            </w:r>
          </w:p>
          <w:p>
            <w:pPr>
              <w:pStyle w:val="45"/>
              <w:widowControl w:val="0"/>
              <w:ind w:firstLine="480"/>
              <w:rPr>
                <w:bCs/>
              </w:rPr>
            </w:pPr>
            <w:r>
              <w:rPr>
                <w:bCs/>
              </w:rPr>
              <w:t>B</w:t>
            </w:r>
            <w:r>
              <w:rPr>
                <w:rFonts w:hint="eastAsia"/>
                <w:bCs/>
              </w:rPr>
              <w:t>、废水水量的影响</w:t>
            </w:r>
          </w:p>
          <w:p>
            <w:pPr>
              <w:pStyle w:val="45"/>
              <w:widowControl w:val="0"/>
              <w:ind w:firstLine="480"/>
              <w:rPr>
                <w:bCs/>
              </w:rPr>
            </w:pPr>
            <w:r>
              <w:rPr>
                <w:rFonts w:hint="eastAsia"/>
                <w:bCs/>
              </w:rPr>
              <w:t>根据调查，目前福清市融元污水处理厂厂内提标及改造工程已经完成并正常使用，平均处理规模约为</w:t>
            </w:r>
            <w:r>
              <w:rPr>
                <w:bCs/>
              </w:rPr>
              <w:t>11.85</w:t>
            </w:r>
            <w:r>
              <w:rPr>
                <w:rFonts w:hint="eastAsia"/>
                <w:bCs/>
              </w:rPr>
              <w:t>万</w:t>
            </w:r>
            <w:r>
              <w:rPr>
                <w:bCs/>
                <w:lang w:val="en-US"/>
              </w:rPr>
              <w:t>m</w:t>
            </w:r>
            <w:r>
              <w:rPr>
                <w:rFonts w:hint="eastAsia"/>
                <w:bCs/>
                <w:vertAlign w:val="superscript"/>
                <w:lang w:val="en-US"/>
              </w:rPr>
              <w:t>3</w:t>
            </w:r>
            <w:r>
              <w:rPr>
                <w:bCs/>
                <w:lang w:val="en-US"/>
              </w:rPr>
              <w:t>/d</w:t>
            </w:r>
            <w:r>
              <w:rPr>
                <w:rFonts w:hint="eastAsia"/>
                <w:bCs/>
              </w:rPr>
              <w:t>，剩余处理能力</w:t>
            </w:r>
            <w:r>
              <w:rPr>
                <w:bCs/>
              </w:rPr>
              <w:t>1500</w:t>
            </w:r>
            <w:r>
              <w:rPr>
                <w:bCs/>
                <w:lang w:val="en-US"/>
              </w:rPr>
              <w:t>m</w:t>
            </w:r>
            <w:r>
              <w:rPr>
                <w:rFonts w:hint="eastAsia"/>
                <w:bCs/>
                <w:vertAlign w:val="superscript"/>
                <w:lang w:val="en-US"/>
              </w:rPr>
              <w:t>3</w:t>
            </w:r>
            <w:r>
              <w:rPr>
                <w:bCs/>
                <w:lang w:val="en-US"/>
              </w:rPr>
              <w:t>/d</w:t>
            </w:r>
            <w:r>
              <w:rPr>
                <w:rFonts w:hint="eastAsia"/>
                <w:bCs/>
              </w:rPr>
              <w:t>。本项目污水量为3.04</w:t>
            </w:r>
            <w:r>
              <w:rPr>
                <w:bCs/>
                <w:lang w:val="en-US"/>
              </w:rPr>
              <w:t>m</w:t>
            </w:r>
            <w:r>
              <w:rPr>
                <w:rFonts w:hint="eastAsia"/>
                <w:bCs/>
                <w:vertAlign w:val="superscript"/>
                <w:lang w:val="en-US"/>
              </w:rPr>
              <w:t>3</w:t>
            </w:r>
            <w:r>
              <w:rPr>
                <w:bCs/>
                <w:lang w:val="en-US"/>
              </w:rPr>
              <w:t>/d</w:t>
            </w:r>
            <w:r>
              <w:rPr>
                <w:rFonts w:hint="eastAsia"/>
                <w:bCs/>
              </w:rPr>
              <w:t>，占剩余处理能力的0.2</w:t>
            </w:r>
            <w:r>
              <w:rPr>
                <w:bCs/>
              </w:rPr>
              <w:t>%</w:t>
            </w:r>
            <w:r>
              <w:rPr>
                <w:rFonts w:hint="eastAsia"/>
                <w:bCs/>
              </w:rPr>
              <w:t>，项目废水排放水量不会对污水厂造成负荷冲击，可纳入污水处理处理。</w:t>
            </w:r>
          </w:p>
          <w:p>
            <w:pPr>
              <w:pStyle w:val="44"/>
              <w:widowControl w:val="0"/>
              <w:rPr>
                <w:bCs/>
              </w:rPr>
            </w:pPr>
            <w:r>
              <w:drawing>
                <wp:inline distT="0" distB="0" distL="0" distR="0">
                  <wp:extent cx="5575935" cy="3228975"/>
                  <wp:effectExtent l="0" t="0" r="5715" b="0"/>
                  <wp:docPr id="66930076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300766" name="图片 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a:xfrm>
                            <a:off x="0" y="0"/>
                            <a:ext cx="5582555" cy="3232586"/>
                          </a:xfrm>
                          <a:prstGeom prst="rect">
                            <a:avLst/>
                          </a:prstGeom>
                          <a:noFill/>
                          <a:ln>
                            <a:noFill/>
                          </a:ln>
                        </pic:spPr>
                      </pic:pic>
                    </a:graphicData>
                  </a:graphic>
                </wp:inline>
              </w:drawing>
            </w:r>
          </w:p>
          <w:p>
            <w:pPr>
              <w:pStyle w:val="44"/>
              <w:widowControl w:val="0"/>
              <w:rPr>
                <w:bCs/>
              </w:rPr>
            </w:pPr>
            <w:r>
              <w:rPr>
                <w:rFonts w:hint="eastAsia"/>
                <w:bCs/>
              </w:rPr>
              <w:t>图</w:t>
            </w:r>
            <w:r>
              <w:rPr>
                <w:bCs/>
              </w:rPr>
              <w:t>4.2-1</w:t>
            </w:r>
            <w:r>
              <w:rPr>
                <w:rFonts w:hint="eastAsia"/>
                <w:bCs/>
              </w:rPr>
              <w:t xml:space="preserve">  福清市融元污水处理厂污水处理工艺流程图</w:t>
            </w:r>
          </w:p>
          <w:p>
            <w:pPr>
              <w:spacing w:line="460" w:lineRule="exact"/>
              <w:ind w:firstLine="482" w:firstLineChars="200"/>
              <w:jc w:val="both"/>
              <w:rPr>
                <w:rFonts w:ascii="Times New Roman" w:hAnsi="Times New Roman" w:eastAsia="宋体"/>
                <w:bCs/>
                <w:sz w:val="24"/>
                <w:lang w:eastAsia="zh-CN"/>
              </w:rPr>
            </w:pPr>
            <w:r>
              <w:rPr>
                <w:rFonts w:ascii="Times New Roman" w:hAnsi="Times New Roman" w:eastAsia="宋体" w:cs="Times New Roman"/>
                <w:b/>
                <w:bCs/>
                <w:sz w:val="24"/>
                <w:lang w:eastAsia="zh-CN"/>
              </w:rPr>
              <w:t>2.</w:t>
            </w:r>
            <w:r>
              <w:rPr>
                <w:rFonts w:hint="eastAsia" w:ascii="Times New Roman" w:hAnsi="Times New Roman" w:eastAsia="宋体" w:cs="Times New Roman"/>
                <w:b/>
                <w:bCs/>
                <w:sz w:val="24"/>
                <w:lang w:eastAsia="zh-CN"/>
              </w:rPr>
              <w:t>5废水环境监测</w:t>
            </w:r>
          </w:p>
          <w:p>
            <w:pPr>
              <w:spacing w:line="460" w:lineRule="exact"/>
              <w:ind w:firstLine="480" w:firstLineChars="200"/>
              <w:jc w:val="both"/>
              <w:rPr>
                <w:rFonts w:ascii="Times New Roman" w:hAnsi="Times New Roman" w:eastAsia="宋体" w:cs="Times New Roman"/>
                <w:sz w:val="24"/>
                <w:szCs w:val="24"/>
                <w:lang w:eastAsia="zh-CN"/>
              </w:rPr>
            </w:pPr>
            <w:r>
              <w:rPr>
                <w:rFonts w:hint="eastAsia" w:ascii="Times New Roman" w:hAnsi="Times New Roman" w:cs="Times New Roman" w:eastAsiaTheme="majorEastAsia"/>
                <w:sz w:val="24"/>
                <w:szCs w:val="24"/>
                <w:lang w:eastAsia="zh-CN"/>
              </w:rPr>
              <w:t>根据</w:t>
            </w:r>
            <w:r>
              <w:rPr>
                <w:rFonts w:ascii="Times New Roman" w:hAnsi="Times New Roman" w:eastAsia="宋体" w:cs="Times New Roman"/>
                <w:sz w:val="24"/>
                <w:szCs w:val="24"/>
                <w:lang w:eastAsia="zh-CN"/>
              </w:rPr>
              <w:t xml:space="preserve">《排污许可申请与核发技术规范 </w:t>
            </w:r>
            <w:r>
              <w:rPr>
                <w:rFonts w:ascii="Times New Roman" w:hAnsi="Times New Roman" w:eastAsia="宋体" w:cs="Times New Roman"/>
                <w:color w:val="C00000"/>
                <w:sz w:val="24"/>
                <w:szCs w:val="24"/>
                <w:lang w:eastAsia="zh-CN"/>
              </w:rPr>
              <w:t xml:space="preserve"> </w:t>
            </w:r>
            <w:r>
              <w:rPr>
                <w:rFonts w:ascii="Times New Roman" w:hAnsi="Times New Roman" w:cs="Times New Roman" w:eastAsiaTheme="majorEastAsia"/>
                <w:sz w:val="24"/>
                <w:szCs w:val="24"/>
                <w:lang w:eastAsia="zh-CN"/>
              </w:rPr>
              <w:t>储油库、加油站》（HJ1</w:t>
            </w:r>
            <w:r>
              <w:rPr>
                <w:rFonts w:hint="eastAsia" w:ascii="Times New Roman" w:hAnsi="Times New Roman" w:cs="Times New Roman" w:eastAsiaTheme="majorEastAsia"/>
                <w:sz w:val="24"/>
                <w:szCs w:val="24"/>
                <w:lang w:eastAsia="zh-CN"/>
              </w:rPr>
              <w:t>118</w:t>
            </w:r>
            <w:r>
              <w:rPr>
                <w:rFonts w:ascii="Times New Roman" w:hAnsi="Times New Roman" w:cs="Times New Roman" w:eastAsiaTheme="majorEastAsia"/>
                <w:sz w:val="24"/>
                <w:szCs w:val="24"/>
                <w:lang w:eastAsia="zh-CN"/>
              </w:rPr>
              <w:t>-20</w:t>
            </w:r>
            <w:r>
              <w:rPr>
                <w:rFonts w:hint="eastAsia" w:ascii="Times New Roman" w:hAnsi="Times New Roman" w:cs="Times New Roman" w:eastAsiaTheme="majorEastAsia"/>
                <w:sz w:val="24"/>
                <w:szCs w:val="24"/>
                <w:lang w:eastAsia="zh-CN"/>
              </w:rPr>
              <w:t>20</w:t>
            </w:r>
            <w:r>
              <w:rPr>
                <w:rFonts w:ascii="Times New Roman" w:hAnsi="Times New Roman" w:cs="Times New Roman" w:eastAsiaTheme="majorEastAsia"/>
                <w:sz w:val="24"/>
                <w:szCs w:val="24"/>
                <w:lang w:eastAsia="zh-CN"/>
              </w:rPr>
              <w:t>）</w:t>
            </w:r>
            <w:r>
              <w:rPr>
                <w:rFonts w:hint="eastAsia" w:ascii="Times New Roman" w:hAnsi="Times New Roman" w:cs="Times New Roman" w:eastAsiaTheme="majorEastAsia"/>
                <w:sz w:val="24"/>
                <w:szCs w:val="24"/>
                <w:lang w:eastAsia="zh-CN"/>
              </w:rPr>
              <w:t>，废水总排口属于一般排放口，环境监测要求具体</w:t>
            </w:r>
            <w:r>
              <w:rPr>
                <w:rFonts w:ascii="Times New Roman" w:hAnsi="Times New Roman" w:eastAsia="宋体" w:cs="Times New Roman"/>
                <w:sz w:val="24"/>
                <w:szCs w:val="24"/>
                <w:lang w:eastAsia="zh-CN"/>
              </w:rPr>
              <w:t>如下表</w:t>
            </w:r>
            <w:r>
              <w:rPr>
                <w:rFonts w:hint="eastAsia" w:ascii="Times New Roman" w:hAnsi="Times New Roman" w:eastAsia="宋体" w:cs="Times New Roman"/>
                <w:sz w:val="24"/>
                <w:szCs w:val="24"/>
                <w:lang w:eastAsia="zh-CN"/>
              </w:rPr>
              <w:t>4.2-15</w:t>
            </w:r>
            <w:r>
              <w:rPr>
                <w:rFonts w:ascii="Times New Roman" w:hAnsi="Times New Roman" w:eastAsia="宋体" w:cs="Times New Roman"/>
                <w:sz w:val="24"/>
                <w:szCs w:val="24"/>
                <w:lang w:eastAsia="zh-CN"/>
              </w:rPr>
              <w:t>所示。</w:t>
            </w:r>
          </w:p>
          <w:p>
            <w:pPr>
              <w:pStyle w:val="42"/>
              <w:spacing w:before="120"/>
            </w:pPr>
            <w:r>
              <w:t>表</w:t>
            </w:r>
            <w:r>
              <w:rPr>
                <w:rFonts w:hint="eastAsia"/>
              </w:rPr>
              <w:t>4.2-15</w:t>
            </w:r>
            <w:r>
              <w:t xml:space="preserve">  </w:t>
            </w:r>
            <w:r>
              <w:rPr>
                <w:rFonts w:hint="eastAsia"/>
              </w:rPr>
              <w:t>运营期废水自行监测计划一览表</w:t>
            </w:r>
          </w:p>
          <w:tbl>
            <w:tblPr>
              <w:tblStyle w:val="4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948"/>
              <w:gridCol w:w="2948"/>
              <w:gridCol w:w="294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2359" w:type="dxa"/>
                  <w:vAlign w:val="center"/>
                </w:tcPr>
                <w:p>
                  <w:pPr>
                    <w:pStyle w:val="39"/>
                  </w:pPr>
                  <w:r>
                    <w:t>监测点位</w:t>
                  </w:r>
                </w:p>
              </w:tc>
              <w:tc>
                <w:tcPr>
                  <w:tcW w:w="2359" w:type="dxa"/>
                  <w:vAlign w:val="center"/>
                </w:tcPr>
                <w:p>
                  <w:pPr>
                    <w:pStyle w:val="39"/>
                  </w:pPr>
                  <w:r>
                    <w:t>监测因子</w:t>
                  </w:r>
                </w:p>
              </w:tc>
              <w:tc>
                <w:tcPr>
                  <w:tcW w:w="2359" w:type="dxa"/>
                  <w:vAlign w:val="center"/>
                </w:tcPr>
                <w:p>
                  <w:pPr>
                    <w:pStyle w:val="39"/>
                  </w:pPr>
                  <w:r>
                    <w:t>监测频次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59" w:type="dxa"/>
                  <w:vAlign w:val="center"/>
                </w:tcPr>
                <w:p>
                  <w:pPr>
                    <w:pStyle w:val="39"/>
                  </w:pPr>
                  <w:r>
                    <w:rPr>
                      <w:spacing w:val="8"/>
                    </w:rPr>
                    <w:t>废水总排放口</w:t>
                  </w:r>
                </w:p>
              </w:tc>
              <w:tc>
                <w:tcPr>
                  <w:tcW w:w="2359" w:type="dxa"/>
                  <w:vAlign w:val="center"/>
                </w:tcPr>
                <w:p>
                  <w:pPr>
                    <w:pStyle w:val="39"/>
                  </w:pPr>
                  <w:r>
                    <w:rPr>
                      <w:spacing w:val="5"/>
                    </w:rPr>
                    <w:t>流量、</w:t>
                  </w:r>
                  <w:r>
                    <w:rPr>
                      <w:rFonts w:eastAsia="Times New Roman"/>
                    </w:rPr>
                    <w:t>COD</w:t>
                  </w:r>
                  <w:r>
                    <w:rPr>
                      <w:rFonts w:eastAsia="Times New Roman"/>
                      <w:spacing w:val="-16"/>
                    </w:rPr>
                    <w:t xml:space="preserve"> </w:t>
                  </w:r>
                  <w:r>
                    <w:rPr>
                      <w:spacing w:val="5"/>
                    </w:rPr>
                    <w:t>、</w:t>
                  </w:r>
                  <w:r>
                    <w:rPr>
                      <w:rFonts w:eastAsia="Times New Roman"/>
                    </w:rPr>
                    <w:t>NH</w:t>
                  </w:r>
                  <w:r>
                    <w:rPr>
                      <w:rFonts w:eastAsia="Times New Roman"/>
                      <w:spacing w:val="5"/>
                      <w:sz w:val="13"/>
                      <w:szCs w:val="13"/>
                    </w:rPr>
                    <w:t>3</w:t>
                  </w:r>
                  <w:r>
                    <w:rPr>
                      <w:rFonts w:eastAsia="Times New Roman"/>
                      <w:spacing w:val="5"/>
                    </w:rPr>
                    <w:t>-N</w:t>
                  </w:r>
                  <w:r>
                    <w:rPr>
                      <w:rFonts w:eastAsia="Times New Roman"/>
                      <w:spacing w:val="-24"/>
                    </w:rPr>
                    <w:t xml:space="preserve"> </w:t>
                  </w:r>
                  <w:r>
                    <w:rPr>
                      <w:spacing w:val="5"/>
                    </w:rPr>
                    <w:t>、</w:t>
                  </w:r>
                  <w:r>
                    <w:rPr>
                      <w:rFonts w:eastAsia="Times New Roman"/>
                    </w:rPr>
                    <w:t>LAS</w:t>
                  </w:r>
                  <w:r>
                    <w:rPr>
                      <w:rFonts w:eastAsia="Times New Roman"/>
                      <w:spacing w:val="-26"/>
                    </w:rPr>
                    <w:t xml:space="preserve"> </w:t>
                  </w:r>
                  <w:r>
                    <w:rPr>
                      <w:spacing w:val="5"/>
                    </w:rPr>
                    <w:t>、石油类</w:t>
                  </w:r>
                </w:p>
              </w:tc>
              <w:tc>
                <w:tcPr>
                  <w:tcW w:w="2359" w:type="dxa"/>
                  <w:vAlign w:val="center"/>
                </w:tcPr>
                <w:p>
                  <w:pPr>
                    <w:pStyle w:val="39"/>
                  </w:pPr>
                  <w:r>
                    <w:t>每年一次</w:t>
                  </w:r>
                </w:p>
              </w:tc>
            </w:tr>
          </w:tbl>
          <w:p>
            <w:pPr>
              <w:spacing w:line="460" w:lineRule="exact"/>
              <w:ind w:firstLine="482" w:firstLineChars="200"/>
              <w:jc w:val="both"/>
              <w:rPr>
                <w:rFonts w:ascii="Times New Roman" w:hAnsi="Times New Roman" w:eastAsia="宋体"/>
                <w:bCs/>
                <w:sz w:val="24"/>
                <w:lang w:eastAsia="zh-CN"/>
              </w:rPr>
            </w:pPr>
            <w:r>
              <w:rPr>
                <w:rFonts w:hint="eastAsia" w:ascii="Times New Roman" w:hAnsi="Times New Roman" w:eastAsia="宋体" w:cs="Times New Roman"/>
                <w:b/>
                <w:bCs/>
                <w:sz w:val="24"/>
                <w:szCs w:val="24"/>
                <w:lang w:eastAsia="zh-CN"/>
              </w:rPr>
              <w:t>3、噪声</w:t>
            </w:r>
          </w:p>
          <w:p>
            <w:pPr>
              <w:spacing w:line="460" w:lineRule="exact"/>
              <w:ind w:firstLine="482" w:firstLineChars="200"/>
              <w:jc w:val="both"/>
              <w:rPr>
                <w:rFonts w:ascii="Times New Roman" w:hAnsi="Times New Roman" w:eastAsia="宋体" w:cs="Times New Roman"/>
                <w:b/>
                <w:bCs/>
                <w:sz w:val="24"/>
                <w:lang w:eastAsia="zh-CN"/>
              </w:rPr>
            </w:pPr>
            <w:r>
              <w:rPr>
                <w:rFonts w:hint="eastAsia" w:ascii="Times New Roman" w:hAnsi="Times New Roman" w:eastAsia="宋体" w:cs="Times New Roman"/>
                <w:b/>
                <w:bCs/>
                <w:sz w:val="24"/>
                <w:lang w:eastAsia="zh-CN"/>
              </w:rPr>
              <w:t>3.1噪声源强及降噪措施</w:t>
            </w:r>
          </w:p>
          <w:p>
            <w:pPr>
              <w:spacing w:line="460" w:lineRule="exact"/>
              <w:ind w:firstLine="480" w:firstLineChars="200"/>
              <w:jc w:val="both"/>
              <w:rPr>
                <w:rFonts w:ascii="Times New Roman" w:hAnsi="Times New Roman" w:eastAsia="宋体" w:cs="Times New Roman"/>
                <w:sz w:val="24"/>
                <w:szCs w:val="24"/>
                <w:lang w:eastAsia="zh-CN"/>
              </w:rPr>
            </w:pPr>
            <w:r>
              <w:rPr>
                <w:rFonts w:hint="eastAsia" w:ascii="Times New Roman" w:hAnsi="Times New Roman" w:eastAsia="宋体" w:cs="Times New Roman"/>
                <w:sz w:val="24"/>
                <w:szCs w:val="24"/>
                <w:lang w:eastAsia="zh-CN"/>
              </w:rPr>
              <w:t>项目噪声主要来自于油气装卸过程以及过往车辆加油过程中机器和车辆的运行产生的噪声，噪声级约为65-75dB(A)。建设方拟采取减震、基础固定等措施减少对周围环境干扰。</w:t>
            </w:r>
          </w:p>
          <w:p>
            <w:pPr>
              <w:spacing w:line="460" w:lineRule="exact"/>
              <w:ind w:firstLine="480" w:firstLineChars="200"/>
              <w:jc w:val="both"/>
              <w:rPr>
                <w:rFonts w:ascii="Times New Roman" w:hAnsi="Times New Roman" w:eastAsia="宋体" w:cs="Times New Roman"/>
                <w:sz w:val="24"/>
                <w:szCs w:val="24"/>
                <w:lang w:eastAsia="zh-CN"/>
              </w:rPr>
            </w:pPr>
            <w:r>
              <w:rPr>
                <w:rFonts w:hint="eastAsia" w:ascii="Times New Roman" w:hAnsi="Times New Roman" w:eastAsia="宋体" w:cs="Times New Roman"/>
                <w:sz w:val="24"/>
                <w:szCs w:val="24"/>
                <w:lang w:eastAsia="zh-CN"/>
              </w:rPr>
              <w:t>项目主要设备噪声源强如表4.2-16。</w:t>
            </w:r>
          </w:p>
          <w:p>
            <w:pPr>
              <w:pStyle w:val="42"/>
              <w:spacing w:before="120"/>
            </w:pPr>
            <w:r>
              <w:t>表</w:t>
            </w:r>
            <w:r>
              <w:rPr>
                <w:rFonts w:hint="eastAsia"/>
              </w:rPr>
              <w:t xml:space="preserve">4.2-16 </w:t>
            </w:r>
            <w:r>
              <w:t xml:space="preserve"> </w:t>
            </w:r>
            <w:r>
              <w:rPr>
                <w:rFonts w:hint="eastAsia"/>
              </w:rPr>
              <w:t>项目主要声源及噪声源强一览表</w:t>
            </w:r>
          </w:p>
          <w:tbl>
            <w:tblPr>
              <w:tblStyle w:val="47"/>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46"/>
              <w:gridCol w:w="1349"/>
              <w:gridCol w:w="1242"/>
              <w:gridCol w:w="2490"/>
              <w:gridCol w:w="1341"/>
              <w:gridCol w:w="147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535" w:type="pct"/>
                  <w:vAlign w:val="center"/>
                </w:tcPr>
                <w:p>
                  <w:pPr>
                    <w:pStyle w:val="39"/>
                  </w:pPr>
                  <w:r>
                    <w:rPr>
                      <w:rFonts w:hint="eastAsia"/>
                    </w:rPr>
                    <w:t>序号</w:t>
                  </w:r>
                </w:p>
              </w:tc>
              <w:tc>
                <w:tcPr>
                  <w:tcW w:w="763" w:type="pct"/>
                  <w:vAlign w:val="center"/>
                </w:tcPr>
                <w:p>
                  <w:pPr>
                    <w:pStyle w:val="39"/>
                  </w:pPr>
                  <w:r>
                    <w:rPr>
                      <w:rFonts w:hint="eastAsia"/>
                    </w:rPr>
                    <w:t>噪声源</w:t>
                  </w:r>
                </w:p>
              </w:tc>
              <w:tc>
                <w:tcPr>
                  <w:tcW w:w="702" w:type="pct"/>
                  <w:vAlign w:val="center"/>
                </w:tcPr>
                <w:p>
                  <w:pPr>
                    <w:pStyle w:val="39"/>
                  </w:pPr>
                  <w:r>
                    <w:rPr>
                      <w:rFonts w:hint="eastAsia"/>
                    </w:rPr>
                    <w:t>源强dB(A)</w:t>
                  </w:r>
                </w:p>
              </w:tc>
              <w:tc>
                <w:tcPr>
                  <w:tcW w:w="1408" w:type="pct"/>
                  <w:vAlign w:val="center"/>
                </w:tcPr>
                <w:p>
                  <w:pPr>
                    <w:pStyle w:val="39"/>
                  </w:pPr>
                  <w:r>
                    <w:rPr>
                      <w:rFonts w:hint="eastAsia"/>
                    </w:rPr>
                    <w:t>降噪措施</w:t>
                  </w:r>
                </w:p>
              </w:tc>
              <w:tc>
                <w:tcPr>
                  <w:tcW w:w="758" w:type="pct"/>
                  <w:vAlign w:val="center"/>
                </w:tcPr>
                <w:p>
                  <w:pPr>
                    <w:pStyle w:val="39"/>
                  </w:pPr>
                  <w:r>
                    <w:rPr>
                      <w:rFonts w:hint="eastAsia"/>
                    </w:rPr>
                    <w:t>排放强度dB(A)</w:t>
                  </w:r>
                </w:p>
              </w:tc>
              <w:tc>
                <w:tcPr>
                  <w:tcW w:w="832" w:type="pct"/>
                  <w:vAlign w:val="center"/>
                </w:tcPr>
                <w:p>
                  <w:pPr>
                    <w:pStyle w:val="39"/>
                  </w:pPr>
                  <w:r>
                    <w:rPr>
                      <w:rFonts w:hint="eastAsia"/>
                    </w:rPr>
                    <w:t>持续时间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35" w:type="pct"/>
                  <w:vAlign w:val="center"/>
                </w:tcPr>
                <w:p>
                  <w:pPr>
                    <w:pStyle w:val="39"/>
                  </w:pPr>
                  <w:r>
                    <w:rPr>
                      <w:rFonts w:hint="eastAsia"/>
                    </w:rPr>
                    <w:t>1</w:t>
                  </w:r>
                </w:p>
              </w:tc>
              <w:tc>
                <w:tcPr>
                  <w:tcW w:w="763" w:type="pct"/>
                  <w:vAlign w:val="center"/>
                </w:tcPr>
                <w:p>
                  <w:pPr>
                    <w:pStyle w:val="39"/>
                  </w:pPr>
                  <w:r>
                    <w:t>车辆噪声</w:t>
                  </w:r>
                </w:p>
              </w:tc>
              <w:tc>
                <w:tcPr>
                  <w:tcW w:w="702" w:type="pct"/>
                  <w:vAlign w:val="center"/>
                </w:tcPr>
                <w:p>
                  <w:pPr>
                    <w:pStyle w:val="39"/>
                  </w:pPr>
                  <w:r>
                    <w:rPr>
                      <w:rFonts w:eastAsiaTheme="majorEastAsia"/>
                    </w:rPr>
                    <w:t>65</w:t>
                  </w:r>
                </w:p>
              </w:tc>
              <w:tc>
                <w:tcPr>
                  <w:tcW w:w="1408" w:type="pct"/>
                  <w:vMerge w:val="restart"/>
                  <w:vAlign w:val="center"/>
                </w:tcPr>
                <w:p>
                  <w:pPr>
                    <w:pStyle w:val="39"/>
                  </w:pPr>
                  <w:r>
                    <w:rPr>
                      <w:rFonts w:hint="eastAsia" w:eastAsiaTheme="majorEastAsia"/>
                    </w:rPr>
                    <w:t>设备减震，</w:t>
                  </w:r>
                  <w:r>
                    <w:rPr>
                      <w:rFonts w:eastAsiaTheme="majorEastAsia"/>
                    </w:rPr>
                    <w:t>合理布局，距离衰减</w:t>
                  </w:r>
                </w:p>
              </w:tc>
              <w:tc>
                <w:tcPr>
                  <w:tcW w:w="1339" w:type="dxa"/>
                  <w:vAlign w:val="center"/>
                </w:tcPr>
                <w:p>
                  <w:pPr>
                    <w:pStyle w:val="39"/>
                  </w:pPr>
                  <w:r>
                    <w:rPr>
                      <w:rFonts w:hint="eastAsia" w:eastAsiaTheme="majorEastAsia"/>
                    </w:rPr>
                    <w:t>55</w:t>
                  </w:r>
                </w:p>
              </w:tc>
              <w:tc>
                <w:tcPr>
                  <w:tcW w:w="832" w:type="pct"/>
                  <w:vAlign w:val="center"/>
                </w:tcPr>
                <w:p>
                  <w:pPr>
                    <w:pStyle w:val="39"/>
                  </w:pPr>
                  <w:r>
                    <w:rPr>
                      <w:rFonts w:hint="eastAsia"/>
                    </w:rPr>
                    <w:t>昼间、夜间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535" w:type="pct"/>
                  <w:vAlign w:val="center"/>
                </w:tcPr>
                <w:p>
                  <w:pPr>
                    <w:pStyle w:val="39"/>
                  </w:pPr>
                  <w:r>
                    <w:rPr>
                      <w:rFonts w:hint="eastAsia"/>
                    </w:rPr>
                    <w:t>2</w:t>
                  </w:r>
                </w:p>
              </w:tc>
              <w:tc>
                <w:tcPr>
                  <w:tcW w:w="763" w:type="pct"/>
                  <w:vAlign w:val="center"/>
                </w:tcPr>
                <w:p>
                  <w:pPr>
                    <w:pStyle w:val="39"/>
                  </w:pPr>
                  <w:r>
                    <w:t>加油机</w:t>
                  </w:r>
                </w:p>
              </w:tc>
              <w:tc>
                <w:tcPr>
                  <w:tcW w:w="702" w:type="pct"/>
                  <w:vAlign w:val="center"/>
                </w:tcPr>
                <w:p>
                  <w:pPr>
                    <w:pStyle w:val="39"/>
                  </w:pPr>
                  <w:r>
                    <w:rPr>
                      <w:rFonts w:eastAsiaTheme="majorEastAsia"/>
                    </w:rPr>
                    <w:t>70</w:t>
                  </w:r>
                </w:p>
              </w:tc>
              <w:tc>
                <w:tcPr>
                  <w:tcW w:w="1408" w:type="pct"/>
                  <w:vMerge w:val="continue"/>
                  <w:vAlign w:val="center"/>
                </w:tcPr>
                <w:p>
                  <w:pPr>
                    <w:pStyle w:val="39"/>
                  </w:pPr>
                </w:p>
              </w:tc>
              <w:tc>
                <w:tcPr>
                  <w:tcW w:w="1339" w:type="dxa"/>
                  <w:vAlign w:val="center"/>
                </w:tcPr>
                <w:p>
                  <w:pPr>
                    <w:pStyle w:val="39"/>
                  </w:pPr>
                  <w:r>
                    <w:rPr>
                      <w:rFonts w:hint="eastAsia" w:eastAsiaTheme="majorEastAsia"/>
                    </w:rPr>
                    <w:t>60</w:t>
                  </w:r>
                </w:p>
              </w:tc>
              <w:tc>
                <w:tcPr>
                  <w:tcW w:w="832" w:type="pct"/>
                  <w:vAlign w:val="center"/>
                </w:tcPr>
                <w:p>
                  <w:pPr>
                    <w:pStyle w:val="39"/>
                  </w:pPr>
                  <w:r>
                    <w:rPr>
                      <w:rFonts w:hint="eastAsia"/>
                    </w:rPr>
                    <w:t>昼间、夜间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35" w:type="pct"/>
                  <w:vAlign w:val="center"/>
                </w:tcPr>
                <w:p>
                  <w:pPr>
                    <w:pStyle w:val="39"/>
                  </w:pPr>
                  <w:r>
                    <w:rPr>
                      <w:rFonts w:hint="eastAsia"/>
                    </w:rPr>
                    <w:t>3</w:t>
                  </w:r>
                </w:p>
              </w:tc>
              <w:tc>
                <w:tcPr>
                  <w:tcW w:w="763" w:type="pct"/>
                  <w:vAlign w:val="center"/>
                </w:tcPr>
                <w:p>
                  <w:pPr>
                    <w:pStyle w:val="39"/>
                  </w:pPr>
                  <w:r>
                    <w:t>油气装卸</w:t>
                  </w:r>
                </w:p>
              </w:tc>
              <w:tc>
                <w:tcPr>
                  <w:tcW w:w="702" w:type="pct"/>
                  <w:vAlign w:val="center"/>
                </w:tcPr>
                <w:p>
                  <w:pPr>
                    <w:pStyle w:val="39"/>
                  </w:pPr>
                  <w:r>
                    <w:rPr>
                      <w:rFonts w:eastAsiaTheme="majorEastAsia"/>
                    </w:rPr>
                    <w:t>75</w:t>
                  </w:r>
                </w:p>
              </w:tc>
              <w:tc>
                <w:tcPr>
                  <w:tcW w:w="1408" w:type="pct"/>
                  <w:vMerge w:val="continue"/>
                  <w:vAlign w:val="center"/>
                </w:tcPr>
                <w:p>
                  <w:pPr>
                    <w:pStyle w:val="39"/>
                  </w:pPr>
                </w:p>
              </w:tc>
              <w:tc>
                <w:tcPr>
                  <w:tcW w:w="1339" w:type="dxa"/>
                  <w:vAlign w:val="center"/>
                </w:tcPr>
                <w:p>
                  <w:pPr>
                    <w:pStyle w:val="39"/>
                  </w:pPr>
                  <w:r>
                    <w:rPr>
                      <w:rFonts w:hint="eastAsia" w:eastAsiaTheme="majorEastAsia"/>
                    </w:rPr>
                    <w:t>65</w:t>
                  </w:r>
                </w:p>
              </w:tc>
              <w:tc>
                <w:tcPr>
                  <w:tcW w:w="832" w:type="pct"/>
                  <w:vAlign w:val="center"/>
                </w:tcPr>
                <w:p>
                  <w:pPr>
                    <w:pStyle w:val="39"/>
                  </w:pPr>
                  <w:r>
                    <w:rPr>
                      <w:rFonts w:hint="eastAsia"/>
                    </w:rPr>
                    <w:t>昼间、夜间</w:t>
                  </w:r>
                </w:p>
              </w:tc>
            </w:tr>
          </w:tbl>
          <w:p>
            <w:pPr>
              <w:spacing w:line="460" w:lineRule="exact"/>
              <w:ind w:firstLine="482" w:firstLineChars="200"/>
              <w:jc w:val="both"/>
              <w:rPr>
                <w:rFonts w:ascii="Times New Roman" w:hAnsi="Times New Roman" w:eastAsia="宋体" w:cs="Times New Roman"/>
                <w:b/>
                <w:bCs/>
                <w:sz w:val="24"/>
                <w:lang w:eastAsia="zh-CN"/>
              </w:rPr>
            </w:pPr>
            <w:r>
              <w:rPr>
                <w:rFonts w:hint="eastAsia" w:ascii="Times New Roman" w:hAnsi="Times New Roman" w:eastAsia="宋体" w:cs="Times New Roman"/>
                <w:b/>
                <w:bCs/>
                <w:sz w:val="24"/>
                <w:lang w:eastAsia="zh-CN"/>
              </w:rPr>
              <w:t>3.2噪声影响及达标排放</w:t>
            </w:r>
          </w:p>
          <w:p>
            <w:pPr>
              <w:spacing w:line="360" w:lineRule="auto"/>
              <w:ind w:firstLine="480" w:firstLineChars="200"/>
              <w:jc w:val="both"/>
              <w:rPr>
                <w:rFonts w:hint="eastAsia" w:ascii="Times New Roman" w:hAnsi="宋体" w:eastAsia="宋体" w:cs="Times New Roman"/>
                <w:kern w:val="2"/>
                <w:sz w:val="24"/>
                <w:szCs w:val="24"/>
                <w:lang w:eastAsia="zh-CN"/>
              </w:rPr>
            </w:pPr>
            <w:r>
              <w:rPr>
                <w:rFonts w:hint="eastAsia" w:ascii="Times New Roman" w:hAnsi="宋体" w:eastAsia="宋体" w:cs="Times New Roman"/>
                <w:kern w:val="2"/>
                <w:sz w:val="24"/>
                <w:szCs w:val="24"/>
                <w:lang w:eastAsia="zh-CN"/>
              </w:rPr>
              <w:t>（1）预测模型</w:t>
            </w:r>
          </w:p>
          <w:p>
            <w:pPr>
              <w:spacing w:line="360" w:lineRule="auto"/>
              <w:ind w:firstLine="480" w:firstLineChars="200"/>
              <w:jc w:val="both"/>
              <w:rPr>
                <w:rFonts w:hint="eastAsia" w:ascii="Times New Roman" w:hAnsi="宋体" w:eastAsia="宋体" w:cs="Times New Roman"/>
                <w:kern w:val="2"/>
                <w:sz w:val="24"/>
                <w:szCs w:val="24"/>
                <w:lang w:eastAsia="zh-CN"/>
              </w:rPr>
            </w:pPr>
            <w:r>
              <w:rPr>
                <w:rFonts w:hint="eastAsia" w:ascii="Times New Roman" w:hAnsi="宋体" w:eastAsia="宋体" w:cs="Times New Roman"/>
                <w:kern w:val="2"/>
                <w:sz w:val="24"/>
                <w:szCs w:val="24"/>
                <w:lang w:eastAsia="zh-CN"/>
              </w:rPr>
              <w:t>项目工业噪声源按点声源处理，且声源多位于地面，可近似认为是半自由场的球面坡扩散，本次评价选用点声源衰减模式进行预测。</w:t>
            </w:r>
          </w:p>
          <w:p>
            <w:pPr>
              <w:spacing w:line="360" w:lineRule="auto"/>
              <w:ind w:firstLine="480" w:firstLineChars="200"/>
              <w:jc w:val="both"/>
              <w:rPr>
                <w:rFonts w:ascii="Times New Roman" w:hAnsi="Times New Roman" w:eastAsia="宋体" w:cs="Times New Roman"/>
                <w:kern w:val="2"/>
                <w:sz w:val="24"/>
                <w:szCs w:val="24"/>
                <w:lang w:eastAsia="zh-CN"/>
              </w:rPr>
            </w:pPr>
            <w:r>
              <w:rPr>
                <w:rFonts w:hint="eastAsia" w:ascii="Times New Roman" w:hAnsi="Times New Roman" w:eastAsia="宋体" w:cs="Times New Roman"/>
                <w:kern w:val="2"/>
                <w:sz w:val="24"/>
                <w:szCs w:val="24"/>
                <w:lang w:eastAsia="zh-CN"/>
              </w:rPr>
              <w:t>①室外声源预测模式为：</w:t>
            </w:r>
          </w:p>
          <w:p>
            <w:pPr>
              <w:widowControl/>
              <w:spacing w:line="360" w:lineRule="auto"/>
              <w:contextualSpacing/>
              <w:jc w:val="center"/>
              <w:rPr>
                <w:rFonts w:ascii="Times New Roman" w:hAnsi="Times New Roman" w:eastAsia="宋体" w:cs="Times New Roman"/>
                <w:sz w:val="24"/>
                <w:szCs w:val="24"/>
                <w:vertAlign w:val="subscript"/>
                <w:lang w:eastAsia="zh-CN"/>
              </w:rPr>
            </w:pPr>
            <w:r>
              <w:rPr>
                <w:rFonts w:ascii="Times New Roman" w:hAnsi="Times New Roman" w:eastAsia="宋体" w:cs="Times New Roman"/>
                <w:sz w:val="24"/>
                <w:szCs w:val="24"/>
                <w:lang w:eastAsia="zh-CN"/>
              </w:rPr>
              <w:t>L</w:t>
            </w:r>
            <w:r>
              <w:rPr>
                <w:rFonts w:ascii="Times New Roman" w:hAnsi="Times New Roman" w:eastAsia="宋体" w:cs="Times New Roman"/>
                <w:sz w:val="24"/>
                <w:szCs w:val="24"/>
                <w:vertAlign w:val="subscript"/>
                <w:lang w:eastAsia="zh-CN"/>
              </w:rPr>
              <w:t>A</w:t>
            </w:r>
            <w:r>
              <w:rPr>
                <w:rFonts w:ascii="Times New Roman" w:hAnsi="Times New Roman" w:eastAsia="宋体" w:cs="Times New Roman"/>
                <w:sz w:val="24"/>
                <w:szCs w:val="24"/>
                <w:lang w:eastAsia="zh-CN"/>
              </w:rPr>
              <w:t>（r）＝L</w:t>
            </w:r>
            <w:r>
              <w:rPr>
                <w:rFonts w:ascii="Times New Roman" w:hAnsi="Times New Roman" w:eastAsia="宋体" w:cs="Times New Roman"/>
                <w:sz w:val="24"/>
                <w:szCs w:val="24"/>
                <w:vertAlign w:val="subscript"/>
                <w:lang w:eastAsia="zh-CN"/>
              </w:rPr>
              <w:t>A</w:t>
            </w:r>
            <w:r>
              <w:rPr>
                <w:rFonts w:ascii="Times New Roman" w:hAnsi="Times New Roman" w:eastAsia="宋体" w:cs="Times New Roman"/>
                <w:sz w:val="24"/>
                <w:szCs w:val="24"/>
                <w:lang w:eastAsia="zh-CN"/>
              </w:rPr>
              <w:t>（r</w:t>
            </w:r>
            <w:r>
              <w:rPr>
                <w:rFonts w:ascii="Times New Roman" w:hAnsi="Times New Roman" w:eastAsia="宋体" w:cs="Times New Roman"/>
                <w:sz w:val="24"/>
                <w:szCs w:val="24"/>
                <w:vertAlign w:val="subscript"/>
                <w:lang w:eastAsia="zh-CN"/>
              </w:rPr>
              <w:t>0</w:t>
            </w:r>
            <w:r>
              <w:rPr>
                <w:rFonts w:ascii="Times New Roman" w:hAnsi="Times New Roman" w:eastAsia="宋体" w:cs="Times New Roman"/>
                <w:sz w:val="24"/>
                <w:szCs w:val="24"/>
                <w:lang w:eastAsia="zh-CN"/>
              </w:rPr>
              <w:t>）-20lg</w:t>
            </w:r>
            <w:r>
              <w:rPr>
                <w:rFonts w:ascii="Times New Roman" w:hAnsi="Times New Roman" w:eastAsia="宋体" w:cs="Times New Roman"/>
                <w:position w:val="-30"/>
                <w:sz w:val="24"/>
                <w:szCs w:val="24"/>
                <w:lang w:eastAsia="zh-CN"/>
              </w:rPr>
              <w:drawing>
                <wp:inline distT="0" distB="0" distL="0" distR="0">
                  <wp:extent cx="190500" cy="434340"/>
                  <wp:effectExtent l="0" t="0" r="0" b="381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a:xfrm>
                            <a:off x="0" y="0"/>
                            <a:ext cx="190500" cy="434340"/>
                          </a:xfrm>
                          <a:prstGeom prst="rect">
                            <a:avLst/>
                          </a:prstGeom>
                          <a:noFill/>
                          <a:ln>
                            <a:noFill/>
                          </a:ln>
                        </pic:spPr>
                      </pic:pic>
                    </a:graphicData>
                  </a:graphic>
                </wp:inline>
              </w:drawing>
            </w:r>
            <w:r>
              <w:rPr>
                <w:rFonts w:ascii="Times New Roman" w:hAnsi="Times New Roman" w:eastAsia="宋体" w:cs="Times New Roman"/>
                <w:sz w:val="24"/>
                <w:szCs w:val="24"/>
                <w:lang w:eastAsia="zh-CN"/>
              </w:rPr>
              <w:t>-</w:t>
            </w:r>
            <w:r>
              <w:rPr>
                <w:rFonts w:hint="eastAsia" w:ascii="宋体" w:hAnsi="宋体" w:eastAsia="宋体" w:cs="宋体"/>
                <w:sz w:val="24"/>
                <w:szCs w:val="24"/>
                <w:lang w:eastAsia="zh-CN"/>
              </w:rPr>
              <w:t>△</w:t>
            </w:r>
            <w:r>
              <w:rPr>
                <w:rFonts w:ascii="Times New Roman" w:hAnsi="Times New Roman" w:eastAsia="宋体" w:cs="Times New Roman"/>
                <w:sz w:val="24"/>
                <w:szCs w:val="24"/>
                <w:lang w:eastAsia="zh-CN"/>
              </w:rPr>
              <w:t>L</w:t>
            </w:r>
            <w:r>
              <w:rPr>
                <w:rFonts w:ascii="Times New Roman" w:hAnsi="Times New Roman" w:eastAsia="宋体" w:cs="Times New Roman"/>
                <w:sz w:val="24"/>
                <w:szCs w:val="24"/>
                <w:vertAlign w:val="subscript"/>
                <w:lang w:eastAsia="zh-CN"/>
              </w:rPr>
              <w:t>A</w:t>
            </w:r>
          </w:p>
          <w:p>
            <w:pPr>
              <w:widowControl/>
              <w:spacing w:line="360" w:lineRule="auto"/>
              <w:contextualSpacing/>
              <w:jc w:val="center"/>
              <w:rPr>
                <w:rFonts w:ascii="Times New Roman" w:hAnsi="Times New Roman" w:eastAsia="宋体" w:cs="Times New Roman"/>
                <w:b/>
                <w:sz w:val="24"/>
                <w:szCs w:val="24"/>
                <w:lang w:eastAsia="zh-CN"/>
              </w:rPr>
            </w:pPr>
            <w:r>
              <w:rPr>
                <w:rFonts w:ascii="Times New Roman" w:hAnsi="Times New Roman" w:eastAsia="宋体" w:cs="Times New Roman"/>
                <w:sz w:val="24"/>
                <w:szCs w:val="24"/>
                <w:lang w:eastAsia="zh-CN"/>
              </w:rPr>
              <w:t>或</w:t>
            </w:r>
            <w:r>
              <w:rPr>
                <w:rFonts w:ascii="Times New Roman" w:hAnsi="Times New Roman" w:eastAsia="宋体" w:cs="Times New Roman"/>
                <w:b/>
                <w:sz w:val="24"/>
                <w:szCs w:val="24"/>
                <w:lang w:eastAsia="zh-CN"/>
              </w:rPr>
              <w:t xml:space="preserve"> </w:t>
            </w:r>
            <w:r>
              <w:rPr>
                <w:rFonts w:ascii="Times New Roman" w:hAnsi="Times New Roman" w:eastAsia="宋体" w:cs="Times New Roman"/>
                <w:sz w:val="24"/>
                <w:szCs w:val="24"/>
                <w:lang w:eastAsia="zh-CN"/>
              </w:rPr>
              <w:t>L</w:t>
            </w:r>
            <w:r>
              <w:rPr>
                <w:rFonts w:ascii="Times New Roman" w:hAnsi="Times New Roman" w:eastAsia="宋体" w:cs="Times New Roman"/>
                <w:sz w:val="24"/>
                <w:szCs w:val="24"/>
                <w:vertAlign w:val="subscript"/>
                <w:lang w:eastAsia="zh-CN"/>
              </w:rPr>
              <w:t>A</w:t>
            </w:r>
            <w:r>
              <w:rPr>
                <w:rFonts w:ascii="Times New Roman" w:hAnsi="Times New Roman" w:eastAsia="宋体" w:cs="Times New Roman"/>
                <w:sz w:val="24"/>
                <w:szCs w:val="24"/>
                <w:lang w:eastAsia="zh-CN"/>
              </w:rPr>
              <w:t>（r）＝L</w:t>
            </w:r>
            <w:r>
              <w:rPr>
                <w:rFonts w:ascii="Times New Roman" w:hAnsi="Times New Roman" w:eastAsia="宋体" w:cs="Times New Roman"/>
                <w:sz w:val="24"/>
                <w:szCs w:val="24"/>
                <w:vertAlign w:val="subscript"/>
                <w:lang w:eastAsia="zh-CN"/>
              </w:rPr>
              <w:t>Aw</w:t>
            </w:r>
            <w:r>
              <w:rPr>
                <w:rFonts w:ascii="Times New Roman" w:hAnsi="Times New Roman" w:eastAsia="宋体" w:cs="Times New Roman"/>
                <w:sz w:val="24"/>
                <w:szCs w:val="24"/>
                <w:lang w:eastAsia="zh-CN"/>
              </w:rPr>
              <w:t>－20lg（r）-8-</w:t>
            </w:r>
            <w:r>
              <w:rPr>
                <w:rFonts w:hint="eastAsia" w:ascii="宋体" w:hAnsi="宋体" w:eastAsia="宋体" w:cs="宋体"/>
                <w:sz w:val="24"/>
                <w:szCs w:val="24"/>
                <w:lang w:eastAsia="zh-CN"/>
              </w:rPr>
              <w:t>△</w:t>
            </w:r>
            <w:r>
              <w:rPr>
                <w:rFonts w:ascii="Times New Roman" w:hAnsi="Times New Roman" w:eastAsia="宋体" w:cs="Times New Roman"/>
                <w:sz w:val="24"/>
                <w:szCs w:val="24"/>
                <w:lang w:eastAsia="zh-CN"/>
              </w:rPr>
              <w:t>L</w:t>
            </w:r>
            <w:r>
              <w:rPr>
                <w:rFonts w:ascii="Times New Roman" w:hAnsi="Times New Roman" w:eastAsia="宋体" w:cs="Times New Roman"/>
                <w:sz w:val="24"/>
                <w:szCs w:val="24"/>
                <w:vertAlign w:val="subscript"/>
                <w:lang w:eastAsia="zh-CN"/>
              </w:rPr>
              <w:t>A</w:t>
            </w:r>
          </w:p>
          <w:p>
            <w:pPr>
              <w:spacing w:line="360" w:lineRule="auto"/>
              <w:ind w:firstLine="480" w:firstLineChars="200"/>
              <w:jc w:val="both"/>
              <w:rPr>
                <w:rFonts w:ascii="Times New Roman" w:hAnsi="Times New Roman" w:eastAsia="宋体" w:cs="Times New Roman"/>
                <w:kern w:val="2"/>
                <w:sz w:val="24"/>
                <w:szCs w:val="24"/>
                <w:lang w:eastAsia="zh-CN"/>
              </w:rPr>
            </w:pPr>
            <w:r>
              <w:rPr>
                <w:rFonts w:ascii="Times New Roman" w:hAnsi="Times New Roman" w:eastAsia="宋体" w:cs="Times New Roman"/>
                <w:kern w:val="2"/>
                <w:sz w:val="24"/>
                <w:szCs w:val="24"/>
                <w:lang w:eastAsia="zh-CN"/>
              </w:rPr>
              <w:t>式中：L</w:t>
            </w:r>
            <w:r>
              <w:rPr>
                <w:rFonts w:ascii="Times New Roman" w:hAnsi="Times New Roman" w:eastAsia="宋体" w:cs="Times New Roman"/>
                <w:kern w:val="2"/>
                <w:sz w:val="24"/>
                <w:szCs w:val="24"/>
                <w:vertAlign w:val="subscript"/>
                <w:lang w:eastAsia="zh-CN"/>
              </w:rPr>
              <w:t>A</w:t>
            </w:r>
            <w:r>
              <w:rPr>
                <w:rFonts w:ascii="Times New Roman" w:hAnsi="Times New Roman" w:eastAsia="宋体" w:cs="Times New Roman"/>
                <w:kern w:val="2"/>
                <w:sz w:val="24"/>
                <w:szCs w:val="24"/>
                <w:lang w:eastAsia="zh-CN"/>
              </w:rPr>
              <w:t>（r）——距声源r处的A声级，dB（A）；</w:t>
            </w:r>
          </w:p>
          <w:p>
            <w:pPr>
              <w:spacing w:line="360" w:lineRule="auto"/>
              <w:ind w:firstLine="1200" w:firstLineChars="500"/>
              <w:jc w:val="both"/>
              <w:rPr>
                <w:rFonts w:ascii="Times New Roman" w:hAnsi="Times New Roman" w:eastAsia="宋体" w:cs="Times New Roman"/>
                <w:kern w:val="2"/>
                <w:sz w:val="24"/>
                <w:szCs w:val="24"/>
                <w:lang w:eastAsia="zh-CN"/>
              </w:rPr>
            </w:pPr>
            <w:r>
              <w:rPr>
                <w:rFonts w:ascii="Times New Roman" w:hAnsi="Times New Roman" w:eastAsia="宋体" w:cs="Times New Roman"/>
                <w:kern w:val="2"/>
                <w:sz w:val="24"/>
                <w:szCs w:val="24"/>
                <w:lang w:eastAsia="zh-CN"/>
              </w:rPr>
              <w:t>L</w:t>
            </w:r>
            <w:r>
              <w:rPr>
                <w:rFonts w:ascii="Times New Roman" w:hAnsi="Times New Roman" w:eastAsia="宋体" w:cs="Times New Roman"/>
                <w:kern w:val="2"/>
                <w:sz w:val="24"/>
                <w:szCs w:val="24"/>
                <w:vertAlign w:val="subscript"/>
                <w:lang w:eastAsia="zh-CN"/>
              </w:rPr>
              <w:t>A</w:t>
            </w:r>
            <w:r>
              <w:rPr>
                <w:rFonts w:ascii="Times New Roman" w:hAnsi="Times New Roman" w:eastAsia="宋体" w:cs="Times New Roman"/>
                <w:kern w:val="2"/>
                <w:sz w:val="24"/>
                <w:szCs w:val="24"/>
                <w:lang w:eastAsia="zh-CN"/>
              </w:rPr>
              <w:t>（r</w:t>
            </w:r>
            <w:r>
              <w:rPr>
                <w:rFonts w:ascii="Times New Roman" w:hAnsi="Times New Roman" w:eastAsia="宋体" w:cs="Times New Roman"/>
                <w:kern w:val="2"/>
                <w:sz w:val="24"/>
                <w:szCs w:val="24"/>
                <w:vertAlign w:val="subscript"/>
                <w:lang w:eastAsia="zh-CN"/>
              </w:rPr>
              <w:t>0</w:t>
            </w:r>
            <w:r>
              <w:rPr>
                <w:rFonts w:ascii="Times New Roman" w:hAnsi="Times New Roman" w:eastAsia="宋体" w:cs="Times New Roman"/>
                <w:kern w:val="2"/>
                <w:sz w:val="24"/>
                <w:szCs w:val="24"/>
                <w:lang w:eastAsia="zh-CN"/>
              </w:rPr>
              <w:t>）——参考位置r</w:t>
            </w:r>
            <w:r>
              <w:rPr>
                <w:rFonts w:ascii="Times New Roman" w:hAnsi="Times New Roman" w:eastAsia="宋体" w:cs="Times New Roman"/>
                <w:kern w:val="2"/>
                <w:sz w:val="24"/>
                <w:szCs w:val="24"/>
                <w:vertAlign w:val="subscript"/>
                <w:lang w:eastAsia="zh-CN"/>
              </w:rPr>
              <w:t>0</w:t>
            </w:r>
            <w:r>
              <w:rPr>
                <w:rFonts w:ascii="Times New Roman" w:hAnsi="Times New Roman" w:eastAsia="宋体" w:cs="Times New Roman"/>
                <w:kern w:val="2"/>
                <w:sz w:val="24"/>
                <w:szCs w:val="24"/>
                <w:lang w:eastAsia="zh-CN"/>
              </w:rPr>
              <w:t>处的A声级，dB（A）；</w:t>
            </w:r>
          </w:p>
          <w:p>
            <w:pPr>
              <w:spacing w:line="360" w:lineRule="auto"/>
              <w:ind w:firstLine="1200" w:firstLineChars="500"/>
              <w:jc w:val="both"/>
              <w:rPr>
                <w:rFonts w:ascii="Times New Roman" w:hAnsi="Times New Roman" w:eastAsia="宋体" w:cs="Times New Roman"/>
                <w:kern w:val="2"/>
                <w:sz w:val="24"/>
                <w:szCs w:val="24"/>
                <w:lang w:eastAsia="zh-CN"/>
              </w:rPr>
            </w:pPr>
            <w:r>
              <w:rPr>
                <w:rFonts w:ascii="Times New Roman" w:hAnsi="Times New Roman" w:eastAsia="宋体" w:cs="Times New Roman"/>
                <w:kern w:val="2"/>
                <w:sz w:val="24"/>
                <w:szCs w:val="24"/>
                <w:lang w:eastAsia="zh-CN"/>
              </w:rPr>
              <w:t>L</w:t>
            </w:r>
            <w:r>
              <w:rPr>
                <w:rFonts w:ascii="Times New Roman" w:hAnsi="Times New Roman" w:eastAsia="宋体" w:cs="Times New Roman"/>
                <w:kern w:val="2"/>
                <w:sz w:val="24"/>
                <w:szCs w:val="24"/>
                <w:vertAlign w:val="subscript"/>
                <w:lang w:eastAsia="zh-CN"/>
              </w:rPr>
              <w:t>Aw</w:t>
            </w:r>
            <w:r>
              <w:rPr>
                <w:rFonts w:ascii="Times New Roman" w:hAnsi="Times New Roman" w:eastAsia="宋体" w:cs="Times New Roman"/>
                <w:kern w:val="2"/>
                <w:sz w:val="24"/>
                <w:szCs w:val="24"/>
                <w:lang w:eastAsia="zh-CN"/>
              </w:rPr>
              <w:t>——室外声源或等效室外声源的A声功率级，dB（A）；</w:t>
            </w:r>
          </w:p>
          <w:p>
            <w:pPr>
              <w:spacing w:line="360" w:lineRule="auto"/>
              <w:ind w:firstLine="1200" w:firstLineChars="500"/>
              <w:jc w:val="both"/>
              <w:rPr>
                <w:rFonts w:ascii="Times New Roman" w:hAnsi="Times New Roman" w:eastAsia="宋体" w:cs="Times New Roman"/>
                <w:kern w:val="2"/>
                <w:sz w:val="24"/>
                <w:szCs w:val="24"/>
                <w:lang w:eastAsia="zh-CN"/>
              </w:rPr>
            </w:pPr>
            <w:r>
              <w:rPr>
                <w:rFonts w:ascii="Times New Roman" w:hAnsi="Times New Roman" w:eastAsia="宋体" w:cs="Times New Roman"/>
                <w:kern w:val="2"/>
                <w:sz w:val="24"/>
                <w:szCs w:val="24"/>
                <w:lang w:eastAsia="zh-CN"/>
              </w:rPr>
              <w:t>r——预测点距声源的距离，m；</w:t>
            </w:r>
          </w:p>
          <w:p>
            <w:pPr>
              <w:spacing w:line="360" w:lineRule="auto"/>
              <w:ind w:firstLine="1200" w:firstLineChars="500"/>
              <w:jc w:val="both"/>
              <w:rPr>
                <w:rFonts w:ascii="Times New Roman" w:hAnsi="Times New Roman" w:eastAsia="宋体" w:cs="Times New Roman"/>
                <w:kern w:val="2"/>
                <w:sz w:val="24"/>
                <w:szCs w:val="24"/>
                <w:lang w:eastAsia="zh-CN"/>
              </w:rPr>
            </w:pPr>
            <w:r>
              <w:rPr>
                <w:rFonts w:ascii="Times New Roman" w:hAnsi="Times New Roman" w:eastAsia="宋体" w:cs="Times New Roman"/>
                <w:kern w:val="2"/>
                <w:sz w:val="24"/>
                <w:szCs w:val="24"/>
                <w:lang w:eastAsia="zh-CN"/>
              </w:rPr>
              <w:t>r</w:t>
            </w:r>
            <w:r>
              <w:rPr>
                <w:rFonts w:ascii="Times New Roman" w:hAnsi="Times New Roman" w:eastAsia="宋体" w:cs="Times New Roman"/>
                <w:kern w:val="2"/>
                <w:sz w:val="24"/>
                <w:szCs w:val="24"/>
                <w:vertAlign w:val="subscript"/>
                <w:lang w:eastAsia="zh-CN"/>
              </w:rPr>
              <w:t>0</w:t>
            </w:r>
            <w:r>
              <w:rPr>
                <w:rFonts w:ascii="Times New Roman" w:hAnsi="Times New Roman" w:eastAsia="宋体" w:cs="Times New Roman"/>
                <w:kern w:val="2"/>
                <w:sz w:val="24"/>
                <w:szCs w:val="24"/>
                <w:lang w:eastAsia="zh-CN"/>
              </w:rPr>
              <w:t>——参考位置距声源的距离，m；</w:t>
            </w:r>
          </w:p>
          <w:p>
            <w:pPr>
              <w:spacing w:line="360" w:lineRule="auto"/>
              <w:ind w:firstLine="1200" w:firstLineChars="500"/>
              <w:jc w:val="both"/>
              <w:rPr>
                <w:rFonts w:ascii="Times New Roman" w:hAnsi="Times New Roman" w:eastAsia="宋体" w:cs="Times New Roman"/>
                <w:kern w:val="2"/>
                <w:sz w:val="24"/>
                <w:szCs w:val="24"/>
                <w:lang w:eastAsia="zh-CN"/>
              </w:rPr>
            </w:pPr>
            <w:r>
              <w:rPr>
                <w:rFonts w:hint="eastAsia" w:ascii="宋体" w:hAnsi="宋体" w:eastAsia="宋体" w:cs="宋体"/>
                <w:kern w:val="2"/>
                <w:sz w:val="24"/>
                <w:szCs w:val="24"/>
                <w:lang w:eastAsia="zh-CN"/>
              </w:rPr>
              <w:t>△</w:t>
            </w:r>
            <w:r>
              <w:rPr>
                <w:rFonts w:ascii="Times New Roman" w:hAnsi="Times New Roman" w:eastAsia="宋体" w:cs="Times New Roman"/>
                <w:kern w:val="2"/>
                <w:sz w:val="24"/>
                <w:szCs w:val="24"/>
                <w:lang w:eastAsia="zh-CN"/>
              </w:rPr>
              <w:t>L</w:t>
            </w:r>
            <w:r>
              <w:rPr>
                <w:rFonts w:ascii="Times New Roman" w:hAnsi="Times New Roman" w:eastAsia="宋体" w:cs="Times New Roman"/>
                <w:kern w:val="2"/>
                <w:sz w:val="24"/>
                <w:szCs w:val="24"/>
                <w:vertAlign w:val="subscript"/>
                <w:lang w:eastAsia="zh-CN"/>
              </w:rPr>
              <w:t>A</w:t>
            </w:r>
            <w:r>
              <w:rPr>
                <w:rFonts w:ascii="Times New Roman" w:hAnsi="Times New Roman" w:eastAsia="宋体" w:cs="Times New Roman"/>
                <w:kern w:val="2"/>
                <w:sz w:val="24"/>
                <w:szCs w:val="24"/>
                <w:lang w:eastAsia="zh-CN"/>
              </w:rPr>
              <w:t>——因各种因素引起的附加衰减量，dB（A）。</w:t>
            </w:r>
            <w:r>
              <w:rPr>
                <w:rFonts w:hint="eastAsia" w:ascii="Times New Roman" w:hAnsi="Times New Roman" w:eastAsia="宋体" w:cs="Times New Roman"/>
                <w:kern w:val="2"/>
                <w:sz w:val="24"/>
                <w:szCs w:val="24"/>
                <w:lang w:eastAsia="zh-CN"/>
              </w:rPr>
              <w:t>附加衰减量包括声屏障、遮挡物、空气吸收、地面效应等引起的衰减量。本次预测计算中只考虑各设备声源至受声点（预测点）的距离衰减、隔墙（或窗户）的传输损失及降噪设备引起的噪声衰减。各声源由于厂区内外其它遮挡物引起的衰减、空气吸收引起的衰减，由于云、雾、温度梯度、凤及地面效应等引起的声能量衰减等，其引起的衰减量不大，本次计算中忽略不计。</w:t>
            </w:r>
          </w:p>
          <w:p>
            <w:pPr>
              <w:spacing w:line="360" w:lineRule="auto"/>
              <w:ind w:firstLine="480" w:firstLineChars="200"/>
              <w:jc w:val="both"/>
              <w:rPr>
                <w:rFonts w:ascii="Times New Roman" w:hAnsi="Times New Roman" w:eastAsia="宋体" w:cs="Times New Roman"/>
                <w:kern w:val="2"/>
                <w:sz w:val="24"/>
                <w:szCs w:val="24"/>
                <w:lang w:eastAsia="zh-CN"/>
              </w:rPr>
            </w:pPr>
            <w:r>
              <w:rPr>
                <w:rFonts w:hint="eastAsia" w:ascii="宋体" w:hAnsi="宋体" w:eastAsia="宋体" w:cs="宋体"/>
                <w:kern w:val="2"/>
                <w:sz w:val="24"/>
                <w:szCs w:val="24"/>
                <w:lang w:eastAsia="zh-CN"/>
              </w:rPr>
              <w:t>②</w:t>
            </w:r>
            <w:r>
              <w:rPr>
                <w:rFonts w:ascii="Times New Roman" w:hAnsi="Times New Roman" w:eastAsia="宋体" w:cs="Times New Roman"/>
                <w:kern w:val="2"/>
                <w:sz w:val="24"/>
                <w:szCs w:val="24"/>
                <w:lang w:eastAsia="zh-CN"/>
              </w:rPr>
              <w:t>室内声源</w:t>
            </w:r>
          </w:p>
          <w:p>
            <w:pPr>
              <w:spacing w:line="360" w:lineRule="auto"/>
              <w:ind w:firstLine="480" w:firstLineChars="200"/>
              <w:jc w:val="both"/>
              <w:rPr>
                <w:rFonts w:ascii="Times New Roman" w:hAnsi="Times New Roman" w:eastAsia="宋体" w:cs="Times New Roman"/>
                <w:kern w:val="2"/>
                <w:sz w:val="24"/>
                <w:szCs w:val="24"/>
                <w:lang w:eastAsia="zh-CN"/>
              </w:rPr>
            </w:pPr>
            <w:r>
              <w:rPr>
                <w:rFonts w:ascii="Times New Roman" w:hAnsi="Times New Roman" w:eastAsia="宋体" w:cs="Times New Roman"/>
                <w:kern w:val="2"/>
                <w:sz w:val="24"/>
                <w:szCs w:val="24"/>
                <w:lang w:eastAsia="zh-CN"/>
              </w:rPr>
              <w:t>1）首先计算出某个室内靠近围护结构处的倍频带声压级：</w:t>
            </w:r>
          </w:p>
          <w:p>
            <w:pPr>
              <w:widowControl/>
              <w:spacing w:line="360" w:lineRule="auto"/>
              <w:contextualSpacing/>
              <w:jc w:val="center"/>
              <w:rPr>
                <w:rFonts w:ascii="Times New Roman" w:hAnsi="Times New Roman" w:eastAsia="宋体" w:cs="Times New Roman"/>
                <w:b/>
                <w:sz w:val="24"/>
                <w:szCs w:val="24"/>
                <w:lang w:val="zh-CN" w:eastAsia="zh-CN"/>
              </w:rPr>
            </w:pPr>
            <w:r>
              <w:rPr>
                <w:rFonts w:ascii="Times New Roman" w:hAnsi="Times New Roman" w:eastAsia="宋体" w:cs="Times New Roman"/>
                <w:b/>
                <w:sz w:val="24"/>
                <w:szCs w:val="24"/>
                <w:lang w:eastAsia="zh-CN"/>
              </w:rPr>
              <w:drawing>
                <wp:inline distT="0" distB="0" distL="0" distR="0">
                  <wp:extent cx="1645920" cy="510540"/>
                  <wp:effectExtent l="0" t="0" r="0" b="381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a:xfrm>
                            <a:off x="0" y="0"/>
                            <a:ext cx="1645920" cy="510540"/>
                          </a:xfrm>
                          <a:prstGeom prst="rect">
                            <a:avLst/>
                          </a:prstGeom>
                          <a:noFill/>
                          <a:ln>
                            <a:noFill/>
                          </a:ln>
                        </pic:spPr>
                      </pic:pic>
                    </a:graphicData>
                  </a:graphic>
                </wp:inline>
              </w:drawing>
            </w:r>
          </w:p>
          <w:p>
            <w:pPr>
              <w:spacing w:line="360" w:lineRule="auto"/>
              <w:ind w:firstLine="480" w:firstLineChars="200"/>
              <w:jc w:val="both"/>
              <w:rPr>
                <w:rFonts w:ascii="Times New Roman" w:hAnsi="Times New Roman" w:eastAsia="宋体" w:cs="Times New Roman"/>
                <w:kern w:val="2"/>
                <w:sz w:val="24"/>
                <w:szCs w:val="24"/>
                <w:lang w:eastAsia="zh-CN"/>
              </w:rPr>
            </w:pPr>
            <w:r>
              <w:rPr>
                <w:rFonts w:ascii="Times New Roman" w:hAnsi="Times New Roman" w:eastAsia="宋体" w:cs="Times New Roman"/>
                <w:kern w:val="2"/>
                <w:sz w:val="24"/>
                <w:szCs w:val="24"/>
                <w:lang w:val="zh-CN" w:eastAsia="zh-CN"/>
              </w:rPr>
              <w:t>式中：</w:t>
            </w:r>
            <w:r>
              <w:rPr>
                <w:rFonts w:ascii="Times New Roman" w:hAnsi="Times New Roman" w:eastAsia="宋体" w:cs="Times New Roman"/>
                <w:i/>
                <w:iCs/>
                <w:kern w:val="2"/>
                <w:sz w:val="24"/>
                <w:szCs w:val="24"/>
                <w:lang w:val="zh-CN" w:eastAsia="zh-CN"/>
              </w:rPr>
              <w:t>L</w:t>
            </w:r>
            <w:r>
              <w:rPr>
                <w:rFonts w:ascii="Times New Roman" w:hAnsi="Times New Roman" w:eastAsia="宋体" w:cs="Times New Roman"/>
                <w:i/>
                <w:iCs/>
                <w:kern w:val="2"/>
                <w:sz w:val="24"/>
                <w:szCs w:val="24"/>
                <w:vertAlign w:val="subscript"/>
                <w:lang w:eastAsia="zh-CN"/>
              </w:rPr>
              <w:t>P1</w:t>
            </w:r>
            <w:r>
              <w:rPr>
                <w:rFonts w:ascii="Times New Roman" w:hAnsi="Times New Roman" w:eastAsia="宋体" w:cs="Times New Roman"/>
                <w:kern w:val="2"/>
                <w:sz w:val="24"/>
                <w:szCs w:val="24"/>
                <w:lang w:eastAsia="zh-CN"/>
              </w:rPr>
              <w:t>为某个室内声源在靠近围护结构处产生的倍频带声压级</w:t>
            </w:r>
            <w:r>
              <w:rPr>
                <w:rFonts w:hint="eastAsia" w:ascii="Times New Roman" w:hAnsi="Times New Roman" w:eastAsia="宋体" w:cs="Times New Roman"/>
                <w:kern w:val="2"/>
                <w:sz w:val="24"/>
                <w:szCs w:val="24"/>
                <w:lang w:eastAsia="zh-CN"/>
              </w:rPr>
              <w:t>；</w:t>
            </w:r>
          </w:p>
          <w:p>
            <w:pPr>
              <w:spacing w:line="360" w:lineRule="auto"/>
              <w:ind w:firstLine="1200" w:firstLineChars="500"/>
              <w:jc w:val="both"/>
              <w:rPr>
                <w:rFonts w:ascii="Times New Roman" w:hAnsi="Times New Roman" w:eastAsia="宋体" w:cs="Times New Roman"/>
                <w:kern w:val="2"/>
                <w:sz w:val="24"/>
                <w:szCs w:val="24"/>
                <w:lang w:eastAsia="zh-CN"/>
              </w:rPr>
            </w:pPr>
            <w:r>
              <w:rPr>
                <w:rFonts w:ascii="Times New Roman" w:hAnsi="Times New Roman" w:eastAsia="宋体" w:cs="Times New Roman"/>
                <w:i/>
                <w:iCs/>
                <w:kern w:val="2"/>
                <w:sz w:val="24"/>
                <w:szCs w:val="24"/>
                <w:lang w:eastAsia="zh-CN"/>
              </w:rPr>
              <w:t>L</w:t>
            </w:r>
            <w:r>
              <w:rPr>
                <w:rFonts w:ascii="Times New Roman" w:hAnsi="Times New Roman" w:eastAsia="宋体" w:cs="Times New Roman"/>
                <w:i/>
                <w:iCs/>
                <w:kern w:val="2"/>
                <w:sz w:val="24"/>
                <w:szCs w:val="24"/>
                <w:vertAlign w:val="subscript"/>
                <w:lang w:eastAsia="zh-CN"/>
              </w:rPr>
              <w:t>w</w:t>
            </w:r>
            <w:r>
              <w:rPr>
                <w:rFonts w:ascii="Times New Roman" w:hAnsi="Times New Roman" w:eastAsia="宋体" w:cs="Times New Roman"/>
                <w:kern w:val="2"/>
                <w:sz w:val="24"/>
                <w:szCs w:val="24"/>
                <w:lang w:eastAsia="zh-CN"/>
              </w:rPr>
              <w:t>为某个声源的倍频带声功率级</w:t>
            </w:r>
            <w:r>
              <w:rPr>
                <w:rFonts w:hint="eastAsia" w:ascii="Times New Roman" w:hAnsi="Times New Roman" w:eastAsia="宋体" w:cs="Times New Roman"/>
                <w:kern w:val="2"/>
                <w:sz w:val="24"/>
                <w:szCs w:val="24"/>
                <w:lang w:eastAsia="zh-CN"/>
              </w:rPr>
              <w:t>；</w:t>
            </w:r>
          </w:p>
          <w:p>
            <w:pPr>
              <w:spacing w:line="360" w:lineRule="auto"/>
              <w:ind w:firstLine="1200" w:firstLineChars="500"/>
              <w:jc w:val="both"/>
              <w:rPr>
                <w:rFonts w:ascii="Times New Roman" w:hAnsi="Times New Roman" w:eastAsia="宋体" w:cs="Times New Roman"/>
                <w:kern w:val="2"/>
                <w:sz w:val="24"/>
                <w:szCs w:val="24"/>
                <w:lang w:eastAsia="zh-CN"/>
              </w:rPr>
            </w:pPr>
            <w:r>
              <w:rPr>
                <w:rFonts w:ascii="Times New Roman" w:hAnsi="Times New Roman" w:eastAsia="宋体" w:cs="Times New Roman"/>
                <w:kern w:val="2"/>
                <w:sz w:val="24"/>
                <w:szCs w:val="24"/>
                <w:lang w:eastAsia="zh-CN"/>
              </w:rPr>
              <w:t>r为室内某个声源与靠近围护结构处的距离</w:t>
            </w:r>
            <w:r>
              <w:rPr>
                <w:rFonts w:hint="eastAsia" w:ascii="Times New Roman" w:hAnsi="Times New Roman" w:eastAsia="宋体" w:cs="Times New Roman"/>
                <w:kern w:val="2"/>
                <w:sz w:val="24"/>
                <w:szCs w:val="24"/>
                <w:lang w:eastAsia="zh-CN"/>
              </w:rPr>
              <w:t>；</w:t>
            </w:r>
          </w:p>
          <w:p>
            <w:pPr>
              <w:spacing w:line="360" w:lineRule="auto"/>
              <w:ind w:firstLine="1200" w:firstLineChars="500"/>
              <w:jc w:val="both"/>
              <w:rPr>
                <w:rFonts w:ascii="Times New Roman" w:hAnsi="Times New Roman" w:eastAsia="宋体" w:cs="Times New Roman"/>
                <w:kern w:val="2"/>
                <w:sz w:val="24"/>
                <w:szCs w:val="24"/>
                <w:lang w:eastAsia="zh-CN"/>
              </w:rPr>
            </w:pPr>
            <w:r>
              <w:rPr>
                <w:rFonts w:ascii="Times New Roman" w:hAnsi="Times New Roman" w:eastAsia="宋体" w:cs="Times New Roman"/>
                <w:kern w:val="2"/>
                <w:sz w:val="24"/>
                <w:szCs w:val="24"/>
                <w:lang w:eastAsia="zh-CN"/>
              </w:rPr>
              <w:t>R为房间常数</w:t>
            </w:r>
            <w:r>
              <w:rPr>
                <w:rFonts w:hint="eastAsia" w:ascii="Times New Roman" w:hAnsi="Times New Roman" w:eastAsia="宋体" w:cs="Times New Roman"/>
                <w:kern w:val="2"/>
                <w:sz w:val="24"/>
                <w:szCs w:val="24"/>
                <w:lang w:eastAsia="zh-CN"/>
              </w:rPr>
              <w:t>，</w:t>
            </w:r>
            <w:r>
              <w:rPr>
                <w:rFonts w:hint="eastAsia" w:ascii="Times New Roman" w:hAnsi="Times New Roman" w:eastAsia="宋体" w:cs="Times New Roman"/>
                <w:kern w:val="2"/>
                <w:sz w:val="24"/>
                <w:szCs w:val="21"/>
                <w:lang w:eastAsia="zh-CN"/>
              </w:rPr>
              <w:t>R=S</w:t>
            </w:r>
            <w:r>
              <w:rPr>
                <w:rFonts w:ascii="Times New Roman" w:hAnsi="Times New Roman" w:eastAsia="宋体" w:cs="Times New Roman"/>
                <w:kern w:val="2"/>
                <w:sz w:val="24"/>
                <w:szCs w:val="21"/>
                <w:lang w:eastAsia="zh-CN"/>
              </w:rPr>
              <w:t>α /</w:t>
            </w:r>
            <w:r>
              <w:rPr>
                <w:rFonts w:hint="eastAsia" w:ascii="Times New Roman" w:hAnsi="Times New Roman" w:eastAsia="宋体" w:cs="Times New Roman"/>
                <w:kern w:val="2"/>
                <w:sz w:val="24"/>
                <w:szCs w:val="21"/>
                <w:lang w:eastAsia="zh-CN"/>
              </w:rPr>
              <w:t>(</w:t>
            </w:r>
            <w:r>
              <w:rPr>
                <w:rFonts w:ascii="Times New Roman" w:hAnsi="Times New Roman" w:eastAsia="宋体" w:cs="Times New Roman"/>
                <w:kern w:val="2"/>
                <w:sz w:val="24"/>
                <w:szCs w:val="21"/>
                <w:lang w:eastAsia="zh-CN"/>
              </w:rPr>
              <w:t>1</w:t>
            </w:r>
            <w:r>
              <w:rPr>
                <w:rFonts w:hint="eastAsia" w:ascii="Times New Roman" w:hAnsi="Times New Roman" w:eastAsia="宋体" w:cs="Times New Roman"/>
                <w:kern w:val="2"/>
                <w:sz w:val="24"/>
                <w:szCs w:val="21"/>
                <w:lang w:eastAsia="zh-CN"/>
              </w:rPr>
              <w:t>-</w:t>
            </w:r>
            <w:r>
              <w:rPr>
                <w:rFonts w:ascii="Times New Roman" w:hAnsi="Times New Roman" w:eastAsia="宋体" w:cs="Times New Roman"/>
                <w:kern w:val="2"/>
                <w:sz w:val="24"/>
                <w:szCs w:val="21"/>
                <w:lang w:eastAsia="zh-CN"/>
              </w:rPr>
              <w:t>α</w:t>
            </w:r>
            <w:r>
              <w:rPr>
                <w:rFonts w:hint="eastAsia" w:ascii="Times New Roman" w:hAnsi="Times New Roman" w:eastAsia="宋体" w:cs="Times New Roman"/>
                <w:kern w:val="2"/>
                <w:sz w:val="24"/>
                <w:szCs w:val="21"/>
                <w:lang w:eastAsia="zh-CN"/>
              </w:rPr>
              <w:t>)，</w:t>
            </w:r>
            <w:r>
              <w:rPr>
                <w:rFonts w:ascii="Times New Roman" w:hAnsi="Times New Roman" w:eastAsia="宋体" w:cs="Times New Roman"/>
                <w:kern w:val="2"/>
                <w:sz w:val="24"/>
                <w:szCs w:val="21"/>
                <w:lang w:eastAsia="zh-CN"/>
              </w:rPr>
              <w:t>S</w:t>
            </w:r>
            <w:r>
              <w:rPr>
                <w:rFonts w:hint="eastAsia" w:ascii="Times New Roman" w:hAnsi="Times New Roman" w:eastAsia="宋体" w:cs="Times New Roman"/>
                <w:kern w:val="2"/>
                <w:sz w:val="24"/>
                <w:szCs w:val="21"/>
                <w:lang w:eastAsia="zh-CN"/>
              </w:rPr>
              <w:t>为房间内表面面积，</w:t>
            </w:r>
            <w:r>
              <w:rPr>
                <w:rFonts w:ascii="Times New Roman" w:hAnsi="Times New Roman" w:eastAsia="宋体" w:cs="Times New Roman"/>
                <w:kern w:val="2"/>
                <w:sz w:val="24"/>
                <w:szCs w:val="21"/>
                <w:lang w:eastAsia="zh-CN"/>
              </w:rPr>
              <w:t>m</w:t>
            </w:r>
            <w:r>
              <w:rPr>
                <w:rFonts w:ascii="Times New Roman" w:hAnsi="Times New Roman" w:eastAsia="宋体" w:cs="Times New Roman"/>
                <w:kern w:val="2"/>
                <w:sz w:val="24"/>
                <w:szCs w:val="21"/>
                <w:vertAlign w:val="superscript"/>
                <w:lang w:eastAsia="zh-CN"/>
              </w:rPr>
              <w:t>2</w:t>
            </w:r>
            <w:r>
              <w:rPr>
                <w:rFonts w:hint="eastAsia" w:ascii="Times New Roman" w:hAnsi="Times New Roman" w:eastAsia="宋体" w:cs="Times New Roman"/>
                <w:kern w:val="2"/>
                <w:sz w:val="24"/>
                <w:szCs w:val="21"/>
                <w:lang w:eastAsia="zh-CN"/>
              </w:rPr>
              <w:t>；</w:t>
            </w:r>
            <w:r>
              <w:rPr>
                <w:rFonts w:ascii="Times New Roman" w:hAnsi="Times New Roman" w:eastAsia="宋体" w:cs="Times New Roman"/>
                <w:kern w:val="2"/>
                <w:sz w:val="24"/>
                <w:szCs w:val="21"/>
                <w:lang w:eastAsia="zh-CN"/>
              </w:rPr>
              <w:t>α</w:t>
            </w:r>
            <w:r>
              <w:rPr>
                <w:rFonts w:hint="eastAsia" w:ascii="Times New Roman" w:hAnsi="Times New Roman" w:eastAsia="宋体" w:cs="Times New Roman"/>
                <w:kern w:val="2"/>
                <w:sz w:val="24"/>
                <w:szCs w:val="21"/>
                <w:lang w:eastAsia="zh-CN"/>
              </w:rPr>
              <w:t>为平均吸声系数</w:t>
            </w:r>
            <w:r>
              <w:rPr>
                <w:rFonts w:hint="eastAsia" w:ascii="Times New Roman" w:hAnsi="Times New Roman" w:eastAsia="宋体" w:cs="Times New Roman"/>
                <w:kern w:val="2"/>
                <w:sz w:val="24"/>
                <w:szCs w:val="24"/>
                <w:lang w:eastAsia="zh-CN"/>
              </w:rPr>
              <w:t>；</w:t>
            </w:r>
          </w:p>
          <w:p>
            <w:pPr>
              <w:spacing w:line="360" w:lineRule="auto"/>
              <w:ind w:firstLine="1200" w:firstLineChars="500"/>
              <w:jc w:val="both"/>
              <w:rPr>
                <w:rFonts w:ascii="Times New Roman" w:hAnsi="Times New Roman" w:eastAsia="宋体" w:cs="Times New Roman"/>
                <w:kern w:val="2"/>
                <w:sz w:val="24"/>
                <w:szCs w:val="24"/>
                <w:lang w:eastAsia="zh-CN"/>
              </w:rPr>
            </w:pPr>
            <w:r>
              <w:rPr>
                <w:rFonts w:ascii="Times New Roman" w:hAnsi="Times New Roman" w:eastAsia="宋体" w:cs="Times New Roman"/>
                <w:kern w:val="2"/>
                <w:sz w:val="24"/>
                <w:szCs w:val="24"/>
                <w:lang w:eastAsia="zh-CN"/>
              </w:rPr>
              <w:t>Q为方向因子</w:t>
            </w:r>
            <w:r>
              <w:rPr>
                <w:rFonts w:hint="eastAsia" w:ascii="Times New Roman" w:hAnsi="Times New Roman" w:eastAsia="宋体" w:cs="Times New Roman"/>
                <w:kern w:val="2"/>
                <w:sz w:val="24"/>
                <w:szCs w:val="24"/>
                <w:lang w:eastAsia="zh-CN"/>
              </w:rPr>
              <w:t>，通常对无指向性声源，当声源放在房间中心时，Q=1；当放在一面墙的中心时，Q=2；当放在两面墙夹角处时，Q=4；当放在三面墙夹角处时，Q=8</w:t>
            </w:r>
            <w:r>
              <w:rPr>
                <w:rFonts w:ascii="Times New Roman" w:hAnsi="Times New Roman" w:eastAsia="宋体" w:cs="Times New Roman"/>
                <w:kern w:val="2"/>
                <w:sz w:val="24"/>
                <w:szCs w:val="24"/>
                <w:lang w:eastAsia="zh-CN"/>
              </w:rPr>
              <w:t>。</w:t>
            </w:r>
          </w:p>
          <w:p>
            <w:pPr>
              <w:spacing w:line="360" w:lineRule="auto"/>
              <w:ind w:firstLine="480" w:firstLineChars="200"/>
              <w:jc w:val="both"/>
              <w:rPr>
                <w:rFonts w:ascii="Times New Roman" w:hAnsi="Times New Roman" w:eastAsia="宋体" w:cs="Times New Roman"/>
                <w:kern w:val="2"/>
                <w:sz w:val="24"/>
                <w:szCs w:val="24"/>
                <w:lang w:eastAsia="zh-CN"/>
              </w:rPr>
            </w:pPr>
            <w:r>
              <w:rPr>
                <w:rFonts w:ascii="Times New Roman" w:hAnsi="Times New Roman" w:eastAsia="宋体" w:cs="Times New Roman"/>
                <w:kern w:val="2"/>
                <w:sz w:val="24"/>
                <w:szCs w:val="24"/>
                <w:lang w:eastAsia="zh-CN"/>
              </w:rPr>
              <w:t>2）计算出所有室内声源在靠近围护结构处产生的总倍频带声压级：</w:t>
            </w:r>
          </w:p>
          <w:p>
            <w:pPr>
              <w:widowControl/>
              <w:spacing w:line="360" w:lineRule="auto"/>
              <w:contextualSpacing/>
              <w:jc w:val="center"/>
              <w:rPr>
                <w:rFonts w:ascii="Times New Roman" w:hAnsi="Times New Roman" w:eastAsia="宋体" w:cs="Times New Roman"/>
                <w:b/>
                <w:sz w:val="24"/>
                <w:szCs w:val="24"/>
                <w:lang w:eastAsia="zh-CN"/>
              </w:rPr>
            </w:pPr>
            <w:r>
              <w:rPr>
                <w:rFonts w:ascii="Times New Roman" w:hAnsi="Times New Roman" w:eastAsia="宋体" w:cs="Times New Roman"/>
                <w:b/>
                <w:sz w:val="24"/>
                <w:szCs w:val="24"/>
                <w:lang w:eastAsia="zh-CN"/>
              </w:rPr>
              <w:drawing>
                <wp:inline distT="0" distB="0" distL="0" distR="0">
                  <wp:extent cx="1691640" cy="480060"/>
                  <wp:effectExtent l="0" t="0" r="3810" b="0"/>
                  <wp:docPr id="1774904278" name="图片 1774904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4904278" name="图片 177490427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a:xfrm>
                            <a:off x="0" y="0"/>
                            <a:ext cx="1691640" cy="480060"/>
                          </a:xfrm>
                          <a:prstGeom prst="rect">
                            <a:avLst/>
                          </a:prstGeom>
                          <a:noFill/>
                          <a:ln>
                            <a:noFill/>
                          </a:ln>
                        </pic:spPr>
                      </pic:pic>
                    </a:graphicData>
                  </a:graphic>
                </wp:inline>
              </w:drawing>
            </w:r>
          </w:p>
          <w:p>
            <w:pPr>
              <w:spacing w:line="360" w:lineRule="auto"/>
              <w:ind w:firstLine="480" w:firstLineChars="200"/>
              <w:jc w:val="both"/>
              <w:rPr>
                <w:rFonts w:ascii="Times New Roman" w:hAnsi="Times New Roman" w:eastAsia="宋体" w:cs="Times New Roman"/>
                <w:kern w:val="2"/>
                <w:sz w:val="24"/>
                <w:szCs w:val="24"/>
                <w:lang w:eastAsia="zh-CN"/>
              </w:rPr>
            </w:pPr>
            <w:r>
              <w:rPr>
                <w:rFonts w:ascii="Times New Roman" w:hAnsi="Times New Roman" w:eastAsia="宋体" w:cs="Times New Roman"/>
                <w:kern w:val="2"/>
                <w:sz w:val="24"/>
                <w:szCs w:val="24"/>
                <w:lang w:eastAsia="zh-CN"/>
              </w:rPr>
              <w:t>3）计算出室外靠近围护结构处的声压级：</w:t>
            </w:r>
          </w:p>
          <w:p>
            <w:pPr>
              <w:widowControl/>
              <w:spacing w:line="360" w:lineRule="auto"/>
              <w:contextualSpacing/>
              <w:jc w:val="center"/>
              <w:rPr>
                <w:rFonts w:ascii="Times New Roman" w:hAnsi="Times New Roman" w:eastAsia="宋体" w:cs="Times New Roman"/>
                <w:b/>
                <w:sz w:val="24"/>
                <w:szCs w:val="24"/>
                <w:lang w:val="zh-CN" w:eastAsia="zh-CN"/>
              </w:rPr>
            </w:pPr>
            <w:r>
              <w:rPr>
                <w:rFonts w:ascii="Times New Roman" w:hAnsi="Times New Roman" w:eastAsia="宋体" w:cs="Times New Roman"/>
                <w:b/>
                <w:sz w:val="24"/>
                <w:szCs w:val="24"/>
                <w:lang w:eastAsia="zh-CN"/>
              </w:rPr>
              <w:drawing>
                <wp:inline distT="0" distB="0" distL="0" distR="0">
                  <wp:extent cx="1752600" cy="228600"/>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a:xfrm>
                            <a:off x="0" y="0"/>
                            <a:ext cx="1752600" cy="228600"/>
                          </a:xfrm>
                          <a:prstGeom prst="rect">
                            <a:avLst/>
                          </a:prstGeom>
                          <a:noFill/>
                          <a:ln>
                            <a:noFill/>
                          </a:ln>
                        </pic:spPr>
                      </pic:pic>
                    </a:graphicData>
                  </a:graphic>
                </wp:inline>
              </w:drawing>
            </w:r>
          </w:p>
          <w:p>
            <w:pPr>
              <w:spacing w:line="360" w:lineRule="auto"/>
              <w:ind w:firstLine="480" w:firstLineChars="200"/>
              <w:jc w:val="both"/>
              <w:rPr>
                <w:rFonts w:ascii="Times New Roman" w:hAnsi="Times New Roman" w:eastAsia="宋体" w:cs="Times New Roman"/>
                <w:kern w:val="2"/>
                <w:sz w:val="24"/>
                <w:szCs w:val="24"/>
                <w:lang w:eastAsia="zh-CN"/>
              </w:rPr>
            </w:pPr>
            <w:r>
              <w:rPr>
                <w:rFonts w:ascii="Times New Roman" w:hAnsi="Times New Roman" w:eastAsia="宋体" w:cs="Times New Roman"/>
                <w:kern w:val="2"/>
                <w:sz w:val="24"/>
                <w:szCs w:val="24"/>
                <w:lang w:eastAsia="zh-CN"/>
              </w:rPr>
              <w:t>4）将室外声级和透声面积换算成等效的室外声源，计算出中心位置位于透声（S）处的等效声源的倍频带声功率级：</w:t>
            </w:r>
          </w:p>
          <w:p>
            <w:pPr>
              <w:widowControl/>
              <w:spacing w:line="360" w:lineRule="auto"/>
              <w:contextualSpacing/>
              <w:jc w:val="center"/>
              <w:rPr>
                <w:rFonts w:ascii="Times New Roman" w:hAnsi="Times New Roman" w:eastAsia="宋体" w:cs="Times New Roman"/>
                <w:b/>
                <w:sz w:val="24"/>
                <w:szCs w:val="24"/>
                <w:lang w:eastAsia="zh-CN"/>
              </w:rPr>
            </w:pPr>
            <w:r>
              <w:rPr>
                <w:rFonts w:ascii="Times New Roman" w:hAnsi="Times New Roman" w:eastAsia="宋体" w:cs="Times New Roman"/>
                <w:b/>
                <w:sz w:val="24"/>
                <w:szCs w:val="24"/>
                <w:lang w:eastAsia="zh-CN"/>
              </w:rPr>
              <w:drawing>
                <wp:inline distT="0" distB="0" distL="0" distR="0">
                  <wp:extent cx="1310640" cy="228600"/>
                  <wp:effectExtent l="0" t="0" r="381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a:xfrm>
                            <a:off x="0" y="0"/>
                            <a:ext cx="1310640" cy="228600"/>
                          </a:xfrm>
                          <a:prstGeom prst="rect">
                            <a:avLst/>
                          </a:prstGeom>
                          <a:noFill/>
                          <a:ln>
                            <a:noFill/>
                          </a:ln>
                        </pic:spPr>
                      </pic:pic>
                    </a:graphicData>
                  </a:graphic>
                </wp:inline>
              </w:drawing>
            </w:r>
          </w:p>
          <w:p>
            <w:pPr>
              <w:spacing w:line="360" w:lineRule="auto"/>
              <w:ind w:firstLine="480" w:firstLineChars="200"/>
              <w:jc w:val="both"/>
              <w:rPr>
                <w:rFonts w:ascii="Times New Roman" w:hAnsi="Times New Roman" w:eastAsia="宋体" w:cs="Times New Roman"/>
                <w:kern w:val="2"/>
                <w:sz w:val="24"/>
                <w:szCs w:val="24"/>
                <w:lang w:eastAsia="zh-CN"/>
              </w:rPr>
            </w:pPr>
            <w:r>
              <w:rPr>
                <w:rFonts w:ascii="Times New Roman" w:hAnsi="Times New Roman" w:eastAsia="宋体" w:cs="Times New Roman"/>
                <w:kern w:val="2"/>
                <w:sz w:val="24"/>
                <w:szCs w:val="24"/>
                <w:lang w:eastAsia="zh-CN"/>
              </w:rPr>
              <w:t>式中：S为透声面积，m</w:t>
            </w:r>
            <w:r>
              <w:rPr>
                <w:rFonts w:ascii="Times New Roman" w:hAnsi="Times New Roman" w:eastAsia="宋体" w:cs="Times New Roman"/>
                <w:kern w:val="2"/>
                <w:sz w:val="24"/>
                <w:szCs w:val="24"/>
                <w:vertAlign w:val="superscript"/>
                <w:lang w:eastAsia="zh-CN"/>
              </w:rPr>
              <w:t>2</w:t>
            </w:r>
            <w:r>
              <w:rPr>
                <w:rFonts w:ascii="Times New Roman" w:hAnsi="Times New Roman" w:eastAsia="宋体" w:cs="Times New Roman"/>
                <w:kern w:val="2"/>
                <w:sz w:val="24"/>
                <w:szCs w:val="24"/>
                <w:lang w:eastAsia="zh-CN"/>
              </w:rPr>
              <w:t>。</w:t>
            </w:r>
          </w:p>
          <w:p>
            <w:pPr>
              <w:spacing w:line="360" w:lineRule="auto"/>
              <w:ind w:firstLine="480" w:firstLineChars="200"/>
              <w:jc w:val="both"/>
              <w:rPr>
                <w:rFonts w:ascii="Times New Roman" w:hAnsi="Times New Roman" w:eastAsia="宋体" w:cs="Times New Roman"/>
                <w:kern w:val="2"/>
                <w:sz w:val="24"/>
                <w:szCs w:val="24"/>
                <w:lang w:eastAsia="zh-CN"/>
              </w:rPr>
            </w:pPr>
            <w:r>
              <w:rPr>
                <w:rFonts w:ascii="Times New Roman" w:hAnsi="Times New Roman" w:eastAsia="宋体" w:cs="Times New Roman"/>
                <w:kern w:val="2"/>
                <w:sz w:val="24"/>
                <w:szCs w:val="24"/>
                <w:lang w:eastAsia="zh-CN"/>
              </w:rPr>
              <w:t>5）等效室外声源的位置为围护结构的位置，其倍频带声功率级为</w:t>
            </w:r>
            <w:r>
              <w:rPr>
                <w:rFonts w:ascii="Times New Roman" w:hAnsi="Times New Roman" w:eastAsia="宋体" w:cs="Times New Roman"/>
                <w:i/>
                <w:iCs/>
                <w:kern w:val="2"/>
                <w:sz w:val="24"/>
                <w:szCs w:val="24"/>
                <w:lang w:eastAsia="zh-CN"/>
              </w:rPr>
              <w:t>L</w:t>
            </w:r>
            <w:r>
              <w:rPr>
                <w:rFonts w:ascii="Times New Roman" w:hAnsi="Times New Roman" w:eastAsia="宋体" w:cs="Times New Roman"/>
                <w:i/>
                <w:iCs/>
                <w:kern w:val="2"/>
                <w:sz w:val="24"/>
                <w:szCs w:val="24"/>
                <w:vertAlign w:val="subscript"/>
                <w:lang w:eastAsia="zh-CN"/>
              </w:rPr>
              <w:t>w</w:t>
            </w:r>
            <w:r>
              <w:rPr>
                <w:rFonts w:ascii="Times New Roman" w:hAnsi="Times New Roman" w:eastAsia="宋体" w:cs="Times New Roman"/>
                <w:kern w:val="2"/>
                <w:sz w:val="24"/>
                <w:szCs w:val="24"/>
                <w:lang w:eastAsia="zh-CN"/>
              </w:rPr>
              <w:t>，由此按室外声源方法计算等效室外声源在预测点产生的声级。</w:t>
            </w:r>
          </w:p>
          <w:p>
            <w:pPr>
              <w:spacing w:line="360" w:lineRule="auto"/>
              <w:ind w:firstLine="480" w:firstLineChars="200"/>
              <w:jc w:val="both"/>
              <w:rPr>
                <w:rFonts w:ascii="Times New Roman" w:hAnsi="Times New Roman" w:eastAsia="宋体" w:cs="Times New Roman"/>
                <w:kern w:val="2"/>
                <w:sz w:val="24"/>
                <w:szCs w:val="24"/>
                <w:lang w:eastAsia="zh-CN"/>
              </w:rPr>
            </w:pPr>
            <w:r>
              <w:rPr>
                <w:rFonts w:hint="eastAsia" w:ascii="宋体" w:hAnsi="宋体" w:eastAsia="宋体" w:cs="宋体"/>
                <w:kern w:val="2"/>
                <w:sz w:val="24"/>
                <w:szCs w:val="24"/>
                <w:lang w:eastAsia="zh-CN"/>
              </w:rPr>
              <w:t>③</w:t>
            </w:r>
            <w:r>
              <w:rPr>
                <w:rFonts w:ascii="Times New Roman" w:hAnsi="Times New Roman" w:eastAsia="宋体" w:cs="Times New Roman"/>
                <w:kern w:val="2"/>
                <w:sz w:val="24"/>
                <w:szCs w:val="24"/>
                <w:lang w:eastAsia="zh-CN"/>
              </w:rPr>
              <w:t>多声源叠加噪声贡献值：</w:t>
            </w:r>
          </w:p>
          <w:p>
            <w:pPr>
              <w:widowControl/>
              <w:spacing w:line="360" w:lineRule="auto"/>
              <w:contextualSpacing/>
              <w:jc w:val="center"/>
              <w:rPr>
                <w:rFonts w:ascii="Times New Roman" w:hAnsi="Times New Roman" w:eastAsia="宋体" w:cs="Times New Roman"/>
                <w:b/>
                <w:sz w:val="24"/>
                <w:szCs w:val="24"/>
                <w:lang w:eastAsia="zh-CN"/>
              </w:rPr>
            </w:pPr>
            <w:r>
              <w:rPr>
                <w:rFonts w:ascii="Times New Roman" w:hAnsi="Times New Roman" w:eastAsia="宋体" w:cs="Times New Roman"/>
                <w:b/>
                <w:sz w:val="24"/>
                <w:szCs w:val="24"/>
                <w:lang w:eastAsia="zh-CN"/>
              </w:rPr>
              <w:drawing>
                <wp:inline distT="0" distB="0" distL="0" distR="0">
                  <wp:extent cx="1478280" cy="472440"/>
                  <wp:effectExtent l="0" t="0" r="7620" b="381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a:xfrm>
                            <a:off x="0" y="0"/>
                            <a:ext cx="1478280" cy="472440"/>
                          </a:xfrm>
                          <a:prstGeom prst="rect">
                            <a:avLst/>
                          </a:prstGeom>
                          <a:noFill/>
                          <a:ln>
                            <a:noFill/>
                          </a:ln>
                        </pic:spPr>
                      </pic:pic>
                    </a:graphicData>
                  </a:graphic>
                </wp:inline>
              </w:drawing>
            </w:r>
          </w:p>
          <w:p>
            <w:pPr>
              <w:spacing w:line="360" w:lineRule="auto"/>
              <w:ind w:firstLine="480" w:firstLineChars="200"/>
              <w:jc w:val="both"/>
              <w:rPr>
                <w:rFonts w:ascii="Times New Roman" w:hAnsi="Times New Roman" w:eastAsia="宋体" w:cs="Times New Roman"/>
                <w:kern w:val="2"/>
                <w:sz w:val="24"/>
                <w:szCs w:val="24"/>
                <w:lang w:eastAsia="zh-CN"/>
              </w:rPr>
            </w:pPr>
            <w:r>
              <w:rPr>
                <w:rFonts w:ascii="Times New Roman" w:hAnsi="Times New Roman" w:eastAsia="宋体" w:cs="Times New Roman"/>
                <w:kern w:val="2"/>
                <w:sz w:val="24"/>
                <w:szCs w:val="24"/>
                <w:lang w:eastAsia="zh-CN"/>
              </w:rPr>
              <w:t>式中：L</w:t>
            </w:r>
            <w:r>
              <w:rPr>
                <w:rFonts w:ascii="Times New Roman" w:hAnsi="Times New Roman" w:eastAsia="宋体" w:cs="Times New Roman"/>
                <w:kern w:val="2"/>
                <w:sz w:val="24"/>
                <w:szCs w:val="24"/>
                <w:vertAlign w:val="subscript"/>
                <w:lang w:eastAsia="zh-CN"/>
              </w:rPr>
              <w:t>eqg</w:t>
            </w:r>
            <w:r>
              <w:rPr>
                <w:rFonts w:ascii="Times New Roman" w:hAnsi="Times New Roman" w:eastAsia="宋体" w:cs="Times New Roman"/>
                <w:kern w:val="2"/>
                <w:sz w:val="24"/>
                <w:szCs w:val="24"/>
                <w:lang w:eastAsia="zh-CN"/>
              </w:rPr>
              <w:t>——</w:t>
            </w:r>
            <w:r>
              <w:rPr>
                <w:rFonts w:hint="eastAsia" w:ascii="Times New Roman" w:hAnsi="Times New Roman" w:eastAsia="宋体" w:cs="Times New Roman"/>
                <w:kern w:val="2"/>
                <w:sz w:val="24"/>
                <w:szCs w:val="24"/>
                <w:lang w:eastAsia="zh-CN"/>
              </w:rPr>
              <w:t>预测点的噪声贡献值，dB（A）；</w:t>
            </w:r>
          </w:p>
          <w:p>
            <w:pPr>
              <w:spacing w:line="360" w:lineRule="auto"/>
              <w:ind w:firstLine="1159" w:firstLineChars="483"/>
              <w:jc w:val="both"/>
              <w:rPr>
                <w:rFonts w:ascii="Times New Roman" w:hAnsi="Times New Roman" w:eastAsia="宋体" w:cs="Times New Roman"/>
                <w:kern w:val="2"/>
                <w:sz w:val="24"/>
                <w:szCs w:val="24"/>
                <w:lang w:eastAsia="zh-CN"/>
              </w:rPr>
            </w:pPr>
            <w:r>
              <w:rPr>
                <w:rFonts w:hint="eastAsia" w:ascii="Times New Roman" w:hAnsi="Times New Roman" w:eastAsia="宋体" w:cs="Times New Roman"/>
                <w:kern w:val="2"/>
                <w:sz w:val="24"/>
                <w:szCs w:val="24"/>
                <w:lang w:eastAsia="zh-CN"/>
              </w:rPr>
              <w:t>LA,i——第i个声源对预测点的噪声贡献值，dB（A）；</w:t>
            </w:r>
          </w:p>
          <w:p>
            <w:pPr>
              <w:spacing w:line="360" w:lineRule="auto"/>
              <w:ind w:firstLine="1159" w:firstLineChars="483"/>
              <w:jc w:val="both"/>
              <w:rPr>
                <w:rFonts w:ascii="Times New Roman" w:hAnsi="Times New Roman" w:eastAsia="宋体" w:cs="Times New Roman"/>
                <w:kern w:val="2"/>
                <w:sz w:val="24"/>
                <w:szCs w:val="24"/>
                <w:lang w:eastAsia="zh-CN"/>
              </w:rPr>
            </w:pPr>
            <w:r>
              <w:rPr>
                <w:rFonts w:hint="eastAsia" w:ascii="Times New Roman" w:hAnsi="Times New Roman" w:eastAsia="宋体" w:cs="Times New Roman"/>
                <w:kern w:val="2"/>
                <w:sz w:val="24"/>
                <w:szCs w:val="24"/>
                <w:lang w:eastAsia="zh-CN"/>
              </w:rPr>
              <w:t>N——声源个数。</w:t>
            </w:r>
          </w:p>
          <w:p>
            <w:pPr>
              <w:spacing w:line="360" w:lineRule="auto"/>
              <w:ind w:firstLine="480" w:firstLineChars="200"/>
              <w:jc w:val="both"/>
              <w:rPr>
                <w:rFonts w:ascii="Times New Roman" w:hAnsi="Times New Roman" w:eastAsia="宋体" w:cs="Times New Roman"/>
                <w:kern w:val="2"/>
                <w:sz w:val="24"/>
                <w:szCs w:val="24"/>
                <w:lang w:eastAsia="zh-CN"/>
              </w:rPr>
            </w:pPr>
            <w:r>
              <w:rPr>
                <w:rFonts w:hint="eastAsia" w:ascii="宋体" w:hAnsi="宋体" w:eastAsia="宋体" w:cs="宋体"/>
                <w:kern w:val="2"/>
                <w:sz w:val="24"/>
                <w:szCs w:val="24"/>
                <w:lang w:eastAsia="zh-CN"/>
              </w:rPr>
              <w:t>④</w:t>
            </w:r>
            <w:r>
              <w:rPr>
                <w:rFonts w:ascii="Times New Roman" w:hAnsi="Times New Roman" w:eastAsia="宋体" w:cs="Times New Roman"/>
                <w:kern w:val="2"/>
                <w:sz w:val="24"/>
                <w:szCs w:val="24"/>
                <w:lang w:eastAsia="zh-CN"/>
              </w:rPr>
              <w:t>计算总声压级</w:t>
            </w:r>
          </w:p>
          <w:p>
            <w:pPr>
              <w:spacing w:line="360" w:lineRule="auto"/>
              <w:ind w:firstLine="480" w:firstLineChars="200"/>
              <w:jc w:val="both"/>
              <w:rPr>
                <w:rFonts w:ascii="Times New Roman" w:hAnsi="Times New Roman" w:eastAsia="宋体" w:cs="Times New Roman"/>
                <w:kern w:val="2"/>
                <w:sz w:val="24"/>
                <w:szCs w:val="24"/>
                <w:lang w:eastAsia="zh-CN"/>
              </w:rPr>
            </w:pPr>
            <w:r>
              <w:rPr>
                <w:rFonts w:ascii="Times New Roman" w:hAnsi="Times New Roman" w:eastAsia="宋体" w:cs="Times New Roman"/>
                <w:kern w:val="2"/>
                <w:sz w:val="24"/>
                <w:szCs w:val="24"/>
                <w:lang w:eastAsia="zh-CN"/>
              </w:rPr>
              <w:t>多声源叠加噪声预测值：</w:t>
            </w:r>
          </w:p>
          <w:p>
            <w:pPr>
              <w:adjustRightInd w:val="0"/>
              <w:snapToGrid w:val="0"/>
              <w:spacing w:line="360" w:lineRule="auto"/>
              <w:ind w:firstLine="360"/>
              <w:jc w:val="center"/>
              <w:rPr>
                <w:rFonts w:ascii="Times New Roman" w:hAnsi="Times New Roman" w:eastAsia="宋体" w:cs="Times New Roman"/>
                <w:kern w:val="2"/>
                <w:sz w:val="24"/>
                <w:szCs w:val="24"/>
                <w:lang w:eastAsia="zh-CN"/>
              </w:rPr>
            </w:pPr>
            <w:r>
              <w:rPr>
                <w:rFonts w:ascii="Times New Roman" w:hAnsi="Times New Roman" w:eastAsia="宋体" w:cs="Times New Roman"/>
                <w:position w:val="-18"/>
                <w:sz w:val="24"/>
                <w:szCs w:val="24"/>
                <w:lang w:eastAsia="zh-CN"/>
              </w:rPr>
              <w:drawing>
                <wp:inline distT="0" distB="0" distL="0" distR="0">
                  <wp:extent cx="1752600" cy="304800"/>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a:xfrm>
                            <a:off x="0" y="0"/>
                            <a:ext cx="1752600" cy="304800"/>
                          </a:xfrm>
                          <a:prstGeom prst="rect">
                            <a:avLst/>
                          </a:prstGeom>
                          <a:noFill/>
                          <a:ln>
                            <a:noFill/>
                          </a:ln>
                        </pic:spPr>
                      </pic:pic>
                    </a:graphicData>
                  </a:graphic>
                </wp:inline>
              </w:drawing>
            </w:r>
          </w:p>
          <w:p>
            <w:pPr>
              <w:spacing w:line="360" w:lineRule="auto"/>
              <w:ind w:firstLine="480" w:firstLineChars="200"/>
              <w:jc w:val="both"/>
              <w:rPr>
                <w:rFonts w:ascii="Times New Roman" w:hAnsi="Times New Roman" w:eastAsia="宋体" w:cs="Times New Roman"/>
                <w:kern w:val="2"/>
                <w:sz w:val="24"/>
                <w:szCs w:val="24"/>
                <w:lang w:eastAsia="zh-CN"/>
              </w:rPr>
            </w:pPr>
            <w:r>
              <w:rPr>
                <w:rFonts w:ascii="Times New Roman" w:hAnsi="Times New Roman" w:eastAsia="宋体" w:cs="Times New Roman"/>
                <w:kern w:val="2"/>
                <w:sz w:val="24"/>
                <w:szCs w:val="24"/>
                <w:lang w:eastAsia="zh-CN"/>
              </w:rPr>
              <w:t>式中：L</w:t>
            </w:r>
            <w:r>
              <w:rPr>
                <w:rFonts w:ascii="Times New Roman" w:hAnsi="Times New Roman" w:eastAsia="宋体" w:cs="Times New Roman"/>
                <w:kern w:val="2"/>
                <w:sz w:val="24"/>
                <w:szCs w:val="24"/>
                <w:vertAlign w:val="subscript"/>
                <w:lang w:eastAsia="zh-CN"/>
              </w:rPr>
              <w:t>eq</w:t>
            </w:r>
            <w:r>
              <w:rPr>
                <w:rFonts w:ascii="Times New Roman" w:hAnsi="Times New Roman" w:eastAsia="宋体" w:cs="Times New Roman"/>
                <w:kern w:val="2"/>
                <w:sz w:val="24"/>
                <w:szCs w:val="24"/>
                <w:lang w:eastAsia="zh-CN"/>
              </w:rPr>
              <w:t>——预测点的噪声预测值，dB（A）；</w:t>
            </w:r>
          </w:p>
          <w:p>
            <w:pPr>
              <w:spacing w:line="360" w:lineRule="auto"/>
              <w:ind w:firstLine="1200" w:firstLineChars="500"/>
              <w:jc w:val="both"/>
              <w:rPr>
                <w:rFonts w:ascii="Times New Roman" w:hAnsi="Times New Roman" w:eastAsia="宋体" w:cs="Times New Roman"/>
                <w:kern w:val="2"/>
                <w:sz w:val="24"/>
                <w:szCs w:val="24"/>
                <w:lang w:eastAsia="zh-CN"/>
              </w:rPr>
            </w:pPr>
            <w:r>
              <w:rPr>
                <w:rFonts w:ascii="Times New Roman" w:hAnsi="Times New Roman" w:eastAsia="宋体" w:cs="Times New Roman"/>
                <w:kern w:val="2"/>
                <w:sz w:val="24"/>
                <w:szCs w:val="24"/>
                <w:lang w:eastAsia="zh-CN"/>
              </w:rPr>
              <w:t>L</w:t>
            </w:r>
            <w:r>
              <w:rPr>
                <w:rFonts w:ascii="Times New Roman" w:hAnsi="Times New Roman" w:eastAsia="宋体" w:cs="Times New Roman"/>
                <w:kern w:val="2"/>
                <w:sz w:val="24"/>
                <w:szCs w:val="24"/>
                <w:vertAlign w:val="subscript"/>
                <w:lang w:eastAsia="zh-CN"/>
              </w:rPr>
              <w:t>eqq</w:t>
            </w:r>
            <w:r>
              <w:rPr>
                <w:rFonts w:ascii="Times New Roman" w:hAnsi="Times New Roman" w:eastAsia="宋体" w:cs="Times New Roman"/>
                <w:kern w:val="2"/>
                <w:sz w:val="24"/>
                <w:szCs w:val="24"/>
                <w:lang w:eastAsia="zh-CN"/>
              </w:rPr>
              <w:t>——预测点的噪声贡献值，dB（A）；</w:t>
            </w:r>
          </w:p>
          <w:p>
            <w:pPr>
              <w:spacing w:line="360" w:lineRule="auto"/>
              <w:ind w:firstLine="1200" w:firstLineChars="500"/>
              <w:jc w:val="both"/>
              <w:rPr>
                <w:rFonts w:ascii="Times New Roman" w:hAnsi="Times New Roman" w:eastAsia="宋体" w:cs="Times New Roman"/>
                <w:kern w:val="2"/>
                <w:sz w:val="24"/>
                <w:szCs w:val="24"/>
                <w:lang w:eastAsia="zh-CN"/>
              </w:rPr>
            </w:pPr>
            <w:r>
              <w:rPr>
                <w:rFonts w:ascii="Times New Roman" w:hAnsi="Times New Roman" w:eastAsia="宋体" w:cs="Times New Roman"/>
                <w:kern w:val="2"/>
                <w:sz w:val="24"/>
                <w:szCs w:val="24"/>
                <w:lang w:eastAsia="zh-CN"/>
              </w:rPr>
              <w:t>L</w:t>
            </w:r>
            <w:r>
              <w:rPr>
                <w:rFonts w:ascii="Times New Roman" w:hAnsi="Times New Roman" w:eastAsia="宋体" w:cs="Times New Roman"/>
                <w:kern w:val="2"/>
                <w:sz w:val="24"/>
                <w:szCs w:val="24"/>
                <w:vertAlign w:val="subscript"/>
                <w:lang w:eastAsia="zh-CN"/>
              </w:rPr>
              <w:t>eqb</w:t>
            </w:r>
            <w:r>
              <w:rPr>
                <w:rFonts w:ascii="Times New Roman" w:hAnsi="Times New Roman" w:eastAsia="宋体" w:cs="Times New Roman"/>
                <w:kern w:val="2"/>
                <w:sz w:val="24"/>
                <w:szCs w:val="24"/>
                <w:lang w:eastAsia="zh-CN"/>
              </w:rPr>
              <w:t>——预测点的噪声背景值，dB（A）。</w:t>
            </w:r>
          </w:p>
          <w:p>
            <w:pPr>
              <w:spacing w:line="360" w:lineRule="auto"/>
              <w:ind w:firstLine="480" w:firstLineChars="200"/>
              <w:jc w:val="both"/>
              <w:rPr>
                <w:rFonts w:ascii="Times New Roman" w:hAnsi="Times New Roman" w:eastAsia="宋体" w:cs="Times New Roman"/>
                <w:kern w:val="2"/>
                <w:sz w:val="24"/>
                <w:szCs w:val="24"/>
                <w:lang w:eastAsia="zh-CN"/>
              </w:rPr>
            </w:pPr>
            <w:r>
              <w:rPr>
                <w:rFonts w:hint="eastAsia" w:ascii="Times New Roman" w:hAnsi="Times New Roman" w:eastAsia="宋体" w:cs="Times New Roman"/>
                <w:kern w:val="2"/>
                <w:sz w:val="24"/>
                <w:szCs w:val="24"/>
                <w:lang w:eastAsia="zh-CN"/>
              </w:rPr>
              <w:t>（2）预测结果</w:t>
            </w:r>
          </w:p>
          <w:p>
            <w:pPr>
              <w:spacing w:line="360" w:lineRule="auto"/>
              <w:ind w:firstLine="480" w:firstLineChars="200"/>
              <w:jc w:val="both"/>
              <w:rPr>
                <w:rFonts w:ascii="Times New Roman" w:hAnsi="Times New Roman" w:eastAsia="宋体" w:cs="Times New Roman"/>
                <w:kern w:val="2"/>
                <w:sz w:val="24"/>
                <w:szCs w:val="24"/>
                <w:lang w:eastAsia="zh-CN"/>
              </w:rPr>
            </w:pPr>
            <w:r>
              <w:rPr>
                <w:rFonts w:hint="eastAsia" w:ascii="Times New Roman" w:hAnsi="Times New Roman" w:eastAsia="宋体" w:cs="Times New Roman"/>
                <w:kern w:val="2"/>
                <w:sz w:val="24"/>
                <w:szCs w:val="24"/>
                <w:lang w:eastAsia="zh-CN"/>
              </w:rPr>
              <w:t>结合项目主要噪声源分布情况，项目夜间不生产，采用上述预测模式计算得到</w:t>
            </w:r>
            <w:r>
              <w:rPr>
                <w:rFonts w:ascii="Times New Roman" w:hAnsi="Times New Roman" w:eastAsia="宋体" w:cs="Times New Roman"/>
                <w:kern w:val="2"/>
                <w:sz w:val="24"/>
                <w:szCs w:val="24"/>
                <w:lang w:eastAsia="zh-CN"/>
              </w:rPr>
              <w:t>项目厂界噪声排放预测结果见表</w:t>
            </w:r>
            <w:r>
              <w:rPr>
                <w:rFonts w:hint="eastAsia" w:ascii="Times New Roman" w:hAnsi="Times New Roman" w:eastAsia="宋体" w:cs="Times New Roman"/>
                <w:kern w:val="2"/>
                <w:sz w:val="24"/>
                <w:szCs w:val="24"/>
                <w:lang w:eastAsia="zh-CN"/>
              </w:rPr>
              <w:t>4.2-17</w:t>
            </w:r>
            <w:r>
              <w:rPr>
                <w:rFonts w:ascii="Times New Roman" w:hAnsi="Times New Roman" w:eastAsia="宋体" w:cs="Times New Roman"/>
                <w:kern w:val="2"/>
                <w:sz w:val="24"/>
                <w:szCs w:val="24"/>
                <w:lang w:eastAsia="zh-CN"/>
              </w:rPr>
              <w:t>，保护目标处噪声排放预测结果见表</w:t>
            </w:r>
            <w:r>
              <w:rPr>
                <w:rFonts w:hint="eastAsia" w:ascii="Times New Roman" w:hAnsi="Times New Roman" w:eastAsia="宋体" w:cs="Times New Roman"/>
                <w:kern w:val="2"/>
                <w:sz w:val="24"/>
                <w:szCs w:val="24"/>
                <w:lang w:eastAsia="zh-CN"/>
              </w:rPr>
              <w:t>4.2-18。</w:t>
            </w:r>
          </w:p>
          <w:p>
            <w:pPr>
              <w:spacing w:before="120" w:beforeLines="50"/>
              <w:jc w:val="center"/>
              <w:outlineLvl w:val="4"/>
              <w:rPr>
                <w:rFonts w:hint="eastAsia" w:ascii="Times New Roman" w:hAnsi="宋体" w:eastAsia="宋体" w:cs="Times New Roman"/>
                <w:b/>
                <w:kern w:val="2"/>
                <w:sz w:val="24"/>
                <w:szCs w:val="24"/>
                <w:lang w:eastAsia="zh-CN"/>
              </w:rPr>
            </w:pPr>
            <w:r>
              <w:rPr>
                <w:rFonts w:hint="eastAsia" w:ascii="Times New Roman" w:hAnsi="Times New Roman" w:eastAsia="宋体" w:cs="Times New Roman"/>
                <w:b/>
                <w:kern w:val="2"/>
                <w:sz w:val="24"/>
                <w:szCs w:val="24"/>
                <w:lang w:eastAsia="zh-CN"/>
              </w:rPr>
              <w:t xml:space="preserve">表4.2-17  </w:t>
            </w:r>
            <w:r>
              <w:rPr>
                <w:rFonts w:ascii="Times New Roman" w:hAnsi="宋体" w:eastAsia="宋体" w:cs="Times New Roman"/>
                <w:b/>
                <w:kern w:val="2"/>
                <w:sz w:val="24"/>
                <w:szCs w:val="24"/>
                <w:lang w:eastAsia="zh-CN"/>
              </w:rPr>
              <w:t>项目厂界噪声排放预测结果</w:t>
            </w:r>
          </w:p>
          <w:tbl>
            <w:tblPr>
              <w:tblStyle w:val="1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457"/>
              <w:gridCol w:w="1065"/>
              <w:gridCol w:w="902"/>
              <w:gridCol w:w="1095"/>
              <w:gridCol w:w="872"/>
              <w:gridCol w:w="1470"/>
              <w:gridCol w:w="98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1389" w:type="pct"/>
                  <w:vMerge w:val="restart"/>
                  <w:vAlign w:val="center"/>
                </w:tcPr>
                <w:p>
                  <w:pPr>
                    <w:jc w:val="center"/>
                    <w:rPr>
                      <w:rFonts w:ascii="Times New Roman" w:hAnsi="Times New Roman" w:eastAsia="宋体" w:cs="Times New Roman"/>
                      <w:sz w:val="21"/>
                      <w:szCs w:val="21"/>
                      <w:lang w:val="en-GB" w:eastAsia="zh-CN"/>
                    </w:rPr>
                  </w:pPr>
                  <w:bookmarkStart w:id="12" w:name="_Hlk297299088"/>
                  <w:r>
                    <w:rPr>
                      <w:rFonts w:ascii="Times New Roman" w:hAnsi="宋体" w:eastAsia="宋体" w:cs="Times New Roman"/>
                      <w:sz w:val="21"/>
                      <w:szCs w:val="21"/>
                      <w:lang w:val="en-GB" w:eastAsia="zh-CN"/>
                    </w:rPr>
                    <w:t>预测点</w:t>
                  </w:r>
                </w:p>
              </w:tc>
              <w:tc>
                <w:tcPr>
                  <w:tcW w:w="1112" w:type="pct"/>
                  <w:gridSpan w:val="2"/>
                  <w:vAlign w:val="center"/>
                </w:tcPr>
                <w:p>
                  <w:pPr>
                    <w:jc w:val="center"/>
                    <w:rPr>
                      <w:rFonts w:ascii="Times New Roman" w:hAnsi="Times New Roman" w:eastAsia="宋体" w:cs="Times New Roman"/>
                      <w:sz w:val="21"/>
                      <w:szCs w:val="21"/>
                      <w:lang w:val="en-GB" w:eastAsia="zh-CN"/>
                    </w:rPr>
                  </w:pPr>
                  <w:r>
                    <w:rPr>
                      <w:rFonts w:ascii="Times New Roman" w:hAnsi="宋体" w:eastAsia="宋体" w:cs="Times New Roman"/>
                      <w:sz w:val="21"/>
                      <w:szCs w:val="21"/>
                      <w:lang w:val="en-GB" w:eastAsia="zh-CN"/>
                    </w:rPr>
                    <w:t>贡献值</w:t>
                  </w:r>
                </w:p>
              </w:tc>
              <w:tc>
                <w:tcPr>
                  <w:tcW w:w="1112" w:type="pct"/>
                  <w:gridSpan w:val="2"/>
                  <w:vAlign w:val="center"/>
                </w:tcPr>
                <w:p>
                  <w:pPr>
                    <w:jc w:val="center"/>
                    <w:rPr>
                      <w:rFonts w:ascii="Times New Roman" w:hAnsi="Times New Roman" w:eastAsia="宋体" w:cs="Times New Roman"/>
                      <w:sz w:val="21"/>
                      <w:szCs w:val="21"/>
                      <w:lang w:val="en-GB" w:eastAsia="zh-CN"/>
                    </w:rPr>
                  </w:pPr>
                  <w:r>
                    <w:rPr>
                      <w:rFonts w:hint="eastAsia" w:ascii="Times New Roman" w:hAnsi="宋体" w:eastAsia="宋体" w:cs="Times New Roman"/>
                      <w:sz w:val="21"/>
                      <w:szCs w:val="21"/>
                      <w:lang w:val="en-GB" w:eastAsia="zh-CN"/>
                    </w:rPr>
                    <w:t>标准值</w:t>
                  </w:r>
                </w:p>
              </w:tc>
              <w:tc>
                <w:tcPr>
                  <w:tcW w:w="1387" w:type="pct"/>
                  <w:gridSpan w:val="2"/>
                  <w:vAlign w:val="center"/>
                </w:tcPr>
                <w:p>
                  <w:pPr>
                    <w:jc w:val="center"/>
                    <w:rPr>
                      <w:rFonts w:ascii="Times New Roman" w:hAnsi="Times New Roman" w:eastAsia="宋体" w:cs="Times New Roman"/>
                      <w:sz w:val="21"/>
                      <w:szCs w:val="21"/>
                      <w:lang w:val="en-GB" w:eastAsia="zh-CN"/>
                    </w:rPr>
                  </w:pPr>
                  <w:r>
                    <w:rPr>
                      <w:rFonts w:ascii="Times New Roman" w:hAnsi="宋体" w:eastAsia="宋体" w:cs="Times New Roman"/>
                      <w:sz w:val="21"/>
                      <w:szCs w:val="21"/>
                      <w:lang w:val="en-GB" w:eastAsia="zh-CN"/>
                    </w:rPr>
                    <w:t>达标情况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89" w:type="pct"/>
                  <w:vMerge w:val="continue"/>
                  <w:vAlign w:val="center"/>
                </w:tcPr>
                <w:p>
                  <w:pPr>
                    <w:jc w:val="center"/>
                    <w:rPr>
                      <w:rFonts w:ascii="Times New Roman" w:hAnsi="Times New Roman" w:eastAsia="宋体" w:cs="Times New Roman"/>
                      <w:sz w:val="21"/>
                      <w:szCs w:val="21"/>
                      <w:lang w:val="en-GB" w:eastAsia="zh-CN"/>
                    </w:rPr>
                  </w:pPr>
                </w:p>
              </w:tc>
              <w:tc>
                <w:tcPr>
                  <w:tcW w:w="602" w:type="pct"/>
                  <w:vAlign w:val="center"/>
                </w:tcPr>
                <w:p>
                  <w:pPr>
                    <w:jc w:val="center"/>
                    <w:rPr>
                      <w:rFonts w:ascii="Times New Roman" w:hAnsi="Times New Roman" w:eastAsia="宋体" w:cs="Times New Roman"/>
                      <w:sz w:val="21"/>
                      <w:szCs w:val="21"/>
                      <w:lang w:val="en-GB" w:eastAsia="zh-CN"/>
                    </w:rPr>
                  </w:pPr>
                  <w:r>
                    <w:rPr>
                      <w:rFonts w:ascii="Times New Roman" w:hAnsi="宋体" w:eastAsia="宋体" w:cs="Times New Roman"/>
                      <w:sz w:val="21"/>
                      <w:szCs w:val="21"/>
                      <w:lang w:val="en-GB" w:eastAsia="zh-CN"/>
                    </w:rPr>
                    <w:t>昼间</w:t>
                  </w:r>
                </w:p>
              </w:tc>
              <w:tc>
                <w:tcPr>
                  <w:tcW w:w="510" w:type="pct"/>
                  <w:vAlign w:val="center"/>
                </w:tcPr>
                <w:p>
                  <w:pPr>
                    <w:jc w:val="center"/>
                    <w:rPr>
                      <w:rFonts w:ascii="Times New Roman" w:hAnsi="Times New Roman" w:eastAsia="宋体" w:cs="Times New Roman"/>
                      <w:sz w:val="21"/>
                      <w:szCs w:val="21"/>
                      <w:lang w:val="en-GB" w:eastAsia="zh-CN"/>
                    </w:rPr>
                  </w:pPr>
                  <w:r>
                    <w:rPr>
                      <w:rFonts w:hint="eastAsia" w:ascii="Times New Roman" w:hAnsi="Times New Roman" w:eastAsia="宋体" w:cs="Times New Roman"/>
                      <w:sz w:val="21"/>
                      <w:szCs w:val="21"/>
                      <w:lang w:val="en-GB" w:eastAsia="zh-CN"/>
                    </w:rPr>
                    <w:t>夜间</w:t>
                  </w:r>
                </w:p>
              </w:tc>
              <w:tc>
                <w:tcPr>
                  <w:tcW w:w="619" w:type="pct"/>
                  <w:vAlign w:val="center"/>
                </w:tcPr>
                <w:p>
                  <w:pPr>
                    <w:jc w:val="center"/>
                    <w:rPr>
                      <w:rFonts w:ascii="Times New Roman" w:hAnsi="Times New Roman" w:eastAsia="宋体" w:cs="Times New Roman"/>
                      <w:sz w:val="21"/>
                      <w:szCs w:val="21"/>
                      <w:lang w:val="en-GB" w:eastAsia="zh-CN"/>
                    </w:rPr>
                  </w:pPr>
                  <w:r>
                    <w:rPr>
                      <w:rFonts w:ascii="Times New Roman" w:hAnsi="宋体" w:eastAsia="宋体" w:cs="Times New Roman"/>
                      <w:sz w:val="21"/>
                      <w:szCs w:val="21"/>
                      <w:lang w:val="en-GB" w:eastAsia="zh-CN"/>
                    </w:rPr>
                    <w:t>昼间</w:t>
                  </w:r>
                </w:p>
              </w:tc>
              <w:tc>
                <w:tcPr>
                  <w:tcW w:w="493" w:type="pct"/>
                  <w:vAlign w:val="center"/>
                </w:tcPr>
                <w:p>
                  <w:pPr>
                    <w:jc w:val="center"/>
                    <w:rPr>
                      <w:rFonts w:ascii="Times New Roman" w:hAnsi="Times New Roman" w:eastAsia="宋体" w:cs="Times New Roman"/>
                      <w:sz w:val="21"/>
                      <w:szCs w:val="21"/>
                      <w:lang w:val="en-GB" w:eastAsia="zh-CN"/>
                    </w:rPr>
                  </w:pPr>
                  <w:r>
                    <w:rPr>
                      <w:rFonts w:hint="eastAsia" w:ascii="Times New Roman" w:hAnsi="Times New Roman" w:eastAsia="宋体" w:cs="Times New Roman"/>
                      <w:sz w:val="21"/>
                      <w:szCs w:val="21"/>
                      <w:lang w:val="en-GB" w:eastAsia="zh-CN"/>
                    </w:rPr>
                    <w:t>夜间</w:t>
                  </w:r>
                </w:p>
              </w:tc>
              <w:tc>
                <w:tcPr>
                  <w:tcW w:w="831" w:type="pct"/>
                  <w:vAlign w:val="center"/>
                </w:tcPr>
                <w:p>
                  <w:pPr>
                    <w:jc w:val="center"/>
                    <w:rPr>
                      <w:rFonts w:ascii="Times New Roman" w:hAnsi="Times New Roman" w:eastAsia="宋体" w:cs="Times New Roman"/>
                      <w:sz w:val="21"/>
                      <w:szCs w:val="21"/>
                      <w:lang w:val="en-GB" w:eastAsia="zh-CN"/>
                    </w:rPr>
                  </w:pPr>
                  <w:r>
                    <w:rPr>
                      <w:rFonts w:ascii="Times New Roman" w:hAnsi="宋体" w:eastAsia="宋体" w:cs="Times New Roman"/>
                      <w:sz w:val="21"/>
                      <w:szCs w:val="21"/>
                      <w:lang w:val="en-GB" w:eastAsia="zh-CN"/>
                    </w:rPr>
                    <w:t>昼间</w:t>
                  </w:r>
                </w:p>
              </w:tc>
              <w:tc>
                <w:tcPr>
                  <w:tcW w:w="556" w:type="pct"/>
                  <w:vAlign w:val="center"/>
                </w:tcPr>
                <w:p>
                  <w:pPr>
                    <w:jc w:val="center"/>
                    <w:rPr>
                      <w:rFonts w:ascii="Times New Roman" w:hAnsi="Times New Roman" w:eastAsia="宋体" w:cs="Times New Roman"/>
                      <w:sz w:val="21"/>
                      <w:szCs w:val="21"/>
                      <w:lang w:val="en-GB" w:eastAsia="zh-CN"/>
                    </w:rPr>
                  </w:pPr>
                  <w:r>
                    <w:rPr>
                      <w:rFonts w:hint="eastAsia" w:ascii="Times New Roman" w:hAnsi="Times New Roman" w:eastAsia="宋体" w:cs="Times New Roman"/>
                      <w:sz w:val="21"/>
                      <w:szCs w:val="21"/>
                      <w:lang w:val="en-GB" w:eastAsia="zh-CN"/>
                    </w:rPr>
                    <w:t>夜间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1389" w:type="pct"/>
                  <w:vAlign w:val="center"/>
                </w:tcPr>
                <w:p>
                  <w:pPr>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东侧厂界</w:t>
                  </w:r>
                </w:p>
              </w:tc>
              <w:tc>
                <w:tcPr>
                  <w:tcW w:w="602" w:type="pct"/>
                  <w:vAlign w:val="center"/>
                </w:tcPr>
                <w:p>
                  <w:pPr>
                    <w:jc w:val="center"/>
                    <w:rPr>
                      <w:rFonts w:ascii="Times New Roman" w:hAnsi="Times New Roman" w:eastAsia="宋体" w:cs="Times New Roman"/>
                      <w:sz w:val="21"/>
                      <w:szCs w:val="21"/>
                      <w:lang w:val="en-GB" w:eastAsia="zh-CN"/>
                    </w:rPr>
                  </w:pPr>
                  <w:r>
                    <w:rPr>
                      <w:rFonts w:hint="eastAsia" w:ascii="Times New Roman" w:hAnsi="Times New Roman" w:eastAsia="宋体" w:cs="Times New Roman"/>
                      <w:sz w:val="21"/>
                      <w:szCs w:val="21"/>
                      <w:lang w:val="en-GB" w:eastAsia="zh-CN"/>
                    </w:rPr>
                    <w:t>31.5</w:t>
                  </w:r>
                </w:p>
              </w:tc>
              <w:tc>
                <w:tcPr>
                  <w:tcW w:w="510" w:type="pct"/>
                  <w:vAlign w:val="center"/>
                </w:tcPr>
                <w:p>
                  <w:pPr>
                    <w:jc w:val="center"/>
                    <w:rPr>
                      <w:rFonts w:ascii="Times New Roman" w:hAnsi="Times New Roman" w:eastAsia="宋体" w:cs="Times New Roman"/>
                      <w:sz w:val="21"/>
                      <w:szCs w:val="21"/>
                      <w:lang w:val="en-GB" w:eastAsia="zh-CN"/>
                    </w:rPr>
                  </w:pPr>
                  <w:r>
                    <w:rPr>
                      <w:rFonts w:hint="eastAsia" w:ascii="Times New Roman" w:hAnsi="Times New Roman" w:eastAsia="宋体" w:cs="Times New Roman"/>
                      <w:sz w:val="21"/>
                      <w:szCs w:val="21"/>
                      <w:lang w:val="en-GB" w:eastAsia="zh-CN"/>
                    </w:rPr>
                    <w:t>31.5</w:t>
                  </w:r>
                </w:p>
              </w:tc>
              <w:tc>
                <w:tcPr>
                  <w:tcW w:w="619" w:type="pct"/>
                  <w:vAlign w:val="center"/>
                </w:tcPr>
                <w:p>
                  <w:pPr>
                    <w:jc w:val="center"/>
                    <w:rPr>
                      <w:rFonts w:ascii="Times New Roman" w:hAnsi="Times New Roman" w:eastAsia="宋体" w:cs="Times New Roman"/>
                      <w:sz w:val="21"/>
                      <w:szCs w:val="21"/>
                      <w:lang w:val="en-GB" w:eastAsia="zh-CN"/>
                    </w:rPr>
                  </w:pPr>
                  <w:r>
                    <w:rPr>
                      <w:rFonts w:hint="eastAsia" w:ascii="Times New Roman" w:hAnsi="Times New Roman" w:eastAsia="宋体" w:cs="Times New Roman"/>
                      <w:sz w:val="21"/>
                      <w:szCs w:val="21"/>
                      <w:lang w:val="en-GB" w:eastAsia="zh-CN"/>
                    </w:rPr>
                    <w:t>70</w:t>
                  </w:r>
                </w:p>
              </w:tc>
              <w:tc>
                <w:tcPr>
                  <w:tcW w:w="493" w:type="pct"/>
                  <w:vAlign w:val="center"/>
                </w:tcPr>
                <w:p>
                  <w:pPr>
                    <w:jc w:val="center"/>
                    <w:rPr>
                      <w:rFonts w:ascii="Times New Roman" w:hAnsi="Times New Roman" w:eastAsia="宋体" w:cs="Times New Roman"/>
                      <w:sz w:val="21"/>
                      <w:szCs w:val="21"/>
                      <w:lang w:val="en-GB" w:eastAsia="zh-CN"/>
                    </w:rPr>
                  </w:pPr>
                  <w:r>
                    <w:rPr>
                      <w:rFonts w:hint="eastAsia" w:ascii="Times New Roman" w:hAnsi="Times New Roman" w:eastAsia="宋体" w:cs="Times New Roman"/>
                      <w:sz w:val="21"/>
                      <w:szCs w:val="21"/>
                      <w:lang w:val="en-GB" w:eastAsia="zh-CN"/>
                    </w:rPr>
                    <w:t>55</w:t>
                  </w:r>
                </w:p>
              </w:tc>
              <w:tc>
                <w:tcPr>
                  <w:tcW w:w="831" w:type="pct"/>
                  <w:vAlign w:val="center"/>
                </w:tcPr>
                <w:p>
                  <w:pPr>
                    <w:jc w:val="center"/>
                    <w:rPr>
                      <w:rFonts w:ascii="Times New Roman" w:hAnsi="Times New Roman" w:eastAsia="宋体" w:cs="Times New Roman"/>
                      <w:sz w:val="21"/>
                      <w:szCs w:val="21"/>
                      <w:lang w:val="en-GB" w:eastAsia="zh-CN"/>
                    </w:rPr>
                  </w:pPr>
                  <w:r>
                    <w:rPr>
                      <w:rFonts w:ascii="Times New Roman" w:hAnsi="宋体" w:eastAsia="宋体" w:cs="Times New Roman"/>
                      <w:sz w:val="21"/>
                      <w:szCs w:val="21"/>
                      <w:lang w:val="en-GB" w:eastAsia="zh-CN"/>
                    </w:rPr>
                    <w:t>达标</w:t>
                  </w:r>
                </w:p>
              </w:tc>
              <w:tc>
                <w:tcPr>
                  <w:tcW w:w="556" w:type="pct"/>
                  <w:vAlign w:val="center"/>
                </w:tcPr>
                <w:p>
                  <w:pPr>
                    <w:jc w:val="center"/>
                    <w:rPr>
                      <w:rFonts w:ascii="Times New Roman" w:hAnsi="Times New Roman" w:eastAsia="宋体" w:cs="Times New Roman"/>
                      <w:sz w:val="21"/>
                      <w:szCs w:val="21"/>
                      <w:lang w:val="en-GB" w:eastAsia="zh-CN"/>
                    </w:rPr>
                  </w:pPr>
                  <w:r>
                    <w:rPr>
                      <w:rFonts w:ascii="Times New Roman" w:hAnsi="宋体" w:eastAsia="宋体" w:cs="Times New Roman"/>
                      <w:sz w:val="21"/>
                      <w:szCs w:val="21"/>
                      <w:lang w:val="en-GB" w:eastAsia="zh-CN"/>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1389" w:type="pct"/>
                  <w:vAlign w:val="center"/>
                </w:tcPr>
                <w:p>
                  <w:pPr>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南侧厂界</w:t>
                  </w:r>
                </w:p>
              </w:tc>
              <w:tc>
                <w:tcPr>
                  <w:tcW w:w="602" w:type="pct"/>
                  <w:vAlign w:val="center"/>
                </w:tcPr>
                <w:p>
                  <w:pPr>
                    <w:jc w:val="center"/>
                    <w:rPr>
                      <w:rFonts w:ascii="Times New Roman" w:hAnsi="Times New Roman" w:eastAsia="宋体" w:cs="Times New Roman"/>
                      <w:sz w:val="21"/>
                      <w:szCs w:val="21"/>
                      <w:lang w:val="en-GB" w:eastAsia="zh-CN"/>
                    </w:rPr>
                  </w:pPr>
                  <w:r>
                    <w:rPr>
                      <w:rFonts w:hint="eastAsia" w:ascii="Times New Roman" w:hAnsi="Times New Roman" w:eastAsia="宋体" w:cs="Times New Roman"/>
                      <w:sz w:val="21"/>
                      <w:szCs w:val="21"/>
                      <w:lang w:val="en-GB" w:eastAsia="zh-CN"/>
                    </w:rPr>
                    <w:t>48.6</w:t>
                  </w:r>
                </w:p>
              </w:tc>
              <w:tc>
                <w:tcPr>
                  <w:tcW w:w="510" w:type="pct"/>
                  <w:vAlign w:val="center"/>
                </w:tcPr>
                <w:p>
                  <w:pPr>
                    <w:jc w:val="center"/>
                    <w:rPr>
                      <w:rFonts w:ascii="Times New Roman" w:hAnsi="Times New Roman" w:eastAsia="宋体" w:cs="Times New Roman"/>
                      <w:sz w:val="21"/>
                      <w:szCs w:val="21"/>
                      <w:lang w:val="en-GB" w:eastAsia="zh-CN"/>
                    </w:rPr>
                  </w:pPr>
                  <w:r>
                    <w:rPr>
                      <w:rFonts w:hint="eastAsia" w:ascii="Times New Roman" w:hAnsi="Times New Roman" w:eastAsia="宋体" w:cs="Times New Roman"/>
                      <w:sz w:val="21"/>
                      <w:szCs w:val="21"/>
                      <w:lang w:val="en-GB" w:eastAsia="zh-CN"/>
                    </w:rPr>
                    <w:t>48.6</w:t>
                  </w:r>
                </w:p>
              </w:tc>
              <w:tc>
                <w:tcPr>
                  <w:tcW w:w="619" w:type="pct"/>
                  <w:vAlign w:val="center"/>
                </w:tcPr>
                <w:p>
                  <w:pPr>
                    <w:jc w:val="center"/>
                    <w:rPr>
                      <w:rFonts w:ascii="Times New Roman" w:hAnsi="Times New Roman" w:eastAsia="宋体" w:cs="Times New Roman"/>
                      <w:sz w:val="21"/>
                      <w:szCs w:val="21"/>
                      <w:lang w:val="en-GB" w:eastAsia="zh-CN"/>
                    </w:rPr>
                  </w:pPr>
                  <w:r>
                    <w:rPr>
                      <w:rFonts w:hint="eastAsia" w:ascii="Times New Roman" w:hAnsi="Times New Roman" w:eastAsia="宋体" w:cs="Times New Roman"/>
                      <w:sz w:val="21"/>
                      <w:szCs w:val="21"/>
                      <w:lang w:val="en-GB" w:eastAsia="zh-CN"/>
                    </w:rPr>
                    <w:t>60</w:t>
                  </w:r>
                </w:p>
              </w:tc>
              <w:tc>
                <w:tcPr>
                  <w:tcW w:w="493" w:type="pct"/>
                  <w:vAlign w:val="center"/>
                </w:tcPr>
                <w:p>
                  <w:pPr>
                    <w:jc w:val="center"/>
                    <w:rPr>
                      <w:rFonts w:ascii="Times New Roman" w:hAnsi="Times New Roman" w:eastAsia="宋体" w:cs="Times New Roman"/>
                      <w:sz w:val="21"/>
                      <w:szCs w:val="21"/>
                      <w:lang w:val="en-GB" w:eastAsia="zh-CN"/>
                    </w:rPr>
                  </w:pPr>
                  <w:r>
                    <w:rPr>
                      <w:rFonts w:hint="eastAsia" w:ascii="Times New Roman" w:hAnsi="Times New Roman" w:eastAsia="宋体" w:cs="Times New Roman"/>
                      <w:sz w:val="21"/>
                      <w:szCs w:val="21"/>
                      <w:lang w:val="en-GB" w:eastAsia="zh-CN"/>
                    </w:rPr>
                    <w:t>50</w:t>
                  </w:r>
                </w:p>
              </w:tc>
              <w:tc>
                <w:tcPr>
                  <w:tcW w:w="831" w:type="pct"/>
                  <w:vAlign w:val="center"/>
                </w:tcPr>
                <w:p>
                  <w:pPr>
                    <w:jc w:val="center"/>
                    <w:rPr>
                      <w:rFonts w:hint="eastAsia" w:ascii="Times New Roman" w:hAnsi="宋体" w:eastAsia="宋体" w:cs="Times New Roman"/>
                      <w:sz w:val="21"/>
                      <w:szCs w:val="21"/>
                      <w:lang w:val="en-GB" w:eastAsia="zh-CN"/>
                    </w:rPr>
                  </w:pPr>
                  <w:r>
                    <w:rPr>
                      <w:rFonts w:ascii="Times New Roman" w:hAnsi="宋体" w:eastAsia="宋体" w:cs="Times New Roman"/>
                      <w:sz w:val="21"/>
                      <w:szCs w:val="21"/>
                      <w:lang w:val="en-GB" w:eastAsia="zh-CN"/>
                    </w:rPr>
                    <w:t>达标</w:t>
                  </w:r>
                </w:p>
              </w:tc>
              <w:tc>
                <w:tcPr>
                  <w:tcW w:w="556" w:type="pct"/>
                  <w:vAlign w:val="center"/>
                </w:tcPr>
                <w:p>
                  <w:pPr>
                    <w:jc w:val="center"/>
                    <w:rPr>
                      <w:rFonts w:hint="eastAsia" w:ascii="Times New Roman" w:hAnsi="宋体" w:eastAsia="宋体" w:cs="Times New Roman"/>
                      <w:sz w:val="21"/>
                      <w:szCs w:val="21"/>
                      <w:lang w:val="en-GB" w:eastAsia="zh-CN"/>
                    </w:rPr>
                  </w:pPr>
                  <w:r>
                    <w:rPr>
                      <w:rFonts w:ascii="Times New Roman" w:hAnsi="宋体" w:eastAsia="宋体" w:cs="Times New Roman"/>
                      <w:sz w:val="21"/>
                      <w:szCs w:val="21"/>
                      <w:lang w:val="en-GB" w:eastAsia="zh-CN"/>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1389" w:type="pct"/>
                  <w:vAlign w:val="center"/>
                </w:tcPr>
                <w:p>
                  <w:pPr>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西侧厂界</w:t>
                  </w:r>
                </w:p>
              </w:tc>
              <w:tc>
                <w:tcPr>
                  <w:tcW w:w="602" w:type="pct"/>
                  <w:vAlign w:val="center"/>
                </w:tcPr>
                <w:p>
                  <w:pPr>
                    <w:jc w:val="center"/>
                    <w:rPr>
                      <w:rFonts w:ascii="Times New Roman" w:hAnsi="Times New Roman" w:eastAsia="宋体" w:cs="Times New Roman"/>
                      <w:sz w:val="21"/>
                      <w:szCs w:val="21"/>
                      <w:lang w:val="en-GB" w:eastAsia="zh-CN"/>
                    </w:rPr>
                  </w:pPr>
                  <w:r>
                    <w:rPr>
                      <w:rFonts w:hint="eastAsia" w:ascii="Times New Roman" w:hAnsi="Times New Roman" w:eastAsia="宋体" w:cs="Times New Roman"/>
                      <w:sz w:val="21"/>
                      <w:szCs w:val="21"/>
                      <w:lang w:val="en-GB" w:eastAsia="zh-CN"/>
                    </w:rPr>
                    <w:t>31.8</w:t>
                  </w:r>
                </w:p>
              </w:tc>
              <w:tc>
                <w:tcPr>
                  <w:tcW w:w="510" w:type="pct"/>
                  <w:vAlign w:val="center"/>
                </w:tcPr>
                <w:p>
                  <w:pPr>
                    <w:jc w:val="center"/>
                    <w:rPr>
                      <w:rFonts w:ascii="Times New Roman" w:hAnsi="Times New Roman" w:eastAsia="宋体" w:cs="Times New Roman"/>
                      <w:sz w:val="21"/>
                      <w:szCs w:val="21"/>
                      <w:lang w:val="en-GB" w:eastAsia="zh-CN"/>
                    </w:rPr>
                  </w:pPr>
                  <w:r>
                    <w:rPr>
                      <w:rFonts w:hint="eastAsia" w:ascii="Times New Roman" w:hAnsi="Times New Roman" w:eastAsia="宋体" w:cs="Times New Roman"/>
                      <w:sz w:val="21"/>
                      <w:szCs w:val="21"/>
                      <w:lang w:val="en-GB" w:eastAsia="zh-CN"/>
                    </w:rPr>
                    <w:t>31.8</w:t>
                  </w:r>
                </w:p>
              </w:tc>
              <w:tc>
                <w:tcPr>
                  <w:tcW w:w="619" w:type="pct"/>
                  <w:vAlign w:val="center"/>
                </w:tcPr>
                <w:p>
                  <w:pPr>
                    <w:jc w:val="center"/>
                    <w:rPr>
                      <w:rFonts w:ascii="Times New Roman" w:hAnsi="Times New Roman" w:eastAsia="宋体" w:cs="Times New Roman"/>
                      <w:sz w:val="21"/>
                      <w:szCs w:val="21"/>
                      <w:lang w:val="en-GB" w:eastAsia="zh-CN"/>
                    </w:rPr>
                  </w:pPr>
                  <w:r>
                    <w:rPr>
                      <w:rFonts w:hint="eastAsia" w:ascii="Times New Roman" w:hAnsi="Times New Roman" w:eastAsia="宋体" w:cs="Times New Roman"/>
                      <w:sz w:val="21"/>
                      <w:szCs w:val="21"/>
                      <w:lang w:val="en-GB" w:eastAsia="zh-CN"/>
                    </w:rPr>
                    <w:t>70</w:t>
                  </w:r>
                </w:p>
              </w:tc>
              <w:tc>
                <w:tcPr>
                  <w:tcW w:w="493" w:type="pct"/>
                  <w:vAlign w:val="center"/>
                </w:tcPr>
                <w:p>
                  <w:pPr>
                    <w:jc w:val="center"/>
                    <w:rPr>
                      <w:rFonts w:ascii="Times New Roman" w:hAnsi="Times New Roman" w:eastAsia="宋体" w:cs="Times New Roman"/>
                      <w:sz w:val="21"/>
                      <w:szCs w:val="21"/>
                      <w:lang w:val="en-GB" w:eastAsia="zh-CN"/>
                    </w:rPr>
                  </w:pPr>
                  <w:r>
                    <w:rPr>
                      <w:rFonts w:hint="eastAsia" w:ascii="Times New Roman" w:hAnsi="Times New Roman" w:eastAsia="宋体" w:cs="Times New Roman"/>
                      <w:sz w:val="21"/>
                      <w:szCs w:val="21"/>
                      <w:lang w:val="en-GB" w:eastAsia="zh-CN"/>
                    </w:rPr>
                    <w:t>55</w:t>
                  </w:r>
                </w:p>
              </w:tc>
              <w:tc>
                <w:tcPr>
                  <w:tcW w:w="831" w:type="pct"/>
                  <w:vAlign w:val="center"/>
                </w:tcPr>
                <w:p>
                  <w:pPr>
                    <w:jc w:val="center"/>
                    <w:rPr>
                      <w:rFonts w:ascii="Times New Roman" w:hAnsi="Times New Roman" w:eastAsia="宋体" w:cs="Times New Roman"/>
                      <w:sz w:val="21"/>
                      <w:szCs w:val="21"/>
                      <w:lang w:val="en-GB" w:eastAsia="zh-CN"/>
                    </w:rPr>
                  </w:pPr>
                  <w:r>
                    <w:rPr>
                      <w:rFonts w:ascii="Times New Roman" w:hAnsi="宋体" w:eastAsia="宋体" w:cs="Times New Roman"/>
                      <w:sz w:val="21"/>
                      <w:szCs w:val="21"/>
                      <w:lang w:val="en-GB" w:eastAsia="zh-CN"/>
                    </w:rPr>
                    <w:t>达标</w:t>
                  </w:r>
                </w:p>
              </w:tc>
              <w:tc>
                <w:tcPr>
                  <w:tcW w:w="556" w:type="pct"/>
                  <w:vAlign w:val="center"/>
                </w:tcPr>
                <w:p>
                  <w:pPr>
                    <w:jc w:val="center"/>
                    <w:rPr>
                      <w:rFonts w:ascii="Times New Roman" w:hAnsi="Times New Roman" w:eastAsia="宋体" w:cs="Times New Roman"/>
                      <w:sz w:val="21"/>
                      <w:szCs w:val="21"/>
                      <w:lang w:val="en-GB" w:eastAsia="zh-CN"/>
                    </w:rPr>
                  </w:pPr>
                  <w:r>
                    <w:rPr>
                      <w:rFonts w:ascii="Times New Roman" w:hAnsi="宋体" w:eastAsia="宋体" w:cs="Times New Roman"/>
                      <w:sz w:val="21"/>
                      <w:szCs w:val="21"/>
                      <w:lang w:val="en-GB" w:eastAsia="zh-CN"/>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1389" w:type="pct"/>
                  <w:vAlign w:val="center"/>
                </w:tcPr>
                <w:p>
                  <w:pPr>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北侧厂界</w:t>
                  </w:r>
                </w:p>
              </w:tc>
              <w:tc>
                <w:tcPr>
                  <w:tcW w:w="602" w:type="pct"/>
                  <w:vAlign w:val="center"/>
                </w:tcPr>
                <w:p>
                  <w:pPr>
                    <w:jc w:val="center"/>
                    <w:rPr>
                      <w:rFonts w:ascii="Times New Roman" w:hAnsi="Times New Roman" w:eastAsia="宋体" w:cs="Times New Roman"/>
                      <w:sz w:val="21"/>
                      <w:szCs w:val="21"/>
                      <w:lang w:val="en-GB" w:eastAsia="zh-CN"/>
                    </w:rPr>
                  </w:pPr>
                  <w:r>
                    <w:rPr>
                      <w:rFonts w:hint="eastAsia" w:ascii="Times New Roman" w:hAnsi="Times New Roman" w:eastAsia="宋体" w:cs="Times New Roman"/>
                      <w:sz w:val="21"/>
                      <w:szCs w:val="21"/>
                      <w:lang w:val="en-GB" w:eastAsia="zh-CN"/>
                    </w:rPr>
                    <w:t>49.5</w:t>
                  </w:r>
                </w:p>
              </w:tc>
              <w:tc>
                <w:tcPr>
                  <w:tcW w:w="510" w:type="pct"/>
                  <w:vAlign w:val="center"/>
                </w:tcPr>
                <w:p>
                  <w:pPr>
                    <w:jc w:val="center"/>
                    <w:rPr>
                      <w:rFonts w:ascii="Times New Roman" w:hAnsi="Times New Roman" w:eastAsia="宋体" w:cs="Times New Roman"/>
                      <w:sz w:val="21"/>
                      <w:szCs w:val="21"/>
                      <w:lang w:val="en-GB" w:eastAsia="zh-CN"/>
                    </w:rPr>
                  </w:pPr>
                  <w:r>
                    <w:rPr>
                      <w:rFonts w:hint="eastAsia" w:ascii="Times New Roman" w:hAnsi="Times New Roman" w:eastAsia="宋体" w:cs="Times New Roman"/>
                      <w:sz w:val="21"/>
                      <w:szCs w:val="21"/>
                      <w:lang w:val="en-GB" w:eastAsia="zh-CN"/>
                    </w:rPr>
                    <w:t>49.5</w:t>
                  </w:r>
                </w:p>
              </w:tc>
              <w:tc>
                <w:tcPr>
                  <w:tcW w:w="619" w:type="pct"/>
                  <w:vAlign w:val="center"/>
                </w:tcPr>
                <w:p>
                  <w:pPr>
                    <w:jc w:val="center"/>
                    <w:rPr>
                      <w:rFonts w:ascii="Times New Roman" w:hAnsi="Times New Roman" w:eastAsia="宋体" w:cs="Times New Roman"/>
                      <w:sz w:val="21"/>
                      <w:szCs w:val="21"/>
                      <w:lang w:val="en-GB" w:eastAsia="zh-CN"/>
                    </w:rPr>
                  </w:pPr>
                  <w:r>
                    <w:rPr>
                      <w:rFonts w:hint="eastAsia" w:ascii="Times New Roman" w:hAnsi="Times New Roman" w:eastAsia="宋体" w:cs="Times New Roman"/>
                      <w:sz w:val="21"/>
                      <w:szCs w:val="21"/>
                      <w:lang w:val="en-GB" w:eastAsia="zh-CN"/>
                    </w:rPr>
                    <w:t>70</w:t>
                  </w:r>
                </w:p>
              </w:tc>
              <w:tc>
                <w:tcPr>
                  <w:tcW w:w="493" w:type="pct"/>
                  <w:vAlign w:val="center"/>
                </w:tcPr>
                <w:p>
                  <w:pPr>
                    <w:jc w:val="center"/>
                    <w:rPr>
                      <w:rFonts w:ascii="Times New Roman" w:hAnsi="Times New Roman" w:eastAsia="宋体" w:cs="Times New Roman"/>
                      <w:sz w:val="21"/>
                      <w:szCs w:val="21"/>
                      <w:lang w:val="en-GB" w:eastAsia="zh-CN"/>
                    </w:rPr>
                  </w:pPr>
                  <w:r>
                    <w:rPr>
                      <w:rFonts w:hint="eastAsia" w:ascii="Times New Roman" w:hAnsi="Times New Roman" w:eastAsia="宋体" w:cs="Times New Roman"/>
                      <w:sz w:val="21"/>
                      <w:szCs w:val="21"/>
                      <w:lang w:val="en-GB" w:eastAsia="zh-CN"/>
                    </w:rPr>
                    <w:t>55</w:t>
                  </w:r>
                </w:p>
              </w:tc>
              <w:tc>
                <w:tcPr>
                  <w:tcW w:w="831" w:type="pct"/>
                  <w:vAlign w:val="center"/>
                </w:tcPr>
                <w:p>
                  <w:pPr>
                    <w:jc w:val="center"/>
                    <w:rPr>
                      <w:rFonts w:hint="eastAsia" w:ascii="Times New Roman" w:hAnsi="宋体" w:eastAsia="宋体" w:cs="Times New Roman"/>
                      <w:sz w:val="21"/>
                      <w:szCs w:val="21"/>
                      <w:lang w:val="en-GB" w:eastAsia="zh-CN"/>
                    </w:rPr>
                  </w:pPr>
                  <w:r>
                    <w:rPr>
                      <w:rFonts w:ascii="Times New Roman" w:hAnsi="宋体" w:eastAsia="宋体" w:cs="Times New Roman"/>
                      <w:sz w:val="21"/>
                      <w:szCs w:val="21"/>
                      <w:lang w:val="en-GB" w:eastAsia="zh-CN"/>
                    </w:rPr>
                    <w:t>达标</w:t>
                  </w:r>
                </w:p>
              </w:tc>
              <w:tc>
                <w:tcPr>
                  <w:tcW w:w="556" w:type="pct"/>
                  <w:vAlign w:val="center"/>
                </w:tcPr>
                <w:p>
                  <w:pPr>
                    <w:jc w:val="center"/>
                    <w:rPr>
                      <w:rFonts w:hint="eastAsia" w:ascii="Times New Roman" w:hAnsi="宋体" w:eastAsia="宋体" w:cs="Times New Roman"/>
                      <w:sz w:val="21"/>
                      <w:szCs w:val="21"/>
                      <w:lang w:val="en-GB" w:eastAsia="zh-CN"/>
                    </w:rPr>
                  </w:pPr>
                  <w:r>
                    <w:rPr>
                      <w:rFonts w:ascii="Times New Roman" w:hAnsi="宋体" w:eastAsia="宋体" w:cs="Times New Roman"/>
                      <w:sz w:val="21"/>
                      <w:szCs w:val="21"/>
                      <w:lang w:val="en-GB" w:eastAsia="zh-CN"/>
                    </w:rPr>
                    <w:t>达标</w:t>
                  </w:r>
                </w:p>
              </w:tc>
            </w:tr>
            <w:bookmarkEnd w:id="12"/>
          </w:tbl>
          <w:p>
            <w:pPr>
              <w:spacing w:before="120" w:beforeLines="50"/>
              <w:jc w:val="center"/>
              <w:rPr>
                <w:rFonts w:hint="eastAsia" w:ascii="Times New Roman" w:hAnsi="宋体" w:eastAsia="宋体" w:cs="Times New Roman"/>
                <w:b/>
                <w:kern w:val="2"/>
                <w:sz w:val="24"/>
                <w:szCs w:val="24"/>
                <w:lang w:eastAsia="zh-CN"/>
              </w:rPr>
            </w:pPr>
            <w:r>
              <w:rPr>
                <w:rFonts w:hint="eastAsia" w:ascii="Times New Roman" w:hAnsi="Times New Roman" w:eastAsia="宋体" w:cs="Times New Roman"/>
                <w:b/>
                <w:kern w:val="2"/>
                <w:sz w:val="24"/>
                <w:szCs w:val="24"/>
                <w:lang w:eastAsia="zh-CN"/>
              </w:rPr>
              <w:t xml:space="preserve">表4.2-18  </w:t>
            </w:r>
            <w:r>
              <w:rPr>
                <w:rFonts w:ascii="Times New Roman" w:hAnsi="宋体" w:eastAsia="宋体" w:cs="Times New Roman"/>
                <w:b/>
                <w:kern w:val="2"/>
                <w:sz w:val="24"/>
                <w:szCs w:val="24"/>
                <w:lang w:eastAsia="zh-CN"/>
              </w:rPr>
              <w:t>项目声环境</w:t>
            </w:r>
            <w:r>
              <w:rPr>
                <w:rFonts w:hint="eastAsia" w:ascii="Times New Roman" w:hAnsi="宋体" w:eastAsia="宋体" w:cs="Times New Roman"/>
                <w:b/>
                <w:kern w:val="2"/>
                <w:sz w:val="24"/>
                <w:szCs w:val="24"/>
                <w:lang w:eastAsia="zh-CN"/>
              </w:rPr>
              <w:t>保护目标</w:t>
            </w:r>
            <w:r>
              <w:rPr>
                <w:rFonts w:ascii="Times New Roman" w:hAnsi="宋体" w:eastAsia="宋体" w:cs="Times New Roman"/>
                <w:b/>
                <w:kern w:val="2"/>
                <w:sz w:val="24"/>
                <w:szCs w:val="24"/>
                <w:lang w:eastAsia="zh-CN"/>
              </w:rPr>
              <w:t>处噪声排放预测结果</w:t>
            </w:r>
          </w:p>
          <w:tbl>
            <w:tblPr>
              <w:tblStyle w:val="1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89"/>
              <w:gridCol w:w="755"/>
              <w:gridCol w:w="757"/>
              <w:gridCol w:w="755"/>
              <w:gridCol w:w="755"/>
              <w:gridCol w:w="755"/>
              <w:gridCol w:w="755"/>
              <w:gridCol w:w="755"/>
              <w:gridCol w:w="756"/>
              <w:gridCol w:w="756"/>
              <w:gridCol w:w="75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729" w:type="pct"/>
                  <w:vMerge w:val="restart"/>
                  <w:vAlign w:val="center"/>
                </w:tcPr>
                <w:p>
                  <w:pPr>
                    <w:jc w:val="center"/>
                    <w:rPr>
                      <w:rFonts w:ascii="Times New Roman" w:hAnsi="Times New Roman" w:eastAsia="宋体" w:cs="Times New Roman"/>
                      <w:sz w:val="21"/>
                      <w:szCs w:val="21"/>
                      <w:lang w:val="en-GB" w:eastAsia="zh-CN"/>
                    </w:rPr>
                  </w:pPr>
                  <w:r>
                    <w:rPr>
                      <w:rFonts w:ascii="Times New Roman" w:hAnsi="宋体" w:eastAsia="宋体" w:cs="Times New Roman"/>
                      <w:sz w:val="21"/>
                      <w:szCs w:val="21"/>
                      <w:lang w:val="en-GB" w:eastAsia="zh-CN"/>
                    </w:rPr>
                    <w:t>预测点</w:t>
                  </w:r>
                </w:p>
              </w:tc>
              <w:tc>
                <w:tcPr>
                  <w:tcW w:w="855" w:type="pct"/>
                  <w:gridSpan w:val="2"/>
                  <w:vAlign w:val="center"/>
                </w:tcPr>
                <w:p>
                  <w:pPr>
                    <w:jc w:val="center"/>
                    <w:rPr>
                      <w:rFonts w:ascii="Times New Roman" w:hAnsi="Times New Roman" w:eastAsia="宋体" w:cs="Times New Roman"/>
                      <w:sz w:val="21"/>
                      <w:szCs w:val="21"/>
                      <w:lang w:val="en-GB" w:eastAsia="zh-CN"/>
                    </w:rPr>
                  </w:pPr>
                  <w:r>
                    <w:rPr>
                      <w:rFonts w:ascii="Times New Roman" w:hAnsi="宋体" w:eastAsia="宋体" w:cs="Times New Roman"/>
                      <w:sz w:val="21"/>
                      <w:szCs w:val="21"/>
                      <w:lang w:val="en-GB" w:eastAsia="zh-CN"/>
                    </w:rPr>
                    <w:t>贡献值</w:t>
                  </w:r>
                </w:p>
              </w:tc>
              <w:tc>
                <w:tcPr>
                  <w:tcW w:w="854" w:type="pct"/>
                  <w:gridSpan w:val="2"/>
                  <w:vAlign w:val="center"/>
                </w:tcPr>
                <w:p>
                  <w:pPr>
                    <w:jc w:val="center"/>
                    <w:rPr>
                      <w:rFonts w:hint="eastAsia" w:ascii="Times New Roman" w:hAnsi="宋体" w:eastAsia="宋体" w:cs="Times New Roman"/>
                      <w:sz w:val="21"/>
                      <w:szCs w:val="21"/>
                      <w:lang w:val="en-GB" w:eastAsia="zh-CN"/>
                    </w:rPr>
                  </w:pPr>
                  <w:r>
                    <w:rPr>
                      <w:rFonts w:ascii="Times New Roman" w:hAnsi="宋体" w:eastAsia="宋体" w:cs="Times New Roman"/>
                      <w:sz w:val="21"/>
                      <w:szCs w:val="21"/>
                      <w:lang w:val="en-GB" w:eastAsia="zh-CN"/>
                    </w:rPr>
                    <w:t>背景值</w:t>
                  </w:r>
                </w:p>
              </w:tc>
              <w:tc>
                <w:tcPr>
                  <w:tcW w:w="854" w:type="pct"/>
                  <w:gridSpan w:val="2"/>
                  <w:vAlign w:val="center"/>
                </w:tcPr>
                <w:p>
                  <w:pPr>
                    <w:jc w:val="center"/>
                    <w:rPr>
                      <w:rFonts w:hint="eastAsia" w:ascii="Times New Roman" w:hAnsi="宋体" w:eastAsia="宋体" w:cs="Times New Roman"/>
                      <w:sz w:val="21"/>
                      <w:szCs w:val="21"/>
                      <w:lang w:val="en-GB" w:eastAsia="zh-CN"/>
                    </w:rPr>
                  </w:pPr>
                  <w:r>
                    <w:rPr>
                      <w:rFonts w:hint="eastAsia" w:ascii="Times New Roman" w:hAnsi="宋体" w:eastAsia="宋体" w:cs="Times New Roman"/>
                      <w:sz w:val="21"/>
                      <w:szCs w:val="21"/>
                      <w:lang w:val="en-GB" w:eastAsia="zh-CN"/>
                    </w:rPr>
                    <w:t>预测值</w:t>
                  </w:r>
                </w:p>
              </w:tc>
              <w:tc>
                <w:tcPr>
                  <w:tcW w:w="854" w:type="pct"/>
                  <w:gridSpan w:val="2"/>
                  <w:vAlign w:val="center"/>
                </w:tcPr>
                <w:p>
                  <w:pPr>
                    <w:jc w:val="center"/>
                    <w:rPr>
                      <w:rFonts w:ascii="Times New Roman" w:hAnsi="Times New Roman" w:eastAsia="宋体" w:cs="Times New Roman"/>
                      <w:sz w:val="21"/>
                      <w:szCs w:val="21"/>
                      <w:lang w:val="en-GB" w:eastAsia="zh-CN"/>
                    </w:rPr>
                  </w:pPr>
                  <w:r>
                    <w:rPr>
                      <w:rFonts w:hint="eastAsia" w:ascii="Times New Roman" w:hAnsi="宋体" w:eastAsia="宋体" w:cs="Times New Roman"/>
                      <w:sz w:val="21"/>
                      <w:szCs w:val="21"/>
                      <w:lang w:val="en-GB" w:eastAsia="zh-CN"/>
                    </w:rPr>
                    <w:t>标准值</w:t>
                  </w:r>
                </w:p>
              </w:tc>
              <w:tc>
                <w:tcPr>
                  <w:tcW w:w="855" w:type="pct"/>
                  <w:gridSpan w:val="2"/>
                  <w:vAlign w:val="center"/>
                </w:tcPr>
                <w:p>
                  <w:pPr>
                    <w:jc w:val="center"/>
                    <w:rPr>
                      <w:rFonts w:ascii="Times New Roman" w:hAnsi="Times New Roman" w:eastAsia="宋体" w:cs="Times New Roman"/>
                      <w:sz w:val="21"/>
                      <w:szCs w:val="21"/>
                      <w:lang w:val="en-GB" w:eastAsia="zh-CN"/>
                    </w:rPr>
                  </w:pPr>
                  <w:r>
                    <w:rPr>
                      <w:rFonts w:ascii="Times New Roman" w:hAnsi="宋体" w:eastAsia="宋体" w:cs="Times New Roman"/>
                      <w:sz w:val="21"/>
                      <w:szCs w:val="21"/>
                      <w:lang w:val="en-GB" w:eastAsia="zh-CN"/>
                    </w:rPr>
                    <w:t>达标情况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9" w:type="pct"/>
                  <w:vMerge w:val="continue"/>
                  <w:vAlign w:val="center"/>
                </w:tcPr>
                <w:p>
                  <w:pPr>
                    <w:jc w:val="center"/>
                    <w:rPr>
                      <w:rFonts w:ascii="Times New Roman" w:hAnsi="Times New Roman" w:eastAsia="宋体" w:cs="Times New Roman"/>
                      <w:sz w:val="21"/>
                      <w:szCs w:val="21"/>
                      <w:lang w:val="en-GB" w:eastAsia="zh-CN"/>
                    </w:rPr>
                  </w:pPr>
                </w:p>
              </w:tc>
              <w:tc>
                <w:tcPr>
                  <w:tcW w:w="427" w:type="pct"/>
                  <w:vAlign w:val="center"/>
                </w:tcPr>
                <w:p>
                  <w:pPr>
                    <w:jc w:val="center"/>
                    <w:rPr>
                      <w:rFonts w:ascii="Times New Roman" w:hAnsi="Times New Roman" w:eastAsia="宋体" w:cs="Times New Roman"/>
                      <w:sz w:val="21"/>
                      <w:szCs w:val="21"/>
                      <w:lang w:val="en-GB" w:eastAsia="zh-CN"/>
                    </w:rPr>
                  </w:pPr>
                  <w:r>
                    <w:rPr>
                      <w:rFonts w:ascii="Times New Roman" w:hAnsi="宋体" w:eastAsia="宋体" w:cs="Times New Roman"/>
                      <w:sz w:val="21"/>
                      <w:szCs w:val="21"/>
                      <w:lang w:val="en-GB" w:eastAsia="zh-CN"/>
                    </w:rPr>
                    <w:t>昼间</w:t>
                  </w:r>
                </w:p>
              </w:tc>
              <w:tc>
                <w:tcPr>
                  <w:tcW w:w="427" w:type="pct"/>
                  <w:vAlign w:val="center"/>
                </w:tcPr>
                <w:p>
                  <w:pPr>
                    <w:jc w:val="center"/>
                    <w:rPr>
                      <w:rFonts w:ascii="Times New Roman" w:hAnsi="Times New Roman" w:eastAsia="宋体" w:cs="Times New Roman"/>
                      <w:sz w:val="21"/>
                      <w:szCs w:val="21"/>
                      <w:lang w:val="en-GB" w:eastAsia="zh-CN"/>
                    </w:rPr>
                  </w:pPr>
                  <w:r>
                    <w:rPr>
                      <w:rFonts w:hint="eastAsia" w:ascii="Times New Roman" w:hAnsi="Times New Roman" w:eastAsia="宋体" w:cs="Times New Roman"/>
                      <w:sz w:val="21"/>
                      <w:szCs w:val="21"/>
                      <w:lang w:val="en-GB" w:eastAsia="zh-CN"/>
                    </w:rPr>
                    <w:t>夜间</w:t>
                  </w:r>
                </w:p>
              </w:tc>
              <w:tc>
                <w:tcPr>
                  <w:tcW w:w="427" w:type="pct"/>
                  <w:vAlign w:val="center"/>
                </w:tcPr>
                <w:p>
                  <w:pPr>
                    <w:jc w:val="center"/>
                    <w:rPr>
                      <w:rFonts w:hint="eastAsia" w:ascii="Times New Roman" w:hAnsi="宋体" w:eastAsia="宋体" w:cs="Times New Roman"/>
                      <w:sz w:val="21"/>
                      <w:szCs w:val="21"/>
                      <w:lang w:val="en-GB" w:eastAsia="zh-CN"/>
                    </w:rPr>
                  </w:pPr>
                  <w:r>
                    <w:rPr>
                      <w:rFonts w:ascii="Times New Roman" w:hAnsi="宋体" w:eastAsia="宋体" w:cs="Times New Roman"/>
                      <w:sz w:val="21"/>
                      <w:szCs w:val="21"/>
                      <w:lang w:val="en-GB" w:eastAsia="zh-CN"/>
                    </w:rPr>
                    <w:t>昼间</w:t>
                  </w:r>
                </w:p>
              </w:tc>
              <w:tc>
                <w:tcPr>
                  <w:tcW w:w="427" w:type="pct"/>
                  <w:vAlign w:val="center"/>
                </w:tcPr>
                <w:p>
                  <w:pPr>
                    <w:jc w:val="center"/>
                    <w:rPr>
                      <w:rFonts w:hint="eastAsia" w:ascii="Times New Roman" w:hAnsi="宋体" w:eastAsia="宋体" w:cs="Times New Roman"/>
                      <w:sz w:val="21"/>
                      <w:szCs w:val="21"/>
                      <w:lang w:val="en-GB" w:eastAsia="zh-CN"/>
                    </w:rPr>
                  </w:pPr>
                  <w:r>
                    <w:rPr>
                      <w:rFonts w:hint="eastAsia" w:ascii="Times New Roman" w:hAnsi="宋体" w:eastAsia="宋体" w:cs="Times New Roman"/>
                      <w:sz w:val="21"/>
                      <w:szCs w:val="21"/>
                      <w:lang w:val="en-GB" w:eastAsia="zh-CN"/>
                    </w:rPr>
                    <w:t>夜间</w:t>
                  </w:r>
                </w:p>
              </w:tc>
              <w:tc>
                <w:tcPr>
                  <w:tcW w:w="427" w:type="pct"/>
                  <w:vAlign w:val="center"/>
                </w:tcPr>
                <w:p>
                  <w:pPr>
                    <w:jc w:val="center"/>
                    <w:rPr>
                      <w:rFonts w:hint="eastAsia" w:ascii="Times New Roman" w:hAnsi="宋体" w:eastAsia="宋体" w:cs="Times New Roman"/>
                      <w:sz w:val="21"/>
                      <w:szCs w:val="21"/>
                      <w:lang w:val="en-GB" w:eastAsia="zh-CN"/>
                    </w:rPr>
                  </w:pPr>
                  <w:r>
                    <w:rPr>
                      <w:rFonts w:ascii="Times New Roman" w:hAnsi="宋体" w:eastAsia="宋体" w:cs="Times New Roman"/>
                      <w:sz w:val="21"/>
                      <w:szCs w:val="21"/>
                      <w:lang w:val="en-GB" w:eastAsia="zh-CN"/>
                    </w:rPr>
                    <w:t>昼间</w:t>
                  </w:r>
                </w:p>
              </w:tc>
              <w:tc>
                <w:tcPr>
                  <w:tcW w:w="427" w:type="pct"/>
                  <w:vAlign w:val="center"/>
                </w:tcPr>
                <w:p>
                  <w:pPr>
                    <w:jc w:val="center"/>
                    <w:rPr>
                      <w:rFonts w:hint="eastAsia" w:ascii="Times New Roman" w:hAnsi="宋体" w:eastAsia="宋体" w:cs="Times New Roman"/>
                      <w:sz w:val="21"/>
                      <w:szCs w:val="21"/>
                      <w:lang w:val="en-GB" w:eastAsia="zh-CN"/>
                    </w:rPr>
                  </w:pPr>
                  <w:r>
                    <w:rPr>
                      <w:rFonts w:hint="eastAsia" w:ascii="Times New Roman" w:hAnsi="宋体" w:eastAsia="宋体" w:cs="Times New Roman"/>
                      <w:sz w:val="21"/>
                      <w:szCs w:val="21"/>
                      <w:lang w:val="en-GB" w:eastAsia="zh-CN"/>
                    </w:rPr>
                    <w:t>夜间</w:t>
                  </w:r>
                </w:p>
              </w:tc>
              <w:tc>
                <w:tcPr>
                  <w:tcW w:w="427" w:type="pct"/>
                  <w:vAlign w:val="center"/>
                </w:tcPr>
                <w:p>
                  <w:pPr>
                    <w:jc w:val="center"/>
                    <w:rPr>
                      <w:rFonts w:ascii="Times New Roman" w:hAnsi="Times New Roman" w:eastAsia="宋体" w:cs="Times New Roman"/>
                      <w:sz w:val="21"/>
                      <w:szCs w:val="21"/>
                      <w:lang w:val="en-GB" w:eastAsia="zh-CN"/>
                    </w:rPr>
                  </w:pPr>
                  <w:r>
                    <w:rPr>
                      <w:rFonts w:ascii="Times New Roman" w:hAnsi="宋体" w:eastAsia="宋体" w:cs="Times New Roman"/>
                      <w:sz w:val="21"/>
                      <w:szCs w:val="21"/>
                      <w:lang w:val="en-GB" w:eastAsia="zh-CN"/>
                    </w:rPr>
                    <w:t>昼间</w:t>
                  </w:r>
                </w:p>
              </w:tc>
              <w:tc>
                <w:tcPr>
                  <w:tcW w:w="427" w:type="pct"/>
                  <w:vAlign w:val="center"/>
                </w:tcPr>
                <w:p>
                  <w:pPr>
                    <w:jc w:val="center"/>
                    <w:rPr>
                      <w:rFonts w:ascii="Times New Roman" w:hAnsi="Times New Roman" w:eastAsia="宋体" w:cs="Times New Roman"/>
                      <w:sz w:val="21"/>
                      <w:szCs w:val="21"/>
                      <w:lang w:val="en-GB" w:eastAsia="zh-CN"/>
                    </w:rPr>
                  </w:pPr>
                  <w:r>
                    <w:rPr>
                      <w:rFonts w:hint="eastAsia" w:ascii="Times New Roman" w:hAnsi="Times New Roman" w:eastAsia="宋体" w:cs="Times New Roman"/>
                      <w:sz w:val="21"/>
                      <w:szCs w:val="21"/>
                      <w:lang w:val="en-GB" w:eastAsia="zh-CN"/>
                    </w:rPr>
                    <w:t>夜间</w:t>
                  </w:r>
                </w:p>
              </w:tc>
              <w:tc>
                <w:tcPr>
                  <w:tcW w:w="427" w:type="pct"/>
                  <w:vAlign w:val="center"/>
                </w:tcPr>
                <w:p>
                  <w:pPr>
                    <w:jc w:val="center"/>
                    <w:rPr>
                      <w:rFonts w:ascii="Times New Roman" w:hAnsi="Times New Roman" w:eastAsia="宋体" w:cs="Times New Roman"/>
                      <w:sz w:val="21"/>
                      <w:szCs w:val="21"/>
                      <w:lang w:val="en-GB" w:eastAsia="zh-CN"/>
                    </w:rPr>
                  </w:pPr>
                  <w:r>
                    <w:rPr>
                      <w:rFonts w:ascii="Times New Roman" w:hAnsi="宋体" w:eastAsia="宋体" w:cs="Times New Roman"/>
                      <w:sz w:val="21"/>
                      <w:szCs w:val="21"/>
                      <w:lang w:val="en-GB" w:eastAsia="zh-CN"/>
                    </w:rPr>
                    <w:t>昼间</w:t>
                  </w:r>
                </w:p>
              </w:tc>
              <w:tc>
                <w:tcPr>
                  <w:tcW w:w="428" w:type="pct"/>
                  <w:vAlign w:val="center"/>
                </w:tcPr>
                <w:p>
                  <w:pPr>
                    <w:jc w:val="center"/>
                    <w:rPr>
                      <w:rFonts w:ascii="Times New Roman" w:hAnsi="Times New Roman" w:eastAsia="宋体" w:cs="Times New Roman"/>
                      <w:sz w:val="21"/>
                      <w:szCs w:val="21"/>
                      <w:lang w:val="en-GB" w:eastAsia="zh-CN"/>
                    </w:rPr>
                  </w:pPr>
                  <w:r>
                    <w:rPr>
                      <w:rFonts w:hint="eastAsia" w:ascii="Times New Roman" w:hAnsi="Times New Roman" w:eastAsia="宋体" w:cs="Times New Roman"/>
                      <w:sz w:val="21"/>
                      <w:szCs w:val="21"/>
                      <w:lang w:val="en-GB" w:eastAsia="zh-CN"/>
                    </w:rPr>
                    <w:t>夜间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729" w:type="pct"/>
                  <w:vAlign w:val="center"/>
                </w:tcPr>
                <w:p>
                  <w:pPr>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北侧刘东村</w:t>
                  </w:r>
                </w:p>
              </w:tc>
              <w:tc>
                <w:tcPr>
                  <w:tcW w:w="427" w:type="pct"/>
                  <w:vAlign w:val="center"/>
                </w:tcPr>
                <w:p>
                  <w:pPr>
                    <w:jc w:val="center"/>
                    <w:rPr>
                      <w:rFonts w:ascii="Times New Roman" w:hAnsi="Times New Roman" w:eastAsia="宋体" w:cs="Times New Roman"/>
                      <w:sz w:val="21"/>
                      <w:szCs w:val="21"/>
                      <w:lang w:val="en-GB" w:eastAsia="zh-CN"/>
                    </w:rPr>
                  </w:pPr>
                  <w:r>
                    <w:rPr>
                      <w:rFonts w:hint="eastAsia" w:ascii="Times New Roman" w:hAnsi="Times New Roman" w:eastAsia="宋体" w:cs="Times New Roman"/>
                      <w:sz w:val="21"/>
                      <w:szCs w:val="21"/>
                      <w:lang w:val="en-GB" w:eastAsia="zh-CN"/>
                    </w:rPr>
                    <w:t>31.5</w:t>
                  </w:r>
                </w:p>
              </w:tc>
              <w:tc>
                <w:tcPr>
                  <w:tcW w:w="427" w:type="pct"/>
                  <w:vAlign w:val="center"/>
                </w:tcPr>
                <w:p>
                  <w:pPr>
                    <w:jc w:val="center"/>
                    <w:rPr>
                      <w:rFonts w:ascii="Times New Roman" w:hAnsi="Times New Roman" w:eastAsia="宋体" w:cs="Times New Roman"/>
                      <w:sz w:val="21"/>
                      <w:szCs w:val="21"/>
                      <w:lang w:val="en-GB" w:eastAsia="zh-CN"/>
                    </w:rPr>
                  </w:pPr>
                  <w:r>
                    <w:rPr>
                      <w:rFonts w:hint="eastAsia" w:ascii="Times New Roman" w:hAnsi="Times New Roman" w:eastAsia="宋体" w:cs="Times New Roman"/>
                      <w:sz w:val="21"/>
                      <w:szCs w:val="21"/>
                      <w:lang w:val="en-GB" w:eastAsia="zh-CN"/>
                    </w:rPr>
                    <w:t>31.5</w:t>
                  </w:r>
                </w:p>
              </w:tc>
              <w:tc>
                <w:tcPr>
                  <w:tcW w:w="427" w:type="pct"/>
                  <w:vAlign w:val="center"/>
                </w:tcPr>
                <w:p>
                  <w:pPr>
                    <w:jc w:val="center"/>
                    <w:rPr>
                      <w:rFonts w:ascii="Times New Roman" w:hAnsi="Times New Roman" w:eastAsia="宋体" w:cs="Times New Roman"/>
                      <w:sz w:val="21"/>
                      <w:szCs w:val="21"/>
                      <w:lang w:val="en-GB" w:eastAsia="zh-CN"/>
                    </w:rPr>
                  </w:pPr>
                  <w:r>
                    <w:rPr>
                      <w:rFonts w:hint="eastAsia" w:ascii="Times New Roman" w:hAnsi="Times New Roman" w:eastAsia="宋体" w:cs="Times New Roman"/>
                      <w:sz w:val="21"/>
                      <w:szCs w:val="21"/>
                      <w:lang w:val="en-GB" w:eastAsia="zh-CN"/>
                    </w:rPr>
                    <w:t>65</w:t>
                  </w:r>
                </w:p>
              </w:tc>
              <w:tc>
                <w:tcPr>
                  <w:tcW w:w="427" w:type="pct"/>
                  <w:vAlign w:val="center"/>
                </w:tcPr>
                <w:p>
                  <w:pPr>
                    <w:jc w:val="center"/>
                    <w:rPr>
                      <w:rFonts w:ascii="Times New Roman" w:hAnsi="Times New Roman" w:eastAsia="宋体" w:cs="Times New Roman"/>
                      <w:sz w:val="21"/>
                      <w:szCs w:val="21"/>
                      <w:lang w:val="en-GB" w:eastAsia="zh-CN"/>
                    </w:rPr>
                  </w:pPr>
                  <w:r>
                    <w:rPr>
                      <w:rFonts w:hint="eastAsia" w:ascii="Times New Roman" w:hAnsi="Times New Roman" w:eastAsia="宋体" w:cs="Times New Roman"/>
                      <w:sz w:val="21"/>
                      <w:szCs w:val="21"/>
                      <w:lang w:val="en-GB" w:eastAsia="zh-CN"/>
                    </w:rPr>
                    <w:t>52</w:t>
                  </w:r>
                </w:p>
              </w:tc>
              <w:tc>
                <w:tcPr>
                  <w:tcW w:w="427" w:type="pct"/>
                  <w:vAlign w:val="center"/>
                </w:tcPr>
                <w:p>
                  <w:pPr>
                    <w:jc w:val="center"/>
                    <w:rPr>
                      <w:rFonts w:ascii="Times New Roman" w:hAnsi="Times New Roman" w:eastAsia="宋体" w:cs="Times New Roman"/>
                      <w:sz w:val="21"/>
                      <w:szCs w:val="21"/>
                      <w:lang w:val="en-GB" w:eastAsia="zh-CN"/>
                    </w:rPr>
                  </w:pPr>
                  <w:r>
                    <w:rPr>
                      <w:rFonts w:hint="eastAsia" w:ascii="Times New Roman" w:hAnsi="Times New Roman" w:eastAsia="宋体" w:cs="Times New Roman"/>
                      <w:sz w:val="21"/>
                      <w:szCs w:val="21"/>
                      <w:lang w:val="en-GB" w:eastAsia="zh-CN"/>
                    </w:rPr>
                    <w:t>65</w:t>
                  </w:r>
                </w:p>
              </w:tc>
              <w:tc>
                <w:tcPr>
                  <w:tcW w:w="427" w:type="pct"/>
                  <w:vAlign w:val="center"/>
                </w:tcPr>
                <w:p>
                  <w:pPr>
                    <w:jc w:val="center"/>
                    <w:rPr>
                      <w:rFonts w:ascii="Times New Roman" w:hAnsi="Times New Roman" w:eastAsia="宋体" w:cs="Times New Roman"/>
                      <w:sz w:val="21"/>
                      <w:szCs w:val="21"/>
                      <w:lang w:val="en-GB" w:eastAsia="zh-CN"/>
                    </w:rPr>
                  </w:pPr>
                  <w:r>
                    <w:rPr>
                      <w:rFonts w:hint="eastAsia" w:ascii="Times New Roman" w:hAnsi="Times New Roman" w:eastAsia="宋体" w:cs="Times New Roman"/>
                      <w:sz w:val="21"/>
                      <w:szCs w:val="21"/>
                      <w:lang w:val="en-GB" w:eastAsia="zh-CN"/>
                    </w:rPr>
                    <w:t>52</w:t>
                  </w:r>
                </w:p>
              </w:tc>
              <w:tc>
                <w:tcPr>
                  <w:tcW w:w="427" w:type="pct"/>
                  <w:vAlign w:val="center"/>
                </w:tcPr>
                <w:p>
                  <w:pPr>
                    <w:jc w:val="center"/>
                    <w:rPr>
                      <w:rFonts w:ascii="Times New Roman" w:hAnsi="Times New Roman" w:eastAsia="宋体" w:cs="Times New Roman"/>
                      <w:sz w:val="21"/>
                      <w:szCs w:val="21"/>
                      <w:lang w:val="en-GB" w:eastAsia="zh-CN"/>
                    </w:rPr>
                  </w:pPr>
                  <w:r>
                    <w:rPr>
                      <w:rFonts w:hint="eastAsia" w:ascii="Times New Roman" w:hAnsi="Times New Roman" w:eastAsia="宋体" w:cs="Times New Roman"/>
                      <w:sz w:val="21"/>
                      <w:szCs w:val="21"/>
                      <w:lang w:val="en-GB" w:eastAsia="zh-CN"/>
                    </w:rPr>
                    <w:t>70</w:t>
                  </w:r>
                </w:p>
              </w:tc>
              <w:tc>
                <w:tcPr>
                  <w:tcW w:w="427" w:type="pct"/>
                  <w:vAlign w:val="center"/>
                </w:tcPr>
                <w:p>
                  <w:pPr>
                    <w:jc w:val="center"/>
                    <w:rPr>
                      <w:rFonts w:ascii="Times New Roman" w:hAnsi="Times New Roman" w:eastAsia="宋体" w:cs="Times New Roman"/>
                      <w:sz w:val="21"/>
                      <w:szCs w:val="21"/>
                      <w:lang w:val="en-GB" w:eastAsia="zh-CN"/>
                    </w:rPr>
                  </w:pPr>
                  <w:r>
                    <w:rPr>
                      <w:rFonts w:hint="eastAsia" w:ascii="Times New Roman" w:hAnsi="Times New Roman" w:eastAsia="宋体" w:cs="Times New Roman"/>
                      <w:sz w:val="21"/>
                      <w:szCs w:val="21"/>
                      <w:lang w:val="en-GB" w:eastAsia="zh-CN"/>
                    </w:rPr>
                    <w:t>55</w:t>
                  </w:r>
                </w:p>
              </w:tc>
              <w:tc>
                <w:tcPr>
                  <w:tcW w:w="427" w:type="pct"/>
                  <w:vAlign w:val="center"/>
                </w:tcPr>
                <w:p>
                  <w:pPr>
                    <w:jc w:val="center"/>
                    <w:rPr>
                      <w:rFonts w:ascii="Times New Roman" w:hAnsi="Times New Roman" w:eastAsia="宋体" w:cs="Times New Roman"/>
                      <w:sz w:val="21"/>
                      <w:szCs w:val="21"/>
                      <w:lang w:val="en-GB" w:eastAsia="zh-CN"/>
                    </w:rPr>
                  </w:pPr>
                  <w:r>
                    <w:rPr>
                      <w:rFonts w:ascii="Times New Roman" w:hAnsi="宋体" w:eastAsia="宋体" w:cs="Times New Roman"/>
                      <w:sz w:val="21"/>
                      <w:szCs w:val="21"/>
                      <w:lang w:val="en-GB" w:eastAsia="zh-CN"/>
                    </w:rPr>
                    <w:t>达标</w:t>
                  </w:r>
                </w:p>
              </w:tc>
              <w:tc>
                <w:tcPr>
                  <w:tcW w:w="428" w:type="pct"/>
                  <w:vAlign w:val="center"/>
                </w:tcPr>
                <w:p>
                  <w:pPr>
                    <w:jc w:val="center"/>
                    <w:rPr>
                      <w:rFonts w:ascii="Times New Roman" w:hAnsi="Times New Roman" w:eastAsia="宋体" w:cs="Times New Roman"/>
                      <w:sz w:val="21"/>
                      <w:szCs w:val="21"/>
                      <w:lang w:val="en-GB" w:eastAsia="zh-CN"/>
                    </w:rPr>
                  </w:pPr>
                  <w:r>
                    <w:rPr>
                      <w:rFonts w:ascii="Times New Roman" w:hAnsi="宋体" w:eastAsia="宋体" w:cs="Times New Roman"/>
                      <w:sz w:val="21"/>
                      <w:szCs w:val="21"/>
                      <w:lang w:val="en-GB" w:eastAsia="zh-CN"/>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729" w:type="pct"/>
                  <w:vAlign w:val="center"/>
                </w:tcPr>
                <w:p>
                  <w:pPr>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东侧刘东村</w:t>
                  </w:r>
                </w:p>
              </w:tc>
              <w:tc>
                <w:tcPr>
                  <w:tcW w:w="427" w:type="pct"/>
                  <w:vAlign w:val="center"/>
                </w:tcPr>
                <w:p>
                  <w:pPr>
                    <w:jc w:val="center"/>
                    <w:rPr>
                      <w:rFonts w:ascii="Times New Roman" w:hAnsi="Times New Roman" w:eastAsia="宋体" w:cs="Times New Roman"/>
                      <w:sz w:val="21"/>
                      <w:szCs w:val="21"/>
                      <w:lang w:val="en-GB" w:eastAsia="zh-CN"/>
                    </w:rPr>
                  </w:pPr>
                  <w:r>
                    <w:rPr>
                      <w:rFonts w:hint="eastAsia" w:ascii="Times New Roman" w:hAnsi="Times New Roman" w:eastAsia="宋体" w:cs="Times New Roman"/>
                      <w:sz w:val="21"/>
                      <w:szCs w:val="21"/>
                      <w:lang w:val="en-GB" w:eastAsia="zh-CN"/>
                    </w:rPr>
                    <w:t>48.6</w:t>
                  </w:r>
                </w:p>
              </w:tc>
              <w:tc>
                <w:tcPr>
                  <w:tcW w:w="427" w:type="pct"/>
                  <w:vAlign w:val="center"/>
                </w:tcPr>
                <w:p>
                  <w:pPr>
                    <w:jc w:val="center"/>
                    <w:rPr>
                      <w:rFonts w:ascii="Times New Roman" w:hAnsi="Times New Roman" w:eastAsia="宋体" w:cs="Times New Roman"/>
                      <w:sz w:val="21"/>
                      <w:szCs w:val="21"/>
                      <w:lang w:val="en-GB" w:eastAsia="zh-CN"/>
                    </w:rPr>
                  </w:pPr>
                  <w:r>
                    <w:rPr>
                      <w:rFonts w:hint="eastAsia" w:ascii="Times New Roman" w:hAnsi="Times New Roman" w:eastAsia="宋体" w:cs="Times New Roman"/>
                      <w:sz w:val="21"/>
                      <w:szCs w:val="21"/>
                      <w:lang w:val="en-GB" w:eastAsia="zh-CN"/>
                    </w:rPr>
                    <w:t>48.6</w:t>
                  </w:r>
                </w:p>
              </w:tc>
              <w:tc>
                <w:tcPr>
                  <w:tcW w:w="427" w:type="pct"/>
                  <w:vAlign w:val="center"/>
                </w:tcPr>
                <w:p>
                  <w:pPr>
                    <w:jc w:val="center"/>
                    <w:rPr>
                      <w:rFonts w:ascii="Times New Roman" w:hAnsi="Times New Roman" w:eastAsia="宋体" w:cs="Times New Roman"/>
                      <w:sz w:val="21"/>
                      <w:szCs w:val="21"/>
                      <w:lang w:val="en-GB" w:eastAsia="zh-CN"/>
                    </w:rPr>
                  </w:pPr>
                  <w:r>
                    <w:rPr>
                      <w:rFonts w:hint="eastAsia" w:ascii="Times New Roman" w:hAnsi="Times New Roman" w:eastAsia="宋体" w:cs="Times New Roman"/>
                      <w:sz w:val="21"/>
                      <w:szCs w:val="21"/>
                      <w:lang w:val="en-GB" w:eastAsia="zh-CN"/>
                    </w:rPr>
                    <w:t>64</w:t>
                  </w:r>
                </w:p>
              </w:tc>
              <w:tc>
                <w:tcPr>
                  <w:tcW w:w="427" w:type="pct"/>
                  <w:vAlign w:val="center"/>
                </w:tcPr>
                <w:p>
                  <w:pPr>
                    <w:jc w:val="center"/>
                    <w:rPr>
                      <w:rFonts w:ascii="Times New Roman" w:hAnsi="Times New Roman" w:eastAsia="宋体" w:cs="Times New Roman"/>
                      <w:sz w:val="21"/>
                      <w:szCs w:val="21"/>
                      <w:lang w:val="en-GB" w:eastAsia="zh-CN"/>
                    </w:rPr>
                  </w:pPr>
                  <w:r>
                    <w:rPr>
                      <w:rFonts w:hint="eastAsia" w:ascii="Times New Roman" w:hAnsi="Times New Roman" w:eastAsia="宋体" w:cs="Times New Roman"/>
                      <w:sz w:val="21"/>
                      <w:szCs w:val="21"/>
                      <w:lang w:val="en-GB" w:eastAsia="zh-CN"/>
                    </w:rPr>
                    <w:t>50</w:t>
                  </w:r>
                </w:p>
              </w:tc>
              <w:tc>
                <w:tcPr>
                  <w:tcW w:w="427" w:type="pct"/>
                  <w:vAlign w:val="center"/>
                </w:tcPr>
                <w:p>
                  <w:pPr>
                    <w:jc w:val="center"/>
                    <w:rPr>
                      <w:rFonts w:ascii="Times New Roman" w:hAnsi="Times New Roman" w:eastAsia="宋体" w:cs="Times New Roman"/>
                      <w:sz w:val="21"/>
                      <w:szCs w:val="21"/>
                      <w:lang w:val="en-GB" w:eastAsia="zh-CN"/>
                    </w:rPr>
                  </w:pPr>
                  <w:r>
                    <w:rPr>
                      <w:rFonts w:hint="eastAsia" w:ascii="Times New Roman" w:hAnsi="Times New Roman" w:eastAsia="宋体" w:cs="Times New Roman"/>
                      <w:sz w:val="21"/>
                      <w:szCs w:val="21"/>
                      <w:lang w:val="en-GB" w:eastAsia="zh-CN"/>
                    </w:rPr>
                    <w:t>64.1</w:t>
                  </w:r>
                </w:p>
              </w:tc>
              <w:tc>
                <w:tcPr>
                  <w:tcW w:w="427" w:type="pct"/>
                  <w:vAlign w:val="center"/>
                </w:tcPr>
                <w:p>
                  <w:pPr>
                    <w:jc w:val="center"/>
                    <w:rPr>
                      <w:rFonts w:ascii="Times New Roman" w:hAnsi="Times New Roman" w:eastAsia="宋体" w:cs="Times New Roman"/>
                      <w:sz w:val="21"/>
                      <w:szCs w:val="21"/>
                      <w:lang w:val="en-GB" w:eastAsia="zh-CN"/>
                    </w:rPr>
                  </w:pPr>
                  <w:r>
                    <w:rPr>
                      <w:rFonts w:hint="eastAsia" w:ascii="Times New Roman" w:hAnsi="Times New Roman" w:eastAsia="宋体" w:cs="Times New Roman"/>
                      <w:sz w:val="21"/>
                      <w:szCs w:val="21"/>
                      <w:lang w:val="en-GB" w:eastAsia="zh-CN"/>
                    </w:rPr>
                    <w:t>53.6</w:t>
                  </w:r>
                </w:p>
              </w:tc>
              <w:tc>
                <w:tcPr>
                  <w:tcW w:w="427" w:type="pct"/>
                  <w:vAlign w:val="center"/>
                </w:tcPr>
                <w:p>
                  <w:pPr>
                    <w:jc w:val="center"/>
                    <w:rPr>
                      <w:rFonts w:ascii="Times New Roman" w:hAnsi="Times New Roman" w:eastAsia="宋体" w:cs="Times New Roman"/>
                      <w:sz w:val="21"/>
                      <w:szCs w:val="21"/>
                      <w:lang w:val="en-GB" w:eastAsia="zh-CN"/>
                    </w:rPr>
                  </w:pPr>
                  <w:r>
                    <w:rPr>
                      <w:rFonts w:hint="eastAsia" w:ascii="Times New Roman" w:hAnsi="Times New Roman" w:eastAsia="宋体" w:cs="Times New Roman"/>
                      <w:sz w:val="21"/>
                      <w:szCs w:val="21"/>
                      <w:lang w:val="en-GB" w:eastAsia="zh-CN"/>
                    </w:rPr>
                    <w:t>70</w:t>
                  </w:r>
                </w:p>
              </w:tc>
              <w:tc>
                <w:tcPr>
                  <w:tcW w:w="427" w:type="pct"/>
                  <w:vAlign w:val="center"/>
                </w:tcPr>
                <w:p>
                  <w:pPr>
                    <w:jc w:val="center"/>
                    <w:rPr>
                      <w:rFonts w:ascii="Times New Roman" w:hAnsi="Times New Roman" w:eastAsia="宋体" w:cs="Times New Roman"/>
                      <w:sz w:val="21"/>
                      <w:szCs w:val="21"/>
                      <w:lang w:val="en-GB" w:eastAsia="zh-CN"/>
                    </w:rPr>
                  </w:pPr>
                  <w:r>
                    <w:rPr>
                      <w:rFonts w:hint="eastAsia" w:ascii="Times New Roman" w:hAnsi="Times New Roman" w:eastAsia="宋体" w:cs="Times New Roman"/>
                      <w:sz w:val="21"/>
                      <w:szCs w:val="21"/>
                      <w:lang w:val="en-GB" w:eastAsia="zh-CN"/>
                    </w:rPr>
                    <w:t>55</w:t>
                  </w:r>
                </w:p>
              </w:tc>
              <w:tc>
                <w:tcPr>
                  <w:tcW w:w="427" w:type="pct"/>
                  <w:vAlign w:val="center"/>
                </w:tcPr>
                <w:p>
                  <w:pPr>
                    <w:jc w:val="center"/>
                    <w:rPr>
                      <w:rFonts w:hint="eastAsia" w:ascii="Times New Roman" w:hAnsi="宋体" w:eastAsia="宋体" w:cs="Times New Roman"/>
                      <w:sz w:val="21"/>
                      <w:szCs w:val="21"/>
                      <w:lang w:val="en-GB" w:eastAsia="zh-CN"/>
                    </w:rPr>
                  </w:pPr>
                  <w:r>
                    <w:rPr>
                      <w:rFonts w:ascii="Times New Roman" w:hAnsi="宋体" w:eastAsia="宋体" w:cs="Times New Roman"/>
                      <w:sz w:val="21"/>
                      <w:szCs w:val="21"/>
                      <w:lang w:val="en-GB" w:eastAsia="zh-CN"/>
                    </w:rPr>
                    <w:t>达标</w:t>
                  </w:r>
                </w:p>
              </w:tc>
              <w:tc>
                <w:tcPr>
                  <w:tcW w:w="428" w:type="pct"/>
                  <w:vAlign w:val="center"/>
                </w:tcPr>
                <w:p>
                  <w:pPr>
                    <w:jc w:val="center"/>
                    <w:rPr>
                      <w:rFonts w:hint="eastAsia" w:ascii="Times New Roman" w:hAnsi="宋体" w:eastAsia="宋体" w:cs="Times New Roman"/>
                      <w:sz w:val="21"/>
                      <w:szCs w:val="21"/>
                      <w:lang w:val="en-GB" w:eastAsia="zh-CN"/>
                    </w:rPr>
                  </w:pPr>
                  <w:r>
                    <w:rPr>
                      <w:rFonts w:ascii="Times New Roman" w:hAnsi="宋体" w:eastAsia="宋体" w:cs="Times New Roman"/>
                      <w:sz w:val="21"/>
                      <w:szCs w:val="21"/>
                      <w:lang w:val="en-GB" w:eastAsia="zh-CN"/>
                    </w:rPr>
                    <w:t>达标</w:t>
                  </w:r>
                </w:p>
              </w:tc>
            </w:tr>
          </w:tbl>
          <w:p>
            <w:pPr>
              <w:spacing w:line="460" w:lineRule="exact"/>
              <w:ind w:firstLine="480" w:firstLineChars="200"/>
              <w:jc w:val="both"/>
              <w:rPr>
                <w:rFonts w:ascii="Times New Roman" w:hAnsi="Times New Roman" w:eastAsia="宋体" w:cs="Times New Roman"/>
                <w:sz w:val="24"/>
                <w:szCs w:val="24"/>
                <w:lang w:eastAsia="zh-CN"/>
              </w:rPr>
            </w:pPr>
            <w:r>
              <w:rPr>
                <w:rFonts w:ascii="Times New Roman" w:hAnsi="Times New Roman" w:eastAsia="宋体" w:cs="Times New Roman"/>
                <w:kern w:val="2"/>
                <w:sz w:val="24"/>
                <w:szCs w:val="24"/>
                <w:lang w:eastAsia="zh-CN"/>
              </w:rPr>
              <w:t>根据</w:t>
            </w:r>
            <w:r>
              <w:rPr>
                <w:rFonts w:hint="eastAsia" w:ascii="Times New Roman" w:hAnsi="宋体" w:eastAsia="宋体" w:cs="Times New Roman"/>
                <w:kern w:val="2"/>
                <w:sz w:val="24"/>
                <w:szCs w:val="24"/>
                <w:lang w:eastAsia="zh-CN"/>
              </w:rPr>
              <w:t>上表</w:t>
            </w:r>
            <w:r>
              <w:rPr>
                <w:rFonts w:hint="eastAsia" w:ascii="Times New Roman" w:hAnsi="Times New Roman" w:eastAsia="宋体" w:cs="Times New Roman"/>
                <w:kern w:val="2"/>
                <w:sz w:val="24"/>
                <w:szCs w:val="24"/>
                <w:lang w:eastAsia="zh-CN"/>
              </w:rPr>
              <w:t>预测</w:t>
            </w:r>
            <w:r>
              <w:rPr>
                <w:rFonts w:ascii="Times New Roman" w:hAnsi="Times New Roman" w:eastAsia="宋体" w:cs="Times New Roman"/>
                <w:kern w:val="2"/>
                <w:sz w:val="24"/>
                <w:szCs w:val="24"/>
                <w:lang w:eastAsia="zh-CN"/>
              </w:rPr>
              <w:t>结果可知，</w:t>
            </w:r>
            <w:r>
              <w:rPr>
                <w:rFonts w:hint="eastAsia" w:ascii="Times New Roman" w:hAnsi="Times New Roman" w:eastAsia="宋体" w:cs="Times New Roman"/>
                <w:kern w:val="2"/>
                <w:sz w:val="24"/>
                <w:szCs w:val="24"/>
                <w:lang w:eastAsia="zh-CN"/>
              </w:rPr>
              <w:t>项目对</w:t>
            </w:r>
            <w:r>
              <w:rPr>
                <w:rFonts w:ascii="Times New Roman" w:hAnsi="Times New Roman" w:eastAsia="宋体" w:cs="Times New Roman"/>
                <w:kern w:val="2"/>
                <w:sz w:val="24"/>
                <w:szCs w:val="24"/>
                <w:lang w:eastAsia="zh-CN"/>
              </w:rPr>
              <w:t>厂界噪声的贡献值均</w:t>
            </w:r>
            <w:r>
              <w:rPr>
                <w:rFonts w:hint="eastAsia" w:ascii="Times New Roman" w:hAnsi="Times New Roman" w:eastAsia="宋体" w:cs="Times New Roman"/>
                <w:kern w:val="2"/>
                <w:sz w:val="24"/>
                <w:szCs w:val="24"/>
                <w:lang w:eastAsia="zh-CN"/>
              </w:rPr>
              <w:t>满足</w:t>
            </w:r>
            <w:r>
              <w:rPr>
                <w:rFonts w:ascii="Times New Roman" w:hAnsi="Times New Roman" w:eastAsia="宋体" w:cs="Times New Roman"/>
                <w:kern w:val="2"/>
                <w:sz w:val="24"/>
                <w:szCs w:val="24"/>
                <w:lang w:eastAsia="zh-CN"/>
              </w:rPr>
              <w:t>《工业企业厂界环境噪声排放标准》</w:t>
            </w:r>
            <w:r>
              <w:rPr>
                <w:rFonts w:hint="eastAsia" w:ascii="Times New Roman" w:hAnsi="Times New Roman" w:eastAsia="宋体" w:cs="Times New Roman"/>
                <w:kern w:val="2"/>
                <w:sz w:val="24"/>
                <w:szCs w:val="24"/>
                <w:lang w:eastAsia="zh-CN"/>
              </w:rPr>
              <w:t>（</w:t>
            </w:r>
            <w:r>
              <w:rPr>
                <w:rFonts w:ascii="Times New Roman" w:hAnsi="Times New Roman" w:eastAsia="宋体" w:cs="Times New Roman"/>
                <w:kern w:val="2"/>
                <w:sz w:val="24"/>
                <w:szCs w:val="24"/>
                <w:lang w:eastAsia="zh-CN"/>
              </w:rPr>
              <w:t>GB12348-2008</w:t>
            </w:r>
            <w:r>
              <w:rPr>
                <w:rFonts w:hint="eastAsia" w:ascii="Times New Roman" w:hAnsi="Times New Roman" w:eastAsia="宋体" w:cs="Times New Roman"/>
                <w:kern w:val="2"/>
                <w:sz w:val="24"/>
                <w:szCs w:val="24"/>
                <w:lang w:eastAsia="zh-CN"/>
              </w:rPr>
              <w:t>）2</w:t>
            </w:r>
            <w:r>
              <w:rPr>
                <w:rFonts w:ascii="Times New Roman" w:hAnsi="Times New Roman" w:eastAsia="宋体" w:cs="Times New Roman"/>
                <w:kern w:val="2"/>
                <w:sz w:val="24"/>
                <w:szCs w:val="24"/>
                <w:lang w:eastAsia="zh-CN"/>
              </w:rPr>
              <w:t>类和</w:t>
            </w:r>
            <w:r>
              <w:rPr>
                <w:rFonts w:hint="eastAsia" w:ascii="Times New Roman" w:hAnsi="Times New Roman" w:eastAsia="宋体" w:cs="Times New Roman"/>
                <w:kern w:val="2"/>
                <w:sz w:val="24"/>
                <w:szCs w:val="24"/>
                <w:lang w:eastAsia="zh-CN"/>
              </w:rPr>
              <w:t>4a类</w:t>
            </w:r>
            <w:r>
              <w:rPr>
                <w:rFonts w:ascii="Times New Roman" w:hAnsi="Times New Roman" w:eastAsia="宋体" w:cs="Times New Roman"/>
                <w:kern w:val="2"/>
                <w:sz w:val="24"/>
                <w:szCs w:val="24"/>
                <w:lang w:eastAsia="zh-CN"/>
              </w:rPr>
              <w:t>标准，</w:t>
            </w:r>
            <w:r>
              <w:rPr>
                <w:rFonts w:hint="eastAsia" w:ascii="Times New Roman" w:hAnsi="Times New Roman" w:eastAsia="宋体" w:cs="Times New Roman"/>
                <w:kern w:val="2"/>
                <w:sz w:val="24"/>
                <w:szCs w:val="24"/>
                <w:lang w:eastAsia="zh-CN"/>
              </w:rPr>
              <w:t>声环境保护目标处的噪声预测值满足</w:t>
            </w:r>
            <w:r>
              <w:rPr>
                <w:rFonts w:ascii="Times New Roman" w:hAnsi="Times New Roman" w:eastAsia="宋体" w:cs="Times New Roman"/>
                <w:kern w:val="2"/>
                <w:sz w:val="24"/>
                <w:szCs w:val="24"/>
                <w:lang w:eastAsia="zh-CN"/>
              </w:rPr>
              <w:t>《</w:t>
            </w:r>
            <w:r>
              <w:rPr>
                <w:rFonts w:hint="eastAsia" w:ascii="Times New Roman" w:hAnsi="Times New Roman" w:eastAsia="宋体" w:cs="Times New Roman"/>
                <w:kern w:val="2"/>
                <w:sz w:val="24"/>
                <w:szCs w:val="24"/>
                <w:lang w:eastAsia="zh-CN"/>
              </w:rPr>
              <w:t>声环境</w:t>
            </w:r>
            <w:r>
              <w:rPr>
                <w:rFonts w:ascii="Times New Roman" w:hAnsi="Times New Roman" w:eastAsia="宋体" w:cs="Times New Roman"/>
                <w:kern w:val="2"/>
                <w:sz w:val="24"/>
                <w:szCs w:val="24"/>
                <w:lang w:eastAsia="zh-CN"/>
              </w:rPr>
              <w:t>质量标准》</w:t>
            </w:r>
            <w:r>
              <w:rPr>
                <w:rFonts w:hint="eastAsia" w:ascii="Times New Roman" w:hAnsi="Times New Roman" w:eastAsia="宋体" w:cs="Times New Roman"/>
                <w:kern w:val="2"/>
                <w:sz w:val="24"/>
                <w:szCs w:val="24"/>
                <w:lang w:eastAsia="zh-CN"/>
              </w:rPr>
              <w:t>（</w:t>
            </w:r>
            <w:r>
              <w:rPr>
                <w:rFonts w:ascii="Times New Roman" w:hAnsi="Times New Roman" w:eastAsia="宋体" w:cs="Times New Roman"/>
                <w:kern w:val="2"/>
                <w:sz w:val="24"/>
                <w:szCs w:val="24"/>
                <w:lang w:eastAsia="zh-CN"/>
              </w:rPr>
              <w:t>GB</w:t>
            </w:r>
            <w:r>
              <w:rPr>
                <w:rFonts w:hint="eastAsia" w:ascii="Times New Roman" w:hAnsi="Times New Roman" w:eastAsia="宋体" w:cs="Times New Roman"/>
                <w:kern w:val="2"/>
                <w:sz w:val="24"/>
                <w:szCs w:val="24"/>
                <w:lang w:eastAsia="zh-CN"/>
              </w:rPr>
              <w:t>3096</w:t>
            </w:r>
            <w:r>
              <w:rPr>
                <w:rFonts w:ascii="Times New Roman" w:hAnsi="Times New Roman" w:eastAsia="宋体" w:cs="Times New Roman"/>
                <w:kern w:val="2"/>
                <w:sz w:val="24"/>
                <w:szCs w:val="24"/>
                <w:lang w:eastAsia="zh-CN"/>
              </w:rPr>
              <w:t>-2008</w:t>
            </w:r>
            <w:r>
              <w:rPr>
                <w:rFonts w:hint="eastAsia" w:ascii="Times New Roman" w:hAnsi="Times New Roman" w:eastAsia="宋体" w:cs="Times New Roman"/>
                <w:kern w:val="2"/>
                <w:sz w:val="24"/>
                <w:szCs w:val="24"/>
                <w:lang w:eastAsia="zh-CN"/>
              </w:rPr>
              <w:t>）4a类</w:t>
            </w:r>
            <w:r>
              <w:rPr>
                <w:rFonts w:ascii="Times New Roman" w:hAnsi="Times New Roman" w:eastAsia="宋体" w:cs="Times New Roman"/>
                <w:kern w:val="2"/>
                <w:sz w:val="24"/>
                <w:szCs w:val="24"/>
                <w:lang w:eastAsia="zh-CN"/>
              </w:rPr>
              <w:t>标准，项目噪声对周边环境影响较小。</w:t>
            </w:r>
          </w:p>
          <w:p>
            <w:pPr>
              <w:spacing w:line="460" w:lineRule="exact"/>
              <w:ind w:firstLine="482" w:firstLineChars="200"/>
              <w:jc w:val="both"/>
              <w:rPr>
                <w:rFonts w:ascii="Times New Roman" w:hAnsi="Times New Roman" w:eastAsia="宋体" w:cs="Times New Roman"/>
                <w:b/>
                <w:bCs/>
                <w:sz w:val="24"/>
                <w:lang w:eastAsia="zh-CN"/>
              </w:rPr>
            </w:pPr>
            <w:r>
              <w:rPr>
                <w:rFonts w:hint="eastAsia" w:ascii="Times New Roman" w:hAnsi="Times New Roman" w:eastAsia="宋体" w:cs="Times New Roman"/>
                <w:b/>
                <w:bCs/>
                <w:sz w:val="24"/>
                <w:lang w:eastAsia="zh-CN"/>
              </w:rPr>
              <w:t>3.3噪声污染防治措施可行性分析</w:t>
            </w:r>
          </w:p>
          <w:p>
            <w:pPr>
              <w:spacing w:line="460" w:lineRule="exact"/>
              <w:ind w:firstLine="480" w:firstLineChars="200"/>
              <w:jc w:val="both"/>
              <w:rPr>
                <w:rFonts w:ascii="Times New Roman" w:hAnsi="Times New Roman" w:eastAsia="宋体" w:cs="Times New Roman"/>
                <w:sz w:val="24"/>
                <w:szCs w:val="24"/>
                <w:lang w:eastAsia="zh-CN"/>
              </w:rPr>
            </w:pPr>
            <w:r>
              <w:rPr>
                <w:rFonts w:ascii="Times New Roman" w:hAnsi="Times New Roman" w:eastAsia="宋体" w:cs="Times New Roman"/>
                <w:sz w:val="24"/>
                <w:szCs w:val="24"/>
                <w:lang w:eastAsia="zh-CN"/>
              </w:rPr>
              <w:t>①</w:t>
            </w:r>
            <w:r>
              <w:rPr>
                <w:rFonts w:hint="eastAsia" w:ascii="Times New Roman" w:hAnsi="Times New Roman" w:eastAsia="宋体" w:cs="Times New Roman"/>
                <w:sz w:val="24"/>
                <w:szCs w:val="24"/>
                <w:lang w:eastAsia="zh-CN"/>
              </w:rPr>
              <w:t>加油区、油气装卸区</w:t>
            </w:r>
            <w:r>
              <w:rPr>
                <w:rFonts w:ascii="Times New Roman" w:hAnsi="Times New Roman" w:eastAsia="宋体" w:cs="Times New Roman"/>
                <w:sz w:val="24"/>
                <w:szCs w:val="24"/>
                <w:lang w:eastAsia="zh-CN"/>
              </w:rPr>
              <w:t>噪声源合理布置在</w:t>
            </w:r>
            <w:r>
              <w:rPr>
                <w:rFonts w:hint="eastAsia" w:ascii="Times New Roman" w:hAnsi="Times New Roman" w:eastAsia="宋体" w:cs="Times New Roman"/>
                <w:sz w:val="24"/>
                <w:szCs w:val="24"/>
                <w:lang w:eastAsia="zh-CN"/>
              </w:rPr>
              <w:t>加油站</w:t>
            </w:r>
            <w:r>
              <w:rPr>
                <w:rFonts w:ascii="Times New Roman" w:hAnsi="Times New Roman" w:eastAsia="宋体" w:cs="Times New Roman"/>
                <w:sz w:val="24"/>
                <w:szCs w:val="24"/>
                <w:lang w:eastAsia="zh-CN"/>
              </w:rPr>
              <w:t>内，同时企业加强</w:t>
            </w:r>
            <w:r>
              <w:rPr>
                <w:rFonts w:hint="eastAsia" w:ascii="Times New Roman" w:hAnsi="Times New Roman" w:eastAsia="宋体" w:cs="Times New Roman"/>
                <w:sz w:val="24"/>
                <w:szCs w:val="24"/>
                <w:lang w:eastAsia="zh-CN"/>
              </w:rPr>
              <w:t>厂区院墙</w:t>
            </w:r>
            <w:r>
              <w:rPr>
                <w:rFonts w:ascii="Times New Roman" w:hAnsi="Times New Roman" w:eastAsia="宋体" w:cs="Times New Roman"/>
                <w:sz w:val="24"/>
                <w:szCs w:val="24"/>
                <w:lang w:eastAsia="zh-CN"/>
              </w:rPr>
              <w:t>的隔声性能，该</w:t>
            </w:r>
            <w:r>
              <w:rPr>
                <w:rFonts w:hint="eastAsia" w:ascii="Times New Roman" w:hAnsi="Times New Roman" w:eastAsia="宋体" w:cs="Times New Roman"/>
                <w:sz w:val="24"/>
                <w:szCs w:val="24"/>
                <w:lang w:eastAsia="zh-CN"/>
              </w:rPr>
              <w:t>加油区、装卸区</w:t>
            </w:r>
            <w:r>
              <w:rPr>
                <w:rFonts w:ascii="Times New Roman" w:hAnsi="Times New Roman" w:eastAsia="宋体" w:cs="Times New Roman"/>
                <w:sz w:val="24"/>
                <w:szCs w:val="24"/>
                <w:lang w:eastAsia="zh-CN"/>
              </w:rPr>
              <w:t>的整体降噪能力可达</w:t>
            </w:r>
            <w:r>
              <w:rPr>
                <w:rFonts w:hint="eastAsia" w:ascii="Times New Roman" w:hAnsi="Times New Roman" w:eastAsia="宋体" w:cs="Times New Roman"/>
                <w:sz w:val="24"/>
                <w:szCs w:val="24"/>
                <w:lang w:eastAsia="zh-CN"/>
              </w:rPr>
              <w:t>10</w:t>
            </w:r>
            <w:r>
              <w:rPr>
                <w:rFonts w:ascii="Times New Roman" w:hAnsi="Times New Roman" w:eastAsia="宋体" w:cs="Times New Roman"/>
                <w:sz w:val="24"/>
                <w:szCs w:val="24"/>
                <w:lang w:eastAsia="zh-CN"/>
              </w:rPr>
              <w:t>dB(A)以上。</w:t>
            </w:r>
          </w:p>
          <w:p>
            <w:pPr>
              <w:spacing w:line="460" w:lineRule="exact"/>
              <w:ind w:firstLine="480" w:firstLineChars="200"/>
              <w:jc w:val="both"/>
              <w:rPr>
                <w:rFonts w:ascii="Times New Roman" w:hAnsi="Times New Roman" w:eastAsia="宋体" w:cs="Times New Roman"/>
                <w:sz w:val="24"/>
                <w:szCs w:val="24"/>
                <w:lang w:eastAsia="zh-CN"/>
              </w:rPr>
            </w:pPr>
            <w:r>
              <w:rPr>
                <w:rFonts w:ascii="Times New Roman" w:hAnsi="Times New Roman" w:eastAsia="宋体" w:cs="Times New Roman"/>
                <w:sz w:val="24"/>
                <w:szCs w:val="24"/>
                <w:lang w:eastAsia="zh-CN"/>
              </w:rPr>
              <w:t>②</w:t>
            </w:r>
            <w:r>
              <w:rPr>
                <w:rFonts w:hint="eastAsia" w:ascii="Times New Roman" w:hAnsi="Times New Roman" w:eastAsia="宋体" w:cs="Times New Roman"/>
                <w:sz w:val="24"/>
                <w:szCs w:val="24"/>
                <w:lang w:eastAsia="zh-CN"/>
              </w:rPr>
              <w:t>对动力机械设备进行定期的维修、养护，保障设备的正常运行，并且要求操作人员严格规范操作，防止因设备故障或者操作不当带来的额外噪声。</w:t>
            </w:r>
          </w:p>
          <w:p>
            <w:pPr>
              <w:spacing w:line="460" w:lineRule="exact"/>
              <w:ind w:firstLine="480" w:firstLineChars="200"/>
              <w:jc w:val="both"/>
              <w:rPr>
                <w:rFonts w:ascii="Times New Roman" w:hAnsi="Times New Roman" w:eastAsia="宋体" w:cs="Times New Roman"/>
                <w:sz w:val="24"/>
                <w:szCs w:val="24"/>
                <w:lang w:eastAsia="zh-CN"/>
              </w:rPr>
            </w:pPr>
            <w:r>
              <w:rPr>
                <w:rFonts w:ascii="Times New Roman" w:hAnsi="Times New Roman" w:eastAsia="宋体" w:cs="Times New Roman"/>
                <w:sz w:val="24"/>
                <w:szCs w:val="24"/>
                <w:lang w:eastAsia="zh-CN"/>
              </w:rPr>
              <w:t>③选用低噪声设备，从源头控制噪声。</w:t>
            </w:r>
          </w:p>
          <w:p>
            <w:pPr>
              <w:spacing w:line="460" w:lineRule="exact"/>
              <w:ind w:firstLine="480" w:firstLineChars="200"/>
              <w:jc w:val="both"/>
              <w:rPr>
                <w:rFonts w:ascii="Times New Roman" w:hAnsi="Times New Roman" w:eastAsia="宋体" w:cs="Times New Roman"/>
                <w:sz w:val="24"/>
                <w:szCs w:val="24"/>
                <w:lang w:eastAsia="zh-CN"/>
              </w:rPr>
            </w:pPr>
            <w:r>
              <w:rPr>
                <w:rFonts w:ascii="Times New Roman" w:hAnsi="Times New Roman" w:eastAsia="宋体" w:cs="Times New Roman"/>
                <w:sz w:val="24"/>
                <w:szCs w:val="24"/>
                <w:lang w:eastAsia="zh-CN"/>
              </w:rPr>
              <w:t>以上噪声治理措施容易实施，技术成熟可靠，投资费用较少，在经济上是可行的。</w:t>
            </w:r>
          </w:p>
          <w:p>
            <w:pPr>
              <w:spacing w:line="460" w:lineRule="exact"/>
              <w:ind w:firstLine="482" w:firstLineChars="200"/>
              <w:jc w:val="both"/>
              <w:rPr>
                <w:rFonts w:ascii="Times New Roman" w:hAnsi="Times New Roman" w:eastAsia="宋体" w:cs="Times New Roman"/>
                <w:b/>
                <w:bCs/>
                <w:sz w:val="24"/>
                <w:lang w:eastAsia="zh-CN"/>
              </w:rPr>
            </w:pPr>
            <w:r>
              <w:rPr>
                <w:rFonts w:hint="eastAsia" w:ascii="Times New Roman" w:hAnsi="Times New Roman" w:eastAsia="宋体" w:cs="Times New Roman"/>
                <w:b/>
                <w:bCs/>
                <w:sz w:val="24"/>
                <w:lang w:eastAsia="zh-CN"/>
              </w:rPr>
              <w:t>3.4噪声环境监测</w:t>
            </w:r>
          </w:p>
          <w:p>
            <w:pPr>
              <w:spacing w:line="460" w:lineRule="exact"/>
              <w:ind w:firstLine="480" w:firstLineChars="200"/>
              <w:jc w:val="both"/>
              <w:rPr>
                <w:rFonts w:ascii="Times New Roman" w:hAnsi="Times New Roman" w:eastAsia="宋体" w:cs="Times New Roman"/>
                <w:sz w:val="24"/>
                <w:szCs w:val="24"/>
                <w:lang w:eastAsia="zh-CN"/>
              </w:rPr>
            </w:pPr>
            <w:r>
              <w:rPr>
                <w:rFonts w:ascii="Times New Roman" w:hAnsi="Times New Roman" w:cs="Times New Roman" w:eastAsiaTheme="majorEastAsia"/>
                <w:sz w:val="24"/>
                <w:szCs w:val="24"/>
                <w:lang w:eastAsia="zh-CN"/>
              </w:rPr>
              <w:t>项目运营期</w:t>
            </w:r>
            <w:r>
              <w:rPr>
                <w:rFonts w:hint="eastAsia" w:ascii="Times New Roman" w:hAnsi="Times New Roman" w:cs="Times New Roman" w:eastAsiaTheme="majorEastAsia"/>
                <w:sz w:val="24"/>
                <w:szCs w:val="24"/>
                <w:lang w:eastAsia="zh-CN"/>
              </w:rPr>
              <w:t>厂界四周</w:t>
            </w:r>
            <w:r>
              <w:rPr>
                <w:rFonts w:ascii="Times New Roman" w:hAnsi="Times New Roman" w:cs="Times New Roman" w:eastAsiaTheme="majorEastAsia"/>
                <w:sz w:val="24"/>
                <w:szCs w:val="24"/>
                <w:lang w:eastAsia="zh-CN"/>
              </w:rPr>
              <w:t>布设</w:t>
            </w:r>
            <w:r>
              <w:rPr>
                <w:rFonts w:hint="eastAsia" w:ascii="Times New Roman" w:hAnsi="Times New Roman" w:cs="Times New Roman" w:eastAsiaTheme="majorEastAsia"/>
                <w:sz w:val="24"/>
                <w:szCs w:val="24"/>
                <w:lang w:eastAsia="zh-CN"/>
              </w:rPr>
              <w:t>4</w:t>
            </w:r>
            <w:r>
              <w:rPr>
                <w:rFonts w:ascii="Times New Roman" w:hAnsi="Times New Roman" w:cs="Times New Roman" w:eastAsiaTheme="majorEastAsia"/>
                <w:sz w:val="24"/>
                <w:szCs w:val="24"/>
                <w:lang w:eastAsia="zh-CN"/>
              </w:rPr>
              <w:t>个噪声监测点，</w:t>
            </w:r>
            <w:r>
              <w:rPr>
                <w:rFonts w:hint="eastAsia" w:ascii="Times New Roman" w:hAnsi="Times New Roman" w:cs="Times New Roman" w:eastAsiaTheme="majorEastAsia"/>
                <w:sz w:val="24"/>
                <w:szCs w:val="24"/>
                <w:lang w:eastAsia="zh-CN"/>
              </w:rPr>
              <w:t>在保护目标处布设2个</w:t>
            </w:r>
            <w:r>
              <w:rPr>
                <w:rFonts w:ascii="Times New Roman" w:hAnsi="Times New Roman" w:cs="Times New Roman" w:eastAsiaTheme="majorEastAsia"/>
                <w:sz w:val="24"/>
                <w:szCs w:val="24"/>
                <w:lang w:eastAsia="zh-CN"/>
              </w:rPr>
              <w:t>噪声监测点</w:t>
            </w:r>
            <w:r>
              <w:rPr>
                <w:rFonts w:hint="eastAsia" w:ascii="Times New Roman" w:hAnsi="Times New Roman" w:cs="Times New Roman" w:eastAsiaTheme="majorEastAsia"/>
                <w:sz w:val="24"/>
                <w:szCs w:val="24"/>
                <w:lang w:eastAsia="zh-CN"/>
              </w:rPr>
              <w:t>。</w:t>
            </w:r>
            <w:r>
              <w:rPr>
                <w:rFonts w:ascii="Times New Roman" w:hAnsi="Times New Roman" w:eastAsia="宋体" w:cs="Times New Roman"/>
                <w:sz w:val="24"/>
                <w:szCs w:val="24"/>
                <w:lang w:eastAsia="zh-CN"/>
              </w:rPr>
              <w:t>噪声自行监测计划如表</w:t>
            </w:r>
            <w:r>
              <w:rPr>
                <w:rFonts w:hint="eastAsia" w:ascii="Times New Roman" w:hAnsi="Times New Roman" w:eastAsia="宋体" w:cs="Times New Roman"/>
                <w:bCs/>
                <w:sz w:val="24"/>
                <w:szCs w:val="24"/>
                <w:lang w:eastAsia="zh-CN"/>
              </w:rPr>
              <w:t>4.2-19</w:t>
            </w:r>
            <w:r>
              <w:rPr>
                <w:rFonts w:ascii="Times New Roman" w:hAnsi="Times New Roman" w:eastAsia="宋体" w:cs="Times New Roman"/>
                <w:sz w:val="24"/>
                <w:szCs w:val="24"/>
                <w:lang w:eastAsia="zh-CN"/>
              </w:rPr>
              <w:t>。</w:t>
            </w:r>
          </w:p>
          <w:p>
            <w:pPr>
              <w:pStyle w:val="42"/>
              <w:spacing w:before="120"/>
            </w:pPr>
            <w:r>
              <w:t>表</w:t>
            </w:r>
            <w:r>
              <w:rPr>
                <w:rFonts w:hint="eastAsia"/>
              </w:rPr>
              <w:t>4.2-19</w:t>
            </w:r>
            <w:r>
              <w:t xml:space="preserve">  </w:t>
            </w:r>
            <w:r>
              <w:rPr>
                <w:rFonts w:hint="eastAsia"/>
              </w:rPr>
              <w:t>运营期噪声自行监测计划一览表</w:t>
            </w:r>
          </w:p>
          <w:tbl>
            <w:tblPr>
              <w:tblStyle w:val="4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555"/>
              <w:gridCol w:w="1559"/>
              <w:gridCol w:w="1701"/>
              <w:gridCol w:w="202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3555" w:type="dxa"/>
                  <w:vMerge w:val="restart"/>
                  <w:vAlign w:val="center"/>
                </w:tcPr>
                <w:p>
                  <w:pPr>
                    <w:pStyle w:val="39"/>
                  </w:pPr>
                  <w:r>
                    <w:rPr>
                      <w:rFonts w:hint="eastAsia"/>
                    </w:rPr>
                    <w:t>监测点位</w:t>
                  </w:r>
                </w:p>
              </w:tc>
              <w:tc>
                <w:tcPr>
                  <w:tcW w:w="1559" w:type="dxa"/>
                  <w:vMerge w:val="restart"/>
                  <w:vAlign w:val="center"/>
                </w:tcPr>
                <w:p>
                  <w:pPr>
                    <w:pStyle w:val="39"/>
                  </w:pPr>
                  <w:r>
                    <w:rPr>
                      <w:rFonts w:hint="eastAsia"/>
                    </w:rPr>
                    <w:t>监测时段</w:t>
                  </w:r>
                </w:p>
              </w:tc>
              <w:tc>
                <w:tcPr>
                  <w:tcW w:w="1701" w:type="dxa"/>
                  <w:vMerge w:val="restart"/>
                  <w:vAlign w:val="center"/>
                </w:tcPr>
                <w:p>
                  <w:pPr>
                    <w:pStyle w:val="39"/>
                  </w:pPr>
                  <w:r>
                    <w:rPr>
                      <w:rFonts w:hint="eastAsia"/>
                    </w:rPr>
                    <w:t>监测频次</w:t>
                  </w:r>
                </w:p>
              </w:tc>
              <w:tc>
                <w:tcPr>
                  <w:tcW w:w="2029" w:type="dxa"/>
                  <w:vMerge w:val="restart"/>
                  <w:vAlign w:val="center"/>
                </w:tcPr>
                <w:p>
                  <w:pPr>
                    <w:pStyle w:val="39"/>
                  </w:pPr>
                  <w:r>
                    <w:t>监测因子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55" w:type="dxa"/>
                  <w:vMerge w:val="continue"/>
                  <w:vAlign w:val="center"/>
                </w:tcPr>
                <w:p>
                  <w:pPr>
                    <w:pStyle w:val="39"/>
                  </w:pPr>
                </w:p>
              </w:tc>
              <w:tc>
                <w:tcPr>
                  <w:tcW w:w="1559" w:type="dxa"/>
                  <w:vMerge w:val="continue"/>
                  <w:vAlign w:val="center"/>
                </w:tcPr>
                <w:p>
                  <w:pPr>
                    <w:pStyle w:val="39"/>
                  </w:pPr>
                </w:p>
              </w:tc>
              <w:tc>
                <w:tcPr>
                  <w:tcW w:w="1701" w:type="dxa"/>
                  <w:vMerge w:val="continue"/>
                  <w:vAlign w:val="center"/>
                </w:tcPr>
                <w:p>
                  <w:pPr>
                    <w:pStyle w:val="39"/>
                  </w:pPr>
                </w:p>
              </w:tc>
              <w:tc>
                <w:tcPr>
                  <w:tcW w:w="2029" w:type="dxa"/>
                  <w:vMerge w:val="continue"/>
                  <w:vAlign w:val="center"/>
                </w:tcPr>
                <w:p>
                  <w:pPr>
                    <w:pStyle w:val="39"/>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3555" w:type="dxa"/>
                  <w:vAlign w:val="center"/>
                </w:tcPr>
                <w:p>
                  <w:pPr>
                    <w:pStyle w:val="39"/>
                  </w:pPr>
                  <w:r>
                    <w:t>边界四周外 1m</w:t>
                  </w:r>
                </w:p>
              </w:tc>
              <w:tc>
                <w:tcPr>
                  <w:tcW w:w="1559" w:type="dxa"/>
                  <w:vAlign w:val="center"/>
                </w:tcPr>
                <w:p>
                  <w:pPr>
                    <w:pStyle w:val="39"/>
                  </w:pPr>
                  <w:r>
                    <w:rPr>
                      <w:rFonts w:hint="eastAsia"/>
                    </w:rPr>
                    <w:t>昼、夜</w:t>
                  </w:r>
                </w:p>
              </w:tc>
              <w:tc>
                <w:tcPr>
                  <w:tcW w:w="1701" w:type="dxa"/>
                  <w:vAlign w:val="center"/>
                </w:tcPr>
                <w:p>
                  <w:pPr>
                    <w:pStyle w:val="39"/>
                  </w:pPr>
                  <w:r>
                    <w:rPr>
                      <w:rFonts w:hint="eastAsia"/>
                    </w:rPr>
                    <w:t>1次/季度</w:t>
                  </w:r>
                </w:p>
              </w:tc>
              <w:tc>
                <w:tcPr>
                  <w:tcW w:w="2029" w:type="dxa"/>
                  <w:vMerge w:val="restart"/>
                  <w:vAlign w:val="center"/>
                </w:tcPr>
                <w:p>
                  <w:pPr>
                    <w:pStyle w:val="39"/>
                  </w:pPr>
                  <w:r>
                    <w:t>等效 A 声级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3555" w:type="dxa"/>
                  <w:vAlign w:val="center"/>
                </w:tcPr>
                <w:p>
                  <w:pPr>
                    <w:pStyle w:val="39"/>
                  </w:pPr>
                  <w:r>
                    <w:rPr>
                      <w:rFonts w:hint="eastAsia"/>
                    </w:rPr>
                    <w:t>北侧、东侧刘东村</w:t>
                  </w:r>
                </w:p>
              </w:tc>
              <w:tc>
                <w:tcPr>
                  <w:tcW w:w="1559" w:type="dxa"/>
                  <w:vAlign w:val="center"/>
                </w:tcPr>
                <w:p>
                  <w:pPr>
                    <w:pStyle w:val="39"/>
                  </w:pPr>
                  <w:r>
                    <w:rPr>
                      <w:rFonts w:hint="eastAsia"/>
                    </w:rPr>
                    <w:t>昼、夜</w:t>
                  </w:r>
                </w:p>
              </w:tc>
              <w:tc>
                <w:tcPr>
                  <w:tcW w:w="1701" w:type="dxa"/>
                  <w:vAlign w:val="center"/>
                </w:tcPr>
                <w:p>
                  <w:pPr>
                    <w:pStyle w:val="39"/>
                  </w:pPr>
                  <w:r>
                    <w:rPr>
                      <w:rFonts w:hint="eastAsia"/>
                    </w:rPr>
                    <w:t>1次/季度</w:t>
                  </w:r>
                </w:p>
              </w:tc>
              <w:tc>
                <w:tcPr>
                  <w:tcW w:w="2029" w:type="dxa"/>
                  <w:vMerge w:val="continue"/>
                  <w:vAlign w:val="center"/>
                </w:tcPr>
                <w:p>
                  <w:pPr>
                    <w:pStyle w:val="39"/>
                  </w:pPr>
                </w:p>
              </w:tc>
            </w:tr>
          </w:tbl>
          <w:p>
            <w:pPr>
              <w:spacing w:line="460" w:lineRule="exact"/>
              <w:ind w:firstLine="482" w:firstLineChars="200"/>
              <w:jc w:val="both"/>
              <w:rPr>
                <w:rFonts w:ascii="Times New Roman" w:hAnsi="Times New Roman" w:eastAsia="宋体"/>
                <w:bCs/>
                <w:sz w:val="24"/>
                <w:lang w:eastAsia="zh-CN"/>
              </w:rPr>
            </w:pPr>
            <w:r>
              <w:rPr>
                <w:rFonts w:hint="eastAsia" w:ascii="Times New Roman" w:hAnsi="Times New Roman" w:eastAsia="宋体" w:cs="Times New Roman"/>
                <w:b/>
                <w:bCs/>
                <w:sz w:val="24"/>
                <w:szCs w:val="24"/>
                <w:lang w:eastAsia="zh-CN"/>
              </w:rPr>
              <w:t>4、固体废物</w:t>
            </w:r>
          </w:p>
          <w:p>
            <w:pPr>
              <w:spacing w:line="460" w:lineRule="exact"/>
              <w:ind w:firstLine="482" w:firstLineChars="200"/>
              <w:jc w:val="both"/>
              <w:rPr>
                <w:rFonts w:ascii="Times New Roman" w:hAnsi="Times New Roman" w:eastAsia="宋体" w:cs="Times New Roman"/>
                <w:b/>
                <w:bCs/>
                <w:sz w:val="24"/>
                <w:szCs w:val="24"/>
                <w:lang w:eastAsia="zh-CN"/>
              </w:rPr>
            </w:pPr>
            <w:r>
              <w:rPr>
                <w:rFonts w:hint="eastAsia" w:ascii="Times New Roman" w:hAnsi="Times New Roman" w:eastAsia="宋体" w:cs="Times New Roman"/>
                <w:b/>
                <w:bCs/>
                <w:sz w:val="24"/>
                <w:szCs w:val="24"/>
                <w:lang w:eastAsia="zh-CN"/>
              </w:rPr>
              <w:t>4.1源强核算</w:t>
            </w:r>
          </w:p>
          <w:p>
            <w:pPr>
              <w:spacing w:line="460" w:lineRule="exact"/>
              <w:ind w:firstLine="480" w:firstLineChars="200"/>
              <w:jc w:val="both"/>
              <w:rPr>
                <w:rFonts w:ascii="Times New Roman" w:hAnsi="Times New Roman" w:eastAsia="宋体" w:cs="Times New Roman"/>
                <w:sz w:val="24"/>
                <w:szCs w:val="24"/>
                <w:lang w:eastAsia="zh-CN"/>
              </w:rPr>
            </w:pPr>
            <w:r>
              <w:rPr>
                <w:rFonts w:hint="eastAsia" w:ascii="Times New Roman" w:hAnsi="Times New Roman" w:eastAsia="宋体" w:cs="Times New Roman"/>
                <w:sz w:val="24"/>
                <w:szCs w:val="24"/>
                <w:lang w:eastAsia="zh-CN"/>
              </w:rPr>
              <w:t>本项目一般固废主要包括生活垃圾、废弃的含油抹布和手套；危险废物主要包括</w:t>
            </w:r>
            <w:r>
              <w:rPr>
                <w:rFonts w:ascii="Times New Roman" w:hAnsi="Times New Roman" w:eastAsia="宋体" w:cs="Times New Roman"/>
                <w:sz w:val="24"/>
                <w:lang w:eastAsia="zh-CN"/>
              </w:rPr>
              <w:t>油罐废油渣</w:t>
            </w:r>
            <w:r>
              <w:rPr>
                <w:rFonts w:hint="eastAsia" w:ascii="Times New Roman" w:hAnsi="Times New Roman" w:eastAsia="宋体" w:cs="Times New Roman"/>
                <w:sz w:val="24"/>
                <w:lang w:eastAsia="zh-CN"/>
              </w:rPr>
              <w:t>、含油污泥</w:t>
            </w:r>
            <w:r>
              <w:rPr>
                <w:rFonts w:hint="eastAsia" w:ascii="Times New Roman" w:hAnsi="Times New Roman" w:eastAsia="宋体" w:cs="Times New Roman"/>
                <w:sz w:val="24"/>
                <w:szCs w:val="24"/>
                <w:lang w:eastAsia="zh-CN"/>
              </w:rPr>
              <w:t>；</w:t>
            </w:r>
          </w:p>
          <w:p>
            <w:pPr>
              <w:spacing w:line="460" w:lineRule="exact"/>
              <w:ind w:firstLine="482" w:firstLineChars="200"/>
              <w:jc w:val="both"/>
              <w:rPr>
                <w:rFonts w:ascii="Times New Roman" w:hAnsi="Times New Roman" w:eastAsia="宋体" w:cs="Times New Roman"/>
                <w:sz w:val="24"/>
                <w:lang w:eastAsia="zh-CN"/>
              </w:rPr>
            </w:pPr>
            <w:r>
              <w:rPr>
                <w:rFonts w:hint="eastAsia" w:ascii="Times New Roman" w:hAnsi="Times New Roman" w:eastAsia="宋体" w:cs="Times New Roman"/>
                <w:b/>
                <w:bCs/>
                <w:sz w:val="24"/>
                <w:szCs w:val="24"/>
                <w:lang w:eastAsia="zh-CN"/>
              </w:rPr>
              <w:t>（1）</w:t>
            </w:r>
            <w:r>
              <w:rPr>
                <w:rFonts w:ascii="Times New Roman" w:hAnsi="Times New Roman" w:eastAsia="宋体" w:cs="Times New Roman"/>
                <w:b/>
                <w:bCs/>
                <w:sz w:val="24"/>
                <w:szCs w:val="24"/>
                <w:lang w:eastAsia="zh-CN"/>
              </w:rPr>
              <w:t>生活垃圾</w:t>
            </w:r>
          </w:p>
          <w:p>
            <w:pPr>
              <w:tabs>
                <w:tab w:val="left" w:pos="360"/>
              </w:tabs>
              <w:snapToGrid w:val="0"/>
              <w:spacing w:line="460" w:lineRule="exact"/>
              <w:ind w:firstLine="480" w:firstLineChars="200"/>
              <w:jc w:val="both"/>
              <w:rPr>
                <w:rFonts w:eastAsia="宋体"/>
                <w:lang w:eastAsia="zh-CN"/>
              </w:rPr>
            </w:pPr>
            <w:r>
              <w:rPr>
                <w:rFonts w:ascii="Times New Roman" w:hAnsi="Times New Roman" w:eastAsia="宋体" w:cs="Times New Roman"/>
                <w:sz w:val="24"/>
                <w:lang w:eastAsia="zh-CN"/>
              </w:rPr>
              <w:t>本加油站职工定员</w:t>
            </w:r>
            <w:r>
              <w:rPr>
                <w:rFonts w:hint="eastAsia" w:ascii="Times New Roman" w:hAnsi="Times New Roman" w:eastAsia="宋体" w:cs="Times New Roman"/>
                <w:sz w:val="24"/>
                <w:lang w:eastAsia="zh-CN"/>
              </w:rPr>
              <w:t>8</w:t>
            </w:r>
            <w:r>
              <w:rPr>
                <w:rFonts w:ascii="Times New Roman" w:hAnsi="Times New Roman" w:eastAsia="宋体" w:cs="Times New Roman"/>
                <w:sz w:val="24"/>
                <w:lang w:eastAsia="zh-CN"/>
              </w:rPr>
              <w:t>人，生活垃圾以每人每天0.5kg计，年产生活垃圾约</w:t>
            </w:r>
            <w:r>
              <w:rPr>
                <w:rFonts w:hint="eastAsia" w:ascii="Times New Roman" w:hAnsi="Times New Roman" w:eastAsia="宋体" w:cs="Times New Roman"/>
                <w:sz w:val="24"/>
                <w:lang w:eastAsia="zh-CN"/>
              </w:rPr>
              <w:t>1.46</w:t>
            </w:r>
            <w:r>
              <w:rPr>
                <w:rFonts w:ascii="Times New Roman" w:hAnsi="Times New Roman" w:eastAsia="宋体" w:cs="Times New Roman"/>
                <w:sz w:val="24"/>
                <w:lang w:eastAsia="zh-CN"/>
              </w:rPr>
              <w:t>t</w:t>
            </w:r>
            <w:r>
              <w:rPr>
                <w:rFonts w:hint="eastAsia" w:ascii="Times New Roman" w:hAnsi="Times New Roman" w:eastAsia="宋体" w:cs="Times New Roman"/>
                <w:sz w:val="24"/>
                <w:lang w:eastAsia="zh-CN"/>
              </w:rPr>
              <w:t>；本项目对外开放的公共厕所预计客流量200人/天，年工作365天，人均产生生活垃圾量为0.1kg/d，则本项目公厕产生的生活垃圾为7.3t/a</w:t>
            </w:r>
            <w:r>
              <w:rPr>
                <w:rFonts w:ascii="Times New Roman" w:hAnsi="Times New Roman" w:eastAsia="宋体" w:cs="Times New Roman"/>
                <w:sz w:val="24"/>
                <w:lang w:eastAsia="zh-CN"/>
              </w:rPr>
              <w:t>。</w:t>
            </w:r>
            <w:r>
              <w:rPr>
                <w:rFonts w:hint="eastAsia" w:ascii="Times New Roman" w:hAnsi="Times New Roman" w:eastAsia="宋体" w:cs="Times New Roman"/>
                <w:sz w:val="24"/>
                <w:lang w:eastAsia="zh-CN"/>
              </w:rPr>
              <w:t>故本项目共产生生活垃圾8.76t/a，</w:t>
            </w:r>
            <w:r>
              <w:rPr>
                <w:rFonts w:ascii="Times New Roman" w:hAnsi="Times New Roman" w:eastAsia="宋体" w:cs="Times New Roman"/>
                <w:sz w:val="24"/>
                <w:lang w:eastAsia="zh-CN"/>
              </w:rPr>
              <w:t>统一收集后由环卫部门定期清运</w:t>
            </w:r>
            <w:r>
              <w:rPr>
                <w:rFonts w:hint="eastAsia" w:ascii="Times New Roman" w:hAnsi="Times New Roman" w:eastAsia="宋体" w:cs="Times New Roman"/>
                <w:sz w:val="24"/>
                <w:lang w:eastAsia="zh-CN"/>
              </w:rPr>
              <w:t>。</w:t>
            </w:r>
          </w:p>
          <w:p>
            <w:pPr>
              <w:spacing w:line="460" w:lineRule="exact"/>
              <w:ind w:left="482"/>
              <w:jc w:val="both"/>
              <w:rPr>
                <w:rFonts w:ascii="Times New Roman" w:hAnsi="Times New Roman" w:eastAsia="宋体" w:cs="Times New Roman"/>
                <w:b/>
                <w:bCs/>
                <w:sz w:val="24"/>
                <w:szCs w:val="24"/>
                <w:lang w:eastAsia="zh-CN"/>
              </w:rPr>
            </w:pPr>
            <w:r>
              <w:rPr>
                <w:rFonts w:hint="eastAsia" w:ascii="Times New Roman" w:hAnsi="Times New Roman" w:eastAsia="宋体" w:cs="Times New Roman"/>
                <w:b/>
                <w:bCs/>
                <w:sz w:val="24"/>
                <w:szCs w:val="24"/>
                <w:lang w:eastAsia="zh-CN"/>
              </w:rPr>
              <w:t>（2）危险废物</w:t>
            </w:r>
          </w:p>
          <w:p>
            <w:pPr>
              <w:spacing w:line="460" w:lineRule="exact"/>
              <w:ind w:firstLine="480" w:firstLineChars="200"/>
              <w:jc w:val="both"/>
              <w:rPr>
                <w:rFonts w:ascii="Times New Roman" w:hAnsi="Times New Roman" w:eastAsia="宋体" w:cs="Times New Roman"/>
                <w:sz w:val="24"/>
                <w:szCs w:val="24"/>
                <w:lang w:eastAsia="zh-CN"/>
              </w:rPr>
            </w:pPr>
            <w:r>
              <w:rPr>
                <w:rFonts w:hint="eastAsia" w:ascii="Times New Roman" w:hAnsi="Times New Roman" w:eastAsia="宋体" w:cs="Times New Roman"/>
                <w:sz w:val="24"/>
                <w:szCs w:val="24"/>
                <w:lang w:eastAsia="zh-CN"/>
              </w:rPr>
              <w:t>①</w:t>
            </w:r>
            <w:r>
              <w:rPr>
                <w:rFonts w:ascii="Times New Roman" w:hAnsi="Times New Roman" w:eastAsia="宋体" w:cs="Times New Roman"/>
                <w:sz w:val="24"/>
                <w:lang w:eastAsia="zh-CN"/>
              </w:rPr>
              <w:t>油罐废油渣</w:t>
            </w:r>
          </w:p>
          <w:p>
            <w:pPr>
              <w:tabs>
                <w:tab w:val="left" w:pos="360"/>
              </w:tabs>
              <w:snapToGrid w:val="0"/>
              <w:spacing w:line="460" w:lineRule="exact"/>
              <w:ind w:firstLine="480" w:firstLineChars="200"/>
              <w:jc w:val="both"/>
              <w:rPr>
                <w:rFonts w:ascii="Times New Roman" w:hAnsi="Times New Roman" w:eastAsia="宋体" w:cs="Times New Roman"/>
                <w:sz w:val="24"/>
                <w:szCs w:val="24"/>
                <w:lang w:eastAsia="zh-CN"/>
              </w:rPr>
            </w:pPr>
            <w:r>
              <w:rPr>
                <w:rFonts w:ascii="Times New Roman" w:hAnsi="Times New Roman" w:eastAsia="宋体" w:cs="Times New Roman"/>
                <w:sz w:val="24"/>
                <w:lang w:eastAsia="zh-CN"/>
              </w:rPr>
              <w:t>加油站储油过程中，储罐底部会产生一些油泥，本项目油罐每</w:t>
            </w:r>
            <w:r>
              <w:rPr>
                <w:rFonts w:hint="eastAsia" w:ascii="Times New Roman" w:hAnsi="Times New Roman" w:eastAsia="宋体" w:cs="Times New Roman"/>
                <w:sz w:val="24"/>
                <w:lang w:eastAsia="zh-CN"/>
              </w:rPr>
              <w:t>4</w:t>
            </w:r>
            <w:r>
              <w:rPr>
                <w:rFonts w:ascii="Times New Roman" w:hAnsi="Times New Roman" w:eastAsia="宋体" w:cs="Times New Roman"/>
                <w:sz w:val="24"/>
                <w:lang w:eastAsia="zh-CN"/>
              </w:rPr>
              <w:t>年清理废油渣一次，</w:t>
            </w:r>
            <w:r>
              <w:rPr>
                <w:rFonts w:hint="eastAsia" w:ascii="Times New Roman" w:hAnsi="Times New Roman" w:eastAsia="宋体" w:cs="Times New Roman"/>
                <w:sz w:val="24"/>
                <w:lang w:eastAsia="zh-CN"/>
              </w:rPr>
              <w:t>根据类比计算，拟建项目清罐废物产生量估计约0.3t/次</w:t>
            </w:r>
            <w:r>
              <w:rPr>
                <w:rFonts w:hint="eastAsia" w:ascii="宋体" w:hAnsi="宋体" w:eastAsia="宋体" w:cs="宋体"/>
                <w:sz w:val="24"/>
                <w:lang w:eastAsia="zh-CN"/>
              </w:rPr>
              <w:t>·</w:t>
            </w:r>
            <w:r>
              <w:rPr>
                <w:rFonts w:hint="eastAsia" w:ascii="Times New Roman" w:hAnsi="Times New Roman" w:eastAsia="宋体" w:cs="Times New Roman"/>
                <w:sz w:val="24"/>
                <w:lang w:eastAsia="zh-CN"/>
              </w:rPr>
              <w:t>罐，项目共设5个储罐，清罐废物合计1.5t/4a</w:t>
            </w:r>
            <w:r>
              <w:rPr>
                <w:rFonts w:ascii="Times New Roman" w:hAnsi="Times New Roman" w:eastAsia="宋体" w:cs="Times New Roman"/>
                <w:sz w:val="24"/>
                <w:lang w:eastAsia="zh-CN"/>
              </w:rPr>
              <w:t>，属于危险废物</w:t>
            </w:r>
            <w:r>
              <w:rPr>
                <w:rFonts w:hint="eastAsia" w:ascii="Times New Roman" w:hAnsi="Times New Roman" w:eastAsia="宋体" w:cs="Times New Roman"/>
                <w:sz w:val="24"/>
                <w:lang w:eastAsia="zh-CN"/>
              </w:rPr>
              <w:t>。油罐委托有资质单位清理</w:t>
            </w:r>
            <w:r>
              <w:rPr>
                <w:rFonts w:ascii="Times New Roman" w:hAnsi="Times New Roman" w:eastAsia="宋体" w:cs="Times New Roman"/>
                <w:sz w:val="24"/>
                <w:lang w:eastAsia="zh-CN"/>
              </w:rPr>
              <w:t>，</w:t>
            </w:r>
            <w:r>
              <w:rPr>
                <w:rFonts w:hint="eastAsia" w:ascii="Times New Roman" w:hAnsi="Times New Roman" w:eastAsia="宋体" w:cs="Times New Roman"/>
                <w:sz w:val="24"/>
                <w:lang w:eastAsia="zh-CN"/>
              </w:rPr>
              <w:t>清理后随即运出，不在站内暂存</w:t>
            </w:r>
            <w:r>
              <w:rPr>
                <w:rFonts w:ascii="Times New Roman" w:hAnsi="Times New Roman" w:eastAsia="宋体" w:cs="Times New Roman"/>
                <w:sz w:val="24"/>
                <w:lang w:eastAsia="zh-CN"/>
              </w:rPr>
              <w:t>。</w:t>
            </w:r>
          </w:p>
          <w:p>
            <w:pPr>
              <w:spacing w:line="460" w:lineRule="exact"/>
              <w:ind w:firstLine="480" w:firstLineChars="200"/>
              <w:jc w:val="both"/>
              <w:rPr>
                <w:rFonts w:ascii="Times New Roman" w:hAnsi="Times New Roman" w:eastAsia="宋体" w:cs="Times New Roman"/>
                <w:sz w:val="24"/>
                <w:szCs w:val="24"/>
                <w:lang w:eastAsia="zh-CN"/>
              </w:rPr>
            </w:pPr>
            <w:r>
              <w:rPr>
                <w:rFonts w:hint="eastAsia" w:ascii="Times New Roman" w:hAnsi="Times New Roman" w:eastAsia="宋体" w:cs="Times New Roman"/>
                <w:sz w:val="24"/>
                <w:szCs w:val="24"/>
                <w:lang w:eastAsia="zh-CN"/>
              </w:rPr>
              <w:t>②含油污泥</w:t>
            </w:r>
          </w:p>
          <w:p>
            <w:pPr>
              <w:spacing w:line="460" w:lineRule="exact"/>
              <w:ind w:firstLine="480" w:firstLineChars="200"/>
              <w:jc w:val="both"/>
              <w:rPr>
                <w:rFonts w:ascii="Times New Roman" w:hAnsi="Times New Roman" w:eastAsia="宋体" w:cs="Times New Roman"/>
                <w:sz w:val="24"/>
                <w:szCs w:val="24"/>
                <w:lang w:eastAsia="zh-CN"/>
              </w:rPr>
            </w:pPr>
            <w:r>
              <w:rPr>
                <w:rFonts w:hint="eastAsia" w:ascii="Times New Roman" w:hAnsi="Times New Roman" w:eastAsia="宋体" w:cs="Times New Roman"/>
                <w:sz w:val="24"/>
                <w:szCs w:val="24"/>
                <w:lang w:eastAsia="zh-CN"/>
              </w:rPr>
              <w:t>隔</w:t>
            </w:r>
            <w:r>
              <w:rPr>
                <w:rFonts w:hint="eastAsia" w:ascii="Times New Roman" w:hAnsi="Times New Roman" w:eastAsia="宋体" w:cs="Times New Roman"/>
                <w:sz w:val="24"/>
                <w:lang w:eastAsia="zh-CN"/>
              </w:rPr>
              <w:t>油池每年清掏一次，清掏产生的含油污泥量约为0.2t/a，</w:t>
            </w:r>
            <w:r>
              <w:rPr>
                <w:rFonts w:ascii="Times New Roman" w:hAnsi="Times New Roman" w:eastAsia="宋体" w:cs="Times New Roman"/>
                <w:sz w:val="24"/>
                <w:lang w:eastAsia="zh-CN"/>
              </w:rPr>
              <w:t>委托有资质单位清理，</w:t>
            </w:r>
            <w:r>
              <w:rPr>
                <w:rFonts w:hint="eastAsia" w:ascii="Times New Roman" w:hAnsi="Times New Roman" w:eastAsia="宋体" w:cs="Times New Roman"/>
                <w:sz w:val="24"/>
                <w:lang w:eastAsia="zh-CN"/>
              </w:rPr>
              <w:t>清理后随即运出，不在站内暂存</w:t>
            </w:r>
            <w:r>
              <w:rPr>
                <w:rFonts w:ascii="Times New Roman" w:hAnsi="Times New Roman" w:eastAsia="宋体" w:cs="Times New Roman"/>
                <w:sz w:val="24"/>
                <w:lang w:eastAsia="zh-CN"/>
              </w:rPr>
              <w:t>。</w:t>
            </w:r>
          </w:p>
          <w:p>
            <w:pPr>
              <w:spacing w:before="120" w:beforeLines="50"/>
              <w:jc w:val="center"/>
              <w:rPr>
                <w:rFonts w:ascii="Times New Roman" w:hAnsi="Times New Roman" w:eastAsia="宋体" w:cs="宋体"/>
                <w:b/>
                <w:color w:val="000000"/>
                <w:spacing w:val="6"/>
                <w:kern w:val="2"/>
                <w:sz w:val="24"/>
                <w:szCs w:val="20"/>
                <w:lang w:eastAsia="zh-CN"/>
              </w:rPr>
            </w:pPr>
            <w:bookmarkStart w:id="13" w:name="_Hlk186212561"/>
            <w:r>
              <w:rPr>
                <w:rFonts w:hint="eastAsia" w:ascii="Times New Roman" w:hAnsi="Times New Roman" w:eastAsia="宋体" w:cs="宋体"/>
                <w:b/>
                <w:color w:val="000000"/>
                <w:spacing w:val="6"/>
                <w:kern w:val="2"/>
                <w:sz w:val="24"/>
                <w:szCs w:val="20"/>
                <w:lang w:eastAsia="zh-CN"/>
              </w:rPr>
              <w:t>表4.2-20  一般固体废物产生及处理处置情况汇总表</w:t>
            </w:r>
          </w:p>
          <w:tbl>
            <w:tblPr>
              <w:tblStyle w:val="1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618"/>
              <w:gridCol w:w="619"/>
              <w:gridCol w:w="1147"/>
              <w:gridCol w:w="711"/>
              <w:gridCol w:w="1122"/>
              <w:gridCol w:w="962"/>
              <w:gridCol w:w="697"/>
              <w:gridCol w:w="1256"/>
              <w:gridCol w:w="171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618" w:type="dxa"/>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序号</w:t>
                  </w:r>
                </w:p>
              </w:tc>
              <w:tc>
                <w:tcPr>
                  <w:tcW w:w="619" w:type="dxa"/>
                  <w:vAlign w:val="center"/>
                </w:tcPr>
                <w:p>
                  <w:pPr>
                    <w:widowControl/>
                    <w:jc w:val="center"/>
                    <w:rPr>
                      <w:rFonts w:ascii="Times New Roman" w:hAnsi="Times New Roman" w:eastAsia="宋体" w:cs="Times New Roman"/>
                      <w:kern w:val="2"/>
                      <w:sz w:val="21"/>
                      <w:szCs w:val="21"/>
                      <w:lang w:eastAsia="zh-CN"/>
                    </w:rPr>
                  </w:pPr>
                  <w:r>
                    <w:rPr>
                      <w:rFonts w:ascii="Times New Roman" w:hAnsi="Times New Roman" w:eastAsia="宋体" w:cs="Times New Roman"/>
                      <w:kern w:val="2"/>
                      <w:sz w:val="21"/>
                      <w:szCs w:val="21"/>
                      <w:lang w:eastAsia="zh-CN"/>
                    </w:rPr>
                    <w:t>产生环节</w:t>
                  </w:r>
                </w:p>
              </w:tc>
              <w:tc>
                <w:tcPr>
                  <w:tcW w:w="1147" w:type="dxa"/>
                  <w:vAlign w:val="center"/>
                </w:tcPr>
                <w:p>
                  <w:pPr>
                    <w:widowControl/>
                    <w:jc w:val="center"/>
                    <w:rPr>
                      <w:rFonts w:ascii="Times New Roman" w:hAnsi="Times New Roman" w:eastAsia="宋体" w:cs="Times New Roman"/>
                      <w:kern w:val="2"/>
                      <w:sz w:val="21"/>
                      <w:szCs w:val="21"/>
                      <w:lang w:eastAsia="zh-CN"/>
                    </w:rPr>
                  </w:pPr>
                  <w:r>
                    <w:rPr>
                      <w:rFonts w:ascii="Times New Roman" w:hAnsi="Times New Roman" w:eastAsia="宋体" w:cs="Times New Roman"/>
                      <w:kern w:val="2"/>
                      <w:sz w:val="21"/>
                      <w:szCs w:val="21"/>
                      <w:lang w:eastAsia="zh-CN"/>
                    </w:rPr>
                    <w:t>名称</w:t>
                  </w:r>
                </w:p>
              </w:tc>
              <w:tc>
                <w:tcPr>
                  <w:tcW w:w="711" w:type="dxa"/>
                  <w:vAlign w:val="center"/>
                </w:tcPr>
                <w:p>
                  <w:pPr>
                    <w:widowControl/>
                    <w:jc w:val="center"/>
                    <w:rPr>
                      <w:rFonts w:ascii="Times New Roman" w:hAnsi="Times New Roman" w:eastAsia="宋体" w:cs="Times New Roman"/>
                      <w:kern w:val="2"/>
                      <w:sz w:val="21"/>
                      <w:szCs w:val="21"/>
                      <w:lang w:eastAsia="zh-CN"/>
                    </w:rPr>
                  </w:pPr>
                  <w:r>
                    <w:rPr>
                      <w:rFonts w:ascii="Times New Roman" w:hAnsi="Times New Roman" w:eastAsia="宋体" w:cs="Times New Roman"/>
                      <w:kern w:val="2"/>
                      <w:sz w:val="21"/>
                      <w:szCs w:val="21"/>
                      <w:lang w:eastAsia="zh-CN"/>
                    </w:rPr>
                    <w:t>物理</w:t>
                  </w:r>
                </w:p>
                <w:p>
                  <w:pPr>
                    <w:widowControl/>
                    <w:jc w:val="center"/>
                    <w:rPr>
                      <w:rFonts w:ascii="Times New Roman" w:hAnsi="Times New Roman" w:eastAsia="宋体" w:cs="Times New Roman"/>
                      <w:kern w:val="2"/>
                      <w:sz w:val="21"/>
                      <w:szCs w:val="21"/>
                      <w:lang w:eastAsia="zh-CN"/>
                    </w:rPr>
                  </w:pPr>
                  <w:r>
                    <w:rPr>
                      <w:rFonts w:ascii="Times New Roman" w:hAnsi="Times New Roman" w:eastAsia="宋体" w:cs="Times New Roman"/>
                      <w:kern w:val="2"/>
                      <w:sz w:val="21"/>
                      <w:szCs w:val="21"/>
                      <w:lang w:eastAsia="zh-CN"/>
                    </w:rPr>
                    <w:t>性状</w:t>
                  </w:r>
                </w:p>
              </w:tc>
              <w:tc>
                <w:tcPr>
                  <w:tcW w:w="1122" w:type="dxa"/>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代码</w:t>
                  </w:r>
                </w:p>
              </w:tc>
              <w:tc>
                <w:tcPr>
                  <w:tcW w:w="962" w:type="dxa"/>
                  <w:vAlign w:val="center"/>
                </w:tcPr>
                <w:p>
                  <w:pPr>
                    <w:widowControl/>
                    <w:jc w:val="center"/>
                    <w:rPr>
                      <w:rFonts w:ascii="Times New Roman" w:hAnsi="Times New Roman" w:eastAsia="宋体" w:cs="Times New Roman"/>
                      <w:kern w:val="2"/>
                      <w:sz w:val="21"/>
                      <w:szCs w:val="21"/>
                      <w:lang w:eastAsia="zh-CN"/>
                    </w:rPr>
                  </w:pPr>
                  <w:r>
                    <w:rPr>
                      <w:rFonts w:ascii="Times New Roman" w:hAnsi="Times New Roman" w:eastAsia="宋体" w:cs="Times New Roman"/>
                      <w:kern w:val="2"/>
                      <w:sz w:val="21"/>
                      <w:szCs w:val="21"/>
                      <w:lang w:eastAsia="zh-CN"/>
                    </w:rPr>
                    <w:t>产生量</w:t>
                  </w:r>
                  <w:r>
                    <w:rPr>
                      <w:rFonts w:hint="eastAsia" w:ascii="Times New Roman" w:hAnsi="Times New Roman" w:eastAsia="宋体" w:cs="Times New Roman"/>
                      <w:kern w:val="2"/>
                      <w:sz w:val="21"/>
                      <w:szCs w:val="21"/>
                      <w:lang w:eastAsia="zh-CN"/>
                    </w:rPr>
                    <w:t>（</w:t>
                  </w:r>
                  <w:r>
                    <w:rPr>
                      <w:rFonts w:ascii="Times New Roman" w:hAnsi="Times New Roman" w:eastAsia="宋体" w:cs="Times New Roman"/>
                      <w:kern w:val="2"/>
                      <w:sz w:val="21"/>
                      <w:szCs w:val="21"/>
                      <w:lang w:eastAsia="zh-CN"/>
                    </w:rPr>
                    <w:t>t/a</w:t>
                  </w:r>
                  <w:r>
                    <w:rPr>
                      <w:rFonts w:hint="eastAsia" w:ascii="Times New Roman" w:hAnsi="Times New Roman" w:eastAsia="宋体" w:cs="Times New Roman"/>
                      <w:kern w:val="2"/>
                      <w:sz w:val="21"/>
                      <w:szCs w:val="21"/>
                      <w:lang w:eastAsia="zh-CN"/>
                    </w:rPr>
                    <w:t>）</w:t>
                  </w:r>
                </w:p>
              </w:tc>
              <w:tc>
                <w:tcPr>
                  <w:tcW w:w="697" w:type="dxa"/>
                  <w:vAlign w:val="center"/>
                </w:tcPr>
                <w:p>
                  <w:pPr>
                    <w:widowControl/>
                    <w:jc w:val="center"/>
                    <w:rPr>
                      <w:rFonts w:ascii="Times New Roman" w:hAnsi="Times New Roman" w:eastAsia="宋体" w:cs="Times New Roman"/>
                      <w:kern w:val="2"/>
                      <w:sz w:val="21"/>
                      <w:szCs w:val="21"/>
                      <w:lang w:eastAsia="zh-CN"/>
                    </w:rPr>
                  </w:pPr>
                  <w:r>
                    <w:rPr>
                      <w:rFonts w:ascii="Times New Roman" w:hAnsi="Times New Roman" w:eastAsia="宋体" w:cs="Times New Roman"/>
                      <w:kern w:val="2"/>
                      <w:sz w:val="21"/>
                      <w:szCs w:val="21"/>
                      <w:lang w:eastAsia="zh-CN"/>
                    </w:rPr>
                    <w:t>贮存方式</w:t>
                  </w:r>
                </w:p>
              </w:tc>
              <w:tc>
                <w:tcPr>
                  <w:tcW w:w="1256" w:type="dxa"/>
                  <w:vAlign w:val="center"/>
                </w:tcPr>
                <w:p>
                  <w:pPr>
                    <w:widowControl/>
                    <w:jc w:val="center"/>
                    <w:rPr>
                      <w:rFonts w:ascii="Times New Roman" w:hAnsi="Times New Roman" w:eastAsia="宋体" w:cs="Times New Roman"/>
                      <w:kern w:val="2"/>
                      <w:sz w:val="21"/>
                      <w:szCs w:val="21"/>
                      <w:lang w:eastAsia="zh-CN"/>
                    </w:rPr>
                  </w:pPr>
                  <w:r>
                    <w:rPr>
                      <w:rFonts w:ascii="Times New Roman" w:hAnsi="Times New Roman" w:eastAsia="宋体" w:cs="Times New Roman"/>
                      <w:kern w:val="2"/>
                      <w:sz w:val="21"/>
                      <w:szCs w:val="21"/>
                      <w:lang w:eastAsia="zh-CN"/>
                    </w:rPr>
                    <w:t>贮存</w:t>
                  </w:r>
                  <w:r>
                    <w:rPr>
                      <w:rFonts w:hint="eastAsia" w:ascii="Times New Roman" w:hAnsi="Times New Roman" w:eastAsia="宋体" w:cs="Times New Roman"/>
                      <w:kern w:val="2"/>
                      <w:sz w:val="21"/>
                      <w:szCs w:val="21"/>
                      <w:lang w:eastAsia="zh-CN"/>
                    </w:rPr>
                    <w:t>地点</w:t>
                  </w:r>
                </w:p>
              </w:tc>
              <w:tc>
                <w:tcPr>
                  <w:tcW w:w="1712" w:type="dxa"/>
                  <w:vAlign w:val="center"/>
                </w:tcPr>
                <w:p>
                  <w:pPr>
                    <w:widowControl/>
                    <w:jc w:val="center"/>
                    <w:rPr>
                      <w:rFonts w:ascii="Times New Roman" w:hAnsi="Times New Roman" w:eastAsia="宋体" w:cs="Times New Roman"/>
                      <w:kern w:val="2"/>
                      <w:sz w:val="21"/>
                      <w:szCs w:val="21"/>
                      <w:lang w:eastAsia="zh-CN"/>
                    </w:rPr>
                  </w:pPr>
                  <w:r>
                    <w:rPr>
                      <w:rFonts w:ascii="Times New Roman" w:hAnsi="Times New Roman" w:eastAsia="宋体" w:cs="Times New Roman"/>
                      <w:kern w:val="2"/>
                      <w:sz w:val="21"/>
                      <w:szCs w:val="21"/>
                      <w:lang w:eastAsia="zh-CN"/>
                    </w:rPr>
                    <w:t>处置措施及去向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18" w:type="dxa"/>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1</w:t>
                  </w:r>
                </w:p>
              </w:tc>
              <w:tc>
                <w:tcPr>
                  <w:tcW w:w="619" w:type="dxa"/>
                  <w:vAlign w:val="center"/>
                </w:tcPr>
                <w:p>
                  <w:pPr>
                    <w:widowControl/>
                    <w:jc w:val="center"/>
                    <w:rPr>
                      <w:rFonts w:ascii="Times New Roman" w:hAnsi="Times New Roman" w:eastAsia="宋体" w:cs="Times New Roman"/>
                      <w:kern w:val="2"/>
                      <w:sz w:val="21"/>
                      <w:szCs w:val="21"/>
                      <w:lang w:eastAsia="zh-CN"/>
                    </w:rPr>
                  </w:pPr>
                  <w:r>
                    <w:rPr>
                      <w:rFonts w:ascii="Times New Roman" w:hAnsi="Times New Roman" w:eastAsia="宋体" w:cs="Times New Roman"/>
                      <w:kern w:val="2"/>
                      <w:sz w:val="21"/>
                      <w:szCs w:val="21"/>
                      <w:lang w:eastAsia="zh-CN"/>
                    </w:rPr>
                    <w:t>生活</w:t>
                  </w:r>
                </w:p>
              </w:tc>
              <w:tc>
                <w:tcPr>
                  <w:tcW w:w="1147" w:type="dxa"/>
                  <w:vAlign w:val="center"/>
                </w:tcPr>
                <w:p>
                  <w:pPr>
                    <w:widowControl/>
                    <w:jc w:val="center"/>
                    <w:rPr>
                      <w:rFonts w:ascii="Times New Roman" w:hAnsi="Times New Roman" w:eastAsia="宋体" w:cs="Times New Roman"/>
                      <w:kern w:val="2"/>
                      <w:sz w:val="21"/>
                      <w:szCs w:val="21"/>
                      <w:lang w:eastAsia="zh-CN"/>
                    </w:rPr>
                  </w:pPr>
                  <w:r>
                    <w:rPr>
                      <w:rFonts w:ascii="Times New Roman" w:hAnsi="Times New Roman" w:eastAsia="宋体" w:cs="Times New Roman"/>
                      <w:kern w:val="2"/>
                      <w:sz w:val="21"/>
                      <w:szCs w:val="21"/>
                      <w:lang w:eastAsia="zh-CN"/>
                    </w:rPr>
                    <w:t>生活垃圾</w:t>
                  </w:r>
                </w:p>
              </w:tc>
              <w:tc>
                <w:tcPr>
                  <w:tcW w:w="711" w:type="dxa"/>
                  <w:vAlign w:val="center"/>
                </w:tcPr>
                <w:p>
                  <w:pPr>
                    <w:widowControl/>
                    <w:jc w:val="center"/>
                    <w:rPr>
                      <w:rFonts w:ascii="Times New Roman" w:hAnsi="Times New Roman" w:eastAsia="宋体" w:cs="Times New Roman"/>
                      <w:kern w:val="2"/>
                      <w:sz w:val="21"/>
                      <w:szCs w:val="21"/>
                      <w:lang w:eastAsia="zh-CN"/>
                    </w:rPr>
                  </w:pPr>
                  <w:r>
                    <w:rPr>
                      <w:rFonts w:ascii="Times New Roman" w:hAnsi="Times New Roman" w:eastAsia="宋体" w:cs="Times New Roman"/>
                      <w:kern w:val="2"/>
                      <w:sz w:val="21"/>
                      <w:szCs w:val="21"/>
                      <w:lang w:eastAsia="zh-CN"/>
                    </w:rPr>
                    <w:t>固态</w:t>
                  </w:r>
                </w:p>
              </w:tc>
              <w:tc>
                <w:tcPr>
                  <w:tcW w:w="1122" w:type="dxa"/>
                  <w:vAlign w:val="center"/>
                </w:tcPr>
                <w:p>
                  <w:pPr>
                    <w:widowControl/>
                    <w:jc w:val="center"/>
                    <w:rPr>
                      <w:rFonts w:ascii="Times New Roman" w:hAnsi="Times New Roman" w:eastAsia="宋体" w:cs="Times New Roman"/>
                      <w:kern w:val="2"/>
                      <w:sz w:val="21"/>
                      <w:szCs w:val="21"/>
                      <w:lang w:eastAsia="zh-CN"/>
                    </w:rPr>
                  </w:pPr>
                  <w:r>
                    <w:rPr>
                      <w:rFonts w:ascii="Times New Roman" w:hAnsi="Times New Roman" w:eastAsia="宋体" w:cs="Times New Roman"/>
                      <w:kern w:val="2"/>
                      <w:sz w:val="21"/>
                      <w:szCs w:val="21"/>
                      <w:lang w:eastAsia="zh-CN"/>
                    </w:rPr>
                    <w:t>900-099-S64</w:t>
                  </w:r>
                </w:p>
              </w:tc>
              <w:tc>
                <w:tcPr>
                  <w:tcW w:w="962" w:type="dxa"/>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8.76</w:t>
                  </w:r>
                </w:p>
              </w:tc>
              <w:tc>
                <w:tcPr>
                  <w:tcW w:w="697" w:type="dxa"/>
                  <w:vAlign w:val="center"/>
                </w:tcPr>
                <w:p>
                  <w:pPr>
                    <w:widowControl/>
                    <w:jc w:val="center"/>
                    <w:rPr>
                      <w:rFonts w:ascii="Times New Roman" w:hAnsi="Times New Roman" w:eastAsia="宋体" w:cs="Times New Roman"/>
                      <w:kern w:val="2"/>
                      <w:sz w:val="21"/>
                      <w:szCs w:val="21"/>
                      <w:lang w:eastAsia="zh-CN"/>
                    </w:rPr>
                  </w:pPr>
                  <w:r>
                    <w:rPr>
                      <w:rFonts w:ascii="Times New Roman" w:hAnsi="Times New Roman" w:eastAsia="宋体" w:cs="Times New Roman"/>
                      <w:kern w:val="2"/>
                      <w:sz w:val="21"/>
                      <w:szCs w:val="21"/>
                      <w:lang w:eastAsia="zh-CN"/>
                    </w:rPr>
                    <w:t>垃圾桶</w:t>
                  </w:r>
                </w:p>
              </w:tc>
              <w:tc>
                <w:tcPr>
                  <w:tcW w:w="1256" w:type="dxa"/>
                  <w:vAlign w:val="center"/>
                </w:tcPr>
                <w:p>
                  <w:pPr>
                    <w:widowControl/>
                    <w:jc w:val="center"/>
                    <w:rPr>
                      <w:rFonts w:ascii="Times New Roman" w:hAnsi="Times New Roman" w:eastAsia="宋体" w:cs="Times New Roman"/>
                      <w:kern w:val="2"/>
                      <w:sz w:val="21"/>
                      <w:szCs w:val="21"/>
                      <w:lang w:eastAsia="zh-CN"/>
                    </w:rPr>
                  </w:pPr>
                  <w:r>
                    <w:rPr>
                      <w:rFonts w:ascii="Times New Roman" w:hAnsi="Times New Roman" w:eastAsia="宋体" w:cs="Times New Roman"/>
                      <w:kern w:val="2"/>
                      <w:sz w:val="21"/>
                      <w:szCs w:val="21"/>
                      <w:lang w:eastAsia="zh-CN"/>
                    </w:rPr>
                    <w:t>垃圾桶</w:t>
                  </w:r>
                </w:p>
              </w:tc>
              <w:tc>
                <w:tcPr>
                  <w:tcW w:w="1712" w:type="dxa"/>
                  <w:vAlign w:val="center"/>
                </w:tcPr>
                <w:p>
                  <w:pPr>
                    <w:widowControl/>
                    <w:jc w:val="center"/>
                    <w:rPr>
                      <w:rFonts w:ascii="Times New Roman" w:hAnsi="Times New Roman" w:eastAsia="宋体" w:cs="Times New Roman"/>
                      <w:kern w:val="2"/>
                      <w:sz w:val="21"/>
                      <w:szCs w:val="21"/>
                      <w:lang w:eastAsia="zh-CN"/>
                    </w:rPr>
                  </w:pPr>
                  <w:r>
                    <w:rPr>
                      <w:rFonts w:ascii="Times New Roman" w:hAnsi="Times New Roman" w:eastAsia="宋体" w:cs="Times New Roman"/>
                      <w:kern w:val="2"/>
                      <w:sz w:val="21"/>
                      <w:szCs w:val="21"/>
                      <w:lang w:eastAsia="zh-CN"/>
                    </w:rPr>
                    <w:t>环卫部门处理</w:t>
                  </w:r>
                </w:p>
              </w:tc>
            </w:tr>
          </w:tbl>
          <w:p>
            <w:pPr>
              <w:spacing w:before="120" w:beforeLines="50"/>
              <w:jc w:val="center"/>
              <w:rPr>
                <w:rFonts w:ascii="Times New Roman" w:hAnsi="Times New Roman" w:eastAsia="宋体" w:cs="宋体"/>
                <w:b/>
                <w:color w:val="000000"/>
                <w:spacing w:val="6"/>
                <w:kern w:val="2"/>
                <w:sz w:val="24"/>
                <w:szCs w:val="20"/>
                <w:lang w:eastAsia="zh-CN"/>
              </w:rPr>
            </w:pPr>
            <w:r>
              <w:rPr>
                <w:rFonts w:ascii="Times New Roman" w:hAnsi="Times New Roman" w:eastAsia="宋体" w:cs="宋体"/>
                <w:b/>
                <w:color w:val="000000"/>
                <w:spacing w:val="6"/>
                <w:kern w:val="2"/>
                <w:sz w:val="24"/>
                <w:szCs w:val="20"/>
                <w:lang w:eastAsia="zh-CN"/>
              </w:rPr>
              <w:t>表</w:t>
            </w:r>
            <w:r>
              <w:rPr>
                <w:rFonts w:hint="eastAsia" w:ascii="Times New Roman" w:hAnsi="Times New Roman" w:eastAsia="宋体" w:cs="宋体"/>
                <w:b/>
                <w:color w:val="000000"/>
                <w:spacing w:val="6"/>
                <w:kern w:val="2"/>
                <w:sz w:val="24"/>
                <w:szCs w:val="20"/>
                <w:lang w:eastAsia="zh-CN"/>
              </w:rPr>
              <w:t>4.2-21</w:t>
            </w:r>
            <w:r>
              <w:rPr>
                <w:rFonts w:ascii="Times New Roman" w:hAnsi="Times New Roman" w:eastAsia="宋体" w:cs="宋体"/>
                <w:b/>
                <w:color w:val="000000"/>
                <w:spacing w:val="6"/>
                <w:kern w:val="2"/>
                <w:sz w:val="24"/>
                <w:szCs w:val="20"/>
                <w:lang w:eastAsia="zh-CN"/>
              </w:rPr>
              <w:t xml:space="preserve">  危险废物</w:t>
            </w:r>
            <w:r>
              <w:rPr>
                <w:rFonts w:hint="eastAsia" w:ascii="Times New Roman" w:hAnsi="Times New Roman" w:eastAsia="宋体" w:cs="宋体"/>
                <w:b/>
                <w:color w:val="000000"/>
                <w:spacing w:val="6"/>
                <w:kern w:val="2"/>
                <w:sz w:val="24"/>
                <w:szCs w:val="20"/>
                <w:lang w:eastAsia="zh-CN"/>
              </w:rPr>
              <w:t>产生及处理处置情况汇总表</w:t>
            </w:r>
          </w:p>
          <w:tbl>
            <w:tblPr>
              <w:tblStyle w:val="1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64"/>
              <w:gridCol w:w="1057"/>
              <w:gridCol w:w="848"/>
              <w:gridCol w:w="862"/>
              <w:gridCol w:w="820"/>
              <w:gridCol w:w="1023"/>
              <w:gridCol w:w="611"/>
              <w:gridCol w:w="703"/>
              <w:gridCol w:w="884"/>
              <w:gridCol w:w="864"/>
              <w:gridCol w:w="70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29" w:hRule="atLeast"/>
                <w:jc w:val="center"/>
              </w:trPr>
              <w:tc>
                <w:tcPr>
                  <w:tcW w:w="262" w:type="pct"/>
                  <w:vAlign w:val="center"/>
                </w:tcPr>
                <w:p>
                  <w:pPr>
                    <w:topLinePunct/>
                    <w:snapToGrid w:val="0"/>
                    <w:jc w:val="center"/>
                    <w:rPr>
                      <w:rFonts w:ascii="Times New Roman" w:hAnsi="Times New Roman" w:eastAsia="宋体" w:cs="Times New Roman"/>
                      <w:color w:val="000000"/>
                      <w:kern w:val="2"/>
                      <w:sz w:val="21"/>
                      <w:szCs w:val="21"/>
                      <w:lang w:eastAsia="zh-CN"/>
                    </w:rPr>
                  </w:pPr>
                  <w:r>
                    <w:rPr>
                      <w:rFonts w:ascii="Times New Roman" w:hAnsi="Times New Roman" w:eastAsia="宋体" w:cs="Times New Roman"/>
                      <w:color w:val="000000"/>
                      <w:kern w:val="2"/>
                      <w:sz w:val="21"/>
                      <w:szCs w:val="21"/>
                      <w:lang w:eastAsia="zh-CN"/>
                    </w:rPr>
                    <w:t>序号</w:t>
                  </w:r>
                </w:p>
              </w:tc>
              <w:tc>
                <w:tcPr>
                  <w:tcW w:w="597" w:type="pct"/>
                  <w:vAlign w:val="center"/>
                </w:tcPr>
                <w:p>
                  <w:pPr>
                    <w:topLinePunct/>
                    <w:snapToGrid w:val="0"/>
                    <w:jc w:val="center"/>
                    <w:rPr>
                      <w:rFonts w:ascii="Times New Roman" w:hAnsi="Times New Roman" w:eastAsia="宋体" w:cs="Times New Roman"/>
                      <w:color w:val="000000"/>
                      <w:kern w:val="2"/>
                      <w:sz w:val="21"/>
                      <w:szCs w:val="21"/>
                      <w:lang w:eastAsia="zh-CN"/>
                    </w:rPr>
                  </w:pPr>
                  <w:r>
                    <w:rPr>
                      <w:rFonts w:ascii="Times New Roman" w:hAnsi="Times New Roman" w:eastAsia="宋体" w:cs="Times New Roman"/>
                      <w:color w:val="000000"/>
                      <w:kern w:val="2"/>
                      <w:sz w:val="21"/>
                      <w:szCs w:val="21"/>
                      <w:lang w:eastAsia="zh-CN"/>
                    </w:rPr>
                    <w:t>危险废物名称</w:t>
                  </w:r>
                </w:p>
              </w:tc>
              <w:tc>
                <w:tcPr>
                  <w:tcW w:w="479" w:type="pct"/>
                  <w:vAlign w:val="center"/>
                </w:tcPr>
                <w:p>
                  <w:pPr>
                    <w:topLinePunct/>
                    <w:snapToGrid w:val="0"/>
                    <w:jc w:val="center"/>
                    <w:rPr>
                      <w:rFonts w:ascii="Times New Roman" w:hAnsi="Times New Roman" w:eastAsia="宋体" w:cs="Times New Roman"/>
                      <w:color w:val="000000"/>
                      <w:kern w:val="2"/>
                      <w:sz w:val="21"/>
                      <w:szCs w:val="21"/>
                      <w:lang w:eastAsia="zh-CN"/>
                    </w:rPr>
                  </w:pPr>
                  <w:r>
                    <w:rPr>
                      <w:rFonts w:ascii="Times New Roman" w:hAnsi="Times New Roman" w:eastAsia="宋体" w:cs="Times New Roman"/>
                      <w:color w:val="000000"/>
                      <w:kern w:val="2"/>
                      <w:sz w:val="21"/>
                      <w:szCs w:val="21"/>
                      <w:lang w:eastAsia="zh-CN"/>
                    </w:rPr>
                    <w:t>危险废物类别</w:t>
                  </w:r>
                </w:p>
              </w:tc>
              <w:tc>
                <w:tcPr>
                  <w:tcW w:w="487" w:type="pct"/>
                  <w:vAlign w:val="center"/>
                </w:tcPr>
                <w:p>
                  <w:pPr>
                    <w:topLinePunct/>
                    <w:snapToGrid w:val="0"/>
                    <w:jc w:val="center"/>
                    <w:rPr>
                      <w:rFonts w:ascii="Times New Roman" w:hAnsi="Times New Roman" w:eastAsia="宋体" w:cs="Times New Roman"/>
                      <w:color w:val="000000"/>
                      <w:kern w:val="2"/>
                      <w:sz w:val="21"/>
                      <w:szCs w:val="21"/>
                      <w:lang w:eastAsia="zh-CN"/>
                    </w:rPr>
                  </w:pPr>
                  <w:r>
                    <w:rPr>
                      <w:rFonts w:ascii="Times New Roman" w:hAnsi="Times New Roman" w:eastAsia="宋体" w:cs="Times New Roman"/>
                      <w:color w:val="000000"/>
                      <w:kern w:val="2"/>
                      <w:sz w:val="21"/>
                      <w:szCs w:val="21"/>
                      <w:lang w:eastAsia="zh-CN"/>
                    </w:rPr>
                    <w:t>危险废物代码</w:t>
                  </w:r>
                </w:p>
              </w:tc>
              <w:tc>
                <w:tcPr>
                  <w:tcW w:w="463" w:type="pct"/>
                  <w:vAlign w:val="center"/>
                </w:tcPr>
                <w:p>
                  <w:pPr>
                    <w:topLinePunct/>
                    <w:snapToGrid w:val="0"/>
                    <w:jc w:val="center"/>
                    <w:rPr>
                      <w:rFonts w:ascii="Times New Roman" w:hAnsi="Times New Roman" w:eastAsia="宋体" w:cs="Times New Roman"/>
                      <w:color w:val="000000"/>
                      <w:kern w:val="2"/>
                      <w:sz w:val="21"/>
                      <w:szCs w:val="21"/>
                      <w:lang w:eastAsia="zh-CN"/>
                    </w:rPr>
                  </w:pPr>
                  <w:r>
                    <w:rPr>
                      <w:rFonts w:ascii="Times New Roman" w:hAnsi="Times New Roman" w:eastAsia="宋体" w:cs="Times New Roman"/>
                      <w:color w:val="000000"/>
                      <w:kern w:val="2"/>
                      <w:sz w:val="21"/>
                      <w:szCs w:val="21"/>
                      <w:lang w:eastAsia="zh-CN"/>
                    </w:rPr>
                    <w:t>产生量</w:t>
                  </w:r>
                  <w:r>
                    <w:rPr>
                      <w:rFonts w:hint="eastAsia" w:ascii="Times New Roman" w:hAnsi="Times New Roman" w:eastAsia="宋体" w:cs="Times New Roman"/>
                      <w:color w:val="000000"/>
                      <w:kern w:val="2"/>
                      <w:sz w:val="21"/>
                      <w:szCs w:val="21"/>
                      <w:lang w:eastAsia="zh-CN"/>
                    </w:rPr>
                    <w:t>（</w:t>
                  </w:r>
                  <w:r>
                    <w:rPr>
                      <w:rFonts w:ascii="Times New Roman" w:hAnsi="Times New Roman" w:eastAsia="宋体" w:cs="Times New Roman"/>
                      <w:color w:val="000000"/>
                      <w:kern w:val="2"/>
                      <w:sz w:val="21"/>
                      <w:szCs w:val="21"/>
                      <w:lang w:eastAsia="zh-CN"/>
                    </w:rPr>
                    <w:t>t/a</w:t>
                  </w:r>
                  <w:r>
                    <w:rPr>
                      <w:rFonts w:hint="eastAsia" w:ascii="Times New Roman" w:hAnsi="Times New Roman" w:eastAsia="宋体" w:cs="Times New Roman"/>
                      <w:color w:val="000000"/>
                      <w:kern w:val="2"/>
                      <w:sz w:val="21"/>
                      <w:szCs w:val="21"/>
                      <w:lang w:eastAsia="zh-CN"/>
                    </w:rPr>
                    <w:t>）</w:t>
                  </w:r>
                </w:p>
              </w:tc>
              <w:tc>
                <w:tcPr>
                  <w:tcW w:w="578" w:type="pct"/>
                  <w:vAlign w:val="center"/>
                </w:tcPr>
                <w:p>
                  <w:pPr>
                    <w:topLinePunct/>
                    <w:snapToGrid w:val="0"/>
                    <w:jc w:val="center"/>
                    <w:rPr>
                      <w:rFonts w:ascii="Times New Roman" w:hAnsi="Times New Roman" w:eastAsia="宋体" w:cs="Times New Roman"/>
                      <w:color w:val="000000"/>
                      <w:kern w:val="2"/>
                      <w:sz w:val="21"/>
                      <w:szCs w:val="21"/>
                      <w:lang w:eastAsia="zh-CN"/>
                    </w:rPr>
                  </w:pPr>
                  <w:r>
                    <w:rPr>
                      <w:rFonts w:ascii="Times New Roman" w:hAnsi="Times New Roman" w:eastAsia="宋体" w:cs="Times New Roman"/>
                      <w:color w:val="000000"/>
                      <w:kern w:val="2"/>
                      <w:sz w:val="21"/>
                      <w:szCs w:val="21"/>
                      <w:lang w:eastAsia="zh-CN"/>
                    </w:rPr>
                    <w:t>产生工序及装置</w:t>
                  </w:r>
                </w:p>
              </w:tc>
              <w:tc>
                <w:tcPr>
                  <w:tcW w:w="345" w:type="pct"/>
                  <w:vAlign w:val="center"/>
                </w:tcPr>
                <w:p>
                  <w:pPr>
                    <w:topLinePunct/>
                    <w:snapToGrid w:val="0"/>
                    <w:jc w:val="center"/>
                    <w:rPr>
                      <w:rFonts w:ascii="Times New Roman" w:hAnsi="Times New Roman" w:eastAsia="宋体" w:cs="Times New Roman"/>
                      <w:color w:val="000000"/>
                      <w:kern w:val="2"/>
                      <w:sz w:val="21"/>
                      <w:szCs w:val="21"/>
                      <w:lang w:eastAsia="zh-CN"/>
                    </w:rPr>
                  </w:pPr>
                  <w:r>
                    <w:rPr>
                      <w:rFonts w:ascii="Times New Roman" w:hAnsi="Times New Roman" w:eastAsia="宋体" w:cs="Times New Roman"/>
                      <w:color w:val="000000"/>
                      <w:kern w:val="2"/>
                      <w:sz w:val="21"/>
                      <w:szCs w:val="21"/>
                      <w:lang w:eastAsia="zh-CN"/>
                    </w:rPr>
                    <w:t>形态</w:t>
                  </w:r>
                </w:p>
              </w:tc>
              <w:tc>
                <w:tcPr>
                  <w:tcW w:w="397" w:type="pct"/>
                  <w:vAlign w:val="center"/>
                </w:tcPr>
                <w:p>
                  <w:pPr>
                    <w:topLinePunct/>
                    <w:snapToGrid w:val="0"/>
                    <w:jc w:val="center"/>
                    <w:rPr>
                      <w:rFonts w:ascii="Times New Roman" w:hAnsi="Times New Roman" w:eastAsia="宋体" w:cs="Times New Roman"/>
                      <w:color w:val="000000"/>
                      <w:kern w:val="2"/>
                      <w:sz w:val="21"/>
                      <w:szCs w:val="21"/>
                      <w:lang w:eastAsia="zh-CN"/>
                    </w:rPr>
                  </w:pPr>
                  <w:r>
                    <w:rPr>
                      <w:rFonts w:ascii="Times New Roman" w:hAnsi="Times New Roman" w:eastAsia="宋体" w:cs="Times New Roman"/>
                      <w:color w:val="000000"/>
                      <w:kern w:val="2"/>
                      <w:sz w:val="21"/>
                      <w:szCs w:val="21"/>
                      <w:lang w:eastAsia="zh-CN"/>
                    </w:rPr>
                    <w:t>主要</w:t>
                  </w:r>
                </w:p>
                <w:p>
                  <w:pPr>
                    <w:topLinePunct/>
                    <w:snapToGrid w:val="0"/>
                    <w:jc w:val="center"/>
                    <w:rPr>
                      <w:rFonts w:ascii="Times New Roman" w:hAnsi="Times New Roman" w:eastAsia="宋体" w:cs="Times New Roman"/>
                      <w:color w:val="000000"/>
                      <w:kern w:val="2"/>
                      <w:sz w:val="21"/>
                      <w:szCs w:val="21"/>
                      <w:lang w:eastAsia="zh-CN"/>
                    </w:rPr>
                  </w:pPr>
                  <w:r>
                    <w:rPr>
                      <w:rFonts w:ascii="Times New Roman" w:hAnsi="Times New Roman" w:eastAsia="宋体" w:cs="Times New Roman"/>
                      <w:color w:val="000000"/>
                      <w:kern w:val="2"/>
                      <w:sz w:val="21"/>
                      <w:szCs w:val="21"/>
                      <w:lang w:eastAsia="zh-CN"/>
                    </w:rPr>
                    <w:t>成分</w:t>
                  </w:r>
                </w:p>
              </w:tc>
              <w:tc>
                <w:tcPr>
                  <w:tcW w:w="499" w:type="pct"/>
                  <w:vAlign w:val="center"/>
                </w:tcPr>
                <w:p>
                  <w:pPr>
                    <w:topLinePunct/>
                    <w:snapToGrid w:val="0"/>
                    <w:jc w:val="center"/>
                    <w:rPr>
                      <w:rFonts w:ascii="Times New Roman" w:hAnsi="Times New Roman" w:eastAsia="宋体" w:cs="Times New Roman"/>
                      <w:color w:val="000000"/>
                      <w:kern w:val="2"/>
                      <w:sz w:val="21"/>
                      <w:szCs w:val="21"/>
                      <w:lang w:eastAsia="zh-CN"/>
                    </w:rPr>
                  </w:pPr>
                  <w:r>
                    <w:rPr>
                      <w:rFonts w:ascii="Times New Roman" w:hAnsi="Times New Roman" w:eastAsia="宋体" w:cs="Times New Roman"/>
                      <w:color w:val="000000"/>
                      <w:kern w:val="2"/>
                      <w:sz w:val="21"/>
                      <w:szCs w:val="21"/>
                      <w:lang w:eastAsia="zh-CN"/>
                    </w:rPr>
                    <w:t>有害</w:t>
                  </w:r>
                </w:p>
                <w:p>
                  <w:pPr>
                    <w:topLinePunct/>
                    <w:snapToGrid w:val="0"/>
                    <w:jc w:val="center"/>
                    <w:rPr>
                      <w:rFonts w:ascii="Times New Roman" w:hAnsi="Times New Roman" w:eastAsia="宋体" w:cs="Times New Roman"/>
                      <w:color w:val="000000"/>
                      <w:kern w:val="2"/>
                      <w:sz w:val="21"/>
                      <w:szCs w:val="21"/>
                      <w:lang w:eastAsia="zh-CN"/>
                    </w:rPr>
                  </w:pPr>
                  <w:r>
                    <w:rPr>
                      <w:rFonts w:ascii="Times New Roman" w:hAnsi="Times New Roman" w:eastAsia="宋体" w:cs="Times New Roman"/>
                      <w:color w:val="000000"/>
                      <w:kern w:val="2"/>
                      <w:sz w:val="21"/>
                      <w:szCs w:val="21"/>
                      <w:lang w:eastAsia="zh-CN"/>
                    </w:rPr>
                    <w:t>成分</w:t>
                  </w:r>
                </w:p>
              </w:tc>
              <w:tc>
                <w:tcPr>
                  <w:tcW w:w="488" w:type="pct"/>
                  <w:vAlign w:val="center"/>
                </w:tcPr>
                <w:p>
                  <w:pPr>
                    <w:topLinePunct/>
                    <w:snapToGrid w:val="0"/>
                    <w:jc w:val="center"/>
                    <w:rPr>
                      <w:rFonts w:ascii="Times New Roman" w:hAnsi="Times New Roman" w:eastAsia="宋体" w:cs="Times New Roman"/>
                      <w:color w:val="000000"/>
                      <w:kern w:val="2"/>
                      <w:sz w:val="21"/>
                      <w:szCs w:val="21"/>
                      <w:lang w:eastAsia="zh-CN"/>
                    </w:rPr>
                  </w:pPr>
                  <w:r>
                    <w:rPr>
                      <w:rFonts w:ascii="Times New Roman" w:hAnsi="Times New Roman" w:eastAsia="宋体" w:cs="Times New Roman"/>
                      <w:color w:val="000000"/>
                      <w:kern w:val="2"/>
                      <w:sz w:val="21"/>
                      <w:szCs w:val="21"/>
                      <w:lang w:eastAsia="zh-CN"/>
                    </w:rPr>
                    <w:t>产废周期</w:t>
                  </w:r>
                </w:p>
              </w:tc>
              <w:tc>
                <w:tcPr>
                  <w:tcW w:w="400" w:type="pct"/>
                  <w:vAlign w:val="center"/>
                </w:tcPr>
                <w:p>
                  <w:pPr>
                    <w:topLinePunct/>
                    <w:snapToGrid w:val="0"/>
                    <w:jc w:val="center"/>
                    <w:rPr>
                      <w:rFonts w:ascii="Times New Roman" w:hAnsi="Times New Roman" w:eastAsia="宋体" w:cs="Times New Roman"/>
                      <w:color w:val="000000"/>
                      <w:kern w:val="2"/>
                      <w:sz w:val="21"/>
                      <w:szCs w:val="21"/>
                      <w:lang w:eastAsia="zh-CN"/>
                    </w:rPr>
                  </w:pPr>
                  <w:r>
                    <w:rPr>
                      <w:rFonts w:ascii="Times New Roman" w:hAnsi="Times New Roman" w:eastAsia="宋体" w:cs="Times New Roman"/>
                      <w:color w:val="000000"/>
                      <w:kern w:val="2"/>
                      <w:sz w:val="21"/>
                      <w:szCs w:val="21"/>
                      <w:lang w:eastAsia="zh-CN"/>
                    </w:rPr>
                    <w:t>危险特性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29" w:hRule="atLeast"/>
                <w:jc w:val="center"/>
              </w:trPr>
              <w:tc>
                <w:tcPr>
                  <w:tcW w:w="262" w:type="pct"/>
                  <w:vAlign w:val="center"/>
                </w:tcPr>
                <w:p>
                  <w:pPr>
                    <w:topLinePunct/>
                    <w:snapToGrid w:val="0"/>
                    <w:jc w:val="center"/>
                    <w:rPr>
                      <w:rFonts w:ascii="Times New Roman" w:hAnsi="Times New Roman" w:eastAsia="宋体" w:cs="Times New Roman"/>
                      <w:color w:val="000000"/>
                      <w:kern w:val="2"/>
                      <w:sz w:val="21"/>
                      <w:szCs w:val="21"/>
                      <w:lang w:eastAsia="zh-CN"/>
                    </w:rPr>
                  </w:pPr>
                  <w:r>
                    <w:rPr>
                      <w:rFonts w:ascii="Times New Roman" w:hAnsi="Times New Roman" w:eastAsia="宋体" w:cs="Times New Roman"/>
                      <w:color w:val="000000"/>
                      <w:kern w:val="2"/>
                      <w:sz w:val="21"/>
                      <w:szCs w:val="21"/>
                      <w:lang w:eastAsia="zh-CN"/>
                    </w:rPr>
                    <w:t>1</w:t>
                  </w:r>
                </w:p>
              </w:tc>
              <w:tc>
                <w:tcPr>
                  <w:tcW w:w="597" w:type="pct"/>
                  <w:vAlign w:val="center"/>
                </w:tcPr>
                <w:p>
                  <w:pPr>
                    <w:topLinePunct/>
                    <w:snapToGrid w:val="0"/>
                    <w:jc w:val="center"/>
                    <w:rPr>
                      <w:rFonts w:ascii="Times New Roman" w:hAnsi="Times New Roman" w:eastAsia="宋体" w:cs="Times New Roman"/>
                      <w:color w:val="000000"/>
                      <w:kern w:val="2"/>
                      <w:sz w:val="21"/>
                      <w:szCs w:val="21"/>
                      <w:lang w:eastAsia="zh-CN"/>
                    </w:rPr>
                  </w:pPr>
                  <w:r>
                    <w:rPr>
                      <w:rFonts w:ascii="Times New Roman" w:hAnsi="Times New Roman" w:eastAsia="宋体" w:cs="Times New Roman"/>
                      <w:color w:val="000000"/>
                      <w:kern w:val="2"/>
                      <w:sz w:val="21"/>
                      <w:szCs w:val="21"/>
                      <w:lang w:eastAsia="zh-CN"/>
                    </w:rPr>
                    <w:t>废油渣</w:t>
                  </w:r>
                </w:p>
              </w:tc>
              <w:tc>
                <w:tcPr>
                  <w:tcW w:w="479" w:type="pct"/>
                  <w:vAlign w:val="center"/>
                </w:tcPr>
                <w:p>
                  <w:pPr>
                    <w:topLinePunct/>
                    <w:snapToGrid w:val="0"/>
                    <w:jc w:val="center"/>
                    <w:rPr>
                      <w:rFonts w:ascii="Times New Roman" w:hAnsi="Times New Roman" w:eastAsia="宋体" w:cs="Times New Roman"/>
                      <w:color w:val="000000"/>
                      <w:kern w:val="2"/>
                      <w:sz w:val="21"/>
                      <w:szCs w:val="21"/>
                      <w:lang w:eastAsia="zh-CN"/>
                    </w:rPr>
                  </w:pPr>
                  <w:r>
                    <w:rPr>
                      <w:rFonts w:hint="eastAsia" w:ascii="Times New Roman" w:hAnsi="Times New Roman" w:eastAsia="宋体" w:cs="Times New Roman"/>
                      <w:color w:val="000000"/>
                      <w:kern w:val="2"/>
                      <w:sz w:val="21"/>
                      <w:szCs w:val="21"/>
                      <w:lang w:eastAsia="zh-CN"/>
                    </w:rPr>
                    <w:t>HW08</w:t>
                  </w:r>
                </w:p>
              </w:tc>
              <w:tc>
                <w:tcPr>
                  <w:tcW w:w="487" w:type="pct"/>
                  <w:vAlign w:val="center"/>
                </w:tcPr>
                <w:p>
                  <w:pPr>
                    <w:topLinePunct/>
                    <w:snapToGrid w:val="0"/>
                    <w:jc w:val="center"/>
                    <w:rPr>
                      <w:rFonts w:ascii="Times New Roman" w:hAnsi="Times New Roman" w:eastAsia="宋体" w:cs="Times New Roman"/>
                      <w:color w:val="000000"/>
                      <w:kern w:val="2"/>
                      <w:sz w:val="21"/>
                      <w:szCs w:val="21"/>
                      <w:lang w:eastAsia="zh-CN"/>
                    </w:rPr>
                  </w:pPr>
                  <w:r>
                    <w:rPr>
                      <w:rFonts w:ascii="Times New Roman" w:hAnsi="Times New Roman" w:eastAsia="宋体" w:cs="Times New Roman"/>
                      <w:color w:val="000000"/>
                      <w:kern w:val="2"/>
                      <w:sz w:val="21"/>
                      <w:szCs w:val="21"/>
                      <w:lang w:eastAsia="zh-CN"/>
                    </w:rPr>
                    <w:t>900-221-08</w:t>
                  </w:r>
                </w:p>
              </w:tc>
              <w:tc>
                <w:tcPr>
                  <w:tcW w:w="463" w:type="pct"/>
                  <w:vAlign w:val="center"/>
                </w:tcPr>
                <w:p>
                  <w:pPr>
                    <w:topLinePunct/>
                    <w:snapToGrid w:val="0"/>
                    <w:jc w:val="center"/>
                    <w:rPr>
                      <w:rFonts w:ascii="Times New Roman" w:hAnsi="Times New Roman" w:eastAsia="宋体" w:cs="Times New Roman"/>
                      <w:color w:val="000000"/>
                      <w:kern w:val="2"/>
                      <w:sz w:val="21"/>
                      <w:szCs w:val="21"/>
                      <w:lang w:eastAsia="zh-CN"/>
                    </w:rPr>
                  </w:pPr>
                  <w:r>
                    <w:rPr>
                      <w:rFonts w:hint="eastAsia" w:ascii="Times New Roman" w:hAnsi="Times New Roman" w:eastAsia="宋体" w:cs="Times New Roman"/>
                      <w:color w:val="000000"/>
                      <w:kern w:val="2"/>
                      <w:sz w:val="21"/>
                      <w:szCs w:val="21"/>
                      <w:lang w:eastAsia="zh-CN"/>
                    </w:rPr>
                    <w:t>1.5t/4a</w:t>
                  </w:r>
                </w:p>
              </w:tc>
              <w:tc>
                <w:tcPr>
                  <w:tcW w:w="578" w:type="pct"/>
                  <w:vAlign w:val="center"/>
                </w:tcPr>
                <w:p>
                  <w:pPr>
                    <w:topLinePunct/>
                    <w:snapToGrid w:val="0"/>
                    <w:jc w:val="center"/>
                    <w:rPr>
                      <w:rFonts w:ascii="Times New Roman" w:hAnsi="Times New Roman" w:eastAsia="宋体" w:cs="Times New Roman"/>
                      <w:color w:val="000000"/>
                      <w:kern w:val="2"/>
                      <w:sz w:val="21"/>
                      <w:szCs w:val="21"/>
                      <w:lang w:eastAsia="zh-CN"/>
                    </w:rPr>
                  </w:pPr>
                  <w:r>
                    <w:rPr>
                      <w:rFonts w:hint="eastAsia" w:ascii="Times New Roman" w:hAnsi="Times New Roman" w:eastAsia="宋体" w:cs="Times New Roman"/>
                      <w:color w:val="000000"/>
                      <w:kern w:val="2"/>
                      <w:sz w:val="21"/>
                      <w:szCs w:val="21"/>
                      <w:lang w:eastAsia="zh-CN"/>
                    </w:rPr>
                    <w:t>储油罐</w:t>
                  </w:r>
                </w:p>
              </w:tc>
              <w:tc>
                <w:tcPr>
                  <w:tcW w:w="345" w:type="pct"/>
                  <w:vAlign w:val="center"/>
                </w:tcPr>
                <w:p>
                  <w:pPr>
                    <w:topLinePunct/>
                    <w:snapToGrid w:val="0"/>
                    <w:jc w:val="center"/>
                    <w:rPr>
                      <w:rFonts w:ascii="Times New Roman" w:hAnsi="Times New Roman" w:eastAsia="宋体" w:cs="Times New Roman"/>
                      <w:color w:val="000000"/>
                      <w:kern w:val="2"/>
                      <w:sz w:val="21"/>
                      <w:szCs w:val="21"/>
                      <w:lang w:eastAsia="zh-CN"/>
                    </w:rPr>
                  </w:pPr>
                  <w:r>
                    <w:rPr>
                      <w:rFonts w:hint="eastAsia" w:ascii="Times New Roman" w:hAnsi="Times New Roman" w:eastAsia="宋体" w:cs="Times New Roman"/>
                      <w:color w:val="000000"/>
                      <w:kern w:val="2"/>
                      <w:sz w:val="21"/>
                      <w:szCs w:val="21"/>
                      <w:lang w:eastAsia="zh-CN"/>
                    </w:rPr>
                    <w:t>固液态</w:t>
                  </w:r>
                </w:p>
              </w:tc>
              <w:tc>
                <w:tcPr>
                  <w:tcW w:w="397" w:type="pct"/>
                  <w:vAlign w:val="center"/>
                </w:tcPr>
                <w:p>
                  <w:pPr>
                    <w:topLinePunct/>
                    <w:snapToGrid w:val="0"/>
                    <w:jc w:val="center"/>
                    <w:rPr>
                      <w:rFonts w:ascii="Times New Roman" w:hAnsi="Times New Roman" w:eastAsia="宋体" w:cs="Times New Roman"/>
                      <w:color w:val="000000"/>
                      <w:kern w:val="2"/>
                      <w:sz w:val="21"/>
                      <w:szCs w:val="21"/>
                      <w:lang w:eastAsia="zh-CN"/>
                    </w:rPr>
                  </w:pPr>
                  <w:r>
                    <w:rPr>
                      <w:rFonts w:hint="eastAsia" w:ascii="Times New Roman" w:hAnsi="Times New Roman" w:eastAsia="宋体" w:cs="Times New Roman"/>
                      <w:color w:val="000000"/>
                      <w:kern w:val="2"/>
                      <w:sz w:val="21"/>
                      <w:szCs w:val="21"/>
                      <w:lang w:eastAsia="zh-CN"/>
                    </w:rPr>
                    <w:t>汽油、柴油</w:t>
                  </w:r>
                </w:p>
              </w:tc>
              <w:tc>
                <w:tcPr>
                  <w:tcW w:w="499" w:type="pct"/>
                  <w:vAlign w:val="center"/>
                </w:tcPr>
                <w:p>
                  <w:pPr>
                    <w:topLinePunct/>
                    <w:snapToGrid w:val="0"/>
                    <w:jc w:val="center"/>
                    <w:rPr>
                      <w:rFonts w:ascii="Times New Roman" w:hAnsi="Times New Roman" w:eastAsia="宋体" w:cs="Times New Roman"/>
                      <w:color w:val="000000"/>
                      <w:kern w:val="2"/>
                      <w:sz w:val="21"/>
                      <w:szCs w:val="21"/>
                      <w:lang w:eastAsia="zh-CN"/>
                    </w:rPr>
                  </w:pPr>
                  <w:r>
                    <w:rPr>
                      <w:rFonts w:ascii="Times New Roman" w:hAnsi="Times New Roman" w:eastAsia="宋体" w:cs="Times New Roman"/>
                      <w:color w:val="000000"/>
                      <w:kern w:val="2"/>
                      <w:sz w:val="21"/>
                      <w:szCs w:val="21"/>
                      <w:lang w:eastAsia="zh-CN"/>
                    </w:rPr>
                    <w:t>油类物质</w:t>
                  </w:r>
                </w:p>
              </w:tc>
              <w:tc>
                <w:tcPr>
                  <w:tcW w:w="488" w:type="pct"/>
                  <w:vAlign w:val="center"/>
                </w:tcPr>
                <w:p>
                  <w:pPr>
                    <w:topLinePunct/>
                    <w:snapToGrid w:val="0"/>
                    <w:jc w:val="center"/>
                    <w:rPr>
                      <w:rFonts w:ascii="Times New Roman" w:hAnsi="Times New Roman" w:eastAsia="宋体" w:cs="Times New Roman"/>
                      <w:color w:val="000000"/>
                      <w:kern w:val="2"/>
                      <w:sz w:val="21"/>
                      <w:szCs w:val="21"/>
                      <w:lang w:eastAsia="zh-CN"/>
                    </w:rPr>
                  </w:pPr>
                  <w:r>
                    <w:rPr>
                      <w:rFonts w:hint="eastAsia" w:ascii="Times New Roman" w:hAnsi="Times New Roman" w:eastAsia="宋体" w:cs="Times New Roman"/>
                      <w:color w:val="000000"/>
                      <w:kern w:val="2"/>
                      <w:sz w:val="21"/>
                      <w:szCs w:val="21"/>
                      <w:lang w:eastAsia="zh-CN"/>
                    </w:rPr>
                    <w:t>4次/年</w:t>
                  </w:r>
                </w:p>
              </w:tc>
              <w:tc>
                <w:tcPr>
                  <w:tcW w:w="400" w:type="pct"/>
                  <w:vAlign w:val="center"/>
                </w:tcPr>
                <w:p>
                  <w:pPr>
                    <w:topLinePunct/>
                    <w:snapToGrid w:val="0"/>
                    <w:jc w:val="center"/>
                    <w:rPr>
                      <w:rFonts w:ascii="Times New Roman" w:hAnsi="Times New Roman" w:eastAsia="宋体" w:cs="Times New Roman"/>
                      <w:color w:val="000000"/>
                      <w:kern w:val="2"/>
                      <w:sz w:val="21"/>
                      <w:szCs w:val="21"/>
                      <w:lang w:eastAsia="zh-CN"/>
                    </w:rPr>
                  </w:pPr>
                  <w:r>
                    <w:rPr>
                      <w:rFonts w:ascii="Times New Roman" w:hAnsi="Times New Roman" w:eastAsia="宋体" w:cs="Times New Roman"/>
                      <w:color w:val="000000"/>
                      <w:kern w:val="2"/>
                      <w:sz w:val="21"/>
                      <w:szCs w:val="21"/>
                      <w:lang w:eastAsia="zh-CN"/>
                    </w:rPr>
                    <w:t>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629" w:hRule="atLeast"/>
                <w:jc w:val="center"/>
              </w:trPr>
              <w:tc>
                <w:tcPr>
                  <w:tcW w:w="262" w:type="pct"/>
                  <w:vAlign w:val="center"/>
                </w:tcPr>
                <w:p>
                  <w:pPr>
                    <w:topLinePunct/>
                    <w:snapToGrid w:val="0"/>
                    <w:jc w:val="center"/>
                    <w:rPr>
                      <w:rFonts w:ascii="Times New Roman" w:hAnsi="Times New Roman" w:eastAsia="宋体" w:cs="Times New Roman"/>
                      <w:color w:val="000000"/>
                      <w:kern w:val="2"/>
                      <w:sz w:val="21"/>
                      <w:szCs w:val="21"/>
                      <w:lang w:eastAsia="zh-CN"/>
                    </w:rPr>
                  </w:pPr>
                  <w:r>
                    <w:rPr>
                      <w:rFonts w:hint="eastAsia" w:ascii="Times New Roman" w:hAnsi="Times New Roman" w:eastAsia="宋体" w:cs="Times New Roman"/>
                      <w:color w:val="000000"/>
                      <w:kern w:val="2"/>
                      <w:sz w:val="21"/>
                      <w:szCs w:val="21"/>
                      <w:lang w:eastAsia="zh-CN"/>
                    </w:rPr>
                    <w:t>2</w:t>
                  </w:r>
                </w:p>
              </w:tc>
              <w:tc>
                <w:tcPr>
                  <w:tcW w:w="597" w:type="pct"/>
                  <w:vAlign w:val="center"/>
                </w:tcPr>
                <w:p>
                  <w:pPr>
                    <w:topLinePunct/>
                    <w:snapToGrid w:val="0"/>
                    <w:jc w:val="center"/>
                    <w:rPr>
                      <w:rFonts w:ascii="Times New Roman" w:hAnsi="Times New Roman" w:eastAsia="宋体" w:cs="Times New Roman"/>
                      <w:color w:val="000000"/>
                      <w:kern w:val="2"/>
                      <w:sz w:val="21"/>
                      <w:szCs w:val="21"/>
                      <w:lang w:eastAsia="zh-CN"/>
                    </w:rPr>
                  </w:pPr>
                  <w:r>
                    <w:rPr>
                      <w:rFonts w:hint="eastAsia" w:ascii="Times New Roman" w:hAnsi="Times New Roman" w:eastAsia="宋体" w:cs="Times New Roman"/>
                      <w:color w:val="000000"/>
                      <w:kern w:val="2"/>
                      <w:sz w:val="21"/>
                      <w:szCs w:val="21"/>
                      <w:lang w:eastAsia="zh-CN"/>
                    </w:rPr>
                    <w:t>含油污泥</w:t>
                  </w:r>
                </w:p>
              </w:tc>
              <w:tc>
                <w:tcPr>
                  <w:tcW w:w="479" w:type="pct"/>
                  <w:vAlign w:val="center"/>
                </w:tcPr>
                <w:p>
                  <w:pPr>
                    <w:topLinePunct/>
                    <w:snapToGrid w:val="0"/>
                    <w:jc w:val="center"/>
                    <w:rPr>
                      <w:rFonts w:ascii="Times New Roman" w:hAnsi="Times New Roman" w:eastAsia="宋体" w:cs="Times New Roman"/>
                      <w:color w:val="000000"/>
                      <w:kern w:val="2"/>
                      <w:sz w:val="21"/>
                      <w:szCs w:val="21"/>
                      <w:lang w:eastAsia="zh-CN"/>
                    </w:rPr>
                  </w:pPr>
                  <w:r>
                    <w:rPr>
                      <w:rFonts w:hint="eastAsia" w:ascii="Times New Roman" w:hAnsi="Times New Roman" w:eastAsia="宋体" w:cs="Times New Roman"/>
                      <w:color w:val="000000"/>
                      <w:kern w:val="2"/>
                      <w:sz w:val="21"/>
                      <w:szCs w:val="21"/>
                      <w:lang w:eastAsia="zh-CN"/>
                    </w:rPr>
                    <w:t>HW08</w:t>
                  </w:r>
                </w:p>
              </w:tc>
              <w:tc>
                <w:tcPr>
                  <w:tcW w:w="487" w:type="pct"/>
                  <w:vAlign w:val="center"/>
                </w:tcPr>
                <w:p>
                  <w:pPr>
                    <w:topLinePunct/>
                    <w:snapToGrid w:val="0"/>
                    <w:jc w:val="center"/>
                    <w:rPr>
                      <w:rFonts w:ascii="Times New Roman" w:hAnsi="Times New Roman" w:eastAsia="宋体" w:cs="Times New Roman"/>
                      <w:color w:val="000000"/>
                      <w:kern w:val="2"/>
                      <w:sz w:val="21"/>
                      <w:szCs w:val="21"/>
                      <w:lang w:eastAsia="zh-CN"/>
                    </w:rPr>
                  </w:pPr>
                  <w:r>
                    <w:rPr>
                      <w:rFonts w:ascii="Times New Roman" w:hAnsi="Times New Roman" w:eastAsia="宋体" w:cs="Times New Roman"/>
                      <w:color w:val="000000"/>
                      <w:kern w:val="2"/>
                      <w:sz w:val="21"/>
                      <w:szCs w:val="21"/>
                      <w:lang w:eastAsia="zh-CN"/>
                    </w:rPr>
                    <w:t>900-210-08</w:t>
                  </w:r>
                </w:p>
              </w:tc>
              <w:tc>
                <w:tcPr>
                  <w:tcW w:w="463" w:type="pct"/>
                  <w:vAlign w:val="center"/>
                </w:tcPr>
                <w:p>
                  <w:pPr>
                    <w:topLinePunct/>
                    <w:snapToGrid w:val="0"/>
                    <w:jc w:val="center"/>
                    <w:rPr>
                      <w:rFonts w:ascii="Times New Roman" w:hAnsi="Times New Roman" w:eastAsia="宋体" w:cs="Times New Roman"/>
                      <w:color w:val="000000"/>
                      <w:kern w:val="2"/>
                      <w:sz w:val="21"/>
                      <w:szCs w:val="21"/>
                      <w:lang w:eastAsia="zh-CN"/>
                    </w:rPr>
                  </w:pPr>
                  <w:r>
                    <w:rPr>
                      <w:rFonts w:hint="eastAsia" w:ascii="Times New Roman" w:hAnsi="Times New Roman" w:eastAsia="宋体" w:cs="Times New Roman"/>
                      <w:color w:val="000000"/>
                      <w:kern w:val="2"/>
                      <w:sz w:val="21"/>
                      <w:szCs w:val="21"/>
                      <w:lang w:eastAsia="zh-CN"/>
                    </w:rPr>
                    <w:t>0.2</w:t>
                  </w:r>
                </w:p>
              </w:tc>
              <w:tc>
                <w:tcPr>
                  <w:tcW w:w="578" w:type="pct"/>
                  <w:vAlign w:val="center"/>
                </w:tcPr>
                <w:p>
                  <w:pPr>
                    <w:topLinePunct/>
                    <w:snapToGrid w:val="0"/>
                    <w:jc w:val="center"/>
                    <w:rPr>
                      <w:rFonts w:ascii="Times New Roman" w:hAnsi="Times New Roman" w:eastAsia="宋体" w:cs="Times New Roman"/>
                      <w:color w:val="000000"/>
                      <w:kern w:val="2"/>
                      <w:sz w:val="21"/>
                      <w:szCs w:val="21"/>
                      <w:lang w:eastAsia="zh-CN"/>
                    </w:rPr>
                  </w:pPr>
                  <w:r>
                    <w:rPr>
                      <w:rFonts w:hint="eastAsia" w:ascii="Times New Roman" w:hAnsi="Times New Roman" w:eastAsia="宋体" w:cs="Times New Roman"/>
                      <w:color w:val="000000"/>
                      <w:kern w:val="2"/>
                      <w:sz w:val="21"/>
                      <w:szCs w:val="21"/>
                      <w:lang w:eastAsia="zh-CN"/>
                    </w:rPr>
                    <w:t>隔油池</w:t>
                  </w:r>
                </w:p>
              </w:tc>
              <w:tc>
                <w:tcPr>
                  <w:tcW w:w="345" w:type="pct"/>
                  <w:vAlign w:val="center"/>
                </w:tcPr>
                <w:p>
                  <w:pPr>
                    <w:topLinePunct/>
                    <w:snapToGrid w:val="0"/>
                    <w:jc w:val="center"/>
                    <w:rPr>
                      <w:rFonts w:ascii="Times New Roman" w:hAnsi="Times New Roman" w:eastAsia="宋体" w:cs="Times New Roman"/>
                      <w:color w:val="000000"/>
                      <w:kern w:val="2"/>
                      <w:sz w:val="21"/>
                      <w:szCs w:val="21"/>
                      <w:lang w:eastAsia="zh-CN"/>
                    </w:rPr>
                  </w:pPr>
                  <w:r>
                    <w:rPr>
                      <w:rFonts w:ascii="Times New Roman" w:hAnsi="Times New Roman" w:eastAsia="宋体" w:cs="Times New Roman"/>
                      <w:color w:val="000000"/>
                      <w:kern w:val="2"/>
                      <w:sz w:val="21"/>
                      <w:szCs w:val="21"/>
                      <w:lang w:eastAsia="zh-CN"/>
                    </w:rPr>
                    <w:t>固液态</w:t>
                  </w:r>
                </w:p>
              </w:tc>
              <w:tc>
                <w:tcPr>
                  <w:tcW w:w="397" w:type="pct"/>
                  <w:vAlign w:val="center"/>
                </w:tcPr>
                <w:p>
                  <w:pPr>
                    <w:topLinePunct/>
                    <w:snapToGrid w:val="0"/>
                    <w:jc w:val="center"/>
                    <w:rPr>
                      <w:rFonts w:ascii="Times New Roman" w:hAnsi="Times New Roman" w:eastAsia="宋体" w:cs="Times New Roman"/>
                      <w:color w:val="000000"/>
                      <w:kern w:val="2"/>
                      <w:sz w:val="21"/>
                      <w:szCs w:val="21"/>
                      <w:lang w:eastAsia="zh-CN"/>
                    </w:rPr>
                  </w:pPr>
                  <w:r>
                    <w:rPr>
                      <w:rFonts w:hint="eastAsia" w:ascii="Times New Roman" w:hAnsi="Times New Roman" w:eastAsia="宋体" w:cs="Times New Roman"/>
                      <w:color w:val="000000"/>
                      <w:kern w:val="2"/>
                      <w:sz w:val="21"/>
                      <w:szCs w:val="21"/>
                      <w:lang w:eastAsia="zh-CN"/>
                    </w:rPr>
                    <w:t>污泥</w:t>
                  </w:r>
                </w:p>
              </w:tc>
              <w:tc>
                <w:tcPr>
                  <w:tcW w:w="499" w:type="pct"/>
                  <w:vAlign w:val="center"/>
                </w:tcPr>
                <w:p>
                  <w:pPr>
                    <w:topLinePunct/>
                    <w:snapToGrid w:val="0"/>
                    <w:jc w:val="center"/>
                    <w:rPr>
                      <w:rFonts w:ascii="Times New Roman" w:hAnsi="Times New Roman" w:eastAsia="宋体" w:cs="Times New Roman"/>
                      <w:color w:val="000000"/>
                      <w:kern w:val="2"/>
                      <w:sz w:val="21"/>
                      <w:szCs w:val="21"/>
                      <w:lang w:eastAsia="zh-CN"/>
                    </w:rPr>
                  </w:pPr>
                  <w:r>
                    <w:rPr>
                      <w:rFonts w:hint="eastAsia" w:ascii="Times New Roman" w:hAnsi="Times New Roman" w:eastAsia="宋体" w:cs="Times New Roman"/>
                      <w:color w:val="000000"/>
                      <w:kern w:val="2"/>
                      <w:sz w:val="21"/>
                      <w:szCs w:val="21"/>
                      <w:lang w:eastAsia="zh-CN"/>
                    </w:rPr>
                    <w:t>油类物质</w:t>
                  </w:r>
                </w:p>
              </w:tc>
              <w:tc>
                <w:tcPr>
                  <w:tcW w:w="488" w:type="pct"/>
                  <w:vAlign w:val="center"/>
                </w:tcPr>
                <w:p>
                  <w:pPr>
                    <w:topLinePunct/>
                    <w:snapToGrid w:val="0"/>
                    <w:jc w:val="center"/>
                    <w:rPr>
                      <w:rFonts w:ascii="Times New Roman" w:hAnsi="Times New Roman" w:eastAsia="宋体" w:cs="Times New Roman"/>
                      <w:color w:val="000000"/>
                      <w:kern w:val="2"/>
                      <w:sz w:val="21"/>
                      <w:szCs w:val="21"/>
                      <w:lang w:eastAsia="zh-CN"/>
                    </w:rPr>
                  </w:pPr>
                  <w:r>
                    <w:rPr>
                      <w:rFonts w:hint="eastAsia" w:ascii="Times New Roman" w:hAnsi="Times New Roman" w:eastAsia="宋体" w:cs="Times New Roman"/>
                      <w:color w:val="000000"/>
                      <w:kern w:val="2"/>
                      <w:sz w:val="21"/>
                      <w:szCs w:val="21"/>
                      <w:lang w:eastAsia="zh-CN"/>
                    </w:rPr>
                    <w:t>1次/年</w:t>
                  </w:r>
                </w:p>
              </w:tc>
              <w:tc>
                <w:tcPr>
                  <w:tcW w:w="400" w:type="pct"/>
                  <w:vAlign w:val="center"/>
                </w:tcPr>
                <w:p>
                  <w:pPr>
                    <w:topLinePunct/>
                    <w:snapToGrid w:val="0"/>
                    <w:jc w:val="center"/>
                    <w:rPr>
                      <w:rFonts w:ascii="Times New Roman" w:hAnsi="Times New Roman" w:eastAsia="宋体" w:cs="Times New Roman"/>
                      <w:color w:val="000000"/>
                      <w:kern w:val="2"/>
                      <w:sz w:val="21"/>
                      <w:szCs w:val="21"/>
                      <w:lang w:eastAsia="zh-CN"/>
                    </w:rPr>
                  </w:pPr>
                </w:p>
              </w:tc>
            </w:tr>
            <w:bookmarkEnd w:id="13"/>
          </w:tbl>
          <w:p>
            <w:pPr>
              <w:pStyle w:val="45"/>
              <w:widowControl w:val="0"/>
              <w:ind w:firstLine="482"/>
              <w:rPr>
                <w:b/>
                <w:bCs/>
              </w:rPr>
            </w:pPr>
            <w:r>
              <w:rPr>
                <w:b/>
                <w:bCs/>
              </w:rPr>
              <w:t>4.2固体废物环境影响分析</w:t>
            </w:r>
          </w:p>
          <w:p>
            <w:pPr>
              <w:pStyle w:val="45"/>
              <w:widowControl w:val="0"/>
              <w:ind w:firstLine="480"/>
            </w:pPr>
            <w:r>
              <w:rPr>
                <w:rFonts w:hint="eastAsia"/>
              </w:rPr>
              <w:t>危险废物运输和转移</w:t>
            </w:r>
          </w:p>
          <w:p>
            <w:pPr>
              <w:pStyle w:val="45"/>
              <w:widowControl w:val="0"/>
              <w:ind w:firstLine="480"/>
            </w:pPr>
            <w:r>
              <w:rPr>
                <w:rFonts w:hint="eastAsia"/>
              </w:rPr>
              <w:t>企业应严格按照《危险废物转移管理办法》相关要求加强对危险废物转移活动的管理，危险废物运输和转移过程需注意：</w:t>
            </w:r>
          </w:p>
          <w:p>
            <w:pPr>
              <w:pStyle w:val="45"/>
              <w:widowControl w:val="0"/>
              <w:ind w:firstLine="480"/>
            </w:pPr>
            <w:r>
              <w:rPr>
                <w:rFonts w:hint="eastAsia"/>
              </w:rPr>
              <w:t>①危险废物转移应当遵循就近原则；</w:t>
            </w:r>
          </w:p>
          <w:p>
            <w:pPr>
              <w:pStyle w:val="45"/>
              <w:widowControl w:val="0"/>
              <w:ind w:firstLine="480"/>
            </w:pPr>
            <w:r>
              <w:rPr>
                <w:rFonts w:hint="eastAsia"/>
              </w:rPr>
              <w:t>②转移危险废物的，应当执行危险废物转移联单制度，应当通过国家危险废物信息管理系统（以下简称信息系统）填写、运行危险废物电子转移联单，并依照国家有关规定公开危险废物转移相关污染环境防治信息；</w:t>
            </w:r>
          </w:p>
          <w:p>
            <w:pPr>
              <w:pStyle w:val="45"/>
              <w:widowControl w:val="0"/>
              <w:ind w:firstLine="480"/>
            </w:pPr>
            <w:r>
              <w:rPr>
                <w:rFonts w:hint="eastAsia"/>
              </w:rPr>
              <w:t>③危险废物移出人在危险废物转移过程中应当采取防扬散、防流失、防渗漏或者其他防止污染环境的措施，不得擅自倾倒、堆放、丢弃、遗撒危险废物。</w:t>
            </w:r>
          </w:p>
          <w:p>
            <w:pPr>
              <w:pStyle w:val="45"/>
              <w:widowControl w:val="0"/>
              <w:ind w:firstLine="480"/>
            </w:pPr>
            <w:r>
              <w:rPr>
                <w:rFonts w:hint="eastAsia"/>
              </w:rPr>
              <w:t>④移出人应当履行以下义务：</w:t>
            </w:r>
          </w:p>
          <w:p>
            <w:pPr>
              <w:pStyle w:val="45"/>
              <w:widowControl w:val="0"/>
              <w:ind w:firstLine="480"/>
            </w:pPr>
            <w:r>
              <w:t>a</w:t>
            </w:r>
            <w:r>
              <w:rPr>
                <w:rFonts w:hint="eastAsia"/>
              </w:rPr>
              <w:t>、对承运人或者接受人的主体资格和技术能力进行核实，依法签订书面合同，并在合同中约定运输、贮存、利用、处置危险废物的污染防治要求及相关责任；</w:t>
            </w:r>
          </w:p>
          <w:p>
            <w:pPr>
              <w:pStyle w:val="45"/>
              <w:widowControl w:val="0"/>
              <w:ind w:firstLine="480"/>
            </w:pPr>
            <w:r>
              <w:t>b</w:t>
            </w:r>
            <w:r>
              <w:rPr>
                <w:rFonts w:hint="eastAsia"/>
              </w:rPr>
              <w:t>、制定危险废物管理计划，明确拟转移危险废物的种类、重量（数量）和流向等信息；</w:t>
            </w:r>
          </w:p>
          <w:p>
            <w:pPr>
              <w:pStyle w:val="45"/>
              <w:widowControl w:val="0"/>
              <w:ind w:firstLine="480"/>
            </w:pPr>
            <w:r>
              <w:t>c</w:t>
            </w:r>
            <w:r>
              <w:rPr>
                <w:rFonts w:hint="eastAsia"/>
              </w:rPr>
              <w:t>、建立危险废物管理台账，对转移的危险废物进行计量称重，如实记录、妥善保管转移危险废物的种类、重量（数量）和接受人等相关信息；</w:t>
            </w:r>
          </w:p>
          <w:p>
            <w:pPr>
              <w:pStyle w:val="45"/>
              <w:widowControl w:val="0"/>
              <w:ind w:firstLine="480"/>
            </w:pPr>
            <w:r>
              <w:t>d</w:t>
            </w:r>
            <w:r>
              <w:rPr>
                <w:rFonts w:hint="eastAsia"/>
              </w:rPr>
              <w:t>、填写、运行危险废物转移联单，在危险废物转移联单中如实填写移出人、承运人、接受人信息，转移危险废物的种类、重量（数量）、危险特性等信息，以及突发环境事件的防范措施等；</w:t>
            </w:r>
          </w:p>
          <w:p>
            <w:pPr>
              <w:pStyle w:val="45"/>
              <w:widowControl w:val="0"/>
              <w:ind w:firstLine="480"/>
            </w:pPr>
            <w:r>
              <w:t>e</w:t>
            </w:r>
            <w:r>
              <w:rPr>
                <w:rFonts w:hint="eastAsia"/>
              </w:rPr>
              <w:t>、及时核实接受人贮存、利用或者处置相关危险废物情况；</w:t>
            </w:r>
          </w:p>
          <w:p>
            <w:pPr>
              <w:pStyle w:val="45"/>
              <w:widowControl w:val="0"/>
              <w:ind w:firstLine="480"/>
            </w:pPr>
            <w:r>
              <w:t>f</w:t>
            </w:r>
            <w:r>
              <w:rPr>
                <w:rFonts w:hint="eastAsia"/>
              </w:rPr>
              <w:t>、法律法规规定的其他义务。</w:t>
            </w:r>
          </w:p>
          <w:p>
            <w:pPr>
              <w:pStyle w:val="45"/>
              <w:widowControl w:val="0"/>
              <w:ind w:firstLine="480"/>
              <w:rPr>
                <w:rFonts w:hint="eastAsia" w:ascii="宋体" w:hAnsi="宋体" w:cs="宋体"/>
              </w:rPr>
            </w:pPr>
            <w:r>
              <w:rPr>
                <w:rFonts w:hint="eastAsia" w:ascii="宋体" w:hAnsi="宋体" w:cs="宋体"/>
              </w:rPr>
              <w:t>移出人应当按照国家有关要求开展危险废物鉴别。禁止将危险废物以副产品等名义提供或者委托给无危险废物经营许可证的单位或者其他生产经营者从事收集、贮存、利用、处置活动。</w:t>
            </w:r>
          </w:p>
          <w:p>
            <w:pPr>
              <w:pStyle w:val="45"/>
              <w:widowControl w:val="0"/>
              <w:ind w:firstLine="482"/>
              <w:rPr>
                <w:b/>
                <w:bCs/>
              </w:rPr>
            </w:pPr>
            <w:r>
              <w:rPr>
                <w:rFonts w:hint="eastAsia"/>
                <w:b/>
                <w:bCs/>
                <w:lang w:val="en-US"/>
              </w:rPr>
              <w:t>5</w:t>
            </w:r>
            <w:r>
              <w:rPr>
                <w:b/>
                <w:bCs/>
                <w:lang w:val="en-US"/>
              </w:rPr>
              <w:t>地下</w:t>
            </w:r>
            <w:r>
              <w:rPr>
                <w:b/>
                <w:bCs/>
              </w:rPr>
              <w:t>水、土壤环境影响和保护措施</w:t>
            </w:r>
          </w:p>
          <w:p>
            <w:pPr>
              <w:pStyle w:val="45"/>
              <w:widowControl w:val="0"/>
              <w:ind w:firstLine="482"/>
            </w:pPr>
            <w:r>
              <w:rPr>
                <w:rFonts w:hint="eastAsia"/>
                <w:b/>
                <w:bCs/>
              </w:rPr>
              <w:t>5.1</w:t>
            </w:r>
            <w:r>
              <w:rPr>
                <w:b/>
                <w:bCs/>
              </w:rPr>
              <w:t>地下水、土壤环境影响分析</w:t>
            </w:r>
          </w:p>
          <w:p>
            <w:pPr>
              <w:pStyle w:val="45"/>
              <w:widowControl w:val="0"/>
              <w:ind w:firstLine="480"/>
            </w:pPr>
            <w:r>
              <w:t>(1)地下水环境</w:t>
            </w:r>
          </w:p>
          <w:p>
            <w:pPr>
              <w:pStyle w:val="45"/>
              <w:widowControl w:val="0"/>
              <w:ind w:firstLine="480"/>
            </w:pPr>
            <w:r>
              <w:t>本项目冲洗废水、生活污水经处理达标后排入市政污水管网，送往福清融元污水处理厂集中处理，项目废水不含有毒有害污染物，不含重金属等污染物，正常工况下生产废水处理设施各构筑物采取严格的防渗、防溢流等措施，废水不易渗漏和进入地下水。根据现场调查，项目评价区域无饮用水水源地，区域已全部开通自来水管网、生活用水采用自来水。</w:t>
            </w:r>
          </w:p>
          <w:p>
            <w:pPr>
              <w:pStyle w:val="45"/>
              <w:widowControl w:val="0"/>
              <w:ind w:firstLine="480"/>
            </w:pPr>
            <w:r>
              <w:t>建设单位采取分区防渗防控措施后，在正常工况下，建设项目防渗设施充足，不会发生污水泄漏；非正常工况下，会对地下水下游造成一定的污染。为了避免污染事故，评价要求建设单位应严格落实评价提出的各项防治措施及相关设计规范的要求，同时做好地下水监控及污染事故应急方案。</w:t>
            </w:r>
          </w:p>
          <w:p>
            <w:pPr>
              <w:pStyle w:val="45"/>
              <w:widowControl w:val="0"/>
              <w:ind w:firstLine="480"/>
            </w:pPr>
            <w:r>
              <w:t>(2)土壤环境影响分析</w:t>
            </w:r>
          </w:p>
          <w:p>
            <w:pPr>
              <w:pStyle w:val="45"/>
              <w:widowControl w:val="0"/>
              <w:ind w:firstLine="480"/>
            </w:pPr>
            <w:r>
              <w:t>项目运营期对土壤的环境影响主要来自“三废”排放。</w:t>
            </w:r>
          </w:p>
          <w:p>
            <w:pPr>
              <w:pStyle w:val="45"/>
              <w:widowControl w:val="0"/>
              <w:ind w:firstLine="480"/>
            </w:pPr>
            <w:r>
              <w:rPr>
                <w:rFonts w:ascii="Cambria Math" w:hAnsi="Cambria Math" w:cs="Cambria Math"/>
              </w:rPr>
              <w:t>①</w:t>
            </w:r>
            <w:r>
              <w:t>废气对土壤环境的影响</w:t>
            </w:r>
          </w:p>
          <w:p>
            <w:pPr>
              <w:pStyle w:val="45"/>
              <w:widowControl w:val="0"/>
              <w:ind w:firstLine="480"/>
            </w:pPr>
            <w:r>
              <w:t>废气中的污染物，通过降水、扩散和重力作用降落至地面，渗透进入土壤，进而污染土壤环境。</w:t>
            </w:r>
          </w:p>
          <w:p>
            <w:pPr>
              <w:pStyle w:val="45"/>
              <w:widowControl w:val="0"/>
              <w:ind w:firstLine="480"/>
            </w:pPr>
            <w:r>
              <w:rPr>
                <w:rFonts w:ascii="Cambria Math" w:hAnsi="Cambria Math" w:cs="Cambria Math"/>
              </w:rPr>
              <w:t>②</w:t>
            </w:r>
            <w:r>
              <w:t>废水对土壤环境的影响</w:t>
            </w:r>
          </w:p>
          <w:p>
            <w:pPr>
              <w:pStyle w:val="45"/>
              <w:widowControl w:val="0"/>
              <w:ind w:firstLine="480"/>
            </w:pPr>
            <w:r>
              <w:t>项目废水排入市政污水管网。正常情况下，项目运营期废水对土壤环境的影响不大。</w:t>
            </w:r>
          </w:p>
          <w:p>
            <w:pPr>
              <w:pStyle w:val="45"/>
              <w:widowControl w:val="0"/>
              <w:ind w:firstLine="480"/>
            </w:pPr>
            <w:r>
              <w:rPr>
                <w:rFonts w:ascii="Cambria Math" w:hAnsi="Cambria Math" w:cs="Cambria Math"/>
              </w:rPr>
              <w:t>③</w:t>
            </w:r>
            <w:r>
              <w:t>固体废物对土壤环境的影响</w:t>
            </w:r>
          </w:p>
          <w:p>
            <w:pPr>
              <w:pStyle w:val="45"/>
              <w:widowControl w:val="0"/>
              <w:ind w:firstLine="480"/>
            </w:pPr>
            <w:r>
              <w:t>固体废物泄漏或危险废物未及时处理而产生的渗出液、滤沥液进入土壤，进而污染土壤环境。</w:t>
            </w:r>
          </w:p>
          <w:p>
            <w:pPr>
              <w:pStyle w:val="45"/>
              <w:widowControl w:val="0"/>
              <w:ind w:firstLine="480"/>
            </w:pPr>
            <w:r>
              <w:rPr>
                <w:rFonts w:ascii="Cambria Math" w:hAnsi="Cambria Math" w:cs="Cambria Math"/>
              </w:rPr>
              <w:t>④</w:t>
            </w:r>
            <w:r>
              <w:t>污染物进入土壤产生的影响</w:t>
            </w:r>
          </w:p>
          <w:p>
            <w:pPr>
              <w:pStyle w:val="45"/>
              <w:widowControl w:val="0"/>
              <w:ind w:firstLine="480"/>
            </w:pPr>
            <w:r>
              <w:t>根据分析可知，物料渗漏影响土壤的主要是有机物，有机物进入土壤的数量和速度超过了土壤的净化作用的速度，破坏了自然动态平衡，使污染物的积累过程逐渐占据优势，从而导致土壤自然正常功能失调，土壤质量下降，并影响到作物的生长发育，以及产量和质量下降。有机物污染进入土壤后，可危及农作物生长和土壤生物的生存，而土壤污染往往是以食物链方式通过粮食、蔬菜、水果、茶叶及草食性动物(如家禽家畜)乃至肉食性动物等最后进入人体而影响人群健康。因此，这是一个逐步累积的过程，具有隐蔽性和潜伏性。人体接触污染土壤后，手脚出现红色皮疹，并有恶心，头晕现象。</w:t>
            </w:r>
          </w:p>
          <w:p>
            <w:pPr>
              <w:pStyle w:val="45"/>
              <w:widowControl w:val="0"/>
              <w:ind w:firstLine="482"/>
              <w:rPr>
                <w:b/>
                <w:bCs/>
              </w:rPr>
            </w:pPr>
            <w:r>
              <w:rPr>
                <w:rFonts w:hint="eastAsia"/>
                <w:b/>
                <w:bCs/>
              </w:rPr>
              <w:t>5.2</w:t>
            </w:r>
            <w:r>
              <w:rPr>
                <w:b/>
                <w:bCs/>
              </w:rPr>
              <w:t>地下水、土壤环境防控措施</w:t>
            </w:r>
          </w:p>
          <w:p>
            <w:pPr>
              <w:pStyle w:val="45"/>
              <w:widowControl w:val="0"/>
              <w:ind w:firstLine="480"/>
            </w:pPr>
            <w:r>
              <w:t>(1)分区防渗措施</w:t>
            </w:r>
          </w:p>
          <w:p>
            <w:pPr>
              <w:pStyle w:val="45"/>
              <w:widowControl w:val="0"/>
              <w:ind w:firstLine="480"/>
            </w:pPr>
            <w:r>
              <w:t>根据本项目可能泄漏至地面区域污染物的性质和生产单元的构筑方式，将厂区划分为重点污染防治区、一般污染防治区，针对不同的区域提出相应的防渗要求。根据《环境影响评价技术导则地下水环境》(HJ610-2016)的要求，项目分区防渗防治要求见表</w:t>
            </w:r>
            <w:r>
              <w:rPr>
                <w:rFonts w:hint="eastAsia"/>
                <w:lang w:val="en-US"/>
              </w:rPr>
              <w:t>4.2-22</w:t>
            </w:r>
            <w:r>
              <w:t>。</w:t>
            </w:r>
          </w:p>
          <w:p>
            <w:pPr>
              <w:pStyle w:val="42"/>
              <w:spacing w:before="120"/>
            </w:pPr>
            <w:r>
              <w:t>表</w:t>
            </w:r>
            <w:r>
              <w:rPr>
                <w:rFonts w:hint="eastAsia"/>
              </w:rPr>
              <w:t xml:space="preserve">4.2-22  </w:t>
            </w:r>
            <w:r>
              <w:t>土壤污染防治分区一览表</w:t>
            </w:r>
          </w:p>
          <w:tbl>
            <w:tblPr>
              <w:tblStyle w:val="4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16"/>
              <w:gridCol w:w="1921"/>
              <w:gridCol w:w="1996"/>
              <w:gridCol w:w="351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1296" w:type="dxa"/>
                  <w:vAlign w:val="center"/>
                </w:tcPr>
                <w:p>
                  <w:pPr>
                    <w:pStyle w:val="39"/>
                  </w:pPr>
                  <w:r>
                    <w:t>防治分区</w:t>
                  </w:r>
                </w:p>
              </w:tc>
              <w:tc>
                <w:tcPr>
                  <w:tcW w:w="1758" w:type="dxa"/>
                  <w:vAlign w:val="center"/>
                </w:tcPr>
                <w:p>
                  <w:pPr>
                    <w:pStyle w:val="39"/>
                  </w:pPr>
                  <w:r>
                    <w:rPr>
                      <w:spacing w:val="7"/>
                    </w:rPr>
                    <w:t>装置名称</w:t>
                  </w:r>
                </w:p>
              </w:tc>
              <w:tc>
                <w:tcPr>
                  <w:tcW w:w="1826" w:type="dxa"/>
                  <w:vAlign w:val="center"/>
                </w:tcPr>
                <w:p>
                  <w:pPr>
                    <w:pStyle w:val="39"/>
                  </w:pPr>
                  <w:r>
                    <w:t>防渗区域</w:t>
                  </w:r>
                </w:p>
              </w:tc>
              <w:tc>
                <w:tcPr>
                  <w:tcW w:w="3212" w:type="dxa"/>
                  <w:vAlign w:val="center"/>
                </w:tcPr>
                <w:p>
                  <w:pPr>
                    <w:pStyle w:val="39"/>
                  </w:pPr>
                  <w:r>
                    <w:t>防渗要求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96" w:type="dxa"/>
                  <w:vMerge w:val="restart"/>
                  <w:vAlign w:val="center"/>
                </w:tcPr>
                <w:p>
                  <w:pPr>
                    <w:pStyle w:val="39"/>
                  </w:pPr>
                  <w:r>
                    <w:rPr>
                      <w:spacing w:val="6"/>
                    </w:rPr>
                    <w:t>重点防</w:t>
                  </w:r>
                  <w:r>
                    <w:t>渗区</w:t>
                  </w:r>
                </w:p>
              </w:tc>
              <w:tc>
                <w:tcPr>
                  <w:tcW w:w="1758" w:type="dxa"/>
                  <w:vAlign w:val="center"/>
                </w:tcPr>
                <w:p>
                  <w:pPr>
                    <w:pStyle w:val="39"/>
                  </w:pPr>
                  <w:r>
                    <w:rPr>
                      <w:spacing w:val="2"/>
                    </w:rPr>
                    <w:t>隔油池</w:t>
                  </w:r>
                </w:p>
              </w:tc>
              <w:tc>
                <w:tcPr>
                  <w:tcW w:w="1826" w:type="dxa"/>
                  <w:vMerge w:val="restart"/>
                  <w:vAlign w:val="center"/>
                </w:tcPr>
                <w:p>
                  <w:pPr>
                    <w:pStyle w:val="39"/>
                  </w:pPr>
                  <w:r>
                    <w:rPr>
                      <w:rFonts w:hint="eastAsia"/>
                      <w:spacing w:val="9"/>
                    </w:rPr>
                    <w:t>池底及池壁、</w:t>
                  </w:r>
                  <w:r>
                    <w:rPr>
                      <w:spacing w:val="9"/>
                    </w:rPr>
                    <w:t>沟底和沟壁</w:t>
                  </w:r>
                  <w:r>
                    <w:rPr>
                      <w:spacing w:val="8"/>
                    </w:rPr>
                    <w:t>等</w:t>
                  </w:r>
                </w:p>
              </w:tc>
              <w:tc>
                <w:tcPr>
                  <w:tcW w:w="3212" w:type="dxa"/>
                  <w:vMerge w:val="restart"/>
                  <w:vAlign w:val="center"/>
                </w:tcPr>
                <w:p>
                  <w:pPr>
                    <w:pStyle w:val="39"/>
                  </w:pPr>
                  <w:r>
                    <w:rPr>
                      <w:spacing w:val="8"/>
                    </w:rPr>
                    <w:t>等效黏土防渗层</w:t>
                  </w:r>
                </w:p>
                <w:p>
                  <w:pPr>
                    <w:pStyle w:val="39"/>
                  </w:pPr>
                  <w:r>
                    <w:rPr>
                      <w:rFonts w:eastAsia="Times New Roman"/>
                    </w:rPr>
                    <w:t>Mb</w:t>
                  </w:r>
                  <w:r>
                    <w:rPr>
                      <w:rFonts w:eastAsia="Times New Roman"/>
                      <w:spacing w:val="6"/>
                    </w:rPr>
                    <w:t>≥6.0m</w:t>
                  </w:r>
                  <w:r>
                    <w:rPr>
                      <w:spacing w:val="6"/>
                    </w:rPr>
                    <w:t>、渗透系数</w:t>
                  </w:r>
                </w:p>
                <w:p>
                  <w:pPr>
                    <w:pStyle w:val="39"/>
                    <w:rPr>
                      <w:rFonts w:eastAsia="Times New Roman"/>
                      <w:sz w:val="20"/>
                      <w:szCs w:val="20"/>
                    </w:rPr>
                  </w:pPr>
                  <w:r>
                    <w:rPr>
                      <w:rFonts w:eastAsia="Times New Roman"/>
                      <w:sz w:val="20"/>
                      <w:szCs w:val="20"/>
                    </w:rPr>
                    <w:t>K≤1.0×10</w:t>
                  </w:r>
                  <w:r>
                    <w:rPr>
                      <w:rFonts w:eastAsia="Times New Roman"/>
                      <w:position w:val="6"/>
                      <w:sz w:val="13"/>
                      <w:szCs w:val="13"/>
                    </w:rPr>
                    <w:t>-7</w:t>
                  </w:r>
                  <w:r>
                    <w:rPr>
                      <w:rFonts w:eastAsia="Times New Roman"/>
                      <w:sz w:val="20"/>
                      <w:szCs w:val="20"/>
                    </w:rPr>
                    <w:t>cm/s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1296" w:type="dxa"/>
                  <w:vMerge w:val="continue"/>
                  <w:vAlign w:val="center"/>
                </w:tcPr>
                <w:p>
                  <w:pPr>
                    <w:pStyle w:val="39"/>
                  </w:pPr>
                </w:p>
              </w:tc>
              <w:tc>
                <w:tcPr>
                  <w:tcW w:w="1758" w:type="dxa"/>
                  <w:vAlign w:val="center"/>
                </w:tcPr>
                <w:p>
                  <w:pPr>
                    <w:pStyle w:val="39"/>
                  </w:pPr>
                  <w:r>
                    <w:rPr>
                      <w:spacing w:val="6"/>
                    </w:rPr>
                    <w:t>集油沟</w:t>
                  </w:r>
                </w:p>
              </w:tc>
              <w:tc>
                <w:tcPr>
                  <w:tcW w:w="1826" w:type="dxa"/>
                  <w:vMerge w:val="continue"/>
                  <w:tcBorders>
                    <w:bottom w:val="single" w:color="auto" w:sz="4" w:space="0"/>
                  </w:tcBorders>
                  <w:vAlign w:val="center"/>
                </w:tcPr>
                <w:p>
                  <w:pPr>
                    <w:pStyle w:val="39"/>
                  </w:pPr>
                </w:p>
              </w:tc>
              <w:tc>
                <w:tcPr>
                  <w:tcW w:w="3212" w:type="dxa"/>
                  <w:vMerge w:val="continue"/>
                  <w:tcBorders>
                    <w:bottom w:val="single" w:color="auto" w:sz="4" w:space="0"/>
                  </w:tcBorders>
                  <w:vAlign w:val="center"/>
                </w:tcPr>
                <w:p>
                  <w:pPr>
                    <w:pStyle w:val="39"/>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96" w:type="dxa"/>
                  <w:vMerge w:val="continue"/>
                  <w:vAlign w:val="center"/>
                </w:tcPr>
                <w:p>
                  <w:pPr>
                    <w:pStyle w:val="39"/>
                  </w:pPr>
                </w:p>
              </w:tc>
              <w:tc>
                <w:tcPr>
                  <w:tcW w:w="1758" w:type="dxa"/>
                  <w:vAlign w:val="center"/>
                </w:tcPr>
                <w:p>
                  <w:pPr>
                    <w:pStyle w:val="39"/>
                  </w:pPr>
                  <w:r>
                    <w:rPr>
                      <w:spacing w:val="8"/>
                    </w:rPr>
                    <w:t>地下油罐、埋地</w:t>
                  </w:r>
                  <w:r>
                    <w:rPr>
                      <w:spacing w:val="6"/>
                    </w:rPr>
                    <w:t>加油管</w:t>
                  </w:r>
                </w:p>
              </w:tc>
              <w:tc>
                <w:tcPr>
                  <w:tcW w:w="1826" w:type="dxa"/>
                  <w:tcBorders>
                    <w:top w:val="single" w:color="auto" w:sz="4" w:space="0"/>
                  </w:tcBorders>
                  <w:vAlign w:val="center"/>
                </w:tcPr>
                <w:p>
                  <w:pPr>
                    <w:pStyle w:val="39"/>
                  </w:pPr>
                  <w:r>
                    <w:rPr>
                      <w:rFonts w:hint="eastAsia"/>
                    </w:rPr>
                    <w:t>储罐及管道</w:t>
                  </w:r>
                </w:p>
              </w:tc>
              <w:tc>
                <w:tcPr>
                  <w:tcW w:w="3212" w:type="dxa"/>
                  <w:tcBorders>
                    <w:top w:val="single" w:color="auto" w:sz="4" w:space="0"/>
                  </w:tcBorders>
                  <w:vAlign w:val="center"/>
                </w:tcPr>
                <w:p>
                  <w:pPr>
                    <w:pStyle w:val="39"/>
                  </w:pPr>
                  <w:r>
                    <w:t>埋地油罐采用钢制双层壁埋地储油罐，内、外罐壁厚分别不应小于6mm和4mm</w:t>
                  </w:r>
                  <w:r>
                    <w:rPr>
                      <w:rFonts w:hint="eastAsia"/>
                    </w:rPr>
                    <w:t>；采用</w:t>
                  </w:r>
                  <w:r>
                    <w:t>20#</w:t>
                  </w:r>
                  <w:r>
                    <w:rPr>
                      <w:rFonts w:hint="eastAsia"/>
                    </w:rPr>
                    <w:t>无缝钢管，焊接并防腐、防静电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1296" w:type="dxa"/>
                  <w:vMerge w:val="restart"/>
                  <w:vAlign w:val="center"/>
                </w:tcPr>
                <w:p>
                  <w:pPr>
                    <w:pStyle w:val="39"/>
                  </w:pPr>
                  <w:r>
                    <w:rPr>
                      <w:spacing w:val="5"/>
                    </w:rPr>
                    <w:t>一般防</w:t>
                  </w:r>
                  <w:r>
                    <w:t>渗区</w:t>
                  </w:r>
                </w:p>
              </w:tc>
              <w:tc>
                <w:tcPr>
                  <w:tcW w:w="1758" w:type="dxa"/>
                  <w:vAlign w:val="center"/>
                </w:tcPr>
                <w:p>
                  <w:pPr>
                    <w:pStyle w:val="39"/>
                  </w:pPr>
                  <w:r>
                    <w:rPr>
                      <w:spacing w:val="8"/>
                    </w:rPr>
                    <w:t>加油棚地面</w:t>
                  </w:r>
                </w:p>
              </w:tc>
              <w:tc>
                <w:tcPr>
                  <w:tcW w:w="1826" w:type="dxa"/>
                  <w:vAlign w:val="center"/>
                </w:tcPr>
                <w:p>
                  <w:pPr>
                    <w:pStyle w:val="39"/>
                  </w:pPr>
                  <w:r>
                    <w:t>地面</w:t>
                  </w:r>
                </w:p>
              </w:tc>
              <w:tc>
                <w:tcPr>
                  <w:tcW w:w="3212" w:type="dxa"/>
                  <w:vMerge w:val="restart"/>
                  <w:vAlign w:val="center"/>
                </w:tcPr>
                <w:p>
                  <w:pPr>
                    <w:pStyle w:val="39"/>
                  </w:pPr>
                  <w:r>
                    <w:rPr>
                      <w:spacing w:val="8"/>
                    </w:rPr>
                    <w:t>等效黏土防渗层</w:t>
                  </w:r>
                </w:p>
                <w:p>
                  <w:pPr>
                    <w:pStyle w:val="39"/>
                  </w:pPr>
                  <w:r>
                    <w:rPr>
                      <w:rFonts w:eastAsia="Times New Roman"/>
                    </w:rPr>
                    <w:t>Mb</w:t>
                  </w:r>
                  <w:r>
                    <w:rPr>
                      <w:rFonts w:eastAsia="Times New Roman"/>
                      <w:spacing w:val="6"/>
                    </w:rPr>
                    <w:t>≥1.5m</w:t>
                  </w:r>
                  <w:r>
                    <w:rPr>
                      <w:spacing w:val="6"/>
                    </w:rPr>
                    <w:t>、渗透系数</w:t>
                  </w:r>
                </w:p>
                <w:p>
                  <w:pPr>
                    <w:pStyle w:val="39"/>
                    <w:rPr>
                      <w:rFonts w:eastAsia="Times New Roman"/>
                      <w:sz w:val="20"/>
                      <w:szCs w:val="20"/>
                    </w:rPr>
                  </w:pPr>
                  <w:r>
                    <w:rPr>
                      <w:rFonts w:eastAsia="Times New Roman"/>
                      <w:sz w:val="20"/>
                      <w:szCs w:val="20"/>
                    </w:rPr>
                    <w:t>K≤1.0×10</w:t>
                  </w:r>
                  <w:r>
                    <w:rPr>
                      <w:rFonts w:eastAsia="Times New Roman"/>
                      <w:position w:val="6"/>
                      <w:sz w:val="13"/>
                      <w:szCs w:val="13"/>
                    </w:rPr>
                    <w:t>-7</w:t>
                  </w:r>
                  <w:r>
                    <w:rPr>
                      <w:rFonts w:eastAsia="Times New Roman"/>
                      <w:sz w:val="20"/>
                      <w:szCs w:val="20"/>
                    </w:rPr>
                    <w:t>cm/s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1296" w:type="dxa"/>
                  <w:vMerge w:val="continue"/>
                  <w:vAlign w:val="center"/>
                </w:tcPr>
                <w:p>
                  <w:pPr>
                    <w:pStyle w:val="39"/>
                  </w:pPr>
                </w:p>
              </w:tc>
              <w:tc>
                <w:tcPr>
                  <w:tcW w:w="1758" w:type="dxa"/>
                  <w:vAlign w:val="center"/>
                </w:tcPr>
                <w:p>
                  <w:pPr>
                    <w:pStyle w:val="39"/>
                  </w:pPr>
                  <w:r>
                    <w:rPr>
                      <w:spacing w:val="6"/>
                    </w:rPr>
                    <w:t>化粪池</w:t>
                  </w:r>
                </w:p>
              </w:tc>
              <w:tc>
                <w:tcPr>
                  <w:tcW w:w="1826" w:type="dxa"/>
                  <w:vAlign w:val="center"/>
                </w:tcPr>
                <w:p>
                  <w:pPr>
                    <w:pStyle w:val="39"/>
                  </w:pPr>
                  <w:r>
                    <w:rPr>
                      <w:spacing w:val="8"/>
                    </w:rPr>
                    <w:t>池底及池壁</w:t>
                  </w:r>
                </w:p>
              </w:tc>
              <w:tc>
                <w:tcPr>
                  <w:tcW w:w="3212" w:type="dxa"/>
                  <w:vMerge w:val="continue"/>
                  <w:vAlign w:val="center"/>
                </w:tcPr>
                <w:p>
                  <w:pPr>
                    <w:pStyle w:val="39"/>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96" w:type="dxa"/>
                  <w:vAlign w:val="center"/>
                </w:tcPr>
                <w:p>
                  <w:pPr>
                    <w:pStyle w:val="39"/>
                  </w:pPr>
                  <w:r>
                    <w:rPr>
                      <w:spacing w:val="7"/>
                    </w:rPr>
                    <w:t>简单防渗区</w:t>
                  </w:r>
                </w:p>
              </w:tc>
              <w:tc>
                <w:tcPr>
                  <w:tcW w:w="1758" w:type="dxa"/>
                  <w:vAlign w:val="center"/>
                </w:tcPr>
                <w:p>
                  <w:pPr>
                    <w:pStyle w:val="39"/>
                  </w:pPr>
                  <w:r>
                    <w:rPr>
                      <w:spacing w:val="8"/>
                    </w:rPr>
                    <w:t>道路、站房</w:t>
                  </w:r>
                </w:p>
              </w:tc>
              <w:tc>
                <w:tcPr>
                  <w:tcW w:w="1826" w:type="dxa"/>
                  <w:vAlign w:val="center"/>
                </w:tcPr>
                <w:p>
                  <w:pPr>
                    <w:pStyle w:val="39"/>
                  </w:pPr>
                  <w:r>
                    <w:t>地面</w:t>
                  </w:r>
                </w:p>
              </w:tc>
              <w:tc>
                <w:tcPr>
                  <w:tcW w:w="3212" w:type="dxa"/>
                  <w:vAlign w:val="center"/>
                </w:tcPr>
                <w:p>
                  <w:pPr>
                    <w:pStyle w:val="39"/>
                  </w:pPr>
                  <w:r>
                    <w:rPr>
                      <w:spacing w:val="7"/>
                    </w:rPr>
                    <w:t>一般地面硬化</w:t>
                  </w:r>
                </w:p>
              </w:tc>
            </w:tr>
          </w:tbl>
          <w:p>
            <w:pPr>
              <w:pStyle w:val="45"/>
              <w:widowControl w:val="0"/>
              <w:ind w:firstLine="480"/>
            </w:pPr>
            <w:r>
              <w:t>(2)监控措施</w:t>
            </w:r>
          </w:p>
          <w:p>
            <w:pPr>
              <w:pStyle w:val="45"/>
              <w:widowControl w:val="0"/>
              <w:ind w:firstLine="480"/>
            </w:pPr>
            <w:r>
              <w:rPr>
                <w:rFonts w:ascii="Cambria Math" w:hAnsi="Cambria Math" w:cs="Cambria Math"/>
              </w:rPr>
              <w:t>①</w:t>
            </w:r>
            <w:r>
              <w:t>项目危险废物暂存间等四周建设导流沟装置，防止危险废物等泄漏时四处扩散，并可及时移除或者清理污染源；</w:t>
            </w:r>
          </w:p>
          <w:p>
            <w:pPr>
              <w:pStyle w:val="45"/>
              <w:widowControl w:val="0"/>
              <w:ind w:firstLine="480"/>
            </w:pPr>
            <w:r>
              <w:rPr>
                <w:rFonts w:ascii="Cambria Math" w:hAnsi="Cambria Math" w:cs="Cambria Math"/>
              </w:rPr>
              <w:t>②</w:t>
            </w:r>
            <w:r>
              <w:t>建立健全环境管理和监测制度，保证各环保设施正常运转，同时强化风险防范意识，如遇环保设施不能正常运转，应立即停产检修；</w:t>
            </w:r>
          </w:p>
          <w:p>
            <w:pPr>
              <w:pStyle w:val="45"/>
              <w:widowControl w:val="0"/>
              <w:ind w:firstLine="480"/>
            </w:pPr>
            <w:r>
              <w:rPr>
                <w:rFonts w:ascii="Cambria Math" w:hAnsi="Cambria Math" w:cs="Cambria Math"/>
              </w:rPr>
              <w:t>③</w:t>
            </w:r>
            <w:r>
              <w:t>若发生危险废物泄漏等，必要时委托有资质的单位对厂址周边地下水、土壤等进行跟踪监测，掌握厂址周边污染变化趋势。</w:t>
            </w:r>
          </w:p>
          <w:p>
            <w:pPr>
              <w:pStyle w:val="45"/>
              <w:widowControl w:val="0"/>
              <w:ind w:firstLine="480"/>
            </w:pPr>
            <w:r>
              <w:rPr>
                <w:rFonts w:ascii="Cambria Math" w:hAnsi="Cambria Math" w:cs="Cambria Math"/>
              </w:rPr>
              <w:t>④</w:t>
            </w:r>
            <w:r>
              <w:t>在今后的生产活动中，做好设备的维护、检修，杜绝跑、冒、滴、漏现象。同时，加强污染物产生主要环节的收集治理，加强厂区的安全防护、环境风险防范措施，以便及时发现事故隐患，及时采取有效的应对措施。</w:t>
            </w:r>
          </w:p>
          <w:p>
            <w:pPr>
              <w:pStyle w:val="45"/>
              <w:widowControl w:val="0"/>
              <w:ind w:firstLine="480"/>
            </w:pPr>
            <w:r>
              <w:rPr>
                <w:rFonts w:ascii="Cambria Math" w:hAnsi="Cambria Math" w:cs="Cambria Math"/>
              </w:rPr>
              <w:t>⑤</w:t>
            </w:r>
            <w:r>
              <w:t>项目生产经营用地的用途变更或者在其土地使用权收回、转让前，应当由土地使用权人按照规定进行土壤污染状况调查。</w:t>
            </w:r>
          </w:p>
          <w:p>
            <w:pPr>
              <w:pStyle w:val="45"/>
              <w:widowControl w:val="0"/>
              <w:ind w:firstLine="480"/>
            </w:pPr>
            <w:r>
              <w:t>(3)应急响应：当发生渗、泄漏事故时，应立即采取包括停止卸油、关闭相应系统，抽取各渗、泄漏油、检查收集系统与处理系统等措施。</w:t>
            </w:r>
          </w:p>
          <w:p>
            <w:pPr>
              <w:pStyle w:val="45"/>
              <w:widowControl w:val="0"/>
              <w:ind w:firstLine="480"/>
            </w:pPr>
            <w:r>
              <w:t>(4)退役期处置：项目服务期满后，应妥善处理各储油罐及其它管线，采取相应防渗或拆除外运处理等措施，避免产生二次残留污染。</w:t>
            </w:r>
          </w:p>
          <w:p>
            <w:pPr>
              <w:pStyle w:val="45"/>
              <w:widowControl w:val="0"/>
              <w:ind w:firstLine="482"/>
              <w:rPr>
                <w:b/>
                <w:bCs/>
              </w:rPr>
            </w:pPr>
            <w:r>
              <w:rPr>
                <w:rFonts w:hint="eastAsia"/>
                <w:b/>
                <w:bCs/>
              </w:rPr>
              <w:t>5.3</w:t>
            </w:r>
            <w:r>
              <w:rPr>
                <w:b/>
                <w:bCs/>
              </w:rPr>
              <w:t>跟踪监测要求</w:t>
            </w:r>
          </w:p>
          <w:p>
            <w:pPr>
              <w:pStyle w:val="45"/>
              <w:widowControl w:val="0"/>
              <w:ind w:firstLine="480"/>
              <w:rPr>
                <w:lang w:val="en-US"/>
              </w:rPr>
            </w:pPr>
            <w:r>
              <w:t>项目周边地下水、土壤环境相对不敏感，采取有效的防渗措施后，项目对地下水、土壤环境影响很小。因此，本评价不对项目地下水、土壤环境提出跟踪监测要求。</w:t>
            </w:r>
          </w:p>
        </w:tc>
      </w:tr>
    </w:tbl>
    <w:p>
      <w:pPr>
        <w:pStyle w:val="3"/>
        <w:spacing w:before="0" w:line="360" w:lineRule="auto"/>
        <w:jc w:val="center"/>
        <w:rPr>
          <w:rFonts w:hint="eastAsia" w:ascii="宋体" w:hAnsi="宋体" w:eastAsia="宋体" w:cs="宋体"/>
          <w:b/>
          <w:bCs/>
          <w:lang w:eastAsia="zh-CN"/>
        </w:rPr>
        <w:sectPr>
          <w:pgSz w:w="11910" w:h="16840"/>
          <w:pgMar w:top="1440" w:right="1080" w:bottom="1440" w:left="1080" w:header="0" w:footer="833" w:gutter="0"/>
          <w:pgNumType w:start="42"/>
          <w:cols w:space="720" w:num="1"/>
        </w:sectPr>
      </w:pPr>
    </w:p>
    <w:tbl>
      <w:tblPr>
        <w:tblStyle w:val="18"/>
        <w:tblW w:w="493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84"/>
        <w:gridCol w:w="90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772" w:hRule="atLeast"/>
          <w:jc w:val="center"/>
        </w:trPr>
        <w:tc>
          <w:tcPr>
            <w:tcW w:w="398" w:type="pct"/>
            <w:vAlign w:val="center"/>
          </w:tcPr>
          <w:p>
            <w:pPr>
              <w:jc w:val="center"/>
              <w:rPr>
                <w:rFonts w:ascii="Times New Roman" w:hAnsi="Times New Roman" w:eastAsia="宋体" w:cs="Times New Roman"/>
                <w:spacing w:val="-1"/>
                <w:sz w:val="24"/>
                <w:szCs w:val="24"/>
                <w:lang w:eastAsia="zh-CN"/>
              </w:rPr>
            </w:pPr>
            <w:r>
              <w:rPr>
                <w:rFonts w:ascii="Times New Roman" w:hAnsi="Times New Roman" w:eastAsia="宋体" w:cs="Times New Roman"/>
                <w:spacing w:val="-1"/>
                <w:sz w:val="24"/>
                <w:szCs w:val="24"/>
                <w:lang w:eastAsia="zh-CN"/>
              </w:rPr>
              <w:t>运营期环境影响和保护措施</w:t>
            </w:r>
          </w:p>
        </w:tc>
        <w:tc>
          <w:tcPr>
            <w:tcW w:w="4602" w:type="pct"/>
            <w:vAlign w:val="center"/>
          </w:tcPr>
          <w:p>
            <w:pPr>
              <w:pStyle w:val="45"/>
              <w:widowControl w:val="0"/>
              <w:ind w:firstLine="482"/>
              <w:rPr>
                <w:b/>
                <w:bCs/>
              </w:rPr>
            </w:pPr>
            <w:r>
              <w:rPr>
                <w:rFonts w:hint="eastAsia"/>
                <w:b/>
                <w:bCs/>
              </w:rPr>
              <w:t>6</w:t>
            </w:r>
            <w:r>
              <w:rPr>
                <w:b/>
                <w:bCs/>
              </w:rPr>
              <w:t>、</w:t>
            </w:r>
            <w:r>
              <w:rPr>
                <w:rFonts w:hint="eastAsia"/>
                <w:b/>
                <w:bCs/>
              </w:rPr>
              <w:t>环境风险</w:t>
            </w:r>
          </w:p>
          <w:p>
            <w:pPr>
              <w:pStyle w:val="45"/>
              <w:widowControl w:val="0"/>
              <w:ind w:firstLine="482"/>
              <w:rPr>
                <w:b/>
                <w:bCs/>
              </w:rPr>
            </w:pPr>
            <w:r>
              <w:rPr>
                <w:rFonts w:hint="eastAsia"/>
                <w:b/>
                <w:bCs/>
              </w:rPr>
              <w:t>6</w:t>
            </w:r>
            <w:r>
              <w:rPr>
                <w:b/>
                <w:bCs/>
              </w:rPr>
              <w:t>.1</w:t>
            </w:r>
            <w:r>
              <w:rPr>
                <w:rFonts w:hint="eastAsia"/>
                <w:b/>
                <w:bCs/>
              </w:rPr>
              <w:t>风险物质</w:t>
            </w:r>
          </w:p>
          <w:p>
            <w:pPr>
              <w:pStyle w:val="45"/>
              <w:widowControl w:val="0"/>
              <w:ind w:firstLine="480"/>
            </w:pPr>
            <w:r>
              <w:rPr>
                <w:rFonts w:hint="eastAsia"/>
              </w:rPr>
              <w:t>根据《建设项目环境风险评价技术导则》（HJ169-2018）附录B，识别项目使用的风险物质如下表4.2-23。</w:t>
            </w:r>
          </w:p>
          <w:p>
            <w:pPr>
              <w:pStyle w:val="42"/>
              <w:spacing w:before="120"/>
            </w:pPr>
            <w:r>
              <w:rPr>
                <w:rFonts w:hint="eastAsia"/>
              </w:rPr>
              <w:t>表4.2-23  风险物质识别表</w:t>
            </w:r>
          </w:p>
          <w:tbl>
            <w:tblPr>
              <w:tblStyle w:val="47"/>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44"/>
              <w:gridCol w:w="902"/>
              <w:gridCol w:w="3230"/>
              <w:gridCol w:w="1306"/>
              <w:gridCol w:w="960"/>
              <w:gridCol w:w="99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817" w:type="pct"/>
                  <w:vAlign w:val="center"/>
                </w:tcPr>
                <w:p>
                  <w:pPr>
                    <w:pStyle w:val="39"/>
                  </w:pPr>
                  <w:r>
                    <w:rPr>
                      <w:rFonts w:hint="eastAsia"/>
                    </w:rPr>
                    <w:t>品名</w:t>
                  </w:r>
                </w:p>
              </w:tc>
              <w:tc>
                <w:tcPr>
                  <w:tcW w:w="510" w:type="pct"/>
                  <w:vAlign w:val="center"/>
                </w:tcPr>
                <w:p>
                  <w:pPr>
                    <w:pStyle w:val="39"/>
                  </w:pPr>
                  <w:r>
                    <w:rPr>
                      <w:rFonts w:hint="eastAsia"/>
                    </w:rPr>
                    <w:t>CAS号</w:t>
                  </w:r>
                </w:p>
              </w:tc>
              <w:tc>
                <w:tcPr>
                  <w:tcW w:w="1827" w:type="pct"/>
                  <w:vAlign w:val="center"/>
                </w:tcPr>
                <w:p>
                  <w:pPr>
                    <w:pStyle w:val="39"/>
                  </w:pPr>
                  <w:r>
                    <w:rPr>
                      <w:rFonts w:hint="eastAsia"/>
                    </w:rPr>
                    <w:t>主要危险性类别</w:t>
                  </w:r>
                </w:p>
              </w:tc>
              <w:tc>
                <w:tcPr>
                  <w:tcW w:w="739" w:type="pct"/>
                  <w:vAlign w:val="center"/>
                </w:tcPr>
                <w:p>
                  <w:pPr>
                    <w:pStyle w:val="39"/>
                  </w:pPr>
                  <w:r>
                    <w:rPr>
                      <w:rFonts w:hint="eastAsia"/>
                    </w:rPr>
                    <w:t>最大储存量</w:t>
                  </w:r>
                </w:p>
                <w:p>
                  <w:pPr>
                    <w:pStyle w:val="39"/>
                  </w:pPr>
                  <w:r>
                    <w:rPr>
                      <w:rFonts w:hint="eastAsia"/>
                    </w:rPr>
                    <w:t>q（t）</w:t>
                  </w:r>
                </w:p>
              </w:tc>
              <w:tc>
                <w:tcPr>
                  <w:tcW w:w="543" w:type="pct"/>
                  <w:vAlign w:val="center"/>
                </w:tcPr>
                <w:p>
                  <w:pPr>
                    <w:pStyle w:val="39"/>
                  </w:pPr>
                  <w:r>
                    <w:rPr>
                      <w:rFonts w:hint="eastAsia"/>
                    </w:rPr>
                    <w:t>临界量</w:t>
                  </w:r>
                </w:p>
                <w:p>
                  <w:pPr>
                    <w:pStyle w:val="39"/>
                  </w:pPr>
                  <w:r>
                    <w:rPr>
                      <w:rFonts w:hint="eastAsia"/>
                    </w:rPr>
                    <w:t>Q（t）</w:t>
                  </w:r>
                </w:p>
              </w:tc>
              <w:tc>
                <w:tcPr>
                  <w:tcW w:w="564" w:type="pct"/>
                  <w:vAlign w:val="center"/>
                </w:tcPr>
                <w:p>
                  <w:pPr>
                    <w:pStyle w:val="39"/>
                  </w:pPr>
                  <w:r>
                    <w:rPr>
                      <w:rFonts w:hint="eastAsia"/>
                    </w:rPr>
                    <w:t>q/Q</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817" w:type="pct"/>
                  <w:vAlign w:val="center"/>
                </w:tcPr>
                <w:p>
                  <w:pPr>
                    <w:pStyle w:val="39"/>
                  </w:pPr>
                  <w:r>
                    <w:rPr>
                      <w:rFonts w:hint="eastAsia"/>
                    </w:rPr>
                    <w:t>油类物质（汽油）</w:t>
                  </w:r>
                </w:p>
              </w:tc>
              <w:tc>
                <w:tcPr>
                  <w:tcW w:w="510" w:type="pct"/>
                  <w:vAlign w:val="center"/>
                </w:tcPr>
                <w:p>
                  <w:pPr>
                    <w:pStyle w:val="39"/>
                  </w:pPr>
                  <w:r>
                    <w:rPr>
                      <w:rFonts w:hint="eastAsia"/>
                    </w:rPr>
                    <w:t>/</w:t>
                  </w:r>
                </w:p>
              </w:tc>
              <w:tc>
                <w:tcPr>
                  <w:tcW w:w="1827" w:type="pct"/>
                  <w:vAlign w:val="center"/>
                </w:tcPr>
                <w:p>
                  <w:pPr>
                    <w:pStyle w:val="39"/>
                  </w:pPr>
                  <w:r>
                    <w:rPr>
                      <w:rFonts w:hint="eastAsia"/>
                    </w:rPr>
                    <w:t>易燃液体，类别2*</w:t>
                  </w:r>
                </w:p>
                <w:p>
                  <w:pPr>
                    <w:pStyle w:val="39"/>
                  </w:pPr>
                  <w:r>
                    <w:rPr>
                      <w:rFonts w:hint="eastAsia"/>
                    </w:rPr>
                    <w:t>生殖细胞致突变性，类别1B</w:t>
                  </w:r>
                </w:p>
                <w:p>
                  <w:pPr>
                    <w:pStyle w:val="39"/>
                  </w:pPr>
                  <w:r>
                    <w:rPr>
                      <w:rFonts w:hint="eastAsia"/>
                    </w:rPr>
                    <w:t>致癌性，类别2</w:t>
                  </w:r>
                </w:p>
                <w:p>
                  <w:pPr>
                    <w:pStyle w:val="39"/>
                  </w:pPr>
                  <w:r>
                    <w:rPr>
                      <w:rFonts w:hint="eastAsia"/>
                    </w:rPr>
                    <w:t>吸入危害，类别1</w:t>
                  </w:r>
                </w:p>
                <w:p>
                  <w:pPr>
                    <w:pStyle w:val="39"/>
                  </w:pPr>
                  <w:r>
                    <w:rPr>
                      <w:rFonts w:hint="eastAsia"/>
                    </w:rPr>
                    <w:t>危害水生环境-急性危害，类别2</w:t>
                  </w:r>
                </w:p>
                <w:p>
                  <w:pPr>
                    <w:pStyle w:val="39"/>
                  </w:pPr>
                  <w:r>
                    <w:rPr>
                      <w:rFonts w:hint="eastAsia"/>
                    </w:rPr>
                    <w:t>危害水生环境-长期危害，类别2</w:t>
                  </w:r>
                </w:p>
              </w:tc>
              <w:tc>
                <w:tcPr>
                  <w:tcW w:w="739" w:type="pct"/>
                  <w:vAlign w:val="center"/>
                </w:tcPr>
                <w:p>
                  <w:pPr>
                    <w:pStyle w:val="39"/>
                  </w:pPr>
                  <w:r>
                    <w:rPr>
                      <w:rFonts w:hint="eastAsia"/>
                    </w:rPr>
                    <w:t>41.04</w:t>
                  </w:r>
                </w:p>
              </w:tc>
              <w:tc>
                <w:tcPr>
                  <w:tcW w:w="543" w:type="pct"/>
                  <w:vAlign w:val="center"/>
                </w:tcPr>
                <w:p>
                  <w:pPr>
                    <w:pStyle w:val="39"/>
                  </w:pPr>
                  <w:r>
                    <w:t>2500</w:t>
                  </w:r>
                </w:p>
              </w:tc>
              <w:tc>
                <w:tcPr>
                  <w:tcW w:w="564" w:type="pct"/>
                  <w:vAlign w:val="center"/>
                </w:tcPr>
                <w:p>
                  <w:pPr>
                    <w:pStyle w:val="39"/>
                  </w:pPr>
                  <w:r>
                    <w:rPr>
                      <w:rFonts w:hint="eastAsia"/>
                    </w:rPr>
                    <w:t>0.016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817" w:type="pct"/>
                  <w:vAlign w:val="center"/>
                </w:tcPr>
                <w:p>
                  <w:pPr>
                    <w:pStyle w:val="39"/>
                  </w:pPr>
                  <w:r>
                    <w:rPr>
                      <w:rFonts w:hint="eastAsia"/>
                    </w:rPr>
                    <w:t>油类物质（柴油）</w:t>
                  </w:r>
                </w:p>
              </w:tc>
              <w:tc>
                <w:tcPr>
                  <w:tcW w:w="510" w:type="pct"/>
                  <w:vAlign w:val="center"/>
                </w:tcPr>
                <w:p>
                  <w:pPr>
                    <w:pStyle w:val="39"/>
                  </w:pPr>
                  <w:r>
                    <w:rPr>
                      <w:rFonts w:hint="eastAsia"/>
                    </w:rPr>
                    <w:t>/</w:t>
                  </w:r>
                </w:p>
              </w:tc>
              <w:tc>
                <w:tcPr>
                  <w:tcW w:w="1827" w:type="pct"/>
                  <w:vAlign w:val="center"/>
                </w:tcPr>
                <w:p>
                  <w:pPr>
                    <w:pStyle w:val="39"/>
                  </w:pPr>
                  <w:r>
                    <w:t>易燃液体</w:t>
                  </w:r>
                  <w:r>
                    <w:rPr>
                      <w:rFonts w:hint="eastAsia"/>
                    </w:rPr>
                    <w:t>，</w:t>
                  </w:r>
                  <w:r>
                    <w:t>类别3</w:t>
                  </w:r>
                </w:p>
              </w:tc>
              <w:tc>
                <w:tcPr>
                  <w:tcW w:w="739" w:type="pct"/>
                  <w:vAlign w:val="center"/>
                </w:tcPr>
                <w:p>
                  <w:pPr>
                    <w:pStyle w:val="39"/>
                  </w:pPr>
                  <w:r>
                    <w:rPr>
                      <w:rFonts w:hint="eastAsia"/>
                    </w:rPr>
                    <w:t>37.62</w:t>
                  </w:r>
                </w:p>
              </w:tc>
              <w:tc>
                <w:tcPr>
                  <w:tcW w:w="543" w:type="pct"/>
                  <w:vAlign w:val="center"/>
                </w:tcPr>
                <w:p>
                  <w:pPr>
                    <w:pStyle w:val="39"/>
                  </w:pPr>
                  <w:r>
                    <w:t>2500</w:t>
                  </w:r>
                </w:p>
              </w:tc>
              <w:tc>
                <w:tcPr>
                  <w:tcW w:w="564" w:type="pct"/>
                  <w:vAlign w:val="center"/>
                </w:tcPr>
                <w:p>
                  <w:pPr>
                    <w:pStyle w:val="39"/>
                  </w:pPr>
                  <w:r>
                    <w:rPr>
                      <w:rFonts w:hint="eastAsia"/>
                    </w:rPr>
                    <w:t>0.015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5000" w:type="pct"/>
                  <w:gridSpan w:val="6"/>
                  <w:vAlign w:val="center"/>
                </w:tcPr>
                <w:p>
                  <w:pPr>
                    <w:pStyle w:val="39"/>
                  </w:pPr>
                  <w:r>
                    <w:t>成品油储罐充装系数取</w:t>
                  </w:r>
                  <w:r>
                    <w:rPr>
                      <w:rFonts w:hint="eastAsia"/>
                    </w:rPr>
                    <w:t>0.9</w:t>
                  </w:r>
                  <w:r>
                    <w:t>，密度取0.76t/m</w:t>
                  </w:r>
                  <w:r>
                    <w:rPr>
                      <w:vertAlign w:val="superscript"/>
                    </w:rPr>
                    <w:t>3</w:t>
                  </w:r>
                </w:p>
              </w:tc>
            </w:tr>
          </w:tbl>
          <w:p>
            <w:pPr>
              <w:pStyle w:val="43"/>
              <w:spacing w:before="120"/>
              <w:ind w:firstLine="480"/>
            </w:pPr>
            <w:r>
              <w:t>项目危险物质存在量及其临界量比值Q=</w:t>
            </w:r>
            <w:r>
              <w:rPr>
                <w:rFonts w:hint="eastAsia"/>
              </w:rPr>
              <w:t>0.031</w:t>
            </w:r>
            <w:r>
              <w:t>，根据《建设项目环境风险评价技术导则》(HJ169-2018)附录C，当Q＜1时，该项目环境风险潜势为Ⅰ</w:t>
            </w:r>
            <w:r>
              <w:rPr>
                <w:rFonts w:hint="eastAsia"/>
              </w:rPr>
              <w:t>，</w:t>
            </w:r>
            <w:r>
              <w:t>评价工作级别简单分析，因此，本评价主要在描述危险物质、环境影响途径、环境危害后果、风险防范措施等方面给出定性说明。</w:t>
            </w:r>
          </w:p>
          <w:p>
            <w:pPr>
              <w:pStyle w:val="45"/>
              <w:widowControl w:val="0"/>
              <w:ind w:firstLine="482"/>
              <w:rPr>
                <w:b/>
                <w:bCs/>
              </w:rPr>
            </w:pPr>
            <w:r>
              <w:rPr>
                <w:rFonts w:hint="eastAsia"/>
                <w:b/>
                <w:bCs/>
              </w:rPr>
              <w:t>6</w:t>
            </w:r>
            <w:r>
              <w:rPr>
                <w:b/>
                <w:bCs/>
              </w:rPr>
              <w:t>.</w:t>
            </w:r>
            <w:r>
              <w:rPr>
                <w:rFonts w:hint="eastAsia"/>
                <w:b/>
                <w:bCs/>
              </w:rPr>
              <w:t>2影响途径</w:t>
            </w:r>
          </w:p>
          <w:p>
            <w:pPr>
              <w:pStyle w:val="45"/>
              <w:widowControl w:val="0"/>
              <w:ind w:firstLine="480"/>
            </w:pPr>
            <w:r>
              <w:rPr>
                <w:rFonts w:hint="eastAsia"/>
              </w:rPr>
              <w:t>（1）生产设施风险识别</w:t>
            </w:r>
          </w:p>
          <w:p>
            <w:pPr>
              <w:pStyle w:val="45"/>
              <w:widowControl w:val="0"/>
              <w:ind w:firstLine="480"/>
            </w:pPr>
            <w:r>
              <w:rPr>
                <w:rFonts w:hint="eastAsia" w:ascii="宋体" w:hAnsi="宋体" w:cs="宋体"/>
              </w:rPr>
              <w:t>①</w:t>
            </w:r>
            <w:r>
              <w:rPr>
                <w:rFonts w:hint="eastAsia"/>
              </w:rPr>
              <w:t>加油站风险</w:t>
            </w:r>
          </w:p>
          <w:p>
            <w:pPr>
              <w:pStyle w:val="45"/>
              <w:widowControl w:val="0"/>
              <w:ind w:firstLine="480"/>
            </w:pPr>
            <w:r>
              <w:rPr>
                <w:rFonts w:hint="eastAsia"/>
              </w:rPr>
              <w:t>加油站为各种机动车辆加油的场所，由于汽车尾气带火星、加油过满溢出、加油机漏油、加油机防爆电气故障等原因，容易引发火灾爆炸事故。违章用油枪往塑料桶（瓶）加油，汽油、柴油在塑料桶内流动摩擦产生静电聚集，当静电压和桶内的油蒸气达到一定值时，可能引发爆炸。加油站机动车往来频繁，行车不畅或车辆失控可能造成车辆伤害事故，严重可能引发火灾爆炸事故。如有油气扩散至站房，值班人员烧水、热饭和随意吸烟、乱扔烟头余烬等产生明火，会导致火灾或爆炸。</w:t>
            </w:r>
          </w:p>
          <w:p>
            <w:pPr>
              <w:pStyle w:val="45"/>
              <w:widowControl w:val="0"/>
              <w:ind w:firstLine="480"/>
            </w:pPr>
            <w:r>
              <w:rPr>
                <w:rFonts w:hint="eastAsia" w:ascii="宋体" w:hAnsi="宋体" w:cs="宋体"/>
              </w:rPr>
              <w:t>②</w:t>
            </w:r>
            <w:r>
              <w:rPr>
                <w:rFonts w:hint="eastAsia"/>
              </w:rPr>
              <w:t>配管及输送管网</w:t>
            </w:r>
          </w:p>
          <w:p>
            <w:pPr>
              <w:pStyle w:val="45"/>
              <w:widowControl w:val="0"/>
              <w:ind w:firstLine="480"/>
            </w:pPr>
            <w:r>
              <w:rPr>
                <w:rFonts w:hint="eastAsia"/>
              </w:rPr>
              <w:t>配管、管道的选材、设计、安装不合理产生管道阀门破裂。由于管道的热胀冷缩产生的应力会拉断管线并造成法兰、阀门连接松动，导致泄漏事故。</w:t>
            </w:r>
          </w:p>
          <w:p>
            <w:pPr>
              <w:pStyle w:val="45"/>
              <w:widowControl w:val="0"/>
              <w:ind w:firstLine="480"/>
            </w:pPr>
            <w:r>
              <w:rPr>
                <w:rFonts w:hint="eastAsia"/>
              </w:rPr>
              <w:t>油在输送过程中流速过快会产生和积聚静电，违章操作导致漫料和泄露；如果静电接地不规范，造成静电积聚，在物料外泄时可能造成火灾、爆炸、灼伤等事故。</w:t>
            </w:r>
          </w:p>
          <w:p>
            <w:pPr>
              <w:pStyle w:val="45"/>
              <w:widowControl w:val="0"/>
              <w:ind w:firstLine="480"/>
            </w:pPr>
            <w:r>
              <w:rPr>
                <w:rFonts w:hint="eastAsia" w:ascii="宋体" w:hAnsi="宋体" w:cs="宋体"/>
              </w:rPr>
              <w:t>③</w:t>
            </w:r>
            <w:r>
              <w:rPr>
                <w:rFonts w:hint="eastAsia"/>
              </w:rPr>
              <w:t>储运设施风险</w:t>
            </w:r>
          </w:p>
          <w:p>
            <w:pPr>
              <w:pStyle w:val="45"/>
              <w:widowControl w:val="0"/>
              <w:ind w:firstLine="480"/>
            </w:pPr>
            <w:r>
              <w:rPr>
                <w:rFonts w:hint="eastAsia"/>
              </w:rPr>
              <w:t>站内设置5个卧式埋地油罐，分别存放柴油、汽油，上述物质均具有一定的火灾、爆炸危险性。在储运过程中最主要的危险性是储运油泄漏而发生的火灾、爆炸事故。泄漏一方面可能由于贮罐、管线、设备本体的缺陷（如长期使用后的变形、裂缝、腐蚀、密封不良、仪表控制系统故障等等）；另一方面可能是由于装卸操作过程中的违章行为、人为失误造成（如贮罐进出料、收油过程、装车、装桶中出现满料、溢料、抽空等等）。汽油的挥发性较大，当泄漏的油气与空气混合物处于火灾爆炸极限范围内，遇点火源就会发生火灾爆炸事故。油气在较低处扩散可扩散到较远的地方，若遇明火可能会引起回燃，导致火灾爆炸事故。</w:t>
            </w:r>
          </w:p>
          <w:p>
            <w:pPr>
              <w:pStyle w:val="45"/>
              <w:widowControl w:val="0"/>
              <w:ind w:firstLine="480"/>
            </w:pPr>
            <w:r>
              <w:rPr>
                <w:rFonts w:hint="eastAsia"/>
              </w:rPr>
              <w:t>点火源可能是明火、电气火花、摩擦撞击火花、交通工具排气管火花、使用通讯设备产生静电荷积聚引起的放电火花及雷电危害等。资料表明，国内外已发生过多起贮罐区因泄漏而发生的重大火灾爆炸事故，事故后果极其严重。其次，由于操作失误混装或储罐及其管线、槽车、容器清洗、置换不充分，未检测合格，有可能造成物料间产生化学反应而导致火灾、爆炸事故。</w:t>
            </w:r>
          </w:p>
          <w:p>
            <w:pPr>
              <w:pStyle w:val="45"/>
              <w:widowControl w:val="0"/>
              <w:ind w:firstLine="480"/>
            </w:pPr>
            <w:r>
              <w:rPr>
                <w:rFonts w:hint="eastAsia"/>
              </w:rPr>
              <w:t>正常作业过程中可能产生油气释放因素有：油罐的呼吸使油气自储罐排入大气；装汽车油罐车过程中油、气从油罐车帽口排入大气；装桶操作中少量油气挥发。非正常生产过程中可能产生油、气释放因素有：油罐冒顶跑油；油泵荷阀门泄漏；管道破裂泄漏；油罐计量表失灵导致加油过程中灌满溢出；其他非生产因素引起的设备及管道油、气泄漏挥发。</w:t>
            </w:r>
          </w:p>
          <w:p>
            <w:pPr>
              <w:pStyle w:val="45"/>
              <w:widowControl w:val="0"/>
              <w:ind w:firstLine="480"/>
            </w:pPr>
            <w:r>
              <w:rPr>
                <w:rFonts w:hint="eastAsia" w:ascii="宋体" w:hAnsi="宋体" w:cs="宋体"/>
              </w:rPr>
              <w:t>④</w:t>
            </w:r>
            <w:r>
              <w:rPr>
                <w:rFonts w:hint="eastAsia"/>
              </w:rPr>
              <w:t>油气回收设施</w:t>
            </w:r>
          </w:p>
          <w:p>
            <w:pPr>
              <w:pStyle w:val="45"/>
              <w:widowControl w:val="0"/>
              <w:ind w:firstLine="480"/>
            </w:pPr>
            <w:r>
              <w:rPr>
                <w:rFonts w:hint="eastAsia"/>
              </w:rPr>
              <w:t>设备损坏：一是系统管路气相因动力源抽力过大将会导致管路系统出现远低于正常压力的真空，有可能会导致油气排放源头的容器（储罐、槽车）等出现抽瘪事故，损坏设备设施，影响正常的安全生产；二是系统管路气相出路不畅，将会导致管路系统出现远高于正常压力的正压，有可能会导致油气排放源头的容器（储罐、槽车）变形胀裂等事故，同样会影响正常的安全生产。</w:t>
            </w:r>
          </w:p>
          <w:p>
            <w:pPr>
              <w:pStyle w:val="45"/>
              <w:widowControl w:val="0"/>
              <w:ind w:firstLine="480"/>
            </w:pPr>
            <w:r>
              <w:rPr>
                <w:rFonts w:hint="eastAsia"/>
              </w:rPr>
              <w:t>火灾爆炸：集气单元的密闭性差，会使管路内部与外部大气环境形成一个贯通空间，既可能造成油气从管路向外释放，也可能造成外界空气进入管路。当油气与空气混合后在管道中输送时，混合气体的浓度很可能会达到爆炸极限；同时由于油气在管道中流动时，因摩擦、碰撞等因素，易产生静电积聚，若不能及时将积聚的能量导出或释放消耗，则可能会发生火灾爆炸事故，甚至会影响主体系统的安全运行，这是油气回收系统运行的首要风险。</w:t>
            </w:r>
          </w:p>
          <w:p>
            <w:pPr>
              <w:pStyle w:val="45"/>
              <w:widowControl w:val="0"/>
              <w:ind w:firstLine="480"/>
            </w:pPr>
            <w:r>
              <w:rPr>
                <w:rFonts w:hint="eastAsia"/>
              </w:rPr>
              <w:t>（2）环境风险分析</w:t>
            </w:r>
          </w:p>
          <w:p>
            <w:pPr>
              <w:pStyle w:val="45"/>
              <w:widowControl w:val="0"/>
              <w:ind w:firstLine="480"/>
            </w:pPr>
            <w:r>
              <w:rPr>
                <w:rFonts w:hint="eastAsia"/>
              </w:rPr>
              <w:t>①对大气环境影响分析</w:t>
            </w:r>
          </w:p>
          <w:p>
            <w:pPr>
              <w:pStyle w:val="45"/>
              <w:widowControl w:val="0"/>
              <w:ind w:firstLine="480"/>
            </w:pPr>
            <w:r>
              <w:rPr>
                <w:rFonts w:hint="eastAsia"/>
              </w:rPr>
              <w:t>根据国内外的研究，对于突发性的事故溢油，油品溢出后在地面呈不规则的面源分布，油品挥发速度的重要影响因素为油品蒸汽压、现场风速、油品溢出面积、油品蒸汽分子平均重度。本项目采用地埋式储罐工艺，加油站一旦发生渗漏与溢出事故，由于受储罐罐基以及防渗层的保护，渗漏出的成品油将积聚在储油区。储油区表面采用混凝土硬化，较为密闭，油品将通过储油区通气管以及人孔井非密封处挥发，不会造成大面积扩散，对周围大气环境影响较小。</w:t>
            </w:r>
          </w:p>
          <w:p>
            <w:pPr>
              <w:pStyle w:val="45"/>
              <w:widowControl w:val="0"/>
              <w:ind w:firstLine="480"/>
            </w:pPr>
            <w:r>
              <w:rPr>
                <w:rFonts w:hint="eastAsia"/>
              </w:rPr>
              <w:t>加油站在可能发生成品油挥发或泄漏积聚的场所可以设置可燃气体报警装置，一旦油品泄漏，要尽可能切断泄漏源，防止流入下水道等限制性空间。当油品有少量泄漏时，用砂土、蛭石或其它惰性材料吸附，或在保证安全的情况下，就地焚烧。当油品有大量泄漏时，需构筑围堤或挖坑收容，用泡沫覆盖，降低蒸汽灾害，最后用防爆泵转移至槽车或专用收集器内，回收或运至废物处理场所处置。采取以上防治措施后，将会把对周围环境产生的影响降至最低。</w:t>
            </w:r>
          </w:p>
          <w:p>
            <w:pPr>
              <w:pStyle w:val="45"/>
              <w:widowControl w:val="0"/>
              <w:ind w:firstLine="480"/>
            </w:pPr>
            <w:r>
              <w:rPr>
                <w:rFonts w:hint="eastAsia"/>
              </w:rPr>
              <w:t>火灾爆炸事故出现的频率较低，但危害较大。若发生火灾、爆炸事故时，会直接对火源周边的人员、设备、构筑物等构成威胁，且火灾产生的热辐射和浓烟对厂界外一定范围内的大气环境产生影响。此时应立即组织自救并疏散周围群众，拨打119报警，同时将有关情况上报上级主管部门及当地政府部门，立即停电、停火、灭绝一切可能引发火灾和爆炸的火种；尽量关闭储罐阀门，制止泄漏。使用消防器材扑救，向火区喷射灭火剂，阻断空气与火苗继续接触；组织足够的力量将火势控制在一定范围内，用射流水冷却着火罐及邻近罐壁，并保护毗邻建筑物免受火势威胁，同时监视火势蔓延情况；扑救时要采取严密措施，搞好个人防护，要选择好地形地物掩蔽身体，确保人员的安全；无法控制火势时，迅速撤离现场；等候、引导消防车进场灭火。</w:t>
            </w:r>
          </w:p>
          <w:p>
            <w:pPr>
              <w:pStyle w:val="45"/>
              <w:widowControl w:val="0"/>
              <w:ind w:firstLine="480"/>
            </w:pPr>
            <w:r>
              <w:rPr>
                <w:rFonts w:hint="eastAsia"/>
              </w:rPr>
              <w:t>因此如果发生泄漏、火灾等事故，应即时启动应急预案，及时采取措施，将环境影响及损失降至最小。</w:t>
            </w:r>
          </w:p>
          <w:p>
            <w:pPr>
              <w:pStyle w:val="45"/>
              <w:widowControl w:val="0"/>
              <w:ind w:firstLine="480"/>
            </w:pPr>
            <w:r>
              <w:rPr>
                <w:rFonts w:hint="eastAsia"/>
              </w:rPr>
              <w:t>②对地表水影响分析</w:t>
            </w:r>
          </w:p>
          <w:p>
            <w:pPr>
              <w:pStyle w:val="45"/>
              <w:widowControl w:val="0"/>
              <w:ind w:firstLine="480"/>
              <w:rPr>
                <w:lang w:val="en-US"/>
              </w:rPr>
            </w:pPr>
            <w:r>
              <w:rPr>
                <w:lang w:val="en-US"/>
              </w:rPr>
              <w:t>项目各输油管道与油罐都按照有关规范进行了设计与施工，采用地下双层储油罐、采用双层复合管等工艺，只要加强管理，按照行业操作规范作业，产生该类事故的几率很小。项目油罐最大为</w:t>
            </w:r>
            <w:r>
              <w:rPr>
                <w:rFonts w:hint="eastAsia"/>
                <w:lang w:val="en-US"/>
              </w:rPr>
              <w:t>27.5</w:t>
            </w:r>
            <w:r>
              <w:rPr>
                <w:lang w:val="en-US"/>
              </w:rPr>
              <w:t>m</w:t>
            </w:r>
            <w:r>
              <w:rPr>
                <w:vertAlign w:val="superscript"/>
                <w:lang w:val="en-US"/>
              </w:rPr>
              <w:t>3</w:t>
            </w:r>
            <w:r>
              <w:rPr>
                <w:lang w:val="en-US"/>
              </w:rPr>
              <w:t>，若发生事故，溢出、泄漏油量较少，由于受双层油罐的保护，渗漏出的油品将被收集在双层油罐的夹层内，</w:t>
            </w:r>
            <w:r>
              <w:rPr>
                <w:rFonts w:hint="eastAsia"/>
                <w:lang w:val="en-US"/>
              </w:rPr>
              <w:t>不会对地表水产生影响。</w:t>
            </w:r>
          </w:p>
          <w:p>
            <w:pPr>
              <w:pStyle w:val="45"/>
              <w:widowControl w:val="0"/>
              <w:ind w:firstLine="480"/>
            </w:pPr>
            <w:r>
              <w:rPr>
                <w:rFonts w:hint="eastAsia"/>
                <w:lang w:val="en-US"/>
              </w:rPr>
              <w:t>项目进站的油罐车卸油过程和油枪加油过程中，只要加强管理，按照行业</w:t>
            </w:r>
            <w:r>
              <w:rPr>
                <w:lang w:val="en-US"/>
              </w:rPr>
              <w:t xml:space="preserve"> </w:t>
            </w:r>
            <w:r>
              <w:rPr>
                <w:rFonts w:hint="eastAsia"/>
                <w:lang w:val="en-US"/>
              </w:rPr>
              <w:t>操作规范作业，产生该类事故的几率也很小。且项目区道路均做水泥硬化处理，场内设有集油沟，油品泄漏将主要通过集油沟等措施收集，不会对地表水体产生不良影响。</w:t>
            </w:r>
          </w:p>
          <w:p>
            <w:pPr>
              <w:pStyle w:val="45"/>
              <w:widowControl w:val="0"/>
              <w:ind w:firstLine="480"/>
            </w:pPr>
            <w:r>
              <w:rPr>
                <w:rFonts w:hint="eastAsia"/>
              </w:rPr>
              <w:t>③对地下水和土壤影响分析</w:t>
            </w:r>
          </w:p>
          <w:p>
            <w:pPr>
              <w:pStyle w:val="45"/>
              <w:widowControl w:val="0"/>
              <w:ind w:firstLine="480"/>
            </w:pPr>
            <w:r>
              <w:rPr>
                <w:rFonts w:hint="eastAsia"/>
              </w:rPr>
              <w:t>本项目地下储罐和供油管路存在着渗漏的风险，随着地下储罐和供油管路服役年龄的增加，这种风险将会愈加严重，一旦发生泄漏会对其周围的地下水以及土壤造成污染。地下水一旦遭到油品的污染，将使地下水产生严重异味，并具有较强的致畸致癌性。由于这种渗漏必然穿过较厚的土壤层，会造成土壤盐碱化、毒化，导致土壤破坏和废毁；同时土壤层中吸附的大量油品，会造成植物的死亡。</w:t>
            </w:r>
          </w:p>
          <w:p>
            <w:pPr>
              <w:pStyle w:val="45"/>
              <w:widowControl w:val="0"/>
              <w:ind w:firstLine="480"/>
            </w:pPr>
            <w:r>
              <w:rPr>
                <w:rFonts w:hint="eastAsia"/>
              </w:rPr>
              <w:t>根据《加油站地下水污染防治技术指南（试行）》（2017年3月），为防止加油站油品泄漏，污染土壤和地下水，加油站需要采取防渗漏和防渗漏检测措施。本项目应做到“雨污分流”，生活污水收集系统、初期雨水收集系统、事故性收集系统等按要求设置，罐区卸油场地四周以及罩棚进出口设置环保沟槽（导流沟），事故废液废水经导流沟进入隔油池，隔油池位于本项目地势最低处，从而保证事故废水收集的有效性，以便防控地下水、土壤受到污染。本项目应分区防渗，地下储罐区混凝土砌成的水泥池内采用防腐、防渗处理，加油区、卸油区等可能接触油品地方采用水泥硬化路面，油罐和复合管线均装有泄露报警装置；隔油池、污水输送管线、一般固废暂存区等处均须做好防腐、防渗处理。</w:t>
            </w:r>
          </w:p>
          <w:p>
            <w:pPr>
              <w:pStyle w:val="45"/>
              <w:widowControl w:val="0"/>
              <w:ind w:firstLine="482"/>
              <w:rPr>
                <w:b/>
                <w:bCs/>
              </w:rPr>
            </w:pPr>
            <w:r>
              <w:rPr>
                <w:b/>
                <w:bCs/>
              </w:rPr>
              <w:t>6.3 风险防范措施及应急要求</w:t>
            </w:r>
          </w:p>
          <w:p>
            <w:pPr>
              <w:pStyle w:val="45"/>
              <w:widowControl w:val="0"/>
              <w:ind w:firstLine="480"/>
            </w:pPr>
            <w:r>
              <w:rPr>
                <w:rFonts w:hint="eastAsia"/>
              </w:rPr>
              <w:t>（1）</w:t>
            </w:r>
            <w:r>
              <w:t>选址、总平布置和建筑安全防范措施</w:t>
            </w:r>
          </w:p>
          <w:p>
            <w:pPr>
              <w:pStyle w:val="45"/>
              <w:widowControl w:val="0"/>
              <w:ind w:firstLine="480"/>
            </w:pPr>
            <w:r>
              <w:rPr>
                <w:rFonts w:hint="eastAsia" w:ascii="宋体" w:hAnsi="宋体" w:cs="宋体"/>
              </w:rPr>
              <w:t>①</w:t>
            </w:r>
            <w:r>
              <w:t>选址、总图布置</w:t>
            </w:r>
          </w:p>
          <w:p>
            <w:pPr>
              <w:pStyle w:val="45"/>
              <w:widowControl w:val="0"/>
              <w:ind w:firstLine="480"/>
            </w:pPr>
            <w:r>
              <w:t>建设单位应把储油设施的防爆、防火工作放在首位，并按照消防法规的相关规定，落实各项防火措施和制度，确保加油站不发生火灾。</w:t>
            </w:r>
          </w:p>
          <w:p>
            <w:pPr>
              <w:pStyle w:val="45"/>
              <w:widowControl w:val="0"/>
              <w:ind w:firstLine="480"/>
            </w:pPr>
            <w:r>
              <w:t>根据《汽车加油加气站设计与施工规范》（GB50156-2012），本项目属于二级加油站，改造后站内各设施距离和与站外建（构）筑物距离应符合《汽车加油加气站设计与施工规范》（GB50156-2012）中相关距离规定。</w:t>
            </w:r>
          </w:p>
          <w:p>
            <w:pPr>
              <w:pStyle w:val="45"/>
              <w:widowControl w:val="0"/>
              <w:ind w:firstLine="480"/>
            </w:pPr>
            <w:r>
              <w:rPr>
                <w:rFonts w:hint="eastAsia" w:ascii="宋体" w:hAnsi="宋体" w:cs="宋体"/>
              </w:rPr>
              <w:t>②</w:t>
            </w:r>
            <w:r>
              <w:t>建筑安全防范</w:t>
            </w:r>
          </w:p>
          <w:p>
            <w:pPr>
              <w:pStyle w:val="45"/>
              <w:widowControl w:val="0"/>
              <w:ind w:firstLine="480"/>
            </w:pPr>
            <w:r>
              <w:t>根据火灾危险性等级和防火、防爆要求，加油站内建筑物的防火等级均应采用国家现行规范要求按一、二级耐火等级设计，满足建筑防火要求；凡禁火区均设置明显标志牌；各种易燃易爆物料均储存在阴凉、通风处，远离火源，避免与强氧化剂接触；安全出口及安全疏散距离应符合《建筑设计防火规范》（GB50016-2014）的要求。</w:t>
            </w:r>
          </w:p>
          <w:p>
            <w:pPr>
              <w:pStyle w:val="45"/>
              <w:widowControl w:val="0"/>
              <w:ind w:firstLine="480"/>
            </w:pPr>
            <w:r>
              <w:rPr>
                <w:rFonts w:hint="eastAsia"/>
              </w:rPr>
              <w:t>（2）</w:t>
            </w:r>
            <w:r>
              <w:t>管理、储存、运输中的防范措施</w:t>
            </w:r>
          </w:p>
          <w:p>
            <w:pPr>
              <w:pStyle w:val="45"/>
              <w:widowControl w:val="0"/>
              <w:ind w:firstLine="480"/>
            </w:pPr>
            <w:r>
              <w:rPr>
                <w:rFonts w:hint="eastAsia" w:ascii="宋体" w:hAnsi="宋体" w:cs="宋体"/>
              </w:rPr>
              <w:t>①</w:t>
            </w:r>
            <w:r>
              <w:t>项目储运设施防范是风险防范的关键，对储运设施的日常保修和监管是防止项目火灾及引发的爆炸风险的关键的措施。</w:t>
            </w:r>
          </w:p>
          <w:p>
            <w:pPr>
              <w:pStyle w:val="45"/>
              <w:widowControl w:val="0"/>
              <w:ind w:firstLine="480"/>
            </w:pPr>
            <w:r>
              <w:rPr>
                <w:rFonts w:hint="eastAsia" w:ascii="宋体" w:hAnsi="宋体" w:cs="宋体"/>
              </w:rPr>
              <w:t>②</w:t>
            </w:r>
            <w:r>
              <w:t>本项目燃料油运输委托有资质的运输公司油罐车进行，运输过程中卸油装置、油气回收装置及其密闭性、管阀等配套设施均应符合《汽油运输大气污染物排放标准》（GB20951－2007）中的相关要求。</w:t>
            </w:r>
          </w:p>
          <w:p>
            <w:pPr>
              <w:pStyle w:val="45"/>
              <w:widowControl w:val="0"/>
              <w:ind w:firstLine="480"/>
            </w:pPr>
            <w:r>
              <w:rPr>
                <w:rFonts w:hint="eastAsia" w:ascii="宋体" w:hAnsi="宋体" w:cs="宋体"/>
              </w:rPr>
              <w:t>③</w:t>
            </w:r>
            <w:r>
              <w:t>严格按《危险化学品安全管理条例》的要求，加强汽油、柴油的管理；严格规范操作规程；定期开展安全培训教育。本项目废气</w:t>
            </w:r>
            <w:r>
              <w:rPr>
                <w:rFonts w:hint="eastAsia"/>
              </w:rPr>
              <w:t>若</w:t>
            </w:r>
            <w:r>
              <w:t>发生事故性排放，则对周围环境产生一定的影响。故建设单位应认真做好设备的保养、定期维护及保修工作，使处理设施达到预期效果。为确保不发生事故性废气排放</w:t>
            </w:r>
            <w:r>
              <w:rPr>
                <w:rFonts w:hint="eastAsia"/>
              </w:rPr>
              <w:t>，</w:t>
            </w:r>
            <w:r>
              <w:t>建设单位必须采取一定的事故性防范保护措施：</w:t>
            </w:r>
          </w:p>
          <w:p>
            <w:pPr>
              <w:pStyle w:val="45"/>
              <w:widowControl w:val="0"/>
              <w:ind w:firstLine="480"/>
            </w:pPr>
            <w:r>
              <w:rPr>
                <w:rFonts w:hint="eastAsia"/>
              </w:rPr>
              <w:t>（3）污染治理系统预防措施</w:t>
            </w:r>
          </w:p>
          <w:p>
            <w:pPr>
              <w:pStyle w:val="45"/>
              <w:widowControl w:val="0"/>
              <w:ind w:firstLine="480"/>
            </w:pPr>
            <w:r>
              <w:rPr>
                <w:rFonts w:hint="eastAsia" w:ascii="宋体" w:hAnsi="宋体" w:cs="宋体"/>
              </w:rPr>
              <w:t>①</w:t>
            </w:r>
            <w:r>
              <w:rPr>
                <w:rFonts w:hint="eastAsia"/>
              </w:rPr>
              <w:t>消防设施：</w:t>
            </w:r>
          </w:p>
          <w:p>
            <w:pPr>
              <w:pStyle w:val="45"/>
              <w:widowControl w:val="0"/>
              <w:ind w:firstLine="480"/>
            </w:pPr>
            <w:r>
              <w:rPr>
                <w:rFonts w:hint="eastAsia"/>
              </w:rPr>
              <w:t>本项目采用埋地油罐，《汽车加油加气站设计与施工规范》（GB50156-2012）中“10.消防设施与给排水”中要求：</w:t>
            </w:r>
          </w:p>
          <w:p>
            <w:pPr>
              <w:pStyle w:val="45"/>
              <w:widowControl w:val="0"/>
              <w:ind w:firstLine="480"/>
            </w:pPr>
            <w:r>
              <w:rPr>
                <w:rFonts w:hint="eastAsia"/>
              </w:rPr>
              <w:t>a、每2台加油机应配置不少于2具4kg手提式干粉灭火器，或1具4kg手提式干粉灭火器和6L泡沫灭火器；地下储罐应配置1台不小于35kg推车式干粉灭火器；一、二级加油站应配置灭火毯5块、沙子2m</w:t>
            </w:r>
            <w:r>
              <w:rPr>
                <w:rFonts w:hint="eastAsia"/>
                <w:vertAlign w:val="superscript"/>
              </w:rPr>
              <w:t>3</w:t>
            </w:r>
            <w:r>
              <w:rPr>
                <w:rFonts w:hint="eastAsia"/>
              </w:rPr>
              <w:t>；其余建筑的灭火器配置，应符合现行国家标准《建筑灭火器配置设计规拖》GB 50140的有关规定。</w:t>
            </w:r>
          </w:p>
          <w:p>
            <w:pPr>
              <w:pStyle w:val="45"/>
              <w:widowControl w:val="0"/>
              <w:ind w:firstLine="480"/>
            </w:pPr>
            <w:r>
              <w:rPr>
                <w:rFonts w:hint="eastAsia"/>
              </w:rPr>
              <w:t>b、加油站可不设置消防给水系统。</w:t>
            </w:r>
          </w:p>
          <w:p>
            <w:pPr>
              <w:pStyle w:val="45"/>
              <w:widowControl w:val="0"/>
              <w:ind w:firstLine="480"/>
            </w:pPr>
            <w:r>
              <w:rPr>
                <w:rFonts w:hint="eastAsia" w:ascii="宋体" w:hAnsi="宋体" w:cs="宋体"/>
              </w:rPr>
              <w:t>②</w:t>
            </w:r>
            <w:r>
              <w:rPr>
                <w:rFonts w:hint="eastAsia"/>
              </w:rPr>
              <w:t>常见事故处置方式</w:t>
            </w:r>
          </w:p>
          <w:p>
            <w:pPr>
              <w:pStyle w:val="45"/>
              <w:widowControl w:val="0"/>
              <w:ind w:firstLine="480"/>
            </w:pPr>
            <w:r>
              <w:rPr>
                <w:rFonts w:hint="eastAsia"/>
              </w:rPr>
              <w:t>a、加油、卸油过程的事故及产生的污染物处置方式</w:t>
            </w:r>
          </w:p>
          <w:p>
            <w:pPr>
              <w:pStyle w:val="45"/>
              <w:widowControl w:val="0"/>
              <w:ind w:firstLine="480"/>
            </w:pPr>
            <w:r>
              <w:rPr>
                <w:rFonts w:hint="eastAsia"/>
              </w:rPr>
              <w:t>本项目发生的常见事故为加油、卸油过程中加油机、油罐区的火灾事故，发生该类事故时，由于油品不得使用消防水进行灭火，因此加油站采用干粉、泡沫灭火器进行灭火，泄漏的油品采用消防沙进行吸收，最终产生的废泡沫、吸收过油品的消防沙作为危废交由有资质的单位进行处理。</w:t>
            </w:r>
          </w:p>
          <w:p>
            <w:pPr>
              <w:pStyle w:val="45"/>
              <w:widowControl w:val="0"/>
              <w:ind w:firstLine="480"/>
            </w:pPr>
            <w:r>
              <w:rPr>
                <w:rFonts w:hint="eastAsia"/>
              </w:rPr>
              <w:t>b、站房发生火灾</w:t>
            </w:r>
          </w:p>
          <w:p>
            <w:pPr>
              <w:pStyle w:val="45"/>
              <w:widowControl w:val="0"/>
              <w:ind w:firstLine="480"/>
            </w:pPr>
            <w:r>
              <w:rPr>
                <w:rFonts w:hint="eastAsia"/>
              </w:rPr>
              <w:t>在极少数情况下，加油站站房发生火灾，在该情况下，加油站暂停加油营业，工作人员将依托站房围墙，使用消防沙将站房暂时围挡，以收集站房灭火产生的少量消防废水，收集后的消防废水通过临时管线连接至污水管网进入场内化粪池处置。</w:t>
            </w:r>
          </w:p>
          <w:p>
            <w:pPr>
              <w:pStyle w:val="45"/>
              <w:widowControl w:val="0"/>
              <w:ind w:firstLine="480"/>
            </w:pPr>
            <w:r>
              <w:rPr>
                <w:rFonts w:hint="eastAsia"/>
              </w:rPr>
              <w:t>c、油罐发生火灾</w:t>
            </w:r>
          </w:p>
          <w:p>
            <w:pPr>
              <w:pStyle w:val="45"/>
              <w:widowControl w:val="0"/>
              <w:ind w:firstLine="480"/>
            </w:pPr>
            <w:r>
              <w:rPr>
                <w:rFonts w:hint="eastAsia"/>
              </w:rPr>
              <w:t>本项目油罐埋地，因此油罐发生火灾时将油罐口采用灭火毯覆盖，阻隔火焰与空气，以使油罐火灾熄灭。</w:t>
            </w:r>
          </w:p>
          <w:p>
            <w:pPr>
              <w:pStyle w:val="45"/>
              <w:widowControl w:val="0"/>
              <w:ind w:firstLine="480"/>
            </w:pPr>
            <w:r>
              <w:rPr>
                <w:rFonts w:hint="eastAsia" w:ascii="宋体" w:hAnsi="宋体" w:cs="宋体"/>
              </w:rPr>
              <w:t>③</w:t>
            </w:r>
            <w:r>
              <w:rPr>
                <w:rFonts w:hint="eastAsia"/>
              </w:rPr>
              <w:t>总图布置</w:t>
            </w:r>
          </w:p>
          <w:p>
            <w:pPr>
              <w:pStyle w:val="45"/>
              <w:widowControl w:val="0"/>
              <w:ind w:firstLine="480"/>
            </w:pPr>
            <w:r>
              <w:rPr>
                <w:rFonts w:hint="eastAsia"/>
              </w:rPr>
              <w:t>在常温条件下，油气将下沉，因此为防止油气积聚，加站内不允许设置排水明渠或明沟，以避免油气积聚后遇火花或摩擦导致集聚的油气爆炸。</w:t>
            </w:r>
          </w:p>
          <w:p>
            <w:pPr>
              <w:pStyle w:val="45"/>
              <w:widowControl w:val="0"/>
              <w:ind w:firstLine="480"/>
            </w:pPr>
            <w:r>
              <w:rPr>
                <w:rFonts w:hint="eastAsia"/>
              </w:rPr>
              <w:t>站内不使用水灭火，且设置事故池后，事故水池常空，油气更易积聚在事故水池底部，因此本项目未设置事故水池。</w:t>
            </w:r>
          </w:p>
          <w:p>
            <w:pPr>
              <w:pStyle w:val="45"/>
              <w:widowControl w:val="0"/>
              <w:ind w:firstLine="480"/>
            </w:pPr>
            <w:r>
              <w:rPr>
                <w:rFonts w:hint="eastAsia"/>
              </w:rPr>
              <w:t>（4）工艺设施方面的对策</w:t>
            </w:r>
          </w:p>
          <w:p>
            <w:pPr>
              <w:pStyle w:val="45"/>
              <w:widowControl w:val="0"/>
              <w:ind w:firstLine="480"/>
            </w:pPr>
            <w:r>
              <w:rPr>
                <w:rFonts w:hint="eastAsia"/>
              </w:rPr>
              <w:t>本项目采用成熟的、通用的加油技术和工艺，设备、设施符合《汽车加油加气站设计与施工规范》（GB50156 -2012）、《危险化学品安全管理条例》中相应的要求。</w:t>
            </w:r>
          </w:p>
          <w:p>
            <w:pPr>
              <w:pStyle w:val="45"/>
              <w:widowControl w:val="0"/>
              <w:ind w:firstLine="480"/>
            </w:pPr>
            <w:r>
              <w:rPr>
                <w:rFonts w:hint="eastAsia" w:ascii="宋体" w:hAnsi="宋体" w:cs="宋体"/>
              </w:rPr>
              <w:t>①</w:t>
            </w:r>
            <w:r>
              <w:rPr>
                <w:rFonts w:hint="eastAsia"/>
              </w:rPr>
              <w:t>储油罐</w:t>
            </w:r>
          </w:p>
          <w:p>
            <w:pPr>
              <w:pStyle w:val="45"/>
              <w:widowControl w:val="0"/>
              <w:ind w:firstLine="480"/>
            </w:pPr>
            <w:r>
              <w:rPr>
                <w:rFonts w:hint="eastAsia"/>
              </w:rPr>
              <w:t>埋地油罐采用内钢外玻璃纤维增强塑料油罐，由于其有两层罐壁，在防止油罐出现渗漏方面具有双保险作用，从而能有效避免渗漏油品进入环境，污染土壤和地下水。</w:t>
            </w:r>
          </w:p>
          <w:p>
            <w:pPr>
              <w:pStyle w:val="45"/>
              <w:widowControl w:val="0"/>
              <w:ind w:firstLine="480"/>
            </w:pPr>
            <w:r>
              <w:rPr>
                <w:rFonts w:hint="eastAsia" w:ascii="宋体" w:hAnsi="宋体" w:cs="宋体"/>
              </w:rPr>
              <w:t>②</w:t>
            </w:r>
            <w:r>
              <w:rPr>
                <w:rFonts w:hint="eastAsia"/>
              </w:rPr>
              <w:t>工艺系统</w:t>
            </w:r>
          </w:p>
          <w:p>
            <w:pPr>
              <w:pStyle w:val="45"/>
              <w:widowControl w:val="0"/>
              <w:ind w:firstLine="480"/>
            </w:pPr>
            <w:r>
              <w:rPr>
                <w:rFonts w:hint="eastAsia"/>
              </w:rPr>
              <w:t>加油机选用自动计量的电脑加油机，并采用自封式加油枪，在油箱加满油时，自动关闭加油枪。汽油加油枪的流量不大于50L/min；除通气管道和露出地面的管道外，埋地管道均选用双层复合塑料管道。埋地通气管道外表面的防腐设计采用加强级的防腐绝缘保护层。防腐层的结构可为环氧煤沥青（五油二布）或石油沥青（五油四布）；严格执行密闭卸油规程，卸油作业时，严禁将量油孔打开，严禁将油罐车卸油软管直接插入量油口卸油。卸油前应先静电接地，不得未经接地就开始卸油或卸油后再接地。</w:t>
            </w:r>
          </w:p>
          <w:p>
            <w:pPr>
              <w:pStyle w:val="45"/>
              <w:widowControl w:val="0"/>
              <w:ind w:firstLine="480"/>
            </w:pPr>
            <w:r>
              <w:rPr>
                <w:rFonts w:hint="eastAsia"/>
              </w:rPr>
              <w:t>加油站内安装的电气设备应按规定使用具有防爆功能的，并且安装应规范； 不违章用电；加油站应安装防雷设施；为防止静电产生的事故，加油站的金属容器与设施应具有良好的接地装置；工作人员均应穿着防静电的工作服；卸油时应连接静电接地线，并使静电充分导除， 加油枪处的静电导线应防止断裂或接触不良。卸油时配备有液位仪或其他防溢流措施。</w:t>
            </w:r>
          </w:p>
          <w:p>
            <w:pPr>
              <w:pStyle w:val="45"/>
              <w:widowControl w:val="0"/>
              <w:ind w:firstLine="480"/>
            </w:pPr>
            <w:r>
              <w:rPr>
                <w:rFonts w:hint="eastAsia" w:ascii="宋体" w:hAnsi="宋体" w:cs="宋体"/>
              </w:rPr>
              <w:t>③</w:t>
            </w:r>
            <w:r>
              <w:rPr>
                <w:rFonts w:hint="eastAsia"/>
              </w:rPr>
              <w:t>卸油和加油</w:t>
            </w:r>
          </w:p>
          <w:p>
            <w:pPr>
              <w:pStyle w:val="45"/>
              <w:widowControl w:val="0"/>
              <w:ind w:firstLine="480"/>
            </w:pPr>
            <w:r>
              <w:rPr>
                <w:rFonts w:hint="eastAsia"/>
              </w:rPr>
              <w:t>加油作业技术要求：加油车辆到指定位置后应熄火，不在加油站内检修车辆；不折扭加油软管或拉长到极限，加油枪牢靠地插入油箱的灌油口内；闪电或雷击频繁时，禁止加油作业；送油车卸油时暂停加油。不向塑料容器和橡胶容器加注汽油；加油机发生故障或发生危及加油站安全情况时，立即停止加油。发生跑、冒、撒油时，待现场清理完后，加油车方可启动离去；洒漏在地上的油品，及时处理。不用化纤织物擦拭；停止营业时，关闭加油机，切断电源，锁好机门；微机控制和管理的加油站，有可靠的连锁装置及显示报警；车辆加油时，无关人员不在加油区附近逗留。</w:t>
            </w:r>
          </w:p>
          <w:p>
            <w:pPr>
              <w:pStyle w:val="45"/>
              <w:widowControl w:val="0"/>
              <w:ind w:firstLine="480"/>
            </w:pPr>
            <w:r>
              <w:rPr>
                <w:rFonts w:hint="eastAsia" w:ascii="宋体" w:hAnsi="宋体" w:cs="宋体"/>
              </w:rPr>
              <w:t>④</w:t>
            </w:r>
            <w:r>
              <w:rPr>
                <w:rFonts w:hint="eastAsia"/>
              </w:rPr>
              <w:t>卸油作业技术要求：卸油之前测量储油罐中的存油量。油罐车进站停靠在指定位置后，发动机熄火（采用泵卸车除外），排气管带火花熄灭器，连通静电接地线，车头朝向道路出口一侧，在车停稳后达15min后进行测量。向储油罐卸油时，司机和卸油工坚守岗位，做好现场监护。严防其他点火源接近卸油现场。在卸油过程中，油罐车不随意启动和进行车位移动。闪电或雷击频繁时禁止卸油作业。在出油孔没有淹没之前，卸油速度保持在0.7～1m/s，淹没后可到4m/s。卸完油后，油罐车不立即启动，待罐车周围油气消散后（约5min）再启动。油罐车储油罐油位的复测在卸油后稳油达15min再进行。</w:t>
            </w:r>
          </w:p>
          <w:p>
            <w:pPr>
              <w:pStyle w:val="45"/>
              <w:widowControl w:val="0"/>
              <w:ind w:firstLine="480"/>
            </w:pPr>
            <w:r>
              <w:rPr>
                <w:rFonts w:hint="eastAsia"/>
              </w:rPr>
              <w:t>（5）油气回收装置安全对策措施</w:t>
            </w:r>
          </w:p>
          <w:p>
            <w:pPr>
              <w:pStyle w:val="45"/>
              <w:widowControl w:val="0"/>
              <w:ind w:firstLine="480"/>
            </w:pPr>
            <w:r>
              <w:rPr>
                <w:rFonts w:hint="eastAsia"/>
              </w:rPr>
              <w:t>加油站已设置了油气回收系统；并应加强对油回收系统的维护与保养；定期检查油气回收系统回收加油枪磨损、油气回收胶管是否有裂纹、脱落现象、单向阀失效、油分离器堵塞、回收真空泵损坏等。</w:t>
            </w:r>
          </w:p>
          <w:p>
            <w:pPr>
              <w:pStyle w:val="45"/>
              <w:widowControl w:val="0"/>
              <w:ind w:firstLine="480"/>
            </w:pPr>
            <w:r>
              <w:rPr>
                <w:rFonts w:hint="eastAsia"/>
              </w:rPr>
              <w:t>（6）应急要求</w:t>
            </w:r>
          </w:p>
          <w:p>
            <w:pPr>
              <w:pStyle w:val="45"/>
              <w:widowControl w:val="0"/>
              <w:ind w:firstLine="480"/>
            </w:pPr>
            <w:r>
              <w:rPr>
                <w:rFonts w:hint="eastAsia"/>
              </w:rPr>
              <w:t>制定完善、有效的环境风险事故应急预案，报送当地环保主管部门备案，并定期演练。项目环境风险应急应与洛江区政府进行有效联防联控。</w:t>
            </w:r>
          </w:p>
          <w:p>
            <w:pPr>
              <w:pStyle w:val="45"/>
              <w:widowControl w:val="0"/>
              <w:ind w:firstLine="480"/>
            </w:pPr>
            <w:r>
              <w:rPr>
                <w:rFonts w:hint="eastAsia"/>
              </w:rPr>
              <w:t>应急预案应按照国家、地方和相关部门要求进行编制，主要内容包括预案</w:t>
            </w:r>
            <w:r>
              <w:t xml:space="preserve"> </w:t>
            </w:r>
            <w:r>
              <w:rPr>
                <w:rFonts w:hint="eastAsia"/>
              </w:rPr>
              <w:t>适用范围、环境事件分类与分级、组织机构与职责、监控和预警、应急响应、应急保障、善后处置、预案管理与演练等内容。</w:t>
            </w:r>
          </w:p>
          <w:p>
            <w:pPr>
              <w:pStyle w:val="45"/>
              <w:widowControl w:val="0"/>
              <w:ind w:firstLine="480"/>
            </w:pPr>
            <w:r>
              <w:rPr>
                <w:rFonts w:hint="eastAsia"/>
              </w:rPr>
              <w:t>应急预案应明确企业、地方政府环境风险应急体系。企业突发环境事件应</w:t>
            </w:r>
            <w:r>
              <w:t xml:space="preserve"> </w:t>
            </w:r>
            <w:r>
              <w:rPr>
                <w:rFonts w:hint="eastAsia"/>
              </w:rPr>
              <w:t>急预案应体现分级响应，区域联动的原则，与地方政府突发事件应急预案相衔接，明确分级响应程序。</w:t>
            </w:r>
          </w:p>
          <w:p>
            <w:pPr>
              <w:pStyle w:val="45"/>
              <w:widowControl w:val="0"/>
              <w:ind w:firstLine="482"/>
              <w:rPr>
                <w:b/>
                <w:bCs/>
                <w:lang w:val="en-US"/>
              </w:rPr>
            </w:pPr>
            <w:r>
              <w:rPr>
                <w:rFonts w:hint="eastAsia"/>
                <w:b/>
                <w:bCs/>
                <w:lang w:val="en-US"/>
              </w:rPr>
              <w:t>6.4结论</w:t>
            </w:r>
          </w:p>
          <w:p>
            <w:pPr>
              <w:pStyle w:val="45"/>
              <w:widowControl w:val="0"/>
              <w:ind w:firstLine="480"/>
            </w:pPr>
            <w:r>
              <w:rPr>
                <w:lang w:val="en-US"/>
              </w:rPr>
              <w:t>本项目危险化学品储存量不构成重大危险源。再配套相应的</w:t>
            </w:r>
            <w:r>
              <w:rPr>
                <w:rFonts w:hint="eastAsia"/>
                <w:lang w:val="en-US" w:eastAsia="zh-CN"/>
              </w:rPr>
              <w:t>应急物资</w:t>
            </w:r>
            <w:r>
              <w:rPr>
                <w:lang w:val="en-US"/>
              </w:rPr>
              <w:t>，加 强厂区防火管理、完善事故应急预案的基础上，事故发生概率很低，本项目环 境风险在可接受的范围内。</w:t>
            </w:r>
          </w:p>
          <w:p>
            <w:pPr>
              <w:pStyle w:val="45"/>
              <w:widowControl w:val="0"/>
              <w:ind w:firstLine="482"/>
              <w:rPr>
                <w:b/>
                <w:bCs/>
              </w:rPr>
            </w:pPr>
            <w:r>
              <w:rPr>
                <w:rFonts w:hint="eastAsia"/>
                <w:b/>
                <w:bCs/>
              </w:rPr>
              <w:t>7</w:t>
            </w:r>
            <w:r>
              <w:rPr>
                <w:b/>
                <w:bCs/>
              </w:rPr>
              <w:t>、环保投资估算</w:t>
            </w:r>
          </w:p>
          <w:p>
            <w:pPr>
              <w:pStyle w:val="45"/>
              <w:widowControl w:val="0"/>
              <w:ind w:firstLine="480"/>
            </w:pPr>
            <w:r>
              <w:rPr>
                <w:rFonts w:hint="eastAsia"/>
              </w:rPr>
              <w:t>结合本环境保护和污染防治工作拟采用一些必要的工程措施，对本环境保护投资进行估算，具体结果见表4.2-24。</w:t>
            </w:r>
            <w:bookmarkStart w:id="18" w:name="_GoBack"/>
            <w:bookmarkEnd w:id="18"/>
          </w:p>
          <w:p>
            <w:pPr>
              <w:pStyle w:val="42"/>
              <w:spacing w:before="120"/>
            </w:pPr>
            <w:r>
              <w:t>表</w:t>
            </w:r>
            <w:r>
              <w:rPr>
                <w:rFonts w:hint="eastAsia"/>
              </w:rPr>
              <w:t xml:space="preserve">4.2-24 </w:t>
            </w:r>
            <w:r>
              <w:t>本项目环保</w:t>
            </w:r>
            <w:r>
              <w:rPr>
                <w:rFonts w:hint="eastAsia"/>
              </w:rPr>
              <w:t>工程投资一览表</w:t>
            </w:r>
          </w:p>
          <w:tbl>
            <w:tblPr>
              <w:tblStyle w:val="4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08"/>
              <w:gridCol w:w="1275"/>
              <w:gridCol w:w="5339"/>
              <w:gridCol w:w="162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cantSplit/>
                <w:trHeight w:val="397" w:hRule="atLeast"/>
                <w:jc w:val="center"/>
              </w:trPr>
              <w:tc>
                <w:tcPr>
                  <w:tcW w:w="1883" w:type="dxa"/>
                  <w:gridSpan w:val="2"/>
                  <w:vAlign w:val="center"/>
                </w:tcPr>
                <w:p>
                  <w:pPr>
                    <w:pStyle w:val="39"/>
                  </w:pPr>
                  <w:r>
                    <w:t>项目</w:t>
                  </w:r>
                </w:p>
              </w:tc>
              <w:tc>
                <w:tcPr>
                  <w:tcW w:w="5339" w:type="dxa"/>
                  <w:vAlign w:val="center"/>
                </w:tcPr>
                <w:p>
                  <w:pPr>
                    <w:pStyle w:val="39"/>
                  </w:pPr>
                  <w:r>
                    <w:rPr>
                      <w:spacing w:val="6"/>
                    </w:rPr>
                    <w:t>治理措施</w:t>
                  </w:r>
                </w:p>
              </w:tc>
              <w:tc>
                <w:tcPr>
                  <w:tcW w:w="1622" w:type="dxa"/>
                  <w:vAlign w:val="center"/>
                </w:tcPr>
                <w:p>
                  <w:pPr>
                    <w:pStyle w:val="39"/>
                    <w:rPr>
                      <w:rFonts w:eastAsia="Times New Roman"/>
                    </w:rPr>
                  </w:pPr>
                  <w:r>
                    <w:t>投资</w:t>
                  </w:r>
                  <w:r>
                    <w:rPr>
                      <w:rFonts w:eastAsia="Times New Roman"/>
                    </w:rPr>
                    <w:t>(</w:t>
                  </w:r>
                  <w:r>
                    <w:t>万元</w:t>
                  </w:r>
                  <w:r>
                    <w:rPr>
                      <w:rFonts w:eastAsia="Times New Roma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08" w:type="dxa"/>
                  <w:vMerge w:val="restart"/>
                  <w:vAlign w:val="center"/>
                </w:tcPr>
                <w:p>
                  <w:pPr>
                    <w:pStyle w:val="39"/>
                  </w:pPr>
                  <w:r>
                    <w:rPr>
                      <w:spacing w:val="8"/>
                    </w:rPr>
                    <w:t>施</w:t>
                  </w:r>
                  <w:r>
                    <w:rPr>
                      <w:spacing w:val="33"/>
                    </w:rPr>
                    <w:t xml:space="preserve"> </w:t>
                  </w:r>
                  <w:r>
                    <w:rPr>
                      <w:spacing w:val="8"/>
                    </w:rPr>
                    <w:t>工</w:t>
                  </w:r>
                  <w:r>
                    <w:rPr>
                      <w:spacing w:val="29"/>
                    </w:rPr>
                    <w:t xml:space="preserve"> </w:t>
                  </w:r>
                  <w:r>
                    <w:rPr>
                      <w:spacing w:val="8"/>
                    </w:rPr>
                    <w:t>期</w:t>
                  </w:r>
                </w:p>
              </w:tc>
              <w:tc>
                <w:tcPr>
                  <w:tcW w:w="1275" w:type="dxa"/>
                  <w:vAlign w:val="center"/>
                </w:tcPr>
                <w:p>
                  <w:pPr>
                    <w:pStyle w:val="39"/>
                  </w:pPr>
                  <w:r>
                    <w:rPr>
                      <w:spacing w:val="7"/>
                    </w:rPr>
                    <w:t>施工废气</w:t>
                  </w:r>
                </w:p>
              </w:tc>
              <w:tc>
                <w:tcPr>
                  <w:tcW w:w="5339" w:type="dxa"/>
                  <w:vAlign w:val="center"/>
                </w:tcPr>
                <w:p>
                  <w:pPr>
                    <w:pStyle w:val="39"/>
                  </w:pPr>
                  <w:r>
                    <w:rPr>
                      <w:spacing w:val="6"/>
                    </w:rPr>
                    <w:t>施工场区设置围栏、设置洗车平台、场地定期洒</w:t>
                  </w:r>
                  <w:r>
                    <w:t>水等</w:t>
                  </w:r>
                </w:p>
              </w:tc>
              <w:tc>
                <w:tcPr>
                  <w:tcW w:w="1622" w:type="dxa"/>
                  <w:vAlign w:val="center"/>
                </w:tcPr>
                <w:p>
                  <w:pPr>
                    <w:pStyle w:val="39"/>
                    <w:rPr>
                      <w:szCs w:val="21"/>
                    </w:rPr>
                  </w:pPr>
                  <w:r>
                    <w:rPr>
                      <w:szCs w:val="21"/>
                    </w:rPr>
                    <w:t>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jc w:val="center"/>
              </w:trPr>
              <w:tc>
                <w:tcPr>
                  <w:tcW w:w="608" w:type="dxa"/>
                  <w:vMerge w:val="continue"/>
                  <w:vAlign w:val="center"/>
                </w:tcPr>
                <w:p>
                  <w:pPr>
                    <w:pStyle w:val="39"/>
                  </w:pPr>
                </w:p>
              </w:tc>
              <w:tc>
                <w:tcPr>
                  <w:tcW w:w="1275" w:type="dxa"/>
                  <w:vAlign w:val="center"/>
                </w:tcPr>
                <w:p>
                  <w:pPr>
                    <w:pStyle w:val="39"/>
                  </w:pPr>
                  <w:r>
                    <w:rPr>
                      <w:spacing w:val="7"/>
                    </w:rPr>
                    <w:t>施工废水</w:t>
                  </w:r>
                </w:p>
              </w:tc>
              <w:tc>
                <w:tcPr>
                  <w:tcW w:w="5339" w:type="dxa"/>
                  <w:vAlign w:val="center"/>
                </w:tcPr>
                <w:p>
                  <w:pPr>
                    <w:pStyle w:val="39"/>
                  </w:pPr>
                  <w:r>
                    <w:rPr>
                      <w:spacing w:val="9"/>
                    </w:rPr>
                    <w:t>设置隔油沉淀池、临时化粪池等</w:t>
                  </w:r>
                </w:p>
              </w:tc>
              <w:tc>
                <w:tcPr>
                  <w:tcW w:w="1622" w:type="dxa"/>
                  <w:vAlign w:val="center"/>
                </w:tcPr>
                <w:p>
                  <w:pPr>
                    <w:pStyle w:val="39"/>
                    <w:rPr>
                      <w:szCs w:val="21"/>
                    </w:rPr>
                  </w:pPr>
                  <w:r>
                    <w:rPr>
                      <w:szCs w:val="21"/>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jc w:val="center"/>
              </w:trPr>
              <w:tc>
                <w:tcPr>
                  <w:tcW w:w="608" w:type="dxa"/>
                  <w:vMerge w:val="continue"/>
                  <w:vAlign w:val="center"/>
                </w:tcPr>
                <w:p>
                  <w:pPr>
                    <w:pStyle w:val="39"/>
                  </w:pPr>
                </w:p>
              </w:tc>
              <w:tc>
                <w:tcPr>
                  <w:tcW w:w="1275" w:type="dxa"/>
                  <w:vAlign w:val="center"/>
                </w:tcPr>
                <w:p>
                  <w:pPr>
                    <w:pStyle w:val="39"/>
                  </w:pPr>
                  <w:r>
                    <w:rPr>
                      <w:spacing w:val="7"/>
                    </w:rPr>
                    <w:t>施工噪声</w:t>
                  </w:r>
                </w:p>
              </w:tc>
              <w:tc>
                <w:tcPr>
                  <w:tcW w:w="5339" w:type="dxa"/>
                  <w:vAlign w:val="center"/>
                </w:tcPr>
                <w:p>
                  <w:pPr>
                    <w:pStyle w:val="39"/>
                  </w:pPr>
                  <w:r>
                    <w:rPr>
                      <w:spacing w:val="9"/>
                    </w:rPr>
                    <w:t>选用低噪声设备，设置临时隔声屏障</w:t>
                  </w:r>
                </w:p>
              </w:tc>
              <w:tc>
                <w:tcPr>
                  <w:tcW w:w="1622" w:type="dxa"/>
                  <w:vAlign w:val="center"/>
                </w:tcPr>
                <w:p>
                  <w:pPr>
                    <w:pStyle w:val="39"/>
                    <w:rPr>
                      <w:szCs w:val="21"/>
                    </w:rPr>
                  </w:pPr>
                  <w:r>
                    <w:rPr>
                      <w:szCs w:val="21"/>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jc w:val="center"/>
              </w:trPr>
              <w:tc>
                <w:tcPr>
                  <w:tcW w:w="608" w:type="dxa"/>
                  <w:vMerge w:val="continue"/>
                  <w:vAlign w:val="center"/>
                </w:tcPr>
                <w:p>
                  <w:pPr>
                    <w:pStyle w:val="39"/>
                  </w:pPr>
                </w:p>
              </w:tc>
              <w:tc>
                <w:tcPr>
                  <w:tcW w:w="1275" w:type="dxa"/>
                  <w:vAlign w:val="center"/>
                </w:tcPr>
                <w:p>
                  <w:pPr>
                    <w:pStyle w:val="39"/>
                  </w:pPr>
                  <w:r>
                    <w:rPr>
                      <w:spacing w:val="-5"/>
                    </w:rPr>
                    <w:t>固废</w:t>
                  </w:r>
                </w:p>
              </w:tc>
              <w:tc>
                <w:tcPr>
                  <w:tcW w:w="5339" w:type="dxa"/>
                  <w:vAlign w:val="center"/>
                </w:tcPr>
                <w:p>
                  <w:pPr>
                    <w:pStyle w:val="39"/>
                  </w:pPr>
                  <w:r>
                    <w:t>生活垃圾委托环卫部门清运，建筑垃圾应分类收</w:t>
                  </w:r>
                  <w:r>
                    <w:rPr>
                      <w:spacing w:val="6"/>
                    </w:rPr>
                    <w:t>集，尽可能回收再利用，不可利用的委托建筑碴</w:t>
                  </w:r>
                  <w:r>
                    <w:rPr>
                      <w:spacing w:val="12"/>
                    </w:rPr>
                    <w:t>土管理公司负责统一装运到指定地点进行填埋</w:t>
                  </w:r>
                  <w:r>
                    <w:rPr>
                      <w:spacing w:val="7"/>
                    </w:rPr>
                    <w:t>处理或用于场地回填。</w:t>
                  </w:r>
                </w:p>
              </w:tc>
              <w:tc>
                <w:tcPr>
                  <w:tcW w:w="1622" w:type="dxa"/>
                  <w:vAlign w:val="center"/>
                </w:tcPr>
                <w:p>
                  <w:pPr>
                    <w:pStyle w:val="39"/>
                    <w:rPr>
                      <w:szCs w:val="21"/>
                    </w:rPr>
                  </w:pPr>
                  <w:r>
                    <w:rPr>
                      <w:szCs w:val="21"/>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jc w:val="center"/>
              </w:trPr>
              <w:tc>
                <w:tcPr>
                  <w:tcW w:w="608" w:type="dxa"/>
                  <w:vMerge w:val="restart"/>
                  <w:vAlign w:val="center"/>
                </w:tcPr>
                <w:p>
                  <w:pPr>
                    <w:pStyle w:val="39"/>
                  </w:pPr>
                  <w:r>
                    <w:rPr>
                      <w:spacing w:val="8"/>
                    </w:rPr>
                    <w:t>运</w:t>
                  </w:r>
                  <w:r>
                    <w:rPr>
                      <w:spacing w:val="33"/>
                    </w:rPr>
                    <w:t xml:space="preserve"> </w:t>
                  </w:r>
                  <w:r>
                    <w:rPr>
                      <w:spacing w:val="8"/>
                    </w:rPr>
                    <w:t>营</w:t>
                  </w:r>
                  <w:r>
                    <w:rPr>
                      <w:spacing w:val="32"/>
                    </w:rPr>
                    <w:t xml:space="preserve"> </w:t>
                  </w:r>
                  <w:r>
                    <w:rPr>
                      <w:spacing w:val="8"/>
                    </w:rPr>
                    <w:t>期</w:t>
                  </w:r>
                </w:p>
              </w:tc>
              <w:tc>
                <w:tcPr>
                  <w:tcW w:w="1275" w:type="dxa"/>
                  <w:vAlign w:val="center"/>
                </w:tcPr>
                <w:p>
                  <w:pPr>
                    <w:pStyle w:val="39"/>
                  </w:pPr>
                  <w:r>
                    <w:t>污水</w:t>
                  </w:r>
                </w:p>
              </w:tc>
              <w:tc>
                <w:tcPr>
                  <w:tcW w:w="5339" w:type="dxa"/>
                  <w:vAlign w:val="center"/>
                </w:tcPr>
                <w:p>
                  <w:pPr>
                    <w:pStyle w:val="39"/>
                  </w:pPr>
                  <w:r>
                    <w:rPr>
                      <w:spacing w:val="8"/>
                    </w:rPr>
                    <w:t>隔油池、化粪池、集油沟</w:t>
                  </w:r>
                </w:p>
              </w:tc>
              <w:tc>
                <w:tcPr>
                  <w:tcW w:w="1622" w:type="dxa"/>
                  <w:vAlign w:val="center"/>
                </w:tcPr>
                <w:p>
                  <w:pPr>
                    <w:pStyle w:val="39"/>
                    <w:rPr>
                      <w:szCs w:val="21"/>
                    </w:rPr>
                  </w:pPr>
                  <w:r>
                    <w:rPr>
                      <w:szCs w:val="21"/>
                    </w:rPr>
                    <w:t>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jc w:val="center"/>
              </w:trPr>
              <w:tc>
                <w:tcPr>
                  <w:tcW w:w="608" w:type="dxa"/>
                  <w:vMerge w:val="continue"/>
                  <w:vAlign w:val="center"/>
                </w:tcPr>
                <w:p>
                  <w:pPr>
                    <w:pStyle w:val="39"/>
                  </w:pPr>
                </w:p>
              </w:tc>
              <w:tc>
                <w:tcPr>
                  <w:tcW w:w="1275" w:type="dxa"/>
                  <w:vAlign w:val="center"/>
                </w:tcPr>
                <w:p>
                  <w:pPr>
                    <w:pStyle w:val="39"/>
                  </w:pPr>
                  <w:r>
                    <w:t>废气</w:t>
                  </w:r>
                </w:p>
              </w:tc>
              <w:tc>
                <w:tcPr>
                  <w:tcW w:w="5339" w:type="dxa"/>
                  <w:vAlign w:val="center"/>
                </w:tcPr>
                <w:p>
                  <w:pPr>
                    <w:pStyle w:val="39"/>
                  </w:pPr>
                  <w:r>
                    <w:t>卸油、加油及储油油气回收装置</w:t>
                  </w:r>
                </w:p>
              </w:tc>
              <w:tc>
                <w:tcPr>
                  <w:tcW w:w="1622" w:type="dxa"/>
                  <w:vAlign w:val="center"/>
                </w:tcPr>
                <w:p>
                  <w:pPr>
                    <w:pStyle w:val="39"/>
                    <w:rPr>
                      <w:szCs w:val="21"/>
                    </w:rPr>
                  </w:pPr>
                  <w:r>
                    <w:rPr>
                      <w:szCs w:val="21"/>
                    </w:rPr>
                    <w:t>15.0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jc w:val="center"/>
              </w:trPr>
              <w:tc>
                <w:tcPr>
                  <w:tcW w:w="608" w:type="dxa"/>
                  <w:vMerge w:val="continue"/>
                  <w:vAlign w:val="center"/>
                </w:tcPr>
                <w:p>
                  <w:pPr>
                    <w:pStyle w:val="39"/>
                  </w:pPr>
                </w:p>
              </w:tc>
              <w:tc>
                <w:tcPr>
                  <w:tcW w:w="1275" w:type="dxa"/>
                  <w:vAlign w:val="center"/>
                </w:tcPr>
                <w:p>
                  <w:pPr>
                    <w:pStyle w:val="39"/>
                  </w:pPr>
                  <w:r>
                    <w:rPr>
                      <w:spacing w:val="-1"/>
                    </w:rPr>
                    <w:t>噪声</w:t>
                  </w:r>
                </w:p>
              </w:tc>
              <w:tc>
                <w:tcPr>
                  <w:tcW w:w="5339" w:type="dxa"/>
                  <w:vAlign w:val="center"/>
                </w:tcPr>
                <w:p>
                  <w:pPr>
                    <w:pStyle w:val="39"/>
                  </w:pPr>
                  <w:r>
                    <w:rPr>
                      <w:spacing w:val="8"/>
                    </w:rPr>
                    <w:t>减振降噪措施</w:t>
                  </w:r>
                </w:p>
              </w:tc>
              <w:tc>
                <w:tcPr>
                  <w:tcW w:w="1622" w:type="dxa"/>
                  <w:vAlign w:val="center"/>
                </w:tcPr>
                <w:p>
                  <w:pPr>
                    <w:pStyle w:val="39"/>
                    <w:rPr>
                      <w:szCs w:val="21"/>
                    </w:rPr>
                  </w:pPr>
                  <w:r>
                    <w:rPr>
                      <w:szCs w:val="21"/>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jc w:val="center"/>
              </w:trPr>
              <w:tc>
                <w:tcPr>
                  <w:tcW w:w="608" w:type="dxa"/>
                  <w:vMerge w:val="continue"/>
                  <w:vAlign w:val="center"/>
                </w:tcPr>
                <w:p>
                  <w:pPr>
                    <w:pStyle w:val="39"/>
                  </w:pPr>
                </w:p>
              </w:tc>
              <w:tc>
                <w:tcPr>
                  <w:tcW w:w="1275" w:type="dxa"/>
                  <w:vAlign w:val="center"/>
                </w:tcPr>
                <w:p>
                  <w:pPr>
                    <w:pStyle w:val="39"/>
                  </w:pPr>
                  <w:r>
                    <w:rPr>
                      <w:spacing w:val="-5"/>
                    </w:rPr>
                    <w:t>固废</w:t>
                  </w:r>
                </w:p>
              </w:tc>
              <w:tc>
                <w:tcPr>
                  <w:tcW w:w="5339" w:type="dxa"/>
                  <w:vAlign w:val="center"/>
                </w:tcPr>
                <w:p>
                  <w:pPr>
                    <w:pStyle w:val="39"/>
                  </w:pPr>
                  <w:r>
                    <w:rPr>
                      <w:spacing w:val="8"/>
                    </w:rPr>
                    <w:t>垃圾桶、危险废物收集处置</w:t>
                  </w:r>
                </w:p>
              </w:tc>
              <w:tc>
                <w:tcPr>
                  <w:tcW w:w="1622" w:type="dxa"/>
                  <w:vAlign w:val="center"/>
                </w:tcPr>
                <w:p>
                  <w:pPr>
                    <w:pStyle w:val="39"/>
                    <w:rPr>
                      <w:szCs w:val="21"/>
                    </w:rPr>
                  </w:pPr>
                  <w:r>
                    <w:rPr>
                      <w:szCs w:val="21"/>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jc w:val="center"/>
              </w:trPr>
              <w:tc>
                <w:tcPr>
                  <w:tcW w:w="608" w:type="dxa"/>
                  <w:vMerge w:val="continue"/>
                  <w:vAlign w:val="center"/>
                </w:tcPr>
                <w:p>
                  <w:pPr>
                    <w:pStyle w:val="39"/>
                  </w:pPr>
                </w:p>
              </w:tc>
              <w:tc>
                <w:tcPr>
                  <w:tcW w:w="1275" w:type="dxa"/>
                  <w:vAlign w:val="center"/>
                </w:tcPr>
                <w:p>
                  <w:pPr>
                    <w:pStyle w:val="39"/>
                  </w:pPr>
                  <w:r>
                    <w:rPr>
                      <w:spacing w:val="7"/>
                    </w:rPr>
                    <w:t>风险防范</w:t>
                  </w:r>
                </w:p>
              </w:tc>
              <w:tc>
                <w:tcPr>
                  <w:tcW w:w="5339" w:type="dxa"/>
                  <w:vAlign w:val="center"/>
                </w:tcPr>
                <w:p>
                  <w:pPr>
                    <w:pStyle w:val="39"/>
                  </w:pPr>
                  <w:r>
                    <w:rPr>
                      <w:spacing w:val="8"/>
                    </w:rPr>
                    <w:t>消防器材、应急预案编制等</w:t>
                  </w:r>
                </w:p>
              </w:tc>
              <w:tc>
                <w:tcPr>
                  <w:tcW w:w="1622" w:type="dxa"/>
                  <w:vAlign w:val="center"/>
                </w:tcPr>
                <w:p>
                  <w:pPr>
                    <w:pStyle w:val="39"/>
                    <w:rPr>
                      <w:szCs w:val="21"/>
                    </w:rPr>
                  </w:pPr>
                  <w:r>
                    <w:rPr>
                      <w:szCs w:val="21"/>
                    </w:rPr>
                    <w:t>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jc w:val="center"/>
              </w:trPr>
              <w:tc>
                <w:tcPr>
                  <w:tcW w:w="608" w:type="dxa"/>
                  <w:vMerge w:val="continue"/>
                  <w:vAlign w:val="center"/>
                </w:tcPr>
                <w:p>
                  <w:pPr>
                    <w:pStyle w:val="39"/>
                  </w:pPr>
                </w:p>
              </w:tc>
              <w:tc>
                <w:tcPr>
                  <w:tcW w:w="1275" w:type="dxa"/>
                  <w:vAlign w:val="center"/>
                </w:tcPr>
                <w:p>
                  <w:pPr>
                    <w:pStyle w:val="39"/>
                  </w:pPr>
                  <w:r>
                    <w:t>绿化</w:t>
                  </w:r>
                </w:p>
              </w:tc>
              <w:tc>
                <w:tcPr>
                  <w:tcW w:w="5339" w:type="dxa"/>
                  <w:vAlign w:val="center"/>
                </w:tcPr>
                <w:p>
                  <w:pPr>
                    <w:pStyle w:val="39"/>
                  </w:pPr>
                  <w:r>
                    <w:rPr>
                      <w:spacing w:val="6"/>
                    </w:rPr>
                    <w:t>景观绿化</w:t>
                  </w:r>
                </w:p>
              </w:tc>
              <w:tc>
                <w:tcPr>
                  <w:tcW w:w="1622" w:type="dxa"/>
                  <w:vAlign w:val="center"/>
                </w:tcPr>
                <w:p>
                  <w:pPr>
                    <w:pStyle w:val="39"/>
                    <w:rPr>
                      <w:szCs w:val="21"/>
                    </w:rPr>
                  </w:pPr>
                  <w:r>
                    <w:rPr>
                      <w:szCs w:val="21"/>
                    </w:rPr>
                    <w:t>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jc w:val="center"/>
              </w:trPr>
              <w:tc>
                <w:tcPr>
                  <w:tcW w:w="7222" w:type="dxa"/>
                  <w:gridSpan w:val="3"/>
                  <w:vAlign w:val="center"/>
                </w:tcPr>
                <w:p>
                  <w:pPr>
                    <w:pStyle w:val="39"/>
                    <w:rPr>
                      <w:spacing w:val="6"/>
                    </w:rPr>
                  </w:pPr>
                  <w:r>
                    <w:rPr>
                      <w:rFonts w:hint="eastAsia"/>
                      <w:spacing w:val="6"/>
                    </w:rPr>
                    <w:t>合计</w:t>
                  </w:r>
                </w:p>
              </w:tc>
              <w:tc>
                <w:tcPr>
                  <w:tcW w:w="1622" w:type="dxa"/>
                  <w:vAlign w:val="center"/>
                </w:tcPr>
                <w:p>
                  <w:pPr>
                    <w:pStyle w:val="39"/>
                    <w:rPr>
                      <w:szCs w:val="21"/>
                    </w:rPr>
                  </w:pPr>
                  <w:r>
                    <w:rPr>
                      <w:rFonts w:hint="eastAsia"/>
                      <w:szCs w:val="21"/>
                    </w:rPr>
                    <w:t>45</w:t>
                  </w:r>
                </w:p>
              </w:tc>
            </w:tr>
          </w:tbl>
          <w:p>
            <w:pPr>
              <w:pStyle w:val="42"/>
              <w:spacing w:before="120"/>
              <w:rPr>
                <w:sz w:val="21"/>
                <w:szCs w:val="21"/>
              </w:rPr>
            </w:pPr>
          </w:p>
          <w:p>
            <w:pPr>
              <w:pStyle w:val="42"/>
              <w:spacing w:before="120"/>
            </w:pPr>
          </w:p>
        </w:tc>
      </w:tr>
    </w:tbl>
    <w:p>
      <w:pPr>
        <w:pStyle w:val="3"/>
        <w:spacing w:before="0" w:line="360" w:lineRule="auto"/>
        <w:jc w:val="center"/>
        <w:rPr>
          <w:rFonts w:hint="eastAsia" w:ascii="宋体" w:hAnsi="宋体" w:eastAsia="宋体" w:cs="宋体"/>
          <w:b/>
          <w:bCs/>
        </w:rPr>
        <w:sectPr>
          <w:pgSz w:w="11910" w:h="16840"/>
          <w:pgMar w:top="1440" w:right="1080" w:bottom="1440" w:left="1080" w:header="0" w:footer="833" w:gutter="0"/>
          <w:pgNumType w:start="42"/>
          <w:cols w:space="720" w:num="1"/>
        </w:sectPr>
      </w:pPr>
    </w:p>
    <w:p>
      <w:pPr>
        <w:pStyle w:val="3"/>
        <w:spacing w:before="0" w:line="360" w:lineRule="auto"/>
        <w:jc w:val="center"/>
        <w:rPr>
          <w:rFonts w:hint="eastAsia" w:ascii="宋体" w:hAnsi="宋体" w:eastAsia="宋体" w:cs="宋体"/>
          <w:b/>
          <w:bCs/>
          <w:lang w:eastAsia="zh-CN"/>
        </w:rPr>
      </w:pPr>
      <w:r>
        <w:rPr>
          <w:rFonts w:hint="eastAsia" w:ascii="宋体" w:hAnsi="宋体" w:eastAsia="宋体" w:cs="宋体"/>
          <w:b/>
          <w:bCs/>
          <w:lang w:eastAsia="zh-CN"/>
        </w:rPr>
        <w:t>五、环境保护措施监督检查清单</w:t>
      </w:r>
      <w:bookmarkEnd w:id="11"/>
    </w:p>
    <w:tbl>
      <w:tblPr>
        <w:tblStyle w:val="17"/>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28" w:type="dxa"/>
          <w:bottom w:w="0" w:type="dxa"/>
          <w:right w:w="28" w:type="dxa"/>
        </w:tblCellMar>
      </w:tblPr>
      <w:tblGrid>
        <w:gridCol w:w="645"/>
        <w:gridCol w:w="1671"/>
        <w:gridCol w:w="1980"/>
        <w:gridCol w:w="1980"/>
        <w:gridCol w:w="353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28" w:type="pct"/>
          </w:tcPr>
          <w:p>
            <w:pPr>
              <w:widowControl/>
              <w:jc w:val="center"/>
              <w:rPr>
                <w:rFonts w:ascii="Times New Roman" w:hAnsi="Times New Roman" w:eastAsia="宋体" w:cs="Times New Roman"/>
                <w:kern w:val="2"/>
                <w:sz w:val="21"/>
                <w:szCs w:val="21"/>
                <w:lang w:eastAsia="zh-CN"/>
              </w:rPr>
            </w:pPr>
            <w:r>
              <w:rPr>
                <w:rFonts w:ascii="Times New Roman" w:hAnsi="Times New Roman" w:eastAsia="宋体" w:cs="Times New Roman"/>
                <w:kern w:val="2"/>
                <w:sz w:val="21"/>
                <w:szCs w:val="21"/>
                <w:lang w:eastAsia="zh-CN"/>
              </w:rPr>
              <w:t>内容要素</w:t>
            </w:r>
          </w:p>
        </w:tc>
        <w:tc>
          <w:tcPr>
            <w:tcW w:w="852" w:type="pct"/>
            <w:vAlign w:val="center"/>
          </w:tcPr>
          <w:p>
            <w:pPr>
              <w:widowControl/>
              <w:jc w:val="center"/>
              <w:rPr>
                <w:rFonts w:ascii="Times New Roman" w:hAnsi="Times New Roman" w:eastAsia="宋体" w:cs="Times New Roman"/>
                <w:kern w:val="2"/>
                <w:sz w:val="21"/>
                <w:szCs w:val="21"/>
                <w:lang w:eastAsia="zh-CN"/>
              </w:rPr>
            </w:pPr>
            <w:r>
              <w:rPr>
                <w:rFonts w:ascii="Times New Roman" w:hAnsi="Times New Roman" w:eastAsia="宋体" w:cs="Times New Roman"/>
                <w:kern w:val="2"/>
                <w:sz w:val="21"/>
                <w:szCs w:val="21"/>
                <w:lang w:eastAsia="zh-CN"/>
              </w:rPr>
              <w:t>排放口(编号、名称)/污染源</w:t>
            </w:r>
          </w:p>
        </w:tc>
        <w:tc>
          <w:tcPr>
            <w:tcW w:w="1010" w:type="pct"/>
            <w:vAlign w:val="center"/>
          </w:tcPr>
          <w:p>
            <w:pPr>
              <w:widowControl/>
              <w:jc w:val="center"/>
              <w:rPr>
                <w:rFonts w:ascii="Times New Roman" w:hAnsi="Times New Roman" w:eastAsia="宋体" w:cs="Times New Roman"/>
                <w:kern w:val="2"/>
                <w:sz w:val="21"/>
                <w:szCs w:val="21"/>
                <w:lang w:eastAsia="zh-CN"/>
              </w:rPr>
            </w:pPr>
            <w:r>
              <w:rPr>
                <w:rFonts w:ascii="Times New Roman" w:hAnsi="Times New Roman" w:eastAsia="宋体" w:cs="Times New Roman"/>
                <w:kern w:val="2"/>
                <w:sz w:val="21"/>
                <w:szCs w:val="21"/>
                <w:lang w:eastAsia="zh-CN"/>
              </w:rPr>
              <w:t>污染物项目</w:t>
            </w:r>
          </w:p>
        </w:tc>
        <w:tc>
          <w:tcPr>
            <w:tcW w:w="1010" w:type="pct"/>
            <w:vAlign w:val="center"/>
          </w:tcPr>
          <w:p>
            <w:pPr>
              <w:widowControl/>
              <w:jc w:val="center"/>
              <w:rPr>
                <w:rFonts w:ascii="Times New Roman" w:hAnsi="Times New Roman" w:eastAsia="宋体" w:cs="Times New Roman"/>
                <w:kern w:val="2"/>
                <w:sz w:val="21"/>
                <w:szCs w:val="21"/>
                <w:lang w:eastAsia="zh-CN"/>
              </w:rPr>
            </w:pPr>
            <w:r>
              <w:rPr>
                <w:rFonts w:ascii="Times New Roman" w:hAnsi="Times New Roman" w:eastAsia="宋体" w:cs="Times New Roman"/>
                <w:kern w:val="2"/>
                <w:sz w:val="21"/>
                <w:szCs w:val="21"/>
                <w:lang w:eastAsia="zh-CN"/>
              </w:rPr>
              <w:t>环境保护措施</w:t>
            </w:r>
          </w:p>
        </w:tc>
        <w:tc>
          <w:tcPr>
            <w:tcW w:w="1800" w:type="pct"/>
            <w:vAlign w:val="center"/>
          </w:tcPr>
          <w:p>
            <w:pPr>
              <w:widowControl/>
              <w:jc w:val="center"/>
              <w:rPr>
                <w:rFonts w:ascii="Times New Roman" w:hAnsi="Times New Roman" w:eastAsia="宋体" w:cs="Times New Roman"/>
                <w:kern w:val="2"/>
                <w:sz w:val="21"/>
                <w:szCs w:val="21"/>
                <w:lang w:eastAsia="zh-CN"/>
              </w:rPr>
            </w:pPr>
            <w:r>
              <w:rPr>
                <w:rFonts w:ascii="Times New Roman" w:hAnsi="Times New Roman" w:eastAsia="宋体" w:cs="Times New Roman"/>
                <w:kern w:val="2"/>
                <w:sz w:val="21"/>
                <w:szCs w:val="21"/>
                <w:lang w:eastAsia="zh-CN"/>
              </w:rPr>
              <w:t>执行标准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28" w:type="pct"/>
            <w:vMerge w:val="restart"/>
            <w:vAlign w:val="center"/>
          </w:tcPr>
          <w:p>
            <w:pPr>
              <w:widowControl/>
              <w:jc w:val="center"/>
              <w:rPr>
                <w:rFonts w:ascii="Times New Roman" w:hAnsi="Times New Roman" w:eastAsia="宋体" w:cs="Times New Roman"/>
                <w:kern w:val="2"/>
                <w:sz w:val="21"/>
                <w:szCs w:val="21"/>
                <w:lang w:eastAsia="zh-CN"/>
              </w:rPr>
            </w:pPr>
            <w:r>
              <w:rPr>
                <w:rFonts w:ascii="Times New Roman" w:hAnsi="Times New Roman" w:eastAsia="宋体" w:cs="Times New Roman"/>
                <w:kern w:val="2"/>
                <w:sz w:val="21"/>
                <w:szCs w:val="21"/>
                <w:lang w:eastAsia="zh-CN"/>
              </w:rPr>
              <w:t>大气环境</w:t>
            </w:r>
          </w:p>
        </w:tc>
        <w:tc>
          <w:tcPr>
            <w:tcW w:w="852" w:type="pct"/>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施工期</w:t>
            </w:r>
          </w:p>
        </w:tc>
        <w:tc>
          <w:tcPr>
            <w:tcW w:w="1010" w:type="pct"/>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颗粒物</w:t>
            </w:r>
          </w:p>
        </w:tc>
        <w:tc>
          <w:tcPr>
            <w:tcW w:w="1010" w:type="pct"/>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施工场地的出入口</w:t>
            </w:r>
          </w:p>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道路应当硬化，设置</w:t>
            </w:r>
          </w:p>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洗车台，对施工场</w:t>
            </w:r>
          </w:p>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地、施工道路应适时</w:t>
            </w:r>
          </w:p>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洒水、清扫等降尘；</w:t>
            </w:r>
          </w:p>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选择符合环保要求</w:t>
            </w:r>
          </w:p>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的施工机械，尽量选</w:t>
            </w:r>
          </w:p>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用以电能或燃轻柴</w:t>
            </w:r>
          </w:p>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油的设备，减少机械</w:t>
            </w:r>
          </w:p>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设备燃料废气的产</w:t>
            </w:r>
          </w:p>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生量</w:t>
            </w:r>
          </w:p>
        </w:tc>
        <w:tc>
          <w:tcPr>
            <w:tcW w:w="1800" w:type="pct"/>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满足《大气污染物综合排放标准》</w:t>
            </w:r>
          </w:p>
          <w:p>
            <w:pPr>
              <w:widowControl/>
              <w:jc w:val="center"/>
              <w:rPr>
                <w:rFonts w:ascii="Times New Roman" w:hAnsi="Times New Roman" w:eastAsia="宋体" w:cs="Times New Roman"/>
                <w:kern w:val="2"/>
                <w:sz w:val="21"/>
                <w:szCs w:val="21"/>
                <w:lang w:eastAsia="zh-CN"/>
              </w:rPr>
            </w:pPr>
            <w:r>
              <w:rPr>
                <w:rFonts w:ascii="Times New Roman" w:hAnsi="Times New Roman" w:eastAsia="宋体" w:cs="Times New Roman"/>
                <w:kern w:val="2"/>
                <w:sz w:val="21"/>
                <w:szCs w:val="21"/>
                <w:lang w:eastAsia="zh-CN"/>
              </w:rPr>
              <w:t>(GB16297-1996)</w:t>
            </w:r>
            <w:r>
              <w:rPr>
                <w:rFonts w:hint="eastAsia" w:ascii="Times New Roman" w:hAnsi="Times New Roman" w:eastAsia="宋体" w:cs="Times New Roman"/>
                <w:kern w:val="2"/>
                <w:sz w:val="21"/>
                <w:szCs w:val="21"/>
                <w:lang w:eastAsia="zh-CN"/>
              </w:rPr>
              <w:t>二级标准无组织</w:t>
            </w:r>
          </w:p>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排放监控浓度限值（即颗粒物≤</w:t>
            </w:r>
            <w:r>
              <w:rPr>
                <w:rFonts w:ascii="Times New Roman" w:hAnsi="Times New Roman" w:eastAsia="宋体" w:cs="Times New Roman"/>
                <w:kern w:val="2"/>
                <w:sz w:val="21"/>
                <w:szCs w:val="21"/>
                <w:lang w:eastAsia="zh-CN"/>
              </w:rPr>
              <w:t>1.0mg/m</w:t>
            </w:r>
            <w:r>
              <w:rPr>
                <w:rFonts w:ascii="Times New Roman" w:hAnsi="Times New Roman" w:eastAsia="宋体" w:cs="Times New Roman"/>
                <w:kern w:val="2"/>
                <w:sz w:val="21"/>
                <w:szCs w:val="21"/>
                <w:vertAlign w:val="superscript"/>
                <w:lang w:eastAsia="zh-CN"/>
              </w:rPr>
              <w:t>3</w:t>
            </w:r>
            <w:r>
              <w:rPr>
                <w:rFonts w:ascii="Times New Roman" w:hAnsi="Times New Roman" w:eastAsia="宋体" w:cs="Times New Roman"/>
                <w:kern w:val="2"/>
                <w:sz w:val="21"/>
                <w:szCs w:val="21"/>
                <w:lang w:eastAsia="zh-CN"/>
              </w:rPr>
              <w:t xml:space="preserve"> </w:t>
            </w:r>
            <w:r>
              <w:rPr>
                <w:rFonts w:hint="eastAsia" w:ascii="Times New Roman" w:hAnsi="Times New Roman" w:eastAsia="宋体" w:cs="Times New Roman"/>
                <w:kern w:val="2"/>
                <w:sz w:val="21"/>
                <w:szCs w:val="21"/>
                <w:lang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28" w:type="pct"/>
            <w:vMerge w:val="continue"/>
            <w:vAlign w:val="center"/>
          </w:tcPr>
          <w:p>
            <w:pPr>
              <w:widowControl/>
              <w:jc w:val="center"/>
              <w:rPr>
                <w:rFonts w:ascii="Times New Roman" w:hAnsi="Times New Roman" w:eastAsia="宋体" w:cs="Times New Roman"/>
                <w:kern w:val="2"/>
                <w:sz w:val="21"/>
                <w:szCs w:val="21"/>
                <w:lang w:eastAsia="zh-CN"/>
              </w:rPr>
            </w:pPr>
          </w:p>
        </w:tc>
        <w:tc>
          <w:tcPr>
            <w:tcW w:w="852" w:type="pct"/>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运营期厂界</w:t>
            </w:r>
          </w:p>
        </w:tc>
        <w:tc>
          <w:tcPr>
            <w:tcW w:w="1010" w:type="pct"/>
            <w:vMerge w:val="restart"/>
            <w:vAlign w:val="center"/>
          </w:tcPr>
          <w:p>
            <w:pPr>
              <w:widowControl/>
              <w:jc w:val="center"/>
              <w:rPr>
                <w:rFonts w:ascii="Times New Roman" w:hAnsi="Times New Roman" w:eastAsia="宋体" w:cs="Times New Roman"/>
                <w:kern w:val="2"/>
                <w:sz w:val="21"/>
                <w:szCs w:val="21"/>
                <w:lang w:eastAsia="zh-CN"/>
              </w:rPr>
            </w:pPr>
            <w:r>
              <w:rPr>
                <w:rFonts w:ascii="Times New Roman" w:hAnsi="Times New Roman" w:eastAsia="宋体" w:cs="Times New Roman"/>
                <w:kern w:val="2"/>
                <w:sz w:val="21"/>
                <w:szCs w:val="21"/>
                <w:lang w:eastAsia="zh-CN"/>
              </w:rPr>
              <w:t>NMHC</w:t>
            </w:r>
          </w:p>
        </w:tc>
        <w:tc>
          <w:tcPr>
            <w:tcW w:w="1010" w:type="pct"/>
            <w:vMerge w:val="restart"/>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采用卸油一次油气回收、加油二次油气回收和储油三次回收系统</w:t>
            </w:r>
          </w:p>
        </w:tc>
        <w:tc>
          <w:tcPr>
            <w:tcW w:w="1800" w:type="pct"/>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《加油站大气污染物排放标准》</w:t>
            </w:r>
            <w:r>
              <w:rPr>
                <w:rFonts w:ascii="Times New Roman" w:hAnsi="Times New Roman" w:eastAsia="宋体" w:cs="Times New Roman"/>
                <w:kern w:val="2"/>
                <w:sz w:val="21"/>
                <w:szCs w:val="21"/>
                <w:lang w:eastAsia="zh-CN"/>
              </w:rPr>
              <w:t>(GB20952-2020)</w:t>
            </w:r>
            <w:r>
              <w:rPr>
                <w:rFonts w:hint="eastAsia" w:ascii="Times New Roman" w:hAnsi="Times New Roman" w:eastAsia="宋体" w:cs="Times New Roman"/>
                <w:kern w:val="2"/>
                <w:sz w:val="21"/>
                <w:szCs w:val="21"/>
                <w:lang w:eastAsia="zh-CN"/>
              </w:rPr>
              <w:t>表</w:t>
            </w:r>
            <w:r>
              <w:rPr>
                <w:rFonts w:ascii="Times New Roman" w:hAnsi="Times New Roman" w:eastAsia="宋体" w:cs="Times New Roman"/>
                <w:kern w:val="2"/>
                <w:sz w:val="21"/>
                <w:szCs w:val="21"/>
                <w:lang w:eastAsia="zh-CN"/>
              </w:rPr>
              <w:t xml:space="preserve"> 3 </w:t>
            </w:r>
            <w:r>
              <w:rPr>
                <w:rFonts w:hint="eastAsia" w:ascii="Times New Roman" w:hAnsi="Times New Roman" w:eastAsia="宋体" w:cs="Times New Roman"/>
                <w:kern w:val="2"/>
                <w:sz w:val="21"/>
                <w:szCs w:val="21"/>
                <w:lang w:eastAsia="zh-CN"/>
              </w:rPr>
              <w:t>中非甲烷总烃无组织排放监控浓度限值</w:t>
            </w:r>
            <w:r>
              <w:rPr>
                <w:rFonts w:ascii="Times New Roman" w:hAnsi="Times New Roman" w:eastAsia="宋体" w:cs="Times New Roman"/>
                <w:kern w:val="2"/>
                <w:sz w:val="21"/>
                <w:szCs w:val="21"/>
                <w:lang w:eastAsia="zh-CN"/>
              </w:rPr>
              <w:t>(</w:t>
            </w:r>
            <w:r>
              <w:rPr>
                <w:rFonts w:hint="eastAsia" w:ascii="Times New Roman" w:hAnsi="Times New Roman" w:eastAsia="宋体" w:cs="Times New Roman"/>
                <w:kern w:val="2"/>
                <w:sz w:val="21"/>
                <w:szCs w:val="21"/>
                <w:lang w:eastAsia="zh-CN"/>
              </w:rPr>
              <w:t>即非甲烷总烃≤</w:t>
            </w:r>
            <w:r>
              <w:rPr>
                <w:rFonts w:ascii="Times New Roman" w:hAnsi="Times New Roman" w:eastAsia="宋体" w:cs="Times New Roman"/>
                <w:kern w:val="2"/>
                <w:sz w:val="21"/>
                <w:szCs w:val="21"/>
                <w:lang w:eastAsia="zh-CN"/>
              </w:rPr>
              <w:t>4.0mg/m</w:t>
            </w:r>
            <w:r>
              <w:rPr>
                <w:rFonts w:ascii="Times New Roman" w:hAnsi="Times New Roman" w:eastAsia="宋体" w:cs="Times New Roman"/>
                <w:kern w:val="2"/>
                <w:sz w:val="21"/>
                <w:szCs w:val="21"/>
                <w:vertAlign w:val="superscript"/>
                <w:lang w:eastAsia="zh-CN"/>
              </w:rPr>
              <w:t>3</w:t>
            </w:r>
            <w:r>
              <w:rPr>
                <w:rFonts w:ascii="Times New Roman" w:hAnsi="Times New Roman" w:eastAsia="宋体" w:cs="Times New Roman"/>
                <w:kern w:val="2"/>
                <w:sz w:val="21"/>
                <w:szCs w:val="21"/>
                <w:lang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28" w:type="pct"/>
            <w:vMerge w:val="continue"/>
            <w:vAlign w:val="center"/>
          </w:tcPr>
          <w:p>
            <w:pPr>
              <w:widowControl/>
              <w:jc w:val="center"/>
              <w:rPr>
                <w:rFonts w:ascii="Times New Roman" w:hAnsi="Times New Roman" w:eastAsia="宋体" w:cs="Times New Roman"/>
                <w:kern w:val="2"/>
                <w:sz w:val="21"/>
                <w:szCs w:val="21"/>
                <w:lang w:eastAsia="zh-CN"/>
              </w:rPr>
            </w:pPr>
          </w:p>
        </w:tc>
        <w:tc>
          <w:tcPr>
            <w:tcW w:w="852" w:type="pct"/>
            <w:vAlign w:val="center"/>
          </w:tcPr>
          <w:p>
            <w:pPr>
              <w:widowControl/>
              <w:jc w:val="center"/>
              <w:rPr>
                <w:rFonts w:ascii="Times New Roman" w:hAnsi="Times New Roman" w:eastAsia="宋体" w:cs="Times New Roman"/>
                <w:kern w:val="2"/>
                <w:sz w:val="21"/>
                <w:szCs w:val="21"/>
                <w:lang w:eastAsia="zh-CN"/>
              </w:rPr>
            </w:pPr>
            <w:r>
              <w:rPr>
                <w:rFonts w:ascii="Times New Roman" w:hAnsi="Times New Roman" w:eastAsia="宋体" w:cs="Times New Roman"/>
                <w:kern w:val="2"/>
                <w:sz w:val="21"/>
                <w:szCs w:val="21"/>
                <w:lang w:eastAsia="zh-CN"/>
              </w:rPr>
              <w:t>运营期</w:t>
            </w:r>
            <w:r>
              <w:rPr>
                <w:rFonts w:hint="eastAsia" w:ascii="Times New Roman" w:hAnsi="Times New Roman" w:eastAsia="宋体" w:cs="Times New Roman"/>
                <w:kern w:val="2"/>
                <w:sz w:val="21"/>
                <w:szCs w:val="21"/>
                <w:lang w:eastAsia="zh-CN"/>
              </w:rPr>
              <w:t>厂区内</w:t>
            </w:r>
          </w:p>
        </w:tc>
        <w:tc>
          <w:tcPr>
            <w:tcW w:w="1010" w:type="pct"/>
            <w:vMerge w:val="continue"/>
            <w:vAlign w:val="center"/>
          </w:tcPr>
          <w:p>
            <w:pPr>
              <w:widowControl/>
              <w:jc w:val="center"/>
              <w:rPr>
                <w:rFonts w:ascii="Times New Roman" w:hAnsi="Times New Roman" w:eastAsia="宋体" w:cs="Times New Roman"/>
                <w:kern w:val="2"/>
                <w:sz w:val="21"/>
                <w:szCs w:val="21"/>
                <w:lang w:eastAsia="zh-CN"/>
              </w:rPr>
            </w:pPr>
          </w:p>
        </w:tc>
        <w:tc>
          <w:tcPr>
            <w:tcW w:w="1010" w:type="pct"/>
            <w:vMerge w:val="continue"/>
            <w:vAlign w:val="center"/>
          </w:tcPr>
          <w:p>
            <w:pPr>
              <w:widowControl/>
              <w:jc w:val="center"/>
              <w:rPr>
                <w:rFonts w:ascii="Times New Roman" w:hAnsi="Times New Roman" w:eastAsia="宋体" w:cs="Times New Roman"/>
                <w:kern w:val="2"/>
                <w:sz w:val="21"/>
                <w:szCs w:val="21"/>
                <w:lang w:eastAsia="zh-CN"/>
              </w:rPr>
            </w:pPr>
          </w:p>
        </w:tc>
        <w:tc>
          <w:tcPr>
            <w:tcW w:w="1800" w:type="pct"/>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满足《挥发性有机物无组织</w:t>
            </w:r>
            <w:r>
              <w:rPr>
                <w:rFonts w:ascii="Times New Roman" w:hAnsi="Times New Roman" w:eastAsia="宋体" w:cs="Times New Roman"/>
                <w:kern w:val="2"/>
                <w:sz w:val="21"/>
                <w:szCs w:val="21"/>
                <w:lang w:eastAsia="zh-CN"/>
              </w:rPr>
              <w:t xml:space="preserve"> </w:t>
            </w:r>
            <w:r>
              <w:rPr>
                <w:rFonts w:hint="eastAsia" w:ascii="Times New Roman" w:hAnsi="Times New Roman" w:eastAsia="宋体" w:cs="Times New Roman"/>
                <w:kern w:val="2"/>
                <w:sz w:val="21"/>
                <w:szCs w:val="21"/>
                <w:lang w:eastAsia="zh-CN"/>
              </w:rPr>
              <w:t>排放控制标准》</w:t>
            </w:r>
            <w:r>
              <w:rPr>
                <w:rFonts w:ascii="Times New Roman" w:hAnsi="Times New Roman" w:eastAsia="宋体" w:cs="Times New Roman"/>
                <w:kern w:val="2"/>
                <w:sz w:val="21"/>
                <w:szCs w:val="21"/>
                <w:lang w:eastAsia="zh-CN"/>
              </w:rPr>
              <w:t xml:space="preserve"> (GB37822-2019)</w:t>
            </w:r>
            <w:r>
              <w:rPr>
                <w:rFonts w:hint="eastAsia" w:ascii="Times New Roman" w:hAnsi="Times New Roman" w:eastAsia="宋体" w:cs="Times New Roman"/>
                <w:kern w:val="2"/>
                <w:sz w:val="21"/>
                <w:szCs w:val="21"/>
                <w:lang w:eastAsia="zh-CN"/>
              </w:rPr>
              <w:t>中附录</w:t>
            </w:r>
            <w:r>
              <w:rPr>
                <w:rFonts w:ascii="Times New Roman" w:hAnsi="Times New Roman" w:eastAsia="宋体" w:cs="Times New Roman"/>
                <w:kern w:val="2"/>
                <w:sz w:val="21"/>
                <w:szCs w:val="21"/>
                <w:lang w:eastAsia="zh-CN"/>
              </w:rPr>
              <w:t xml:space="preserve"> A  </w:t>
            </w:r>
            <w:r>
              <w:rPr>
                <w:rFonts w:hint="eastAsia" w:ascii="Times New Roman" w:hAnsi="Times New Roman" w:eastAsia="宋体" w:cs="Times New Roman"/>
                <w:kern w:val="2"/>
                <w:sz w:val="21"/>
                <w:szCs w:val="21"/>
                <w:lang w:eastAsia="zh-CN"/>
              </w:rPr>
              <w:t>表</w:t>
            </w:r>
            <w:r>
              <w:rPr>
                <w:rFonts w:ascii="Times New Roman" w:hAnsi="Times New Roman" w:eastAsia="宋体" w:cs="Times New Roman"/>
                <w:kern w:val="2"/>
                <w:sz w:val="21"/>
                <w:szCs w:val="21"/>
                <w:lang w:eastAsia="zh-CN"/>
              </w:rPr>
              <w:t xml:space="preserve"> A. 1  </w:t>
            </w:r>
            <w:r>
              <w:rPr>
                <w:rFonts w:hint="eastAsia" w:ascii="Times New Roman" w:hAnsi="Times New Roman" w:eastAsia="宋体" w:cs="Times New Roman"/>
                <w:kern w:val="2"/>
                <w:sz w:val="21"/>
                <w:szCs w:val="21"/>
                <w:lang w:eastAsia="zh-CN"/>
              </w:rPr>
              <w:t>标准限值</w:t>
            </w:r>
            <w:r>
              <w:rPr>
                <w:rFonts w:ascii="Times New Roman" w:hAnsi="Times New Roman" w:eastAsia="宋体" w:cs="Times New Roman"/>
                <w:kern w:val="2"/>
                <w:sz w:val="21"/>
                <w:szCs w:val="21"/>
                <w:lang w:eastAsia="zh-CN"/>
              </w:rPr>
              <w:t>(</w:t>
            </w:r>
            <w:r>
              <w:rPr>
                <w:rFonts w:hint="eastAsia" w:ascii="Times New Roman" w:hAnsi="Times New Roman" w:eastAsia="宋体" w:cs="Times New Roman"/>
                <w:kern w:val="2"/>
                <w:sz w:val="21"/>
                <w:szCs w:val="21"/>
                <w:lang w:eastAsia="zh-CN"/>
              </w:rPr>
              <w:t>即厂内监控点</w:t>
            </w:r>
            <w:r>
              <w:rPr>
                <w:rFonts w:ascii="Times New Roman" w:hAnsi="Times New Roman" w:eastAsia="宋体" w:cs="Times New Roman"/>
                <w:kern w:val="2"/>
                <w:sz w:val="21"/>
                <w:szCs w:val="21"/>
                <w:lang w:eastAsia="zh-CN"/>
              </w:rPr>
              <w:t xml:space="preserve"> 1h </w:t>
            </w:r>
            <w:r>
              <w:rPr>
                <w:rFonts w:hint="eastAsia" w:ascii="Times New Roman" w:hAnsi="Times New Roman" w:eastAsia="宋体" w:cs="Times New Roman"/>
                <w:kern w:val="2"/>
                <w:sz w:val="21"/>
                <w:szCs w:val="21"/>
                <w:lang w:eastAsia="zh-CN"/>
              </w:rPr>
              <w:t>平均浓度值非甲烷总烃≤</w:t>
            </w:r>
            <w:r>
              <w:rPr>
                <w:rFonts w:ascii="Times New Roman" w:hAnsi="Times New Roman" w:eastAsia="宋体" w:cs="Times New Roman"/>
                <w:kern w:val="2"/>
                <w:sz w:val="21"/>
                <w:szCs w:val="21"/>
                <w:lang w:eastAsia="zh-CN"/>
              </w:rPr>
              <w:t>8.0mg/m</w:t>
            </w:r>
            <w:r>
              <w:rPr>
                <w:rFonts w:ascii="Times New Roman" w:hAnsi="Times New Roman" w:eastAsia="宋体" w:cs="Times New Roman"/>
                <w:kern w:val="2"/>
                <w:sz w:val="21"/>
                <w:szCs w:val="21"/>
                <w:vertAlign w:val="superscript"/>
                <w:lang w:eastAsia="zh-CN"/>
              </w:rPr>
              <w:t>3</w:t>
            </w:r>
            <w:r>
              <w:rPr>
                <w:rFonts w:hint="eastAsia" w:ascii="Times New Roman" w:hAnsi="Times New Roman" w:eastAsia="宋体" w:cs="Times New Roman"/>
                <w:kern w:val="2"/>
                <w:sz w:val="21"/>
                <w:szCs w:val="21"/>
                <w:lang w:eastAsia="zh-CN"/>
              </w:rPr>
              <w:t>，任意一次浓度值非甲烷总烃≤</w:t>
            </w:r>
            <w:r>
              <w:rPr>
                <w:rFonts w:ascii="Times New Roman" w:hAnsi="Times New Roman" w:eastAsia="宋体" w:cs="Times New Roman"/>
                <w:kern w:val="2"/>
                <w:sz w:val="21"/>
                <w:szCs w:val="21"/>
                <w:lang w:eastAsia="zh-CN"/>
              </w:rPr>
              <w:t>30.0mg/m</w:t>
            </w:r>
            <w:r>
              <w:rPr>
                <w:rFonts w:ascii="Times New Roman" w:hAnsi="Times New Roman" w:eastAsia="宋体" w:cs="Times New Roman"/>
                <w:kern w:val="2"/>
                <w:sz w:val="21"/>
                <w:szCs w:val="21"/>
                <w:vertAlign w:val="superscript"/>
                <w:lang w:eastAsia="zh-CN"/>
              </w:rPr>
              <w:t>3</w:t>
            </w:r>
            <w:r>
              <w:rPr>
                <w:rFonts w:ascii="Times New Roman" w:hAnsi="Times New Roman" w:eastAsia="宋体" w:cs="Times New Roman"/>
                <w:kern w:val="2"/>
                <w:sz w:val="21"/>
                <w:szCs w:val="21"/>
                <w:lang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28" w:type="pct"/>
            <w:vMerge w:val="restart"/>
            <w:vAlign w:val="center"/>
          </w:tcPr>
          <w:p>
            <w:pPr>
              <w:jc w:val="center"/>
              <w:rPr>
                <w:rFonts w:ascii="Times New Roman" w:hAnsi="Times New Roman" w:eastAsia="宋体" w:cs="Times New Roman"/>
                <w:kern w:val="2"/>
                <w:sz w:val="21"/>
                <w:szCs w:val="21"/>
                <w:lang w:eastAsia="zh-CN"/>
              </w:rPr>
            </w:pPr>
            <w:r>
              <w:rPr>
                <w:rFonts w:ascii="Times New Roman" w:hAnsi="Times New Roman" w:eastAsia="宋体" w:cs="Times New Roman"/>
                <w:kern w:val="2"/>
                <w:sz w:val="21"/>
                <w:szCs w:val="21"/>
                <w:lang w:eastAsia="zh-CN"/>
              </w:rPr>
              <w:t>水环境</w:t>
            </w:r>
          </w:p>
        </w:tc>
        <w:tc>
          <w:tcPr>
            <w:tcW w:w="852" w:type="pct"/>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施工期废水</w:t>
            </w:r>
          </w:p>
        </w:tc>
        <w:tc>
          <w:tcPr>
            <w:tcW w:w="1010" w:type="pct"/>
            <w:vAlign w:val="center"/>
          </w:tcPr>
          <w:p>
            <w:pPr>
              <w:widowControl/>
              <w:jc w:val="center"/>
              <w:rPr>
                <w:rFonts w:ascii="Times New Roman" w:hAnsi="Times New Roman" w:eastAsia="宋体" w:cs="Times New Roman"/>
                <w:kern w:val="2"/>
                <w:sz w:val="21"/>
                <w:szCs w:val="21"/>
                <w:lang w:eastAsia="zh-CN"/>
              </w:rPr>
            </w:pPr>
            <w:r>
              <w:rPr>
                <w:rFonts w:ascii="Times New Roman" w:hAnsi="Times New Roman" w:eastAsia="宋体" w:cs="Times New Roman"/>
                <w:kern w:val="2"/>
                <w:sz w:val="21"/>
                <w:szCs w:val="21"/>
                <w:lang w:eastAsia="zh-CN"/>
              </w:rPr>
              <w:t>COD、BOD</w:t>
            </w:r>
            <w:r>
              <w:rPr>
                <w:rFonts w:ascii="Times New Roman" w:hAnsi="Times New Roman" w:eastAsia="宋体" w:cs="Times New Roman"/>
                <w:kern w:val="2"/>
                <w:sz w:val="21"/>
                <w:szCs w:val="21"/>
                <w:vertAlign w:val="subscript"/>
                <w:lang w:eastAsia="zh-CN"/>
              </w:rPr>
              <w:t>5</w:t>
            </w:r>
            <w:r>
              <w:rPr>
                <w:rFonts w:ascii="Times New Roman" w:hAnsi="Times New Roman" w:eastAsia="宋体" w:cs="Times New Roman"/>
                <w:kern w:val="2"/>
                <w:sz w:val="21"/>
                <w:szCs w:val="21"/>
                <w:lang w:eastAsia="zh-CN"/>
              </w:rPr>
              <w:t>、SS</w:t>
            </w:r>
            <w:r>
              <w:rPr>
                <w:rFonts w:hint="eastAsia" w:ascii="Times New Roman" w:hAnsi="Times New Roman" w:eastAsia="宋体" w:cs="Times New Roman"/>
                <w:kern w:val="2"/>
                <w:sz w:val="21"/>
                <w:szCs w:val="21"/>
                <w:lang w:eastAsia="zh-CN"/>
              </w:rPr>
              <w:t>、</w:t>
            </w:r>
            <w:r>
              <w:rPr>
                <w:rFonts w:ascii="Times New Roman" w:hAnsi="Times New Roman" w:eastAsia="宋体" w:cs="Times New Roman"/>
                <w:kern w:val="2"/>
                <w:sz w:val="21"/>
                <w:szCs w:val="21"/>
                <w:lang w:eastAsia="zh-CN"/>
              </w:rPr>
              <w:t>氨氮</w:t>
            </w:r>
            <w:r>
              <w:rPr>
                <w:rFonts w:hint="eastAsia" w:ascii="Times New Roman" w:hAnsi="Times New Roman" w:eastAsia="宋体" w:cs="Times New Roman"/>
                <w:kern w:val="2"/>
                <w:sz w:val="21"/>
                <w:szCs w:val="21"/>
                <w:lang w:eastAsia="zh-CN"/>
              </w:rPr>
              <w:t>、pH、石油类</w:t>
            </w:r>
          </w:p>
        </w:tc>
        <w:tc>
          <w:tcPr>
            <w:tcW w:w="1010" w:type="pct"/>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施工废水经临时隔</w:t>
            </w:r>
          </w:p>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油沉淀池处理后全</w:t>
            </w:r>
          </w:p>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部回用场地洒水抑</w:t>
            </w:r>
          </w:p>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尘和设备、车辆冲洗</w:t>
            </w:r>
          </w:p>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用水，不外排；</w:t>
            </w:r>
          </w:p>
        </w:tc>
        <w:tc>
          <w:tcPr>
            <w:tcW w:w="1800" w:type="pct"/>
            <w:tcBorders>
              <w:bottom w:val="single" w:color="auto" w:sz="4" w:space="0"/>
            </w:tcBorders>
            <w:vAlign w:val="center"/>
          </w:tcPr>
          <w:p>
            <w:pPr>
              <w:widowControl/>
              <w:jc w:val="center"/>
              <w:rPr>
                <w:rFonts w:ascii="Times New Roman" w:hAnsi="Times New Roman" w:eastAsia="宋体" w:cs="Times New Roman"/>
                <w:kern w:val="2"/>
                <w:sz w:val="21"/>
                <w:szCs w:val="21"/>
                <w:lang w:eastAsia="zh-CN"/>
              </w:rPr>
            </w:pPr>
            <w:r>
              <w:rPr>
                <w:rFonts w:ascii="Times New Roman" w:hAnsi="Times New Roman" w:eastAsia="宋体" w:cs="Times New Roman"/>
                <w:kern w:val="2"/>
                <w:sz w:val="21"/>
                <w:szCs w:val="21"/>
                <w:lang w:eastAsia="zh-CN"/>
              </w:rPr>
              <w:t>验收落实</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28" w:type="pct"/>
            <w:vMerge w:val="continue"/>
            <w:vAlign w:val="center"/>
          </w:tcPr>
          <w:p>
            <w:pPr>
              <w:widowControl/>
              <w:jc w:val="center"/>
              <w:rPr>
                <w:rFonts w:ascii="Times New Roman" w:hAnsi="Times New Roman" w:eastAsia="宋体" w:cs="Times New Roman"/>
                <w:kern w:val="2"/>
                <w:sz w:val="21"/>
                <w:szCs w:val="21"/>
                <w:lang w:eastAsia="zh-CN"/>
              </w:rPr>
            </w:pPr>
          </w:p>
        </w:tc>
        <w:tc>
          <w:tcPr>
            <w:tcW w:w="852" w:type="pct"/>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废水总排放口（DW001）</w:t>
            </w:r>
          </w:p>
        </w:tc>
        <w:tc>
          <w:tcPr>
            <w:tcW w:w="1010" w:type="pct"/>
            <w:vAlign w:val="center"/>
          </w:tcPr>
          <w:p>
            <w:pPr>
              <w:widowControl/>
              <w:jc w:val="center"/>
              <w:rPr>
                <w:rFonts w:ascii="Times New Roman" w:hAnsi="Times New Roman" w:eastAsia="宋体" w:cs="Times New Roman"/>
                <w:kern w:val="2"/>
                <w:sz w:val="21"/>
                <w:szCs w:val="21"/>
                <w:lang w:eastAsia="zh-CN"/>
              </w:rPr>
            </w:pPr>
            <w:r>
              <w:rPr>
                <w:rFonts w:ascii="Times New Roman" w:hAnsi="Times New Roman" w:eastAsia="宋体" w:cs="Times New Roman"/>
                <w:kern w:val="2"/>
                <w:sz w:val="21"/>
                <w:szCs w:val="21"/>
                <w:lang w:eastAsia="zh-CN"/>
              </w:rPr>
              <w:t>COD、BOD</w:t>
            </w:r>
            <w:r>
              <w:rPr>
                <w:rFonts w:ascii="Times New Roman" w:hAnsi="Times New Roman" w:eastAsia="宋体" w:cs="Times New Roman"/>
                <w:kern w:val="2"/>
                <w:sz w:val="21"/>
                <w:szCs w:val="21"/>
                <w:vertAlign w:val="subscript"/>
                <w:lang w:eastAsia="zh-CN"/>
              </w:rPr>
              <w:t>5</w:t>
            </w:r>
            <w:r>
              <w:rPr>
                <w:rFonts w:ascii="Times New Roman" w:hAnsi="Times New Roman" w:eastAsia="宋体" w:cs="Times New Roman"/>
                <w:kern w:val="2"/>
                <w:sz w:val="21"/>
                <w:szCs w:val="21"/>
                <w:lang w:eastAsia="zh-CN"/>
              </w:rPr>
              <w:t>、SS</w:t>
            </w:r>
            <w:r>
              <w:rPr>
                <w:rFonts w:hint="eastAsia" w:ascii="Times New Roman" w:hAnsi="Times New Roman" w:eastAsia="宋体" w:cs="Times New Roman"/>
                <w:kern w:val="2"/>
                <w:sz w:val="21"/>
                <w:szCs w:val="21"/>
                <w:lang w:eastAsia="zh-CN"/>
              </w:rPr>
              <w:t>、</w:t>
            </w:r>
            <w:r>
              <w:rPr>
                <w:rFonts w:ascii="Times New Roman" w:hAnsi="Times New Roman" w:eastAsia="宋体" w:cs="Times New Roman"/>
                <w:kern w:val="2"/>
                <w:sz w:val="21"/>
                <w:szCs w:val="21"/>
                <w:lang w:eastAsia="zh-CN"/>
              </w:rPr>
              <w:t>氨氮</w:t>
            </w:r>
            <w:r>
              <w:rPr>
                <w:rFonts w:hint="eastAsia" w:ascii="Times New Roman" w:hAnsi="Times New Roman" w:eastAsia="宋体" w:cs="Times New Roman"/>
                <w:kern w:val="2"/>
                <w:sz w:val="21"/>
                <w:szCs w:val="21"/>
                <w:lang w:eastAsia="zh-CN"/>
              </w:rPr>
              <w:t>、pH、石油类</w:t>
            </w:r>
          </w:p>
        </w:tc>
        <w:tc>
          <w:tcPr>
            <w:tcW w:w="1010" w:type="pct"/>
            <w:vAlign w:val="center"/>
          </w:tcPr>
          <w:p>
            <w:pPr>
              <w:widowControl/>
              <w:jc w:val="center"/>
              <w:rPr>
                <w:rFonts w:ascii="Times New Roman" w:hAnsi="Times New Roman" w:eastAsia="宋体" w:cs="Times New Roman"/>
                <w:kern w:val="2"/>
                <w:sz w:val="21"/>
                <w:szCs w:val="21"/>
                <w:lang w:eastAsia="zh-CN"/>
              </w:rPr>
            </w:pPr>
            <w:r>
              <w:rPr>
                <w:rFonts w:ascii="Times New Roman" w:hAnsi="Times New Roman" w:eastAsia="宋体" w:cs="Times New Roman"/>
                <w:kern w:val="2"/>
                <w:sz w:val="21"/>
                <w:szCs w:val="21"/>
                <w:lang w:eastAsia="zh-CN"/>
              </w:rPr>
              <w:t>冲洗废水经隔油池预处理</w:t>
            </w:r>
            <w:r>
              <w:rPr>
                <w:rFonts w:hint="eastAsia" w:ascii="Times New Roman" w:hAnsi="Times New Roman" w:eastAsia="宋体" w:cs="Times New Roman"/>
                <w:kern w:val="2"/>
                <w:sz w:val="21"/>
                <w:szCs w:val="21"/>
                <w:lang w:eastAsia="zh-CN"/>
              </w:rPr>
              <w:t>、</w:t>
            </w:r>
            <w:r>
              <w:rPr>
                <w:rFonts w:ascii="Times New Roman" w:hAnsi="Times New Roman" w:eastAsia="宋体" w:cs="Times New Roman"/>
                <w:kern w:val="2"/>
                <w:sz w:val="21"/>
                <w:szCs w:val="21"/>
                <w:lang w:eastAsia="zh-CN"/>
              </w:rPr>
              <w:t>生活污水经化粪池预处理后通过市政污水管网纳入福清融元污水处理厂集中处理</w:t>
            </w:r>
          </w:p>
        </w:tc>
        <w:tc>
          <w:tcPr>
            <w:tcW w:w="1800" w:type="pct"/>
            <w:tcBorders>
              <w:bottom w:val="single" w:color="auto" w:sz="4" w:space="0"/>
            </w:tcBorders>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《污水综合排放标准》（GB8978-1996）表4三级标准，氨氮执行《污水排入城镇下水道水质标准》（GB/T31962-2015）表1B级标准，即</w:t>
            </w:r>
            <w:r>
              <w:rPr>
                <w:rFonts w:ascii="Times New Roman" w:hAnsi="Times New Roman" w:eastAsia="宋体" w:cs="Times New Roman"/>
                <w:kern w:val="2"/>
                <w:sz w:val="21"/>
                <w:szCs w:val="21"/>
                <w:lang w:eastAsia="zh-CN"/>
              </w:rPr>
              <w:t>COD≤</w:t>
            </w:r>
            <w:r>
              <w:rPr>
                <w:rFonts w:hint="eastAsia" w:ascii="Times New Roman" w:hAnsi="Times New Roman" w:eastAsia="宋体" w:cs="Times New Roman"/>
                <w:kern w:val="2"/>
                <w:sz w:val="21"/>
                <w:szCs w:val="21"/>
                <w:lang w:eastAsia="zh-CN"/>
              </w:rPr>
              <w:t>500mg/L</w:t>
            </w:r>
            <w:r>
              <w:rPr>
                <w:rFonts w:ascii="Times New Roman" w:hAnsi="Times New Roman" w:eastAsia="宋体" w:cs="Times New Roman"/>
                <w:kern w:val="2"/>
                <w:sz w:val="21"/>
                <w:szCs w:val="21"/>
                <w:lang w:eastAsia="zh-CN"/>
              </w:rPr>
              <w:t>、BOD</w:t>
            </w:r>
            <w:r>
              <w:rPr>
                <w:rFonts w:ascii="Times New Roman" w:hAnsi="Times New Roman" w:eastAsia="宋体" w:cs="Times New Roman"/>
                <w:kern w:val="2"/>
                <w:sz w:val="21"/>
                <w:szCs w:val="21"/>
                <w:vertAlign w:val="subscript"/>
                <w:lang w:eastAsia="zh-CN"/>
              </w:rPr>
              <w:t>5</w:t>
            </w:r>
            <w:r>
              <w:rPr>
                <w:rFonts w:hint="eastAsia" w:ascii="Times New Roman" w:hAnsi="Times New Roman" w:eastAsia="宋体" w:cs="Times New Roman"/>
                <w:kern w:val="2"/>
                <w:sz w:val="21"/>
                <w:szCs w:val="21"/>
                <w:lang w:eastAsia="zh-CN"/>
              </w:rPr>
              <w:t xml:space="preserve"> </w:t>
            </w:r>
            <w:r>
              <w:rPr>
                <w:rFonts w:ascii="Times New Roman" w:hAnsi="Times New Roman" w:eastAsia="宋体" w:cs="Times New Roman"/>
                <w:kern w:val="2"/>
                <w:sz w:val="21"/>
                <w:szCs w:val="21"/>
                <w:lang w:eastAsia="zh-CN"/>
              </w:rPr>
              <w:t>≤</w:t>
            </w:r>
            <w:r>
              <w:rPr>
                <w:rFonts w:hint="eastAsia" w:ascii="Times New Roman" w:hAnsi="Times New Roman" w:eastAsia="宋体" w:cs="Times New Roman"/>
                <w:kern w:val="2"/>
                <w:sz w:val="21"/>
                <w:szCs w:val="21"/>
                <w:lang w:eastAsia="zh-CN"/>
              </w:rPr>
              <w:t>300mg/L</w:t>
            </w:r>
            <w:r>
              <w:rPr>
                <w:rFonts w:ascii="Times New Roman" w:hAnsi="Times New Roman" w:eastAsia="宋体" w:cs="Times New Roman"/>
                <w:kern w:val="2"/>
                <w:sz w:val="21"/>
                <w:szCs w:val="21"/>
                <w:lang w:eastAsia="zh-CN"/>
              </w:rPr>
              <w:t>、SS≤</w:t>
            </w:r>
            <w:r>
              <w:rPr>
                <w:rFonts w:hint="eastAsia" w:ascii="Times New Roman" w:hAnsi="Times New Roman" w:eastAsia="宋体" w:cs="Times New Roman"/>
                <w:kern w:val="2"/>
                <w:sz w:val="21"/>
                <w:szCs w:val="21"/>
                <w:lang w:eastAsia="zh-CN"/>
              </w:rPr>
              <w:t>400mg/L、</w:t>
            </w:r>
            <w:r>
              <w:rPr>
                <w:rFonts w:ascii="Times New Roman" w:hAnsi="Times New Roman" w:eastAsia="宋体" w:cs="Times New Roman"/>
                <w:kern w:val="2"/>
                <w:sz w:val="21"/>
                <w:szCs w:val="21"/>
                <w:lang w:eastAsia="zh-CN"/>
              </w:rPr>
              <w:t>氨氮≤</w:t>
            </w:r>
            <w:r>
              <w:rPr>
                <w:rFonts w:hint="eastAsia" w:ascii="Times New Roman" w:hAnsi="Times New Roman" w:eastAsia="宋体" w:cs="Times New Roman"/>
                <w:kern w:val="2"/>
                <w:sz w:val="21"/>
                <w:szCs w:val="21"/>
                <w:lang w:eastAsia="zh-CN"/>
              </w:rPr>
              <w:t>45mg/L、pH：6~9、石油类：20mg/L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28" w:type="pct"/>
            <w:vMerge w:val="restart"/>
            <w:vAlign w:val="center"/>
          </w:tcPr>
          <w:p>
            <w:pPr>
              <w:jc w:val="center"/>
              <w:rPr>
                <w:rFonts w:ascii="Times New Roman" w:hAnsi="Times New Roman" w:eastAsia="宋体" w:cs="Times New Roman"/>
                <w:kern w:val="2"/>
                <w:sz w:val="21"/>
                <w:szCs w:val="21"/>
                <w:lang w:eastAsia="zh-CN"/>
              </w:rPr>
            </w:pPr>
            <w:r>
              <w:rPr>
                <w:rFonts w:ascii="Times New Roman" w:hAnsi="Times New Roman" w:eastAsia="宋体" w:cs="Times New Roman"/>
                <w:kern w:val="2"/>
                <w:sz w:val="21"/>
                <w:szCs w:val="21"/>
                <w:lang w:eastAsia="zh-CN"/>
              </w:rPr>
              <w:t>声环境</w:t>
            </w:r>
          </w:p>
        </w:tc>
        <w:tc>
          <w:tcPr>
            <w:tcW w:w="852" w:type="pct"/>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施工期设备</w:t>
            </w:r>
          </w:p>
        </w:tc>
        <w:tc>
          <w:tcPr>
            <w:tcW w:w="1010" w:type="pct"/>
            <w:vAlign w:val="center"/>
          </w:tcPr>
          <w:p>
            <w:pPr>
              <w:widowControl/>
              <w:jc w:val="center"/>
              <w:rPr>
                <w:rFonts w:ascii="Times New Roman" w:hAnsi="Times New Roman" w:eastAsia="宋体" w:cs="Times New Roman"/>
                <w:kern w:val="2"/>
                <w:sz w:val="21"/>
                <w:szCs w:val="21"/>
                <w:lang w:eastAsia="zh-CN"/>
              </w:rPr>
            </w:pPr>
            <w:r>
              <w:rPr>
                <w:rFonts w:ascii="Times New Roman" w:hAnsi="Times New Roman" w:eastAsia="宋体" w:cs="Times New Roman"/>
                <w:kern w:val="2"/>
                <w:sz w:val="21"/>
                <w:szCs w:val="21"/>
                <w:lang w:eastAsia="zh-CN"/>
              </w:rPr>
              <w:t>噪声</w:t>
            </w:r>
          </w:p>
        </w:tc>
        <w:tc>
          <w:tcPr>
            <w:tcW w:w="1010" w:type="pct"/>
            <w:vAlign w:val="center"/>
          </w:tcPr>
          <w:p>
            <w:pPr>
              <w:widowControl/>
              <w:jc w:val="center"/>
              <w:rPr>
                <w:rFonts w:ascii="Times New Roman" w:hAnsi="Times New Roman" w:eastAsia="宋体" w:cs="Times New Roman"/>
                <w:kern w:val="2"/>
                <w:sz w:val="21"/>
                <w:szCs w:val="21"/>
                <w:lang w:eastAsia="zh-CN"/>
              </w:rPr>
            </w:pPr>
            <w:r>
              <w:rPr>
                <w:rFonts w:ascii="Times New Roman" w:hAnsi="Times New Roman" w:eastAsia="宋体" w:cs="Times New Roman"/>
                <w:kern w:val="2"/>
                <w:sz w:val="21"/>
                <w:szCs w:val="21"/>
                <w:lang w:eastAsia="zh-CN"/>
              </w:rPr>
              <w:t>减振、隔声</w:t>
            </w:r>
          </w:p>
        </w:tc>
        <w:tc>
          <w:tcPr>
            <w:tcW w:w="1800" w:type="pct"/>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满足《建筑施工场界环境噪声排放标准》</w:t>
            </w:r>
            <w:r>
              <w:rPr>
                <w:rFonts w:ascii="Times New Roman" w:hAnsi="Times New Roman" w:eastAsia="宋体" w:cs="Times New Roman"/>
                <w:kern w:val="2"/>
                <w:sz w:val="21"/>
                <w:szCs w:val="21"/>
                <w:lang w:eastAsia="zh-CN"/>
              </w:rPr>
              <w:t>(GB12523-2011)</w:t>
            </w:r>
            <w:r>
              <w:rPr>
                <w:rFonts w:hint="eastAsia" w:ascii="Times New Roman" w:hAnsi="Times New Roman" w:eastAsia="宋体" w:cs="Times New Roman"/>
                <w:kern w:val="2"/>
                <w:sz w:val="21"/>
                <w:szCs w:val="21"/>
                <w:lang w:eastAsia="zh-CN"/>
              </w:rPr>
              <w:t>表</w:t>
            </w:r>
            <w:r>
              <w:rPr>
                <w:rFonts w:ascii="Times New Roman" w:hAnsi="Times New Roman" w:eastAsia="宋体" w:cs="Times New Roman"/>
                <w:kern w:val="2"/>
                <w:sz w:val="21"/>
                <w:szCs w:val="21"/>
                <w:lang w:eastAsia="zh-CN"/>
              </w:rPr>
              <w:t xml:space="preserve"> 1 </w:t>
            </w:r>
            <w:r>
              <w:rPr>
                <w:rFonts w:hint="eastAsia" w:ascii="Times New Roman" w:hAnsi="Times New Roman" w:eastAsia="宋体" w:cs="Times New Roman"/>
                <w:kern w:val="2"/>
                <w:sz w:val="21"/>
                <w:szCs w:val="21"/>
                <w:lang w:eastAsia="zh-CN"/>
              </w:rPr>
              <w:t>排放限值</w:t>
            </w:r>
            <w:r>
              <w:rPr>
                <w:rFonts w:ascii="Times New Roman" w:hAnsi="Times New Roman" w:eastAsia="宋体" w:cs="Times New Roman"/>
                <w:kern w:val="2"/>
                <w:sz w:val="21"/>
                <w:szCs w:val="21"/>
                <w:lang w:eastAsia="zh-CN"/>
              </w:rPr>
              <w:t>(</w:t>
            </w:r>
            <w:r>
              <w:rPr>
                <w:rFonts w:hint="eastAsia" w:ascii="Times New Roman" w:hAnsi="Times New Roman" w:eastAsia="宋体" w:cs="Times New Roman"/>
                <w:kern w:val="2"/>
                <w:sz w:val="21"/>
                <w:szCs w:val="21"/>
                <w:lang w:eastAsia="zh-CN"/>
              </w:rPr>
              <w:t>即昼间≤</w:t>
            </w:r>
            <w:r>
              <w:rPr>
                <w:rFonts w:ascii="Times New Roman" w:hAnsi="Times New Roman" w:eastAsia="宋体" w:cs="Times New Roman"/>
                <w:kern w:val="2"/>
                <w:sz w:val="21"/>
                <w:szCs w:val="21"/>
                <w:lang w:eastAsia="zh-CN"/>
              </w:rPr>
              <w:t>70dB(A))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28" w:type="pct"/>
            <w:vMerge w:val="continue"/>
            <w:vAlign w:val="center"/>
          </w:tcPr>
          <w:p>
            <w:pPr>
              <w:widowControl/>
              <w:jc w:val="center"/>
              <w:rPr>
                <w:rFonts w:ascii="Times New Roman" w:hAnsi="Times New Roman" w:eastAsia="宋体" w:cs="Times New Roman"/>
                <w:kern w:val="2"/>
                <w:sz w:val="21"/>
                <w:szCs w:val="21"/>
                <w:lang w:eastAsia="zh-CN"/>
              </w:rPr>
            </w:pPr>
          </w:p>
        </w:tc>
        <w:tc>
          <w:tcPr>
            <w:tcW w:w="852" w:type="pct"/>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加油</w:t>
            </w:r>
            <w:r>
              <w:rPr>
                <w:rFonts w:ascii="Times New Roman" w:hAnsi="Times New Roman" w:eastAsia="宋体" w:cs="Times New Roman"/>
                <w:kern w:val="2"/>
                <w:sz w:val="21"/>
                <w:szCs w:val="21"/>
                <w:lang w:eastAsia="zh-CN"/>
              </w:rPr>
              <w:t>设备</w:t>
            </w:r>
          </w:p>
        </w:tc>
        <w:tc>
          <w:tcPr>
            <w:tcW w:w="1010" w:type="pct"/>
            <w:vAlign w:val="center"/>
          </w:tcPr>
          <w:p>
            <w:pPr>
              <w:widowControl/>
              <w:jc w:val="center"/>
              <w:rPr>
                <w:rFonts w:ascii="Times New Roman" w:hAnsi="Times New Roman" w:eastAsia="宋体" w:cs="Times New Roman"/>
                <w:kern w:val="2"/>
                <w:sz w:val="21"/>
                <w:szCs w:val="21"/>
                <w:lang w:eastAsia="zh-CN"/>
              </w:rPr>
            </w:pPr>
            <w:r>
              <w:rPr>
                <w:rFonts w:ascii="Times New Roman" w:hAnsi="Times New Roman" w:eastAsia="宋体" w:cs="Times New Roman"/>
                <w:kern w:val="2"/>
                <w:sz w:val="21"/>
                <w:szCs w:val="21"/>
                <w:lang w:eastAsia="zh-CN"/>
              </w:rPr>
              <w:t>噪声</w:t>
            </w:r>
          </w:p>
        </w:tc>
        <w:tc>
          <w:tcPr>
            <w:tcW w:w="1010" w:type="pct"/>
            <w:vAlign w:val="center"/>
          </w:tcPr>
          <w:p>
            <w:pPr>
              <w:widowControl/>
              <w:jc w:val="center"/>
              <w:rPr>
                <w:rFonts w:ascii="Times New Roman" w:hAnsi="Times New Roman" w:eastAsia="宋体" w:cs="Times New Roman"/>
                <w:kern w:val="2"/>
                <w:sz w:val="21"/>
                <w:szCs w:val="21"/>
                <w:lang w:eastAsia="zh-CN"/>
              </w:rPr>
            </w:pPr>
            <w:r>
              <w:rPr>
                <w:rFonts w:ascii="Times New Roman" w:hAnsi="Times New Roman" w:eastAsia="宋体" w:cs="Times New Roman"/>
                <w:kern w:val="2"/>
                <w:sz w:val="21"/>
                <w:szCs w:val="21"/>
                <w:lang w:eastAsia="zh-CN"/>
              </w:rPr>
              <w:t>减振、隔声</w:t>
            </w:r>
          </w:p>
        </w:tc>
        <w:tc>
          <w:tcPr>
            <w:tcW w:w="1800" w:type="pct"/>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东、西、北侧厂界满足</w:t>
            </w:r>
            <w:r>
              <w:rPr>
                <w:rFonts w:ascii="Times New Roman" w:hAnsi="Times New Roman" w:eastAsia="宋体" w:cs="Times New Roman"/>
                <w:kern w:val="2"/>
                <w:sz w:val="21"/>
                <w:szCs w:val="21"/>
                <w:lang w:eastAsia="zh-CN"/>
              </w:rPr>
              <w:t>《工业企业厂界环境噪声排放标准》（GB12348-2008）中</w:t>
            </w:r>
            <w:r>
              <w:rPr>
                <w:rFonts w:hint="eastAsia" w:ascii="Times New Roman" w:hAnsi="Times New Roman" w:eastAsia="宋体" w:cs="Times New Roman"/>
                <w:kern w:val="2"/>
                <w:sz w:val="21"/>
                <w:szCs w:val="21"/>
                <w:lang w:eastAsia="zh-CN"/>
              </w:rPr>
              <w:t>2</w:t>
            </w:r>
            <w:r>
              <w:rPr>
                <w:rFonts w:ascii="Times New Roman" w:hAnsi="Times New Roman" w:eastAsia="宋体" w:cs="Times New Roman"/>
                <w:kern w:val="2"/>
                <w:sz w:val="21"/>
                <w:szCs w:val="21"/>
                <w:lang w:eastAsia="zh-CN"/>
              </w:rPr>
              <w:t>类标准，昼间≤</w:t>
            </w:r>
            <w:r>
              <w:rPr>
                <w:rFonts w:hint="eastAsia" w:ascii="Times New Roman" w:hAnsi="Times New Roman" w:eastAsia="宋体" w:cs="Times New Roman"/>
                <w:kern w:val="2"/>
                <w:sz w:val="21"/>
                <w:szCs w:val="21"/>
                <w:lang w:eastAsia="zh-CN"/>
              </w:rPr>
              <w:t>60</w:t>
            </w:r>
            <w:r>
              <w:rPr>
                <w:rFonts w:ascii="Times New Roman" w:hAnsi="Times New Roman" w:eastAsia="宋体" w:cs="Times New Roman"/>
                <w:kern w:val="2"/>
                <w:sz w:val="21"/>
                <w:szCs w:val="21"/>
                <w:lang w:eastAsia="zh-CN"/>
              </w:rPr>
              <w:t>dB</w:t>
            </w:r>
            <w:r>
              <w:rPr>
                <w:rFonts w:hint="eastAsia" w:ascii="Times New Roman" w:hAnsi="Times New Roman" w:eastAsia="宋体" w:cs="Times New Roman"/>
                <w:kern w:val="2"/>
                <w:sz w:val="21"/>
                <w:szCs w:val="21"/>
                <w:lang w:eastAsia="zh-CN"/>
              </w:rPr>
              <w:t>、夜</w:t>
            </w:r>
            <w:r>
              <w:rPr>
                <w:rFonts w:ascii="Times New Roman" w:hAnsi="Times New Roman" w:eastAsia="宋体" w:cs="Times New Roman"/>
                <w:kern w:val="2"/>
                <w:sz w:val="21"/>
                <w:szCs w:val="21"/>
                <w:lang w:eastAsia="zh-CN"/>
              </w:rPr>
              <w:t>间≤</w:t>
            </w:r>
            <w:r>
              <w:rPr>
                <w:rFonts w:hint="eastAsia" w:ascii="Times New Roman" w:hAnsi="Times New Roman" w:eastAsia="宋体" w:cs="Times New Roman"/>
                <w:kern w:val="2"/>
                <w:sz w:val="21"/>
                <w:szCs w:val="21"/>
                <w:lang w:eastAsia="zh-CN"/>
              </w:rPr>
              <w:t>50</w:t>
            </w:r>
            <w:r>
              <w:rPr>
                <w:rFonts w:ascii="Times New Roman" w:hAnsi="Times New Roman" w:eastAsia="宋体" w:cs="Times New Roman"/>
                <w:kern w:val="2"/>
                <w:sz w:val="21"/>
                <w:szCs w:val="21"/>
                <w:lang w:eastAsia="zh-CN"/>
              </w:rPr>
              <w:t>dB</w:t>
            </w:r>
            <w:r>
              <w:rPr>
                <w:rFonts w:hint="eastAsia" w:ascii="Times New Roman" w:hAnsi="Times New Roman" w:eastAsia="宋体" w:cs="Times New Roman"/>
                <w:kern w:val="2"/>
                <w:sz w:val="21"/>
                <w:szCs w:val="21"/>
                <w:lang w:eastAsia="zh-CN"/>
              </w:rPr>
              <w:t>；其中南侧满足4a</w:t>
            </w:r>
            <w:r>
              <w:rPr>
                <w:rFonts w:ascii="Times New Roman" w:hAnsi="Times New Roman" w:eastAsia="宋体" w:cs="Times New Roman"/>
                <w:kern w:val="2"/>
                <w:sz w:val="21"/>
                <w:szCs w:val="21"/>
                <w:lang w:eastAsia="zh-CN"/>
              </w:rPr>
              <w:t>类标准，昼间≤</w:t>
            </w:r>
            <w:r>
              <w:rPr>
                <w:rFonts w:hint="eastAsia" w:ascii="Times New Roman" w:hAnsi="Times New Roman" w:eastAsia="宋体" w:cs="Times New Roman"/>
                <w:kern w:val="2"/>
                <w:sz w:val="21"/>
                <w:szCs w:val="21"/>
                <w:lang w:eastAsia="zh-CN"/>
              </w:rPr>
              <w:t>70</w:t>
            </w:r>
            <w:r>
              <w:rPr>
                <w:rFonts w:ascii="Times New Roman" w:hAnsi="Times New Roman" w:eastAsia="宋体" w:cs="Times New Roman"/>
                <w:kern w:val="2"/>
                <w:sz w:val="21"/>
                <w:szCs w:val="21"/>
                <w:lang w:eastAsia="zh-CN"/>
              </w:rPr>
              <w:t>dB、</w:t>
            </w:r>
            <w:r>
              <w:rPr>
                <w:rFonts w:hint="eastAsia" w:ascii="Times New Roman" w:hAnsi="Times New Roman" w:eastAsia="宋体" w:cs="Times New Roman"/>
                <w:kern w:val="2"/>
                <w:sz w:val="21"/>
                <w:szCs w:val="21"/>
                <w:lang w:eastAsia="zh-CN"/>
              </w:rPr>
              <w:t>夜</w:t>
            </w:r>
            <w:r>
              <w:rPr>
                <w:rFonts w:ascii="Times New Roman" w:hAnsi="Times New Roman" w:eastAsia="宋体" w:cs="Times New Roman"/>
                <w:kern w:val="2"/>
                <w:sz w:val="21"/>
                <w:szCs w:val="21"/>
                <w:lang w:eastAsia="zh-CN"/>
              </w:rPr>
              <w:t>间≤</w:t>
            </w:r>
            <w:r>
              <w:rPr>
                <w:rFonts w:hint="eastAsia" w:ascii="Times New Roman" w:hAnsi="Times New Roman" w:eastAsia="宋体" w:cs="Times New Roman"/>
                <w:kern w:val="2"/>
                <w:sz w:val="21"/>
                <w:szCs w:val="21"/>
                <w:lang w:eastAsia="zh-CN"/>
              </w:rPr>
              <w:t>55</w:t>
            </w:r>
            <w:r>
              <w:rPr>
                <w:rFonts w:ascii="Times New Roman" w:hAnsi="Times New Roman" w:eastAsia="宋体" w:cs="Times New Roman"/>
                <w:kern w:val="2"/>
                <w:sz w:val="21"/>
                <w:szCs w:val="21"/>
                <w:lang w:eastAsia="zh-CN"/>
              </w:rPr>
              <w:t>dB</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28" w:type="pct"/>
            <w:vAlign w:val="center"/>
          </w:tcPr>
          <w:p>
            <w:pPr>
              <w:widowControl/>
              <w:jc w:val="center"/>
              <w:rPr>
                <w:rFonts w:ascii="Times New Roman" w:hAnsi="Times New Roman" w:eastAsia="宋体" w:cs="Times New Roman"/>
                <w:kern w:val="2"/>
                <w:sz w:val="21"/>
                <w:szCs w:val="21"/>
                <w:lang w:eastAsia="zh-CN"/>
              </w:rPr>
            </w:pPr>
            <w:r>
              <w:rPr>
                <w:rFonts w:ascii="Times New Roman" w:hAnsi="Times New Roman" w:eastAsia="宋体" w:cs="Times New Roman"/>
                <w:kern w:val="2"/>
                <w:sz w:val="21"/>
                <w:szCs w:val="21"/>
                <w:lang w:eastAsia="zh-CN"/>
              </w:rPr>
              <w:t>固体废物</w:t>
            </w:r>
          </w:p>
        </w:tc>
        <w:tc>
          <w:tcPr>
            <w:tcW w:w="4672" w:type="pct"/>
            <w:gridSpan w:val="4"/>
            <w:vAlign w:val="center"/>
          </w:tcPr>
          <w:p>
            <w:pPr>
              <w:widowControl/>
              <w:spacing w:line="320" w:lineRule="exact"/>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（1）</w:t>
            </w:r>
            <w:r>
              <w:rPr>
                <w:rFonts w:ascii="Times New Roman" w:hAnsi="Times New Roman" w:eastAsia="宋体" w:cs="Times New Roman"/>
                <w:kern w:val="2"/>
                <w:sz w:val="21"/>
                <w:szCs w:val="21"/>
                <w:lang w:eastAsia="zh-CN"/>
              </w:rPr>
              <w:t>施工期产生的建筑垃圾要及时清运、加以利用，按《城市建筑垃圾管理规定》 (建设部 2005  第 139 号令)规定的要求进行；生活垃圾应日清日运。</w:t>
            </w:r>
          </w:p>
          <w:p>
            <w:pPr>
              <w:widowControl/>
              <w:spacing w:line="320" w:lineRule="exact"/>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（2）危险废物</w:t>
            </w:r>
            <w:r>
              <w:rPr>
                <w:rFonts w:ascii="Times New Roman" w:hAnsi="Times New Roman" w:eastAsia="宋体" w:cs="Times New Roman"/>
                <w:kern w:val="2"/>
                <w:sz w:val="21"/>
                <w:szCs w:val="21"/>
                <w:lang w:eastAsia="zh-CN"/>
              </w:rPr>
              <w:t>委托有资质单位定期清理</w:t>
            </w:r>
            <w:r>
              <w:rPr>
                <w:rFonts w:hint="eastAsia" w:ascii="Times New Roman" w:hAnsi="Times New Roman" w:eastAsia="宋体" w:cs="Times New Roman"/>
                <w:kern w:val="2"/>
                <w:sz w:val="21"/>
                <w:szCs w:val="21"/>
                <w:lang w:eastAsia="zh-CN"/>
              </w:rPr>
              <w:t>后直接运出，不在站内暂存。</w:t>
            </w:r>
          </w:p>
          <w:p>
            <w:pPr>
              <w:widowControl/>
              <w:spacing w:line="320" w:lineRule="exact"/>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（3）生活垃圾：垃圾桶收集，由环卫部门定期清运处置。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28" w:type="pct"/>
            <w:vAlign w:val="center"/>
          </w:tcPr>
          <w:p>
            <w:pPr>
              <w:widowControl/>
              <w:jc w:val="center"/>
              <w:rPr>
                <w:rFonts w:ascii="Times New Roman" w:hAnsi="Times New Roman" w:eastAsia="宋体" w:cs="Times New Roman"/>
                <w:kern w:val="2"/>
                <w:sz w:val="21"/>
                <w:szCs w:val="21"/>
                <w:lang w:eastAsia="zh-CN"/>
              </w:rPr>
            </w:pPr>
            <w:r>
              <w:rPr>
                <w:rFonts w:ascii="Times New Roman" w:hAnsi="Times New Roman" w:eastAsia="宋体" w:cs="Times New Roman"/>
                <w:kern w:val="2"/>
                <w:sz w:val="21"/>
                <w:szCs w:val="21"/>
                <w:lang w:eastAsia="zh-CN"/>
              </w:rPr>
              <w:t>环境风险</w:t>
            </w:r>
          </w:p>
        </w:tc>
        <w:tc>
          <w:tcPr>
            <w:tcW w:w="4672" w:type="pct"/>
            <w:gridSpan w:val="4"/>
            <w:vAlign w:val="center"/>
          </w:tcPr>
          <w:p>
            <w:pPr>
              <w:widowControl/>
              <w:spacing w:line="320" w:lineRule="exact"/>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编制突发环境事件险应急预案，另外编制消防、安监等预案做为本项目的系统预案，</w:t>
            </w:r>
            <w:r>
              <w:rPr>
                <w:rFonts w:ascii="Times New Roman" w:hAnsi="Times New Roman" w:eastAsia="宋体" w:cs="Times New Roman"/>
                <w:kern w:val="2"/>
                <w:sz w:val="21"/>
                <w:szCs w:val="21"/>
                <w:lang w:eastAsia="zh-CN"/>
              </w:rPr>
              <w:t xml:space="preserve"> </w:t>
            </w:r>
            <w:r>
              <w:rPr>
                <w:rFonts w:hint="eastAsia" w:ascii="Times New Roman" w:hAnsi="Times New Roman" w:eastAsia="宋体" w:cs="Times New Roman"/>
                <w:kern w:val="2"/>
                <w:sz w:val="21"/>
                <w:szCs w:val="21"/>
                <w:lang w:eastAsia="zh-CN"/>
              </w:rPr>
              <w:t>采取防火、防爆等措施，配备消防沙、灭火器等消防设施；安装棚</w:t>
            </w:r>
            <w:r>
              <w:rPr>
                <w:rFonts w:ascii="Times New Roman" w:hAnsi="Times New Roman" w:eastAsia="宋体" w:cs="Times New Roman"/>
                <w:kern w:val="2"/>
                <w:sz w:val="21"/>
                <w:szCs w:val="21"/>
                <w:lang w:eastAsia="zh-CN"/>
              </w:rPr>
              <w:t xml:space="preserve"> </w:t>
            </w:r>
            <w:r>
              <w:rPr>
                <w:rFonts w:hint="eastAsia" w:ascii="Times New Roman" w:hAnsi="Times New Roman" w:eastAsia="宋体" w:cs="Times New Roman"/>
                <w:kern w:val="2"/>
                <w:sz w:val="21"/>
                <w:szCs w:val="21"/>
                <w:lang w:eastAsia="zh-CN"/>
              </w:rPr>
              <w:t>顶降温喷淋系统；</w:t>
            </w:r>
            <w:r>
              <w:rPr>
                <w:rFonts w:ascii="Times New Roman" w:hAnsi="Times New Roman" w:eastAsia="宋体" w:cs="Times New Roman"/>
                <w:kern w:val="2"/>
                <w:sz w:val="21"/>
                <w:szCs w:val="21"/>
                <w:lang w:eastAsia="zh-CN"/>
              </w:rPr>
              <w:t xml:space="preserve"> </w:t>
            </w:r>
            <w:r>
              <w:rPr>
                <w:rFonts w:hint="eastAsia" w:ascii="Times New Roman" w:hAnsi="Times New Roman" w:eastAsia="宋体" w:cs="Times New Roman"/>
                <w:kern w:val="2"/>
                <w:sz w:val="21"/>
                <w:szCs w:val="21"/>
                <w:lang w:eastAsia="zh-CN"/>
              </w:rPr>
              <w:t>事故情况下事故废水可暂存在隔油池。</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28" w:type="pct"/>
            <w:vAlign w:val="center"/>
          </w:tcPr>
          <w:p>
            <w:pPr>
              <w:widowControl/>
              <w:jc w:val="center"/>
              <w:rPr>
                <w:rFonts w:ascii="Times New Roman" w:hAnsi="Times New Roman" w:eastAsia="宋体" w:cs="Times New Roman"/>
                <w:kern w:val="2"/>
                <w:sz w:val="21"/>
                <w:szCs w:val="21"/>
                <w:lang w:eastAsia="zh-CN"/>
              </w:rPr>
            </w:pPr>
            <w:r>
              <w:rPr>
                <w:rFonts w:ascii="Times New Roman" w:hAnsi="Times New Roman" w:eastAsia="宋体" w:cs="Times New Roman"/>
                <w:kern w:val="2"/>
                <w:sz w:val="21"/>
                <w:szCs w:val="21"/>
                <w:lang w:eastAsia="zh-CN"/>
              </w:rPr>
              <w:t>土壤及地 下水污染 防治措施</w:t>
            </w:r>
          </w:p>
        </w:tc>
        <w:tc>
          <w:tcPr>
            <w:tcW w:w="4672" w:type="pct"/>
            <w:gridSpan w:val="4"/>
            <w:vAlign w:val="center"/>
          </w:tcPr>
          <w:p>
            <w:pPr>
              <w:widowControl/>
              <w:spacing w:line="320" w:lineRule="exact"/>
              <w:rPr>
                <w:rFonts w:ascii="Times New Roman" w:hAnsi="Times New Roman" w:eastAsia="宋体" w:cs="Times New Roman"/>
                <w:kern w:val="2"/>
                <w:sz w:val="21"/>
                <w:szCs w:val="21"/>
                <w:lang w:eastAsia="zh-CN"/>
              </w:rPr>
            </w:pPr>
            <w:r>
              <w:rPr>
                <w:rFonts w:ascii="Times New Roman" w:hAnsi="Times New Roman" w:eastAsia="宋体" w:cs="Times New Roman"/>
                <w:kern w:val="2"/>
                <w:sz w:val="21"/>
                <w:szCs w:val="21"/>
                <w:lang w:eastAsia="zh-CN"/>
              </w:rPr>
              <w:t>合理进行防渗区域划分，隔油池、集油沟、地下油罐、埋地加油管等按重点污染区防渗要求进行建设；加油棚地面、化粪池等按一般污染区防渗要求进行建设；道路、站房等按简单防渗进行建设。</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28" w:type="pct"/>
            <w:vAlign w:val="center"/>
          </w:tcPr>
          <w:p>
            <w:pPr>
              <w:widowControl/>
              <w:jc w:val="center"/>
              <w:rPr>
                <w:rFonts w:ascii="Times New Roman" w:hAnsi="Times New Roman" w:eastAsia="宋体" w:cs="Times New Roman"/>
                <w:kern w:val="2"/>
                <w:sz w:val="21"/>
                <w:szCs w:val="21"/>
                <w:lang w:eastAsia="zh-CN"/>
              </w:rPr>
            </w:pPr>
            <w:r>
              <w:rPr>
                <w:rFonts w:ascii="Times New Roman" w:hAnsi="Times New Roman" w:eastAsia="宋体" w:cs="Times New Roman"/>
                <w:kern w:val="2"/>
                <w:sz w:val="21"/>
                <w:szCs w:val="21"/>
                <w:lang w:eastAsia="zh-CN"/>
              </w:rPr>
              <w:t>其他环境</w:t>
            </w:r>
          </w:p>
          <w:p>
            <w:pPr>
              <w:widowControl/>
              <w:jc w:val="center"/>
              <w:rPr>
                <w:rFonts w:ascii="Times New Roman" w:hAnsi="Times New Roman" w:eastAsia="宋体" w:cs="Times New Roman"/>
                <w:kern w:val="2"/>
                <w:sz w:val="21"/>
                <w:szCs w:val="21"/>
                <w:lang w:eastAsia="zh-CN"/>
              </w:rPr>
            </w:pPr>
            <w:r>
              <w:rPr>
                <w:rFonts w:ascii="Times New Roman" w:hAnsi="Times New Roman" w:eastAsia="宋体" w:cs="Times New Roman"/>
                <w:kern w:val="2"/>
                <w:sz w:val="21"/>
                <w:szCs w:val="21"/>
                <w:lang w:eastAsia="zh-CN"/>
              </w:rPr>
              <w:t>管理要求</w:t>
            </w:r>
          </w:p>
        </w:tc>
        <w:tc>
          <w:tcPr>
            <w:tcW w:w="4672" w:type="pct"/>
            <w:gridSpan w:val="4"/>
            <w:vAlign w:val="center"/>
          </w:tcPr>
          <w:p>
            <w:pPr>
              <w:widowControl/>
              <w:spacing w:line="320" w:lineRule="exact"/>
              <w:jc w:val="both"/>
              <w:rPr>
                <w:rFonts w:ascii="Times New Roman" w:hAnsi="Times New Roman" w:eastAsia="宋体" w:cs="Times New Roman"/>
                <w:kern w:val="2"/>
                <w:sz w:val="21"/>
                <w:szCs w:val="21"/>
                <w:lang w:eastAsia="zh-CN"/>
              </w:rPr>
            </w:pPr>
            <w:r>
              <w:rPr>
                <w:rFonts w:hint="eastAsia" w:ascii="宋体" w:hAnsi="宋体" w:eastAsia="宋体" w:cs="宋体"/>
                <w:kern w:val="2"/>
                <w:sz w:val="21"/>
                <w:szCs w:val="21"/>
                <w:lang w:eastAsia="zh-CN"/>
              </w:rPr>
              <w:t>①</w:t>
            </w:r>
            <w:r>
              <w:rPr>
                <w:rFonts w:ascii="Times New Roman" w:hAnsi="Times New Roman" w:eastAsia="宋体" w:cs="Times New Roman"/>
                <w:kern w:val="2"/>
                <w:sz w:val="21"/>
                <w:szCs w:val="21"/>
                <w:lang w:eastAsia="zh-CN"/>
              </w:rPr>
              <w:t>要求建设单位按照《关于开展排放口规范化整治工作的通知》（环发〔1999〕24号）和《排污口规范化整治技术要求（试行）》（环监〔1996〕470号）等文件要求，进行新增排污口规范化设置工作</w:t>
            </w:r>
            <w:r>
              <w:rPr>
                <w:rFonts w:hint="eastAsia" w:ascii="Times New Roman" w:hAnsi="Times New Roman" w:eastAsia="宋体" w:cs="Times New Roman"/>
                <w:kern w:val="2"/>
                <w:sz w:val="21"/>
                <w:szCs w:val="21"/>
                <w:lang w:eastAsia="zh-CN"/>
              </w:rPr>
              <w:t>；</w:t>
            </w:r>
          </w:p>
          <w:p>
            <w:pPr>
              <w:widowControl/>
              <w:spacing w:line="320" w:lineRule="exact"/>
              <w:jc w:val="both"/>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②根据现行的《固定污染源排污许可分类管理名录》(2019年版)，项目属于</w:t>
            </w:r>
            <w:r>
              <w:rPr>
                <w:rFonts w:hint="eastAsia" w:ascii="Times New Roman" w:hAnsi="Times New Roman" w:eastAsia="宋体" w:cs="Times New Roman"/>
                <w:iCs/>
                <w:kern w:val="2"/>
                <w:sz w:val="21"/>
                <w:szCs w:val="21"/>
                <w:lang w:eastAsia="zh-CN"/>
              </w:rPr>
              <w:t>汽车、摩托车、零配件和燃料及其他动力销售</w:t>
            </w:r>
            <w:r>
              <w:rPr>
                <w:rFonts w:ascii="Times New Roman" w:hAnsi="Times New Roman" w:eastAsia="宋体" w:cs="Times New Roman"/>
                <w:iCs/>
                <w:kern w:val="2"/>
                <w:sz w:val="21"/>
                <w:szCs w:val="21"/>
                <w:lang w:eastAsia="zh-CN"/>
              </w:rPr>
              <w:t xml:space="preserve"> 526</w:t>
            </w:r>
            <w:r>
              <w:rPr>
                <w:rFonts w:hint="eastAsia" w:ascii="Times New Roman" w:hAnsi="Times New Roman" w:eastAsia="宋体" w:cs="Times New Roman"/>
                <w:kern w:val="2"/>
                <w:sz w:val="21"/>
                <w:szCs w:val="21"/>
                <w:lang w:eastAsia="zh-CN"/>
              </w:rPr>
              <w:t>，实行简化管理。建设项目应根据《排污许可管理办法(试行)》，当在启动生产设施或者发生实际排污之前申请取得排污许可证：</w:t>
            </w:r>
          </w:p>
          <w:p>
            <w:pPr>
              <w:spacing w:before="120" w:beforeLines="50"/>
              <w:jc w:val="center"/>
              <w:rPr>
                <w:rFonts w:ascii="Times New Roman" w:hAnsi="Times New Roman" w:eastAsia="宋体" w:cs="宋体"/>
                <w:b/>
                <w:color w:val="000000"/>
                <w:spacing w:val="6"/>
                <w:kern w:val="2"/>
                <w:sz w:val="21"/>
                <w:szCs w:val="21"/>
                <w:lang w:eastAsia="zh-CN" w:bidi="zh-TW"/>
              </w:rPr>
            </w:pPr>
            <w:r>
              <w:rPr>
                <w:rFonts w:ascii="Times New Roman" w:hAnsi="Times New Roman" w:eastAsia="宋体" w:cs="宋体"/>
                <w:b/>
                <w:color w:val="000000"/>
                <w:spacing w:val="6"/>
                <w:kern w:val="2"/>
                <w:sz w:val="21"/>
                <w:szCs w:val="21"/>
                <w:lang w:eastAsia="zh-CN" w:bidi="zh-TW"/>
              </w:rPr>
              <w:t>表5-1  固定污染源排污许可分类管理名录</w:t>
            </w:r>
          </w:p>
          <w:tbl>
            <w:tblPr>
              <w:tblStyle w:val="51"/>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37"/>
              <w:gridCol w:w="1607"/>
              <w:gridCol w:w="1701"/>
              <w:gridCol w:w="3558"/>
              <w:gridCol w:w="140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427" w:hRule="atLeast"/>
                <w:jc w:val="center"/>
              </w:trPr>
              <w:tc>
                <w:tcPr>
                  <w:tcW w:w="675" w:type="dxa"/>
                  <w:vAlign w:val="center"/>
                </w:tcPr>
                <w:p>
                  <w:pPr>
                    <w:jc w:val="center"/>
                    <w:rPr>
                      <w:rFonts w:ascii="Times New Roman" w:hAnsi="Times New Roman" w:eastAsia="宋体" w:cs="Times New Roman"/>
                      <w:kern w:val="2"/>
                      <w:sz w:val="21"/>
                      <w:szCs w:val="21"/>
                      <w:lang w:eastAsia="zh-CN" w:bidi="zh-TW"/>
                    </w:rPr>
                  </w:pPr>
                  <w:r>
                    <w:rPr>
                      <w:rFonts w:ascii="Times New Roman" w:hAnsi="Times New Roman" w:eastAsia="宋体" w:cs="Times New Roman"/>
                      <w:kern w:val="2"/>
                      <w:sz w:val="21"/>
                      <w:szCs w:val="21"/>
                      <w:lang w:eastAsia="zh-CN" w:bidi="zh-TW"/>
                    </w:rPr>
                    <w:t>序号</w:t>
                  </w:r>
                </w:p>
              </w:tc>
              <w:tc>
                <w:tcPr>
                  <w:tcW w:w="1296" w:type="dxa"/>
                  <w:vAlign w:val="center"/>
                </w:tcPr>
                <w:p>
                  <w:pPr>
                    <w:jc w:val="center"/>
                    <w:rPr>
                      <w:rFonts w:ascii="Times New Roman" w:hAnsi="Times New Roman" w:eastAsia="宋体" w:cs="Times New Roman"/>
                      <w:kern w:val="2"/>
                      <w:sz w:val="21"/>
                      <w:szCs w:val="21"/>
                      <w:lang w:eastAsia="zh-CN" w:bidi="zh-TW"/>
                    </w:rPr>
                  </w:pPr>
                  <w:r>
                    <w:rPr>
                      <w:rFonts w:ascii="Times New Roman" w:hAnsi="Times New Roman" w:eastAsia="宋体" w:cs="Times New Roman"/>
                      <w:kern w:val="2"/>
                      <w:sz w:val="21"/>
                      <w:szCs w:val="21"/>
                      <w:lang w:eastAsia="zh-CN" w:bidi="zh-TW"/>
                    </w:rPr>
                    <w:t>行业类别</w:t>
                  </w:r>
                </w:p>
              </w:tc>
              <w:tc>
                <w:tcPr>
                  <w:tcW w:w="1372" w:type="dxa"/>
                  <w:vAlign w:val="center"/>
                </w:tcPr>
                <w:p>
                  <w:pPr>
                    <w:jc w:val="center"/>
                    <w:rPr>
                      <w:rFonts w:ascii="Times New Roman" w:hAnsi="Times New Roman" w:eastAsia="宋体" w:cs="Times New Roman"/>
                      <w:kern w:val="2"/>
                      <w:sz w:val="21"/>
                      <w:szCs w:val="21"/>
                      <w:lang w:eastAsia="zh-CN" w:bidi="zh-TW"/>
                    </w:rPr>
                  </w:pPr>
                  <w:r>
                    <w:rPr>
                      <w:rFonts w:ascii="Times New Roman" w:hAnsi="Times New Roman" w:eastAsia="宋体" w:cs="Times New Roman"/>
                      <w:kern w:val="2"/>
                      <w:sz w:val="21"/>
                      <w:szCs w:val="21"/>
                      <w:lang w:eastAsia="zh-CN" w:bidi="zh-TW"/>
                    </w:rPr>
                    <w:t>重点管理</w:t>
                  </w:r>
                </w:p>
              </w:tc>
              <w:tc>
                <w:tcPr>
                  <w:tcW w:w="2870" w:type="dxa"/>
                  <w:vAlign w:val="center"/>
                </w:tcPr>
                <w:p>
                  <w:pPr>
                    <w:jc w:val="center"/>
                    <w:rPr>
                      <w:rFonts w:ascii="Times New Roman" w:hAnsi="Times New Roman" w:eastAsia="宋体" w:cs="Times New Roman"/>
                      <w:kern w:val="2"/>
                      <w:sz w:val="21"/>
                      <w:szCs w:val="21"/>
                      <w:lang w:eastAsia="zh-CN" w:bidi="zh-TW"/>
                    </w:rPr>
                  </w:pPr>
                  <w:r>
                    <w:rPr>
                      <w:rFonts w:ascii="Times New Roman" w:hAnsi="Times New Roman" w:eastAsia="宋体" w:cs="Times New Roman"/>
                      <w:kern w:val="2"/>
                      <w:sz w:val="21"/>
                      <w:szCs w:val="21"/>
                      <w:lang w:eastAsia="zh-CN" w:bidi="zh-TW"/>
                    </w:rPr>
                    <w:t>简化管理</w:t>
                  </w:r>
                </w:p>
              </w:tc>
              <w:tc>
                <w:tcPr>
                  <w:tcW w:w="1130" w:type="dxa"/>
                  <w:vAlign w:val="center"/>
                </w:tcPr>
                <w:p>
                  <w:pPr>
                    <w:jc w:val="center"/>
                    <w:rPr>
                      <w:rFonts w:ascii="Times New Roman" w:hAnsi="Times New Roman" w:eastAsia="宋体" w:cs="Times New Roman"/>
                      <w:kern w:val="2"/>
                      <w:sz w:val="21"/>
                      <w:szCs w:val="21"/>
                      <w:lang w:eastAsia="zh-CN" w:bidi="zh-TW"/>
                    </w:rPr>
                  </w:pPr>
                  <w:r>
                    <w:rPr>
                      <w:rFonts w:ascii="Times New Roman" w:hAnsi="Times New Roman" w:eastAsia="宋体" w:cs="Times New Roman"/>
                      <w:kern w:val="2"/>
                      <w:sz w:val="21"/>
                      <w:szCs w:val="21"/>
                      <w:lang w:eastAsia="zh-CN" w:bidi="zh-TW"/>
                    </w:rPr>
                    <w:t>登记管理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0" w:hRule="atLeast"/>
                <w:jc w:val="center"/>
              </w:trPr>
              <w:tc>
                <w:tcPr>
                  <w:tcW w:w="7343" w:type="dxa"/>
                  <w:gridSpan w:val="5"/>
                  <w:vAlign w:val="center"/>
                </w:tcPr>
                <w:p>
                  <w:pPr>
                    <w:jc w:val="center"/>
                    <w:rPr>
                      <w:rFonts w:ascii="Times New Roman" w:hAnsi="Times New Roman" w:eastAsia="宋体" w:cs="Times New Roman"/>
                      <w:iCs/>
                      <w:kern w:val="2"/>
                      <w:sz w:val="21"/>
                      <w:szCs w:val="21"/>
                      <w:lang w:eastAsia="zh-CN"/>
                    </w:rPr>
                  </w:pPr>
                  <w:r>
                    <w:rPr>
                      <w:rFonts w:ascii="Times New Roman" w:hAnsi="Times New Roman" w:eastAsia="宋体" w:cs="Times New Roman"/>
                      <w:b/>
                      <w:bCs/>
                      <w:iCs/>
                      <w:kern w:val="2"/>
                      <w:sz w:val="21"/>
                      <w:szCs w:val="21"/>
                      <w:lang w:eastAsia="zh-CN"/>
                    </w:rPr>
                    <w:t>四十二、零售业</w:t>
                  </w:r>
                  <w:r>
                    <w:rPr>
                      <w:rFonts w:hint="eastAsia" w:ascii="Times New Roman" w:hAnsi="Times New Roman" w:eastAsia="宋体" w:cs="Times New Roman"/>
                      <w:b/>
                      <w:bCs/>
                      <w:iCs/>
                      <w:kern w:val="2"/>
                      <w:sz w:val="21"/>
                      <w:szCs w:val="21"/>
                      <w:lang w:eastAsia="zh-CN"/>
                    </w:rPr>
                    <w:t>52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16" w:hRule="atLeast"/>
                <w:jc w:val="center"/>
              </w:trPr>
              <w:tc>
                <w:tcPr>
                  <w:tcW w:w="675" w:type="dxa"/>
                  <w:vAlign w:val="center"/>
                </w:tcPr>
                <w:p>
                  <w:pPr>
                    <w:jc w:val="center"/>
                    <w:rPr>
                      <w:rFonts w:ascii="Times New Roman" w:hAnsi="Times New Roman" w:eastAsia="宋体" w:cs="Times New Roman"/>
                      <w:iCs/>
                      <w:kern w:val="2"/>
                      <w:sz w:val="21"/>
                      <w:szCs w:val="21"/>
                      <w:lang w:eastAsia="zh-CN"/>
                    </w:rPr>
                  </w:pPr>
                  <w:r>
                    <w:rPr>
                      <w:rFonts w:hint="eastAsia" w:ascii="Times New Roman" w:hAnsi="Times New Roman" w:eastAsia="宋体" w:cs="Times New Roman"/>
                      <w:iCs/>
                      <w:kern w:val="2"/>
                      <w:sz w:val="21"/>
                      <w:szCs w:val="21"/>
                      <w:lang w:eastAsia="zh-CN"/>
                    </w:rPr>
                    <w:t>100</w:t>
                  </w:r>
                </w:p>
              </w:tc>
              <w:tc>
                <w:tcPr>
                  <w:tcW w:w="1296" w:type="dxa"/>
                  <w:vAlign w:val="center"/>
                </w:tcPr>
                <w:p>
                  <w:pPr>
                    <w:jc w:val="center"/>
                    <w:rPr>
                      <w:rFonts w:ascii="Times New Roman" w:hAnsi="Times New Roman" w:eastAsia="宋体" w:cs="Times New Roman"/>
                      <w:iCs/>
                      <w:kern w:val="2"/>
                      <w:sz w:val="21"/>
                      <w:szCs w:val="21"/>
                      <w:lang w:eastAsia="zh-CN"/>
                    </w:rPr>
                  </w:pPr>
                  <w:r>
                    <w:rPr>
                      <w:rFonts w:hint="eastAsia" w:ascii="Times New Roman" w:hAnsi="Times New Roman" w:eastAsia="宋体" w:cs="Times New Roman"/>
                      <w:iCs/>
                      <w:kern w:val="2"/>
                      <w:sz w:val="21"/>
                      <w:szCs w:val="21"/>
                      <w:lang w:eastAsia="zh-CN"/>
                    </w:rPr>
                    <w:t>汽车、摩托车、零配件和燃料及其他动力销售</w:t>
                  </w:r>
                  <w:r>
                    <w:rPr>
                      <w:rFonts w:ascii="Times New Roman" w:hAnsi="Times New Roman" w:eastAsia="宋体" w:cs="Times New Roman"/>
                      <w:iCs/>
                      <w:kern w:val="2"/>
                      <w:sz w:val="21"/>
                      <w:szCs w:val="21"/>
                      <w:lang w:eastAsia="zh-CN"/>
                    </w:rPr>
                    <w:t xml:space="preserve"> 526</w:t>
                  </w:r>
                </w:p>
              </w:tc>
              <w:tc>
                <w:tcPr>
                  <w:tcW w:w="1372" w:type="dxa"/>
                  <w:vAlign w:val="center"/>
                </w:tcPr>
                <w:p>
                  <w:pPr>
                    <w:jc w:val="center"/>
                    <w:rPr>
                      <w:rFonts w:ascii="Times New Roman" w:hAnsi="Times New Roman" w:eastAsia="宋体" w:cs="Times New Roman"/>
                      <w:iCs/>
                      <w:kern w:val="2"/>
                      <w:sz w:val="21"/>
                      <w:szCs w:val="21"/>
                      <w:lang w:eastAsia="zh-CN"/>
                    </w:rPr>
                  </w:pPr>
                  <w:r>
                    <w:rPr>
                      <w:rFonts w:hint="eastAsia" w:ascii="Times New Roman" w:hAnsi="Times New Roman" w:eastAsia="宋体" w:cs="Times New Roman"/>
                      <w:iCs/>
                      <w:kern w:val="2"/>
                      <w:sz w:val="21"/>
                      <w:szCs w:val="21"/>
                      <w:lang w:eastAsia="zh-CN"/>
                    </w:rPr>
                    <w:t>/</w:t>
                  </w:r>
                </w:p>
              </w:tc>
              <w:tc>
                <w:tcPr>
                  <w:tcW w:w="2870" w:type="dxa"/>
                  <w:shd w:val="clear" w:color="auto" w:fill="D9D9D9"/>
                  <w:vAlign w:val="center"/>
                </w:tcPr>
                <w:p>
                  <w:pPr>
                    <w:jc w:val="center"/>
                    <w:rPr>
                      <w:rFonts w:ascii="Times New Roman" w:hAnsi="Times New Roman" w:eastAsia="宋体" w:cs="Times New Roman"/>
                      <w:iCs/>
                      <w:kern w:val="2"/>
                      <w:sz w:val="21"/>
                      <w:szCs w:val="21"/>
                      <w:lang w:eastAsia="zh-CN"/>
                    </w:rPr>
                  </w:pPr>
                  <w:r>
                    <w:rPr>
                      <w:rFonts w:ascii="Times New Roman" w:hAnsi="Times New Roman" w:eastAsia="宋体" w:cs="Times New Roman"/>
                      <w:iCs/>
                      <w:kern w:val="2"/>
                      <w:sz w:val="21"/>
                      <w:szCs w:val="21"/>
                      <w:lang w:eastAsia="zh-CN"/>
                    </w:rPr>
                    <w:t>位于城市建成 区的加油站</w:t>
                  </w:r>
                </w:p>
              </w:tc>
              <w:tc>
                <w:tcPr>
                  <w:tcW w:w="1130" w:type="dxa"/>
                  <w:vAlign w:val="center"/>
                </w:tcPr>
                <w:p>
                  <w:pPr>
                    <w:jc w:val="center"/>
                    <w:rPr>
                      <w:rFonts w:ascii="Times New Roman" w:hAnsi="Times New Roman" w:eastAsia="宋体" w:cs="Times New Roman"/>
                      <w:iCs/>
                      <w:kern w:val="2"/>
                      <w:sz w:val="21"/>
                      <w:szCs w:val="21"/>
                      <w:lang w:eastAsia="zh-CN"/>
                    </w:rPr>
                  </w:pPr>
                  <w:r>
                    <w:rPr>
                      <w:rFonts w:ascii="Times New Roman" w:hAnsi="Times New Roman" w:eastAsia="宋体" w:cs="Times New Roman"/>
                      <w:iCs/>
                      <w:kern w:val="2"/>
                      <w:sz w:val="21"/>
                      <w:szCs w:val="21"/>
                      <w:lang w:eastAsia="zh-CN"/>
                    </w:rPr>
                    <w:t>其他</w:t>
                  </w:r>
                </w:p>
              </w:tc>
            </w:tr>
          </w:tbl>
          <w:p>
            <w:pPr>
              <w:widowControl/>
              <w:spacing w:line="320" w:lineRule="exact"/>
              <w:jc w:val="both"/>
              <w:rPr>
                <w:rFonts w:ascii="Times New Roman" w:hAnsi="Times New Roman" w:eastAsia="宋体" w:cs="Times New Roman"/>
                <w:kern w:val="2"/>
                <w:sz w:val="21"/>
                <w:szCs w:val="21"/>
                <w:lang w:eastAsia="zh-CN"/>
              </w:rPr>
            </w:pPr>
            <w:r>
              <w:rPr>
                <w:rFonts w:hint="eastAsia" w:ascii="宋体" w:hAnsi="宋体" w:eastAsia="宋体" w:cs="宋体"/>
                <w:kern w:val="2"/>
                <w:sz w:val="21"/>
                <w:szCs w:val="21"/>
                <w:lang w:eastAsia="zh-CN"/>
              </w:rPr>
              <w:t>③</w:t>
            </w:r>
            <w:r>
              <w:rPr>
                <w:rFonts w:ascii="Times New Roman" w:hAnsi="Times New Roman" w:eastAsia="宋体" w:cs="Times New Roman"/>
                <w:kern w:val="2"/>
                <w:sz w:val="21"/>
                <w:szCs w:val="21"/>
                <w:lang w:eastAsia="zh-CN"/>
              </w:rPr>
              <w:t>项目竣工后，建设单位应当依照国家有关法律法规、建设项目竣工环境保护验收技术规范、建设项目环境影响报告表和审批决定等要求，如实查验、监测、记载建设项目环境保护设施的建设和调试情况，同时还应如实记载其他环境保护对策措施“三同时”落实情况，编制竣工环境保护验收报告</w:t>
            </w:r>
            <w:r>
              <w:rPr>
                <w:rFonts w:hint="eastAsia" w:ascii="Times New Roman" w:hAnsi="Times New Roman" w:eastAsia="宋体" w:cs="Times New Roman"/>
                <w:kern w:val="2"/>
                <w:sz w:val="21"/>
                <w:szCs w:val="21"/>
                <w:lang w:eastAsia="zh-CN"/>
              </w:rPr>
              <w:t>；</w:t>
            </w:r>
          </w:p>
          <w:p>
            <w:pPr>
              <w:widowControl/>
              <w:spacing w:line="320" w:lineRule="exact"/>
              <w:jc w:val="both"/>
              <w:rPr>
                <w:rFonts w:ascii="Times New Roman" w:hAnsi="Times New Roman" w:eastAsia="宋体" w:cs="Times New Roman"/>
                <w:kern w:val="2"/>
                <w:sz w:val="21"/>
                <w:szCs w:val="21"/>
                <w:lang w:eastAsia="zh-CN"/>
              </w:rPr>
            </w:pPr>
            <w:r>
              <w:rPr>
                <w:rFonts w:hint="eastAsia" w:ascii="宋体" w:hAnsi="宋体" w:eastAsia="宋体" w:cs="宋体"/>
                <w:kern w:val="2"/>
                <w:sz w:val="21"/>
                <w:szCs w:val="21"/>
                <w:lang w:eastAsia="zh-CN"/>
              </w:rPr>
              <w:t>④</w:t>
            </w:r>
            <w:r>
              <w:rPr>
                <w:rFonts w:ascii="Times New Roman" w:hAnsi="Times New Roman" w:eastAsia="宋体" w:cs="Times New Roman"/>
                <w:kern w:val="2"/>
                <w:sz w:val="21"/>
                <w:szCs w:val="21"/>
                <w:lang w:eastAsia="zh-CN"/>
              </w:rPr>
              <w:t>按要求进行</w:t>
            </w:r>
            <w:r>
              <w:rPr>
                <w:rFonts w:hint="eastAsia" w:ascii="Times New Roman" w:hAnsi="Times New Roman" w:eastAsia="宋体" w:cs="Times New Roman"/>
                <w:kern w:val="2"/>
                <w:sz w:val="21"/>
                <w:szCs w:val="21"/>
                <w:lang w:eastAsia="zh-CN"/>
              </w:rPr>
              <w:t>自行</w:t>
            </w:r>
            <w:r>
              <w:rPr>
                <w:rFonts w:ascii="Times New Roman" w:hAnsi="Times New Roman" w:eastAsia="宋体" w:cs="Times New Roman"/>
                <w:kern w:val="2"/>
                <w:sz w:val="21"/>
                <w:szCs w:val="21"/>
                <w:lang w:eastAsia="zh-CN"/>
              </w:rPr>
              <w:t>监测。</w:t>
            </w:r>
          </w:p>
        </w:tc>
      </w:tr>
    </w:tbl>
    <w:p>
      <w:pPr>
        <w:jc w:val="center"/>
        <w:rPr>
          <w:rFonts w:hint="eastAsia" w:ascii="仿宋" w:hAnsi="仿宋" w:eastAsia="仿宋" w:cs="仿宋"/>
          <w:sz w:val="21"/>
          <w:szCs w:val="21"/>
          <w:lang w:eastAsia="zh-CN"/>
        </w:rPr>
      </w:pPr>
    </w:p>
    <w:p>
      <w:pPr>
        <w:pStyle w:val="2"/>
        <w:rPr>
          <w:rFonts w:hint="eastAsia"/>
          <w:lang w:eastAsia="zh-CN"/>
        </w:rPr>
        <w:sectPr>
          <w:pgSz w:w="11910" w:h="16840"/>
          <w:pgMar w:top="1440" w:right="1080" w:bottom="1440" w:left="1080" w:header="0" w:footer="833" w:gutter="0"/>
          <w:pgNumType w:start="42"/>
          <w:cols w:space="720" w:num="1"/>
        </w:sectPr>
      </w:pPr>
    </w:p>
    <w:p>
      <w:pPr>
        <w:pStyle w:val="3"/>
        <w:spacing w:before="0" w:line="360" w:lineRule="auto"/>
        <w:jc w:val="center"/>
        <w:rPr>
          <w:rFonts w:hint="eastAsia" w:cs="黑体"/>
          <w:sz w:val="20"/>
          <w:szCs w:val="20"/>
        </w:rPr>
      </w:pPr>
      <w:bookmarkStart w:id="14" w:name="_Toc13309"/>
      <w:r>
        <w:drawing>
          <wp:anchor distT="0" distB="0" distL="114300" distR="114300" simplePos="0" relativeHeight="251661312" behindDoc="0" locked="0" layoutInCell="1" allowOverlap="1">
            <wp:simplePos x="0" y="0"/>
            <wp:positionH relativeFrom="column">
              <wp:posOffset>-685800</wp:posOffset>
            </wp:positionH>
            <wp:positionV relativeFrom="paragraph">
              <wp:posOffset>-914400</wp:posOffset>
            </wp:positionV>
            <wp:extent cx="7562850" cy="10780395"/>
            <wp:effectExtent l="0" t="0" r="0" b="2540"/>
            <wp:wrapNone/>
            <wp:docPr id="1839183735"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9183735" name="图片 1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7567909" cy="10787569"/>
                    </a:xfrm>
                    <a:prstGeom prst="rect">
                      <a:avLst/>
                    </a:prstGeom>
                    <a:noFill/>
                    <a:ln>
                      <a:noFill/>
                    </a:ln>
                  </pic:spPr>
                </pic:pic>
              </a:graphicData>
            </a:graphic>
          </wp:anchor>
        </w:drawing>
      </w:r>
      <w:r>
        <w:rPr>
          <w:rFonts w:hint="eastAsia" w:ascii="宋体" w:hAnsi="宋体" w:eastAsia="宋体" w:cs="宋体"/>
          <w:b/>
          <w:bCs/>
        </w:rPr>
        <w:t>六、结论</w:t>
      </w:r>
      <w:bookmarkEnd w:id="14"/>
    </w:p>
    <w:tbl>
      <w:tblPr>
        <w:tblStyle w:val="18"/>
        <w:tblW w:w="4551"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521" w:hRule="atLeast"/>
          <w:jc w:val="center"/>
        </w:trPr>
        <w:tc>
          <w:tcPr>
            <w:tcW w:w="9071" w:type="dxa"/>
          </w:tcPr>
          <w:p>
            <w:pPr>
              <w:spacing w:line="460" w:lineRule="exact"/>
              <w:ind w:firstLine="480" w:firstLineChars="200"/>
              <w:jc w:val="both"/>
              <w:rPr>
                <w:lang w:eastAsia="zh-CN"/>
              </w:rPr>
            </w:pPr>
            <w:r>
              <w:rPr>
                <w:rFonts w:hint="eastAsia" w:ascii="Times New Roman" w:hAnsi="Times New Roman" w:eastAsia="宋体"/>
                <w:sz w:val="24"/>
                <w:szCs w:val="24"/>
                <w:lang w:eastAsia="zh-CN"/>
              </w:rPr>
              <w:t>福建聚福鑫能源科技有限公司聚褔鑫加油站位于福建省福州市福清市龙山街道东刘村，项目符合国家产业政策及国家相关法律法规要求，其选址合理，总平面布置基本合理。项目所在区域环境质量现状均满足相关标准，符合环境功能区划及“三线一单”管控要求。在认真落实各项环境污染治理和环境管理措施的前提下，各项污染物经处理后可实现稳定达标排放且满足区域总量控制要求，污染物防治措施可行，项目对周围环境的影响在可接受范围内。从环境保护角度分析，项目的选址及建设是可行的。</w:t>
            </w:r>
          </w:p>
          <w:p>
            <w:pPr>
              <w:pStyle w:val="45"/>
              <w:widowControl w:val="0"/>
              <w:ind w:firstLine="480"/>
            </w:pPr>
          </w:p>
          <w:p>
            <w:pPr>
              <w:pStyle w:val="45"/>
              <w:widowControl w:val="0"/>
              <w:ind w:firstLine="480"/>
            </w:pPr>
          </w:p>
          <w:p>
            <w:pPr>
              <w:pStyle w:val="45"/>
              <w:widowControl w:val="0"/>
              <w:ind w:firstLine="480"/>
            </w:pPr>
          </w:p>
          <w:p>
            <w:pPr>
              <w:pStyle w:val="45"/>
              <w:widowControl w:val="0"/>
              <w:ind w:firstLine="480"/>
            </w:pPr>
          </w:p>
          <w:p>
            <w:pPr>
              <w:pStyle w:val="45"/>
              <w:widowControl w:val="0"/>
              <w:ind w:firstLine="480"/>
            </w:pPr>
          </w:p>
          <w:p>
            <w:pPr>
              <w:pStyle w:val="45"/>
              <w:widowControl w:val="0"/>
              <w:ind w:firstLine="480"/>
            </w:pPr>
          </w:p>
          <w:p>
            <w:pPr>
              <w:pStyle w:val="45"/>
              <w:widowControl w:val="0"/>
              <w:ind w:firstLine="480"/>
              <w:jc w:val="right"/>
            </w:pPr>
            <w:r>
              <w:rPr>
                <w:rFonts w:hint="eastAsia"/>
              </w:rPr>
              <w:t>福建省沧鸿环境工程有限公司</w:t>
            </w:r>
          </w:p>
          <w:p>
            <w:pPr>
              <w:pStyle w:val="45"/>
              <w:widowControl w:val="0"/>
              <w:ind w:firstLine="480"/>
              <w:jc w:val="right"/>
            </w:pPr>
            <w:r>
              <w:rPr>
                <w:rFonts w:hint="eastAsia"/>
              </w:rPr>
              <w:t>2025年1月</w:t>
            </w:r>
          </w:p>
          <w:p>
            <w:pPr>
              <w:pStyle w:val="45"/>
              <w:widowControl w:val="0"/>
              <w:ind w:firstLine="480"/>
            </w:pPr>
          </w:p>
          <w:p>
            <w:pPr>
              <w:pStyle w:val="5"/>
              <w:jc w:val="both"/>
              <w:rPr>
                <w:rFonts w:hint="eastAsia"/>
                <w:lang w:eastAsia="zh-CN"/>
              </w:rPr>
            </w:pPr>
          </w:p>
        </w:tc>
      </w:tr>
    </w:tbl>
    <w:p>
      <w:pPr>
        <w:pStyle w:val="5"/>
        <w:rPr>
          <w:rFonts w:hint="eastAsia"/>
          <w:lang w:eastAsia="zh-CN"/>
        </w:rPr>
        <w:sectPr>
          <w:pgSz w:w="11910" w:h="16840"/>
          <w:pgMar w:top="1440" w:right="1080" w:bottom="1440" w:left="1080" w:header="0" w:footer="833" w:gutter="0"/>
          <w:cols w:space="720" w:num="1"/>
        </w:sectPr>
      </w:pPr>
    </w:p>
    <w:p>
      <w:pPr>
        <w:pStyle w:val="3"/>
        <w:spacing w:before="0" w:line="360" w:lineRule="auto"/>
        <w:jc w:val="center"/>
        <w:rPr>
          <w:rFonts w:hint="eastAsia" w:ascii="宋体" w:hAnsi="宋体" w:eastAsia="宋体" w:cs="宋体"/>
          <w:b/>
          <w:bCs/>
          <w:lang w:eastAsia="zh-CN"/>
        </w:rPr>
      </w:pPr>
      <w:bookmarkStart w:id="15" w:name="_Toc31188"/>
      <w:r>
        <w:rPr>
          <w:rFonts w:hint="eastAsia" w:ascii="宋体" w:hAnsi="宋体" w:eastAsia="宋体" w:cs="宋体"/>
          <w:b/>
          <w:bCs/>
          <w:lang w:eastAsia="zh-CN"/>
        </w:rPr>
        <w:t>建设项目污染物排放量汇总表</w:t>
      </w:r>
      <w:bookmarkEnd w:id="15"/>
    </w:p>
    <w:tbl>
      <w:tblPr>
        <w:tblStyle w:val="17"/>
        <w:tblW w:w="4997"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709"/>
        <w:gridCol w:w="1518"/>
        <w:gridCol w:w="1828"/>
        <w:gridCol w:w="1367"/>
        <w:gridCol w:w="1828"/>
        <w:gridCol w:w="1676"/>
        <w:gridCol w:w="1897"/>
        <w:gridCol w:w="2111"/>
        <w:gridCol w:w="953"/>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74" w:type="pct"/>
            <w:vAlign w:val="center"/>
          </w:tcPr>
          <w:p>
            <w:pPr>
              <w:widowControl/>
              <w:jc w:val="center"/>
              <w:rPr>
                <w:rFonts w:ascii="Times New Roman" w:hAnsi="Times New Roman" w:eastAsia="宋体" w:cs="Times New Roman"/>
                <w:kern w:val="2"/>
                <w:sz w:val="21"/>
                <w:szCs w:val="21"/>
                <w:lang w:eastAsia="zh-CN"/>
              </w:rPr>
            </w:pPr>
            <w:r>
              <w:rPr>
                <w:rFonts w:ascii="Times New Roman" w:hAnsi="Times New Roman" w:eastAsia="宋体" w:cs="Times New Roman"/>
                <w:kern w:val="2"/>
                <w:sz w:val="21"/>
                <w:szCs w:val="21"/>
                <w:lang w:eastAsia="zh-CN"/>
              </w:rPr>
              <w:t>项目</w:t>
            </w:r>
          </w:p>
          <w:p>
            <w:pPr>
              <w:widowControl/>
              <w:jc w:val="center"/>
              <w:rPr>
                <w:rFonts w:ascii="Times New Roman" w:hAnsi="Times New Roman" w:eastAsia="宋体" w:cs="Times New Roman"/>
                <w:kern w:val="2"/>
                <w:sz w:val="21"/>
                <w:szCs w:val="21"/>
                <w:lang w:eastAsia="zh-CN"/>
              </w:rPr>
            </w:pPr>
            <w:r>
              <w:rPr>
                <w:rFonts w:ascii="Times New Roman" w:hAnsi="Times New Roman" w:eastAsia="宋体" w:cs="Times New Roman"/>
                <w:kern w:val="2"/>
                <w:sz w:val="21"/>
                <w:szCs w:val="21"/>
                <w:lang w:eastAsia="zh-CN"/>
              </w:rPr>
              <w:t>分类</w:t>
            </w:r>
          </w:p>
        </w:tc>
        <w:tc>
          <w:tcPr>
            <w:tcW w:w="510" w:type="pct"/>
            <w:vAlign w:val="center"/>
          </w:tcPr>
          <w:p>
            <w:pPr>
              <w:widowControl/>
              <w:jc w:val="center"/>
              <w:rPr>
                <w:rFonts w:ascii="Times New Roman" w:hAnsi="Times New Roman" w:eastAsia="宋体" w:cs="Times New Roman"/>
                <w:kern w:val="2"/>
                <w:sz w:val="21"/>
                <w:szCs w:val="21"/>
                <w:lang w:eastAsia="zh-CN"/>
              </w:rPr>
            </w:pPr>
            <w:r>
              <w:rPr>
                <w:rFonts w:ascii="Times New Roman" w:hAnsi="Times New Roman" w:eastAsia="宋体" w:cs="Times New Roman"/>
                <w:kern w:val="2"/>
                <w:sz w:val="21"/>
                <w:szCs w:val="21"/>
                <w:lang w:eastAsia="zh-CN"/>
              </w:rPr>
              <w:t>污染物名称</w:t>
            </w:r>
          </w:p>
        </w:tc>
        <w:tc>
          <w:tcPr>
            <w:tcW w:w="614" w:type="pct"/>
            <w:vAlign w:val="center"/>
          </w:tcPr>
          <w:p>
            <w:pPr>
              <w:widowControl/>
              <w:jc w:val="center"/>
              <w:rPr>
                <w:rFonts w:ascii="Times New Roman" w:hAnsi="Times New Roman" w:eastAsia="宋体" w:cs="Times New Roman"/>
                <w:kern w:val="2"/>
                <w:sz w:val="21"/>
                <w:szCs w:val="21"/>
                <w:lang w:eastAsia="zh-CN"/>
              </w:rPr>
            </w:pPr>
            <w:r>
              <w:rPr>
                <w:rFonts w:ascii="Times New Roman" w:hAnsi="Times New Roman" w:eastAsia="宋体" w:cs="Times New Roman"/>
                <w:kern w:val="2"/>
                <w:sz w:val="21"/>
                <w:szCs w:val="21"/>
                <w:lang w:eastAsia="zh-CN"/>
              </w:rPr>
              <w:t>现有工程排放量（固体废物产生量）</w:t>
            </w:r>
            <w:r>
              <w:rPr>
                <w:rFonts w:ascii="Times New Roman" w:hAnsi="Times New Roman" w:eastAsia="宋体" w:cs="Times New Roman"/>
                <w:kern w:val="2"/>
                <w:sz w:val="21"/>
                <w:szCs w:val="21"/>
                <w:lang w:eastAsia="zh-CN"/>
              </w:rPr>
              <w:fldChar w:fldCharType="begin"/>
            </w:r>
            <w:r>
              <w:rPr>
                <w:rFonts w:ascii="Times New Roman" w:hAnsi="Times New Roman" w:eastAsia="宋体" w:cs="Times New Roman"/>
                <w:kern w:val="2"/>
                <w:sz w:val="21"/>
                <w:szCs w:val="21"/>
                <w:lang w:eastAsia="zh-CN"/>
              </w:rPr>
              <w:instrText xml:space="preserve"> = 1 \* GB3 \* MERGEFORMAT </w:instrText>
            </w:r>
            <w:r>
              <w:rPr>
                <w:rFonts w:ascii="Times New Roman" w:hAnsi="Times New Roman" w:eastAsia="宋体" w:cs="Times New Roman"/>
                <w:kern w:val="2"/>
                <w:sz w:val="21"/>
                <w:szCs w:val="21"/>
                <w:lang w:eastAsia="zh-CN"/>
              </w:rPr>
              <w:fldChar w:fldCharType="separate"/>
            </w:r>
            <w:r>
              <w:rPr>
                <w:rFonts w:hint="eastAsia" w:ascii="宋体" w:hAnsi="宋体" w:eastAsia="宋体" w:cs="宋体"/>
                <w:kern w:val="2"/>
                <w:sz w:val="21"/>
                <w:szCs w:val="21"/>
                <w:lang w:eastAsia="zh-CN"/>
              </w:rPr>
              <w:t>①</w:t>
            </w:r>
            <w:r>
              <w:rPr>
                <w:rFonts w:ascii="Times New Roman" w:hAnsi="Times New Roman" w:eastAsia="宋体" w:cs="Times New Roman"/>
                <w:kern w:val="2"/>
                <w:sz w:val="21"/>
                <w:szCs w:val="21"/>
                <w:lang w:eastAsia="zh-CN"/>
              </w:rPr>
              <w:fldChar w:fldCharType="end"/>
            </w:r>
          </w:p>
        </w:tc>
        <w:tc>
          <w:tcPr>
            <w:tcW w:w="459" w:type="pct"/>
            <w:vAlign w:val="center"/>
          </w:tcPr>
          <w:p>
            <w:pPr>
              <w:widowControl/>
              <w:jc w:val="center"/>
              <w:rPr>
                <w:rFonts w:ascii="Times New Roman" w:hAnsi="Times New Roman" w:eastAsia="宋体" w:cs="Times New Roman"/>
                <w:kern w:val="2"/>
                <w:sz w:val="21"/>
                <w:szCs w:val="21"/>
                <w:lang w:eastAsia="zh-CN"/>
              </w:rPr>
            </w:pPr>
            <w:r>
              <w:rPr>
                <w:rFonts w:ascii="Times New Roman" w:hAnsi="Times New Roman" w:eastAsia="宋体" w:cs="Times New Roman"/>
                <w:kern w:val="2"/>
                <w:sz w:val="21"/>
                <w:szCs w:val="21"/>
                <w:lang w:eastAsia="zh-CN"/>
              </w:rPr>
              <w:t>现有工程许可排放量</w:t>
            </w:r>
          </w:p>
          <w:p>
            <w:pPr>
              <w:widowControl/>
              <w:jc w:val="center"/>
              <w:rPr>
                <w:rFonts w:ascii="Times New Roman" w:hAnsi="Times New Roman" w:eastAsia="宋体" w:cs="Times New Roman"/>
                <w:kern w:val="2"/>
                <w:sz w:val="21"/>
                <w:szCs w:val="21"/>
                <w:lang w:eastAsia="zh-CN"/>
              </w:rPr>
            </w:pPr>
            <w:r>
              <w:rPr>
                <w:rFonts w:ascii="Times New Roman" w:hAnsi="Times New Roman" w:eastAsia="宋体" w:cs="Times New Roman"/>
                <w:kern w:val="2"/>
                <w:sz w:val="21"/>
                <w:szCs w:val="21"/>
                <w:lang w:eastAsia="zh-CN"/>
              </w:rPr>
              <w:fldChar w:fldCharType="begin"/>
            </w:r>
            <w:r>
              <w:rPr>
                <w:rFonts w:ascii="Times New Roman" w:hAnsi="Times New Roman" w:eastAsia="宋体" w:cs="Times New Roman"/>
                <w:kern w:val="2"/>
                <w:sz w:val="21"/>
                <w:szCs w:val="21"/>
                <w:lang w:eastAsia="zh-CN"/>
              </w:rPr>
              <w:instrText xml:space="preserve"> = 2 \* GB3 \* MERGEFORMAT </w:instrText>
            </w:r>
            <w:r>
              <w:rPr>
                <w:rFonts w:ascii="Times New Roman" w:hAnsi="Times New Roman" w:eastAsia="宋体" w:cs="Times New Roman"/>
                <w:kern w:val="2"/>
                <w:sz w:val="21"/>
                <w:szCs w:val="21"/>
                <w:lang w:eastAsia="zh-CN"/>
              </w:rPr>
              <w:fldChar w:fldCharType="separate"/>
            </w:r>
            <w:r>
              <w:rPr>
                <w:rFonts w:hint="eastAsia" w:ascii="宋体" w:hAnsi="宋体" w:eastAsia="宋体" w:cs="宋体"/>
                <w:kern w:val="2"/>
                <w:sz w:val="21"/>
                <w:szCs w:val="21"/>
                <w:lang w:eastAsia="zh-CN"/>
              </w:rPr>
              <w:t>②</w:t>
            </w:r>
            <w:r>
              <w:rPr>
                <w:rFonts w:ascii="Times New Roman" w:hAnsi="Times New Roman" w:eastAsia="宋体" w:cs="Times New Roman"/>
                <w:kern w:val="2"/>
                <w:sz w:val="21"/>
                <w:szCs w:val="21"/>
                <w:lang w:eastAsia="zh-CN"/>
              </w:rPr>
              <w:fldChar w:fldCharType="end"/>
            </w:r>
          </w:p>
        </w:tc>
        <w:tc>
          <w:tcPr>
            <w:tcW w:w="614" w:type="pct"/>
            <w:vAlign w:val="center"/>
          </w:tcPr>
          <w:p>
            <w:pPr>
              <w:widowControl/>
              <w:jc w:val="center"/>
              <w:rPr>
                <w:rFonts w:ascii="Times New Roman" w:hAnsi="Times New Roman" w:eastAsia="宋体" w:cs="Times New Roman"/>
                <w:kern w:val="2"/>
                <w:sz w:val="21"/>
                <w:szCs w:val="21"/>
                <w:lang w:eastAsia="zh-CN"/>
              </w:rPr>
            </w:pPr>
            <w:r>
              <w:rPr>
                <w:rFonts w:ascii="Times New Roman" w:hAnsi="Times New Roman" w:eastAsia="宋体" w:cs="Times New Roman"/>
                <w:kern w:val="2"/>
                <w:sz w:val="21"/>
                <w:szCs w:val="21"/>
                <w:lang w:eastAsia="zh-CN"/>
              </w:rPr>
              <w:t>在建工程排放量（固体废物产生量）</w:t>
            </w:r>
            <w:r>
              <w:rPr>
                <w:rFonts w:ascii="Times New Roman" w:hAnsi="Times New Roman" w:eastAsia="宋体" w:cs="Times New Roman"/>
                <w:kern w:val="2"/>
                <w:sz w:val="21"/>
                <w:szCs w:val="21"/>
                <w:lang w:eastAsia="zh-CN"/>
              </w:rPr>
              <w:fldChar w:fldCharType="begin"/>
            </w:r>
            <w:r>
              <w:rPr>
                <w:rFonts w:ascii="Times New Roman" w:hAnsi="Times New Roman" w:eastAsia="宋体" w:cs="Times New Roman"/>
                <w:kern w:val="2"/>
                <w:sz w:val="21"/>
                <w:szCs w:val="21"/>
                <w:lang w:eastAsia="zh-CN"/>
              </w:rPr>
              <w:instrText xml:space="preserve"> = 3 \* GB3 \* MERGEFORMAT </w:instrText>
            </w:r>
            <w:r>
              <w:rPr>
                <w:rFonts w:ascii="Times New Roman" w:hAnsi="Times New Roman" w:eastAsia="宋体" w:cs="Times New Roman"/>
                <w:kern w:val="2"/>
                <w:sz w:val="21"/>
                <w:szCs w:val="21"/>
                <w:lang w:eastAsia="zh-CN"/>
              </w:rPr>
              <w:fldChar w:fldCharType="separate"/>
            </w:r>
            <w:r>
              <w:rPr>
                <w:rFonts w:hint="eastAsia" w:ascii="宋体" w:hAnsi="宋体" w:eastAsia="宋体" w:cs="宋体"/>
                <w:kern w:val="2"/>
                <w:sz w:val="21"/>
                <w:szCs w:val="21"/>
                <w:lang w:eastAsia="zh-CN"/>
              </w:rPr>
              <w:t>③</w:t>
            </w:r>
            <w:r>
              <w:rPr>
                <w:rFonts w:ascii="Times New Roman" w:hAnsi="Times New Roman" w:eastAsia="宋体" w:cs="Times New Roman"/>
                <w:kern w:val="2"/>
                <w:sz w:val="21"/>
                <w:szCs w:val="21"/>
                <w:lang w:eastAsia="zh-CN"/>
              </w:rPr>
              <w:fldChar w:fldCharType="end"/>
            </w:r>
          </w:p>
        </w:tc>
        <w:tc>
          <w:tcPr>
            <w:tcW w:w="563" w:type="pct"/>
            <w:vAlign w:val="center"/>
          </w:tcPr>
          <w:p>
            <w:pPr>
              <w:widowControl/>
              <w:jc w:val="center"/>
              <w:rPr>
                <w:rFonts w:ascii="Times New Roman" w:hAnsi="Times New Roman" w:eastAsia="宋体" w:cs="Times New Roman"/>
                <w:kern w:val="2"/>
                <w:sz w:val="21"/>
                <w:szCs w:val="21"/>
                <w:lang w:eastAsia="zh-CN"/>
              </w:rPr>
            </w:pPr>
            <w:r>
              <w:rPr>
                <w:rFonts w:ascii="Times New Roman" w:hAnsi="Times New Roman" w:eastAsia="宋体" w:cs="Times New Roman"/>
                <w:kern w:val="2"/>
                <w:sz w:val="21"/>
                <w:szCs w:val="21"/>
                <w:lang w:eastAsia="zh-CN"/>
              </w:rPr>
              <w:t>本项目排放量（固体废物产生量）</w:t>
            </w:r>
            <w:r>
              <w:rPr>
                <w:rFonts w:ascii="Times New Roman" w:hAnsi="Times New Roman" w:eastAsia="宋体" w:cs="Times New Roman"/>
                <w:kern w:val="2"/>
                <w:sz w:val="21"/>
                <w:szCs w:val="21"/>
                <w:lang w:eastAsia="zh-CN"/>
              </w:rPr>
              <w:fldChar w:fldCharType="begin"/>
            </w:r>
            <w:r>
              <w:rPr>
                <w:rFonts w:ascii="Times New Roman" w:hAnsi="Times New Roman" w:eastAsia="宋体" w:cs="Times New Roman"/>
                <w:kern w:val="2"/>
                <w:sz w:val="21"/>
                <w:szCs w:val="21"/>
                <w:lang w:eastAsia="zh-CN"/>
              </w:rPr>
              <w:instrText xml:space="preserve"> = 4 \* GB3 \* MERGEFORMAT </w:instrText>
            </w:r>
            <w:r>
              <w:rPr>
                <w:rFonts w:ascii="Times New Roman" w:hAnsi="Times New Roman" w:eastAsia="宋体" w:cs="Times New Roman"/>
                <w:kern w:val="2"/>
                <w:sz w:val="21"/>
                <w:szCs w:val="21"/>
                <w:lang w:eastAsia="zh-CN"/>
              </w:rPr>
              <w:fldChar w:fldCharType="separate"/>
            </w:r>
            <w:r>
              <w:rPr>
                <w:rFonts w:hint="eastAsia" w:ascii="宋体" w:hAnsi="宋体" w:eastAsia="宋体" w:cs="宋体"/>
                <w:kern w:val="2"/>
                <w:sz w:val="21"/>
                <w:szCs w:val="21"/>
                <w:lang w:eastAsia="zh-CN"/>
              </w:rPr>
              <w:t>④</w:t>
            </w:r>
            <w:r>
              <w:rPr>
                <w:rFonts w:ascii="Times New Roman" w:hAnsi="Times New Roman" w:eastAsia="宋体" w:cs="Times New Roman"/>
                <w:kern w:val="2"/>
                <w:sz w:val="21"/>
                <w:szCs w:val="21"/>
                <w:lang w:eastAsia="zh-CN"/>
              </w:rPr>
              <w:fldChar w:fldCharType="end"/>
            </w:r>
          </w:p>
        </w:tc>
        <w:tc>
          <w:tcPr>
            <w:tcW w:w="637" w:type="pct"/>
            <w:vAlign w:val="center"/>
          </w:tcPr>
          <w:p>
            <w:pPr>
              <w:widowControl/>
              <w:jc w:val="center"/>
              <w:rPr>
                <w:rFonts w:ascii="Times New Roman" w:hAnsi="Times New Roman" w:eastAsia="宋体" w:cs="Times New Roman"/>
                <w:kern w:val="2"/>
                <w:sz w:val="21"/>
                <w:szCs w:val="21"/>
                <w:lang w:eastAsia="zh-CN"/>
              </w:rPr>
            </w:pPr>
            <w:r>
              <w:rPr>
                <w:rFonts w:ascii="Times New Roman" w:hAnsi="Times New Roman" w:eastAsia="宋体" w:cs="Times New Roman"/>
                <w:kern w:val="2"/>
                <w:sz w:val="21"/>
                <w:szCs w:val="21"/>
                <w:lang w:eastAsia="zh-CN"/>
              </w:rPr>
              <w:t>以新带老削减量</w:t>
            </w:r>
          </w:p>
          <w:p>
            <w:pPr>
              <w:widowControl/>
              <w:jc w:val="center"/>
              <w:rPr>
                <w:rFonts w:ascii="Times New Roman" w:hAnsi="Times New Roman" w:eastAsia="宋体" w:cs="Times New Roman"/>
                <w:kern w:val="2"/>
                <w:sz w:val="21"/>
                <w:szCs w:val="21"/>
                <w:lang w:eastAsia="zh-CN"/>
              </w:rPr>
            </w:pPr>
            <w:r>
              <w:rPr>
                <w:rFonts w:ascii="Times New Roman" w:hAnsi="Times New Roman" w:eastAsia="宋体" w:cs="Times New Roman"/>
                <w:kern w:val="2"/>
                <w:sz w:val="21"/>
                <w:szCs w:val="21"/>
                <w:lang w:eastAsia="zh-CN"/>
              </w:rPr>
              <w:t>（新建项目不填）</w:t>
            </w:r>
            <w:r>
              <w:rPr>
                <w:rFonts w:ascii="Times New Roman" w:hAnsi="Times New Roman" w:eastAsia="宋体" w:cs="Times New Roman"/>
                <w:kern w:val="2"/>
                <w:sz w:val="21"/>
                <w:szCs w:val="21"/>
                <w:lang w:eastAsia="zh-CN"/>
              </w:rPr>
              <w:fldChar w:fldCharType="begin"/>
            </w:r>
            <w:r>
              <w:rPr>
                <w:rFonts w:ascii="Times New Roman" w:hAnsi="Times New Roman" w:eastAsia="宋体" w:cs="Times New Roman"/>
                <w:kern w:val="2"/>
                <w:sz w:val="21"/>
                <w:szCs w:val="21"/>
                <w:lang w:eastAsia="zh-CN"/>
              </w:rPr>
              <w:instrText xml:space="preserve"> = 5 \* GB3 \* MERGEFORMAT </w:instrText>
            </w:r>
            <w:r>
              <w:rPr>
                <w:rFonts w:ascii="Times New Roman" w:hAnsi="Times New Roman" w:eastAsia="宋体" w:cs="Times New Roman"/>
                <w:kern w:val="2"/>
                <w:sz w:val="21"/>
                <w:szCs w:val="21"/>
                <w:lang w:eastAsia="zh-CN"/>
              </w:rPr>
              <w:fldChar w:fldCharType="separate"/>
            </w:r>
            <w:r>
              <w:rPr>
                <w:rFonts w:hint="eastAsia" w:ascii="宋体" w:hAnsi="宋体" w:eastAsia="宋体" w:cs="宋体"/>
                <w:kern w:val="2"/>
                <w:sz w:val="21"/>
                <w:szCs w:val="21"/>
                <w:lang w:eastAsia="zh-CN"/>
              </w:rPr>
              <w:t>⑤</w:t>
            </w:r>
            <w:r>
              <w:rPr>
                <w:rFonts w:ascii="Times New Roman" w:hAnsi="Times New Roman" w:eastAsia="宋体" w:cs="Times New Roman"/>
                <w:kern w:val="2"/>
                <w:sz w:val="21"/>
                <w:szCs w:val="21"/>
                <w:lang w:eastAsia="zh-CN"/>
              </w:rPr>
              <w:fldChar w:fldCharType="end"/>
            </w:r>
          </w:p>
        </w:tc>
        <w:tc>
          <w:tcPr>
            <w:tcW w:w="709" w:type="pct"/>
            <w:vAlign w:val="center"/>
          </w:tcPr>
          <w:p>
            <w:pPr>
              <w:widowControl/>
              <w:jc w:val="center"/>
              <w:rPr>
                <w:rFonts w:ascii="Times New Roman" w:hAnsi="Times New Roman" w:eastAsia="宋体" w:cs="Times New Roman"/>
                <w:kern w:val="2"/>
                <w:sz w:val="21"/>
                <w:szCs w:val="21"/>
                <w:lang w:eastAsia="zh-CN"/>
              </w:rPr>
            </w:pPr>
            <w:r>
              <w:rPr>
                <w:rFonts w:ascii="Times New Roman" w:hAnsi="Times New Roman" w:eastAsia="宋体" w:cs="Times New Roman"/>
                <w:kern w:val="2"/>
                <w:sz w:val="21"/>
                <w:szCs w:val="21"/>
                <w:lang w:eastAsia="zh-CN"/>
              </w:rPr>
              <w:t>本项目建成后全厂排放量（固体废物产生量）</w:t>
            </w:r>
            <w:r>
              <w:rPr>
                <w:rFonts w:ascii="Times New Roman" w:hAnsi="Times New Roman" w:eastAsia="宋体" w:cs="Times New Roman"/>
                <w:kern w:val="2"/>
                <w:sz w:val="21"/>
                <w:szCs w:val="21"/>
                <w:lang w:eastAsia="zh-CN"/>
              </w:rPr>
              <w:fldChar w:fldCharType="begin"/>
            </w:r>
            <w:r>
              <w:rPr>
                <w:rFonts w:ascii="Times New Roman" w:hAnsi="Times New Roman" w:eastAsia="宋体" w:cs="Times New Roman"/>
                <w:kern w:val="2"/>
                <w:sz w:val="21"/>
                <w:szCs w:val="21"/>
                <w:lang w:eastAsia="zh-CN"/>
              </w:rPr>
              <w:instrText xml:space="preserve"> = 6 \* GB3 \* MERGEFORMAT </w:instrText>
            </w:r>
            <w:r>
              <w:rPr>
                <w:rFonts w:ascii="Times New Roman" w:hAnsi="Times New Roman" w:eastAsia="宋体" w:cs="Times New Roman"/>
                <w:kern w:val="2"/>
                <w:sz w:val="21"/>
                <w:szCs w:val="21"/>
                <w:lang w:eastAsia="zh-CN"/>
              </w:rPr>
              <w:fldChar w:fldCharType="separate"/>
            </w:r>
            <w:r>
              <w:rPr>
                <w:rFonts w:hint="eastAsia" w:ascii="宋体" w:hAnsi="宋体" w:eastAsia="宋体" w:cs="宋体"/>
                <w:kern w:val="2"/>
                <w:sz w:val="21"/>
                <w:szCs w:val="21"/>
                <w:lang w:eastAsia="zh-CN"/>
              </w:rPr>
              <w:t>⑥</w:t>
            </w:r>
            <w:r>
              <w:rPr>
                <w:rFonts w:ascii="Times New Roman" w:hAnsi="Times New Roman" w:eastAsia="宋体" w:cs="Times New Roman"/>
                <w:kern w:val="2"/>
                <w:sz w:val="21"/>
                <w:szCs w:val="21"/>
                <w:lang w:eastAsia="zh-CN"/>
              </w:rPr>
              <w:fldChar w:fldCharType="end"/>
            </w:r>
          </w:p>
        </w:tc>
        <w:tc>
          <w:tcPr>
            <w:tcW w:w="320" w:type="pct"/>
            <w:vAlign w:val="center"/>
          </w:tcPr>
          <w:p>
            <w:pPr>
              <w:widowControl/>
              <w:jc w:val="center"/>
              <w:rPr>
                <w:rFonts w:ascii="Times New Roman" w:hAnsi="Times New Roman" w:eastAsia="宋体" w:cs="Times New Roman"/>
                <w:kern w:val="2"/>
                <w:sz w:val="21"/>
                <w:szCs w:val="21"/>
                <w:lang w:eastAsia="zh-CN"/>
              </w:rPr>
            </w:pPr>
            <w:r>
              <w:rPr>
                <w:rFonts w:ascii="Times New Roman" w:hAnsi="Times New Roman" w:eastAsia="宋体" w:cs="Times New Roman"/>
                <w:kern w:val="2"/>
                <w:sz w:val="21"/>
                <w:szCs w:val="21"/>
                <w:lang w:eastAsia="zh-CN"/>
              </w:rPr>
              <w:t>变化量</w:t>
            </w:r>
          </w:p>
          <w:p>
            <w:pPr>
              <w:widowControl/>
              <w:jc w:val="center"/>
              <w:rPr>
                <w:rFonts w:ascii="Times New Roman" w:hAnsi="Times New Roman" w:eastAsia="宋体" w:cs="Times New Roman"/>
                <w:kern w:val="2"/>
                <w:sz w:val="21"/>
                <w:szCs w:val="21"/>
                <w:lang w:eastAsia="zh-CN"/>
              </w:rPr>
            </w:pPr>
            <w:r>
              <w:rPr>
                <w:rFonts w:ascii="Times New Roman" w:hAnsi="Times New Roman" w:eastAsia="宋体" w:cs="Times New Roman"/>
                <w:kern w:val="2"/>
                <w:sz w:val="21"/>
                <w:szCs w:val="21"/>
                <w:lang w:eastAsia="zh-CN"/>
              </w:rPr>
              <w:fldChar w:fldCharType="begin"/>
            </w:r>
            <w:r>
              <w:rPr>
                <w:rFonts w:ascii="Times New Roman" w:hAnsi="Times New Roman" w:eastAsia="宋体" w:cs="Times New Roman"/>
                <w:kern w:val="2"/>
                <w:sz w:val="21"/>
                <w:szCs w:val="21"/>
                <w:lang w:eastAsia="zh-CN"/>
              </w:rPr>
              <w:instrText xml:space="preserve"> = 7 \* GB3 \* MERGEFORMAT </w:instrText>
            </w:r>
            <w:r>
              <w:rPr>
                <w:rFonts w:ascii="Times New Roman" w:hAnsi="Times New Roman" w:eastAsia="宋体" w:cs="Times New Roman"/>
                <w:kern w:val="2"/>
                <w:sz w:val="21"/>
                <w:szCs w:val="21"/>
                <w:lang w:eastAsia="zh-CN"/>
              </w:rPr>
              <w:fldChar w:fldCharType="separate"/>
            </w:r>
            <w:r>
              <w:rPr>
                <w:rFonts w:hint="eastAsia" w:ascii="宋体" w:hAnsi="宋体" w:eastAsia="宋体" w:cs="宋体"/>
                <w:kern w:val="2"/>
                <w:sz w:val="21"/>
                <w:szCs w:val="21"/>
                <w:lang w:eastAsia="zh-CN"/>
              </w:rPr>
              <w:t>⑦</w:t>
            </w:r>
            <w:r>
              <w:rPr>
                <w:rFonts w:ascii="Times New Roman" w:hAnsi="Times New Roman" w:eastAsia="宋体" w:cs="Times New Roman"/>
                <w:kern w:val="2"/>
                <w:sz w:val="21"/>
                <w:szCs w:val="21"/>
                <w:lang w:eastAsia="zh-CN"/>
              </w:rPr>
              <w:fldChar w:fldCharType="end"/>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74" w:type="pct"/>
            <w:vAlign w:val="center"/>
          </w:tcPr>
          <w:p>
            <w:pPr>
              <w:widowControl/>
              <w:jc w:val="center"/>
              <w:rPr>
                <w:rFonts w:ascii="Times New Roman" w:hAnsi="Times New Roman" w:eastAsia="宋体" w:cs="Times New Roman"/>
                <w:kern w:val="2"/>
                <w:sz w:val="21"/>
                <w:szCs w:val="21"/>
                <w:lang w:eastAsia="zh-CN"/>
              </w:rPr>
            </w:pPr>
            <w:r>
              <w:rPr>
                <w:rFonts w:ascii="Times New Roman" w:hAnsi="Times New Roman" w:eastAsia="宋体" w:cs="Times New Roman"/>
                <w:kern w:val="2"/>
                <w:sz w:val="21"/>
                <w:szCs w:val="21"/>
                <w:lang w:eastAsia="zh-CN"/>
              </w:rPr>
              <w:t>废气</w:t>
            </w:r>
          </w:p>
        </w:tc>
        <w:tc>
          <w:tcPr>
            <w:tcW w:w="510" w:type="pct"/>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NMHC</w:t>
            </w:r>
          </w:p>
        </w:tc>
        <w:tc>
          <w:tcPr>
            <w:tcW w:w="614" w:type="pct"/>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w:t>
            </w:r>
          </w:p>
        </w:tc>
        <w:tc>
          <w:tcPr>
            <w:tcW w:w="459" w:type="pct"/>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w:t>
            </w:r>
          </w:p>
        </w:tc>
        <w:tc>
          <w:tcPr>
            <w:tcW w:w="614" w:type="pct"/>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w:t>
            </w:r>
          </w:p>
        </w:tc>
        <w:tc>
          <w:tcPr>
            <w:tcW w:w="563" w:type="pct"/>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1.834</w:t>
            </w:r>
          </w:p>
        </w:tc>
        <w:tc>
          <w:tcPr>
            <w:tcW w:w="637" w:type="pct"/>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w:t>
            </w:r>
          </w:p>
        </w:tc>
        <w:tc>
          <w:tcPr>
            <w:tcW w:w="709" w:type="pct"/>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1.834</w:t>
            </w:r>
          </w:p>
        </w:tc>
        <w:tc>
          <w:tcPr>
            <w:tcW w:w="320" w:type="pct"/>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1.834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74" w:type="pct"/>
            <w:vMerge w:val="restart"/>
            <w:vAlign w:val="center"/>
          </w:tcPr>
          <w:p>
            <w:pPr>
              <w:widowControl/>
              <w:jc w:val="center"/>
              <w:rPr>
                <w:rFonts w:ascii="Times New Roman" w:hAnsi="Times New Roman" w:eastAsia="宋体" w:cs="Times New Roman"/>
                <w:kern w:val="2"/>
                <w:sz w:val="21"/>
                <w:szCs w:val="21"/>
                <w:lang w:eastAsia="zh-CN"/>
              </w:rPr>
            </w:pPr>
            <w:r>
              <w:rPr>
                <w:rFonts w:ascii="Times New Roman" w:hAnsi="Times New Roman" w:eastAsia="宋体" w:cs="Times New Roman"/>
                <w:kern w:val="2"/>
                <w:sz w:val="21"/>
                <w:szCs w:val="21"/>
                <w:lang w:eastAsia="zh-CN"/>
              </w:rPr>
              <w:t>废水</w:t>
            </w:r>
          </w:p>
        </w:tc>
        <w:tc>
          <w:tcPr>
            <w:tcW w:w="510" w:type="pct"/>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COD</w:t>
            </w:r>
          </w:p>
        </w:tc>
        <w:tc>
          <w:tcPr>
            <w:tcW w:w="614" w:type="pct"/>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w:t>
            </w:r>
          </w:p>
        </w:tc>
        <w:tc>
          <w:tcPr>
            <w:tcW w:w="459" w:type="pct"/>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w:t>
            </w:r>
          </w:p>
        </w:tc>
        <w:tc>
          <w:tcPr>
            <w:tcW w:w="614" w:type="pct"/>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w:t>
            </w:r>
          </w:p>
        </w:tc>
        <w:tc>
          <w:tcPr>
            <w:tcW w:w="563" w:type="pct"/>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0.054</w:t>
            </w:r>
          </w:p>
        </w:tc>
        <w:tc>
          <w:tcPr>
            <w:tcW w:w="637" w:type="pct"/>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w:t>
            </w:r>
          </w:p>
        </w:tc>
        <w:tc>
          <w:tcPr>
            <w:tcW w:w="709" w:type="pct"/>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0.054</w:t>
            </w:r>
          </w:p>
        </w:tc>
        <w:tc>
          <w:tcPr>
            <w:tcW w:w="320" w:type="pct"/>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0.054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74" w:type="pct"/>
            <w:vMerge w:val="continue"/>
            <w:vAlign w:val="center"/>
          </w:tcPr>
          <w:p>
            <w:pPr>
              <w:widowControl/>
              <w:jc w:val="center"/>
              <w:rPr>
                <w:rFonts w:ascii="Times New Roman" w:hAnsi="Times New Roman" w:eastAsia="宋体" w:cs="Times New Roman"/>
                <w:kern w:val="2"/>
                <w:sz w:val="21"/>
                <w:szCs w:val="21"/>
                <w:lang w:eastAsia="zh-CN"/>
              </w:rPr>
            </w:pPr>
          </w:p>
        </w:tc>
        <w:tc>
          <w:tcPr>
            <w:tcW w:w="510" w:type="pct"/>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BOD</w:t>
            </w:r>
            <w:r>
              <w:rPr>
                <w:rFonts w:hint="eastAsia" w:ascii="Times New Roman" w:hAnsi="Times New Roman" w:eastAsia="宋体" w:cs="Times New Roman"/>
                <w:kern w:val="2"/>
                <w:sz w:val="21"/>
                <w:szCs w:val="21"/>
                <w:vertAlign w:val="subscript"/>
                <w:lang w:eastAsia="zh-CN"/>
              </w:rPr>
              <w:t>5</w:t>
            </w:r>
          </w:p>
        </w:tc>
        <w:tc>
          <w:tcPr>
            <w:tcW w:w="614" w:type="pct"/>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w:t>
            </w:r>
          </w:p>
        </w:tc>
        <w:tc>
          <w:tcPr>
            <w:tcW w:w="459" w:type="pct"/>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w:t>
            </w:r>
          </w:p>
        </w:tc>
        <w:tc>
          <w:tcPr>
            <w:tcW w:w="614" w:type="pct"/>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w:t>
            </w:r>
          </w:p>
        </w:tc>
        <w:tc>
          <w:tcPr>
            <w:tcW w:w="563" w:type="pct"/>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0.011</w:t>
            </w:r>
          </w:p>
        </w:tc>
        <w:tc>
          <w:tcPr>
            <w:tcW w:w="637" w:type="pct"/>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w:t>
            </w:r>
          </w:p>
        </w:tc>
        <w:tc>
          <w:tcPr>
            <w:tcW w:w="709" w:type="pct"/>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0.011</w:t>
            </w:r>
          </w:p>
        </w:tc>
        <w:tc>
          <w:tcPr>
            <w:tcW w:w="320" w:type="pct"/>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0.011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74" w:type="pct"/>
            <w:vMerge w:val="continue"/>
            <w:vAlign w:val="center"/>
          </w:tcPr>
          <w:p>
            <w:pPr>
              <w:widowControl/>
              <w:jc w:val="center"/>
              <w:rPr>
                <w:rFonts w:ascii="Times New Roman" w:hAnsi="Times New Roman" w:eastAsia="宋体" w:cs="Times New Roman"/>
                <w:kern w:val="2"/>
                <w:sz w:val="21"/>
                <w:szCs w:val="21"/>
                <w:lang w:eastAsia="zh-CN"/>
              </w:rPr>
            </w:pPr>
          </w:p>
        </w:tc>
        <w:tc>
          <w:tcPr>
            <w:tcW w:w="510" w:type="pct"/>
            <w:vAlign w:val="center"/>
          </w:tcPr>
          <w:p>
            <w:pPr>
              <w:widowControl/>
              <w:jc w:val="center"/>
              <w:rPr>
                <w:rFonts w:ascii="Times New Roman" w:hAnsi="Times New Roman" w:eastAsia="宋体" w:cs="Times New Roman"/>
                <w:kern w:val="2"/>
                <w:sz w:val="21"/>
                <w:szCs w:val="21"/>
                <w:vertAlign w:val="subscript"/>
                <w:lang w:eastAsia="zh-CN"/>
              </w:rPr>
            </w:pPr>
            <w:r>
              <w:rPr>
                <w:rFonts w:hint="eastAsia" w:ascii="Times New Roman" w:hAnsi="Times New Roman" w:eastAsia="宋体" w:cs="Times New Roman"/>
                <w:kern w:val="2"/>
                <w:sz w:val="21"/>
                <w:szCs w:val="21"/>
                <w:lang w:eastAsia="zh-CN"/>
              </w:rPr>
              <w:t>SS</w:t>
            </w:r>
          </w:p>
        </w:tc>
        <w:tc>
          <w:tcPr>
            <w:tcW w:w="614" w:type="pct"/>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w:t>
            </w:r>
          </w:p>
        </w:tc>
        <w:tc>
          <w:tcPr>
            <w:tcW w:w="459" w:type="pct"/>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w:t>
            </w:r>
          </w:p>
        </w:tc>
        <w:tc>
          <w:tcPr>
            <w:tcW w:w="614" w:type="pct"/>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w:t>
            </w:r>
          </w:p>
        </w:tc>
        <w:tc>
          <w:tcPr>
            <w:tcW w:w="563" w:type="pct"/>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0.01</w:t>
            </w:r>
          </w:p>
        </w:tc>
        <w:tc>
          <w:tcPr>
            <w:tcW w:w="637" w:type="pct"/>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w:t>
            </w:r>
          </w:p>
        </w:tc>
        <w:tc>
          <w:tcPr>
            <w:tcW w:w="709" w:type="pct"/>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0.01</w:t>
            </w:r>
          </w:p>
        </w:tc>
        <w:tc>
          <w:tcPr>
            <w:tcW w:w="320" w:type="pct"/>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0.01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74" w:type="pct"/>
            <w:vMerge w:val="continue"/>
            <w:vAlign w:val="center"/>
          </w:tcPr>
          <w:p>
            <w:pPr>
              <w:widowControl/>
              <w:jc w:val="center"/>
              <w:rPr>
                <w:rFonts w:ascii="Times New Roman" w:hAnsi="Times New Roman" w:eastAsia="宋体" w:cs="Times New Roman"/>
                <w:kern w:val="2"/>
                <w:sz w:val="21"/>
                <w:szCs w:val="21"/>
                <w:lang w:eastAsia="zh-CN"/>
              </w:rPr>
            </w:pPr>
          </w:p>
        </w:tc>
        <w:tc>
          <w:tcPr>
            <w:tcW w:w="510" w:type="pct"/>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氨氮</w:t>
            </w:r>
          </w:p>
        </w:tc>
        <w:tc>
          <w:tcPr>
            <w:tcW w:w="614" w:type="pct"/>
            <w:vAlign w:val="center"/>
          </w:tcPr>
          <w:p>
            <w:pPr>
              <w:widowControl/>
              <w:jc w:val="center"/>
              <w:rPr>
                <w:rFonts w:ascii="Times New Roman" w:hAnsi="Times New Roman" w:eastAsia="宋体" w:cs="Times New Roman"/>
                <w:kern w:val="2"/>
                <w:sz w:val="21"/>
                <w:szCs w:val="21"/>
                <w:lang w:eastAsia="zh-CN"/>
              </w:rPr>
            </w:pPr>
          </w:p>
        </w:tc>
        <w:tc>
          <w:tcPr>
            <w:tcW w:w="459" w:type="pct"/>
            <w:vAlign w:val="center"/>
          </w:tcPr>
          <w:p>
            <w:pPr>
              <w:widowControl/>
              <w:jc w:val="center"/>
              <w:rPr>
                <w:rFonts w:ascii="Times New Roman" w:hAnsi="Times New Roman" w:eastAsia="宋体" w:cs="Times New Roman"/>
                <w:kern w:val="2"/>
                <w:sz w:val="21"/>
                <w:szCs w:val="21"/>
                <w:lang w:eastAsia="zh-CN"/>
              </w:rPr>
            </w:pPr>
          </w:p>
        </w:tc>
        <w:tc>
          <w:tcPr>
            <w:tcW w:w="614" w:type="pct"/>
            <w:vAlign w:val="center"/>
          </w:tcPr>
          <w:p>
            <w:pPr>
              <w:widowControl/>
              <w:jc w:val="center"/>
              <w:rPr>
                <w:rFonts w:ascii="Times New Roman" w:hAnsi="Times New Roman" w:eastAsia="宋体" w:cs="Times New Roman"/>
                <w:kern w:val="2"/>
                <w:sz w:val="21"/>
                <w:szCs w:val="21"/>
                <w:lang w:eastAsia="zh-CN"/>
              </w:rPr>
            </w:pPr>
          </w:p>
        </w:tc>
        <w:tc>
          <w:tcPr>
            <w:tcW w:w="563" w:type="pct"/>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0.005</w:t>
            </w:r>
          </w:p>
        </w:tc>
        <w:tc>
          <w:tcPr>
            <w:tcW w:w="637" w:type="pct"/>
            <w:vAlign w:val="center"/>
          </w:tcPr>
          <w:p>
            <w:pPr>
              <w:widowControl/>
              <w:jc w:val="center"/>
              <w:rPr>
                <w:rFonts w:ascii="Times New Roman" w:hAnsi="Times New Roman" w:eastAsia="宋体" w:cs="Times New Roman"/>
                <w:kern w:val="2"/>
                <w:sz w:val="21"/>
                <w:szCs w:val="21"/>
                <w:lang w:eastAsia="zh-CN"/>
              </w:rPr>
            </w:pPr>
          </w:p>
        </w:tc>
        <w:tc>
          <w:tcPr>
            <w:tcW w:w="709" w:type="pct"/>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0.005</w:t>
            </w:r>
          </w:p>
        </w:tc>
        <w:tc>
          <w:tcPr>
            <w:tcW w:w="320" w:type="pct"/>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0.005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74" w:type="pct"/>
            <w:vMerge w:val="continue"/>
            <w:vAlign w:val="center"/>
          </w:tcPr>
          <w:p>
            <w:pPr>
              <w:widowControl/>
              <w:jc w:val="center"/>
              <w:rPr>
                <w:rFonts w:ascii="Times New Roman" w:hAnsi="Times New Roman" w:eastAsia="宋体" w:cs="Times New Roman"/>
                <w:kern w:val="2"/>
                <w:sz w:val="21"/>
                <w:szCs w:val="21"/>
                <w:lang w:eastAsia="zh-CN"/>
              </w:rPr>
            </w:pPr>
          </w:p>
        </w:tc>
        <w:tc>
          <w:tcPr>
            <w:tcW w:w="510" w:type="pct"/>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石油类</w:t>
            </w:r>
          </w:p>
        </w:tc>
        <w:tc>
          <w:tcPr>
            <w:tcW w:w="614" w:type="pct"/>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w:t>
            </w:r>
          </w:p>
        </w:tc>
        <w:tc>
          <w:tcPr>
            <w:tcW w:w="459" w:type="pct"/>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w:t>
            </w:r>
          </w:p>
        </w:tc>
        <w:tc>
          <w:tcPr>
            <w:tcW w:w="614" w:type="pct"/>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w:t>
            </w:r>
          </w:p>
        </w:tc>
        <w:tc>
          <w:tcPr>
            <w:tcW w:w="563" w:type="pct"/>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0.0001</w:t>
            </w:r>
          </w:p>
        </w:tc>
        <w:tc>
          <w:tcPr>
            <w:tcW w:w="637" w:type="pct"/>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w:t>
            </w:r>
          </w:p>
        </w:tc>
        <w:tc>
          <w:tcPr>
            <w:tcW w:w="709" w:type="pct"/>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0.0001</w:t>
            </w:r>
          </w:p>
        </w:tc>
        <w:tc>
          <w:tcPr>
            <w:tcW w:w="320" w:type="pct"/>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0.0001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74" w:type="pct"/>
            <w:vMerge w:val="restart"/>
            <w:vAlign w:val="center"/>
          </w:tcPr>
          <w:p>
            <w:pPr>
              <w:widowControl/>
              <w:jc w:val="center"/>
              <w:rPr>
                <w:rFonts w:ascii="Times New Roman" w:hAnsi="Times New Roman" w:eastAsia="宋体" w:cs="Times New Roman"/>
                <w:kern w:val="2"/>
                <w:sz w:val="21"/>
                <w:szCs w:val="21"/>
                <w:lang w:eastAsia="zh-CN"/>
              </w:rPr>
            </w:pPr>
            <w:r>
              <w:rPr>
                <w:rFonts w:ascii="Times New Roman" w:hAnsi="Times New Roman" w:eastAsia="宋体" w:cs="Times New Roman"/>
                <w:kern w:val="2"/>
                <w:sz w:val="21"/>
                <w:szCs w:val="21"/>
                <w:lang w:eastAsia="zh-CN"/>
              </w:rPr>
              <w:t>一般工业</w:t>
            </w:r>
          </w:p>
          <w:p>
            <w:pPr>
              <w:widowControl/>
              <w:jc w:val="center"/>
              <w:rPr>
                <w:rFonts w:ascii="Times New Roman" w:hAnsi="Times New Roman" w:eastAsia="宋体" w:cs="Times New Roman"/>
                <w:kern w:val="2"/>
                <w:sz w:val="21"/>
                <w:szCs w:val="21"/>
                <w:lang w:eastAsia="zh-CN"/>
              </w:rPr>
            </w:pPr>
            <w:r>
              <w:rPr>
                <w:rFonts w:ascii="Times New Roman" w:hAnsi="Times New Roman" w:eastAsia="宋体" w:cs="Times New Roman"/>
                <w:kern w:val="2"/>
                <w:sz w:val="21"/>
                <w:szCs w:val="21"/>
                <w:lang w:eastAsia="zh-CN"/>
              </w:rPr>
              <w:t>固体废物</w:t>
            </w:r>
          </w:p>
        </w:tc>
        <w:tc>
          <w:tcPr>
            <w:tcW w:w="510" w:type="pct"/>
            <w:vAlign w:val="center"/>
          </w:tcPr>
          <w:p>
            <w:pPr>
              <w:widowControl/>
              <w:jc w:val="center"/>
              <w:rPr>
                <w:rFonts w:ascii="Times New Roman" w:hAnsi="Times New Roman" w:eastAsia="宋体" w:cs="Times New Roman"/>
                <w:kern w:val="2"/>
                <w:sz w:val="21"/>
                <w:szCs w:val="21"/>
                <w:lang w:eastAsia="zh-CN"/>
              </w:rPr>
            </w:pPr>
            <w:r>
              <w:rPr>
                <w:rFonts w:ascii="Times New Roman" w:hAnsi="Times New Roman" w:eastAsia="宋体" w:cs="Times New Roman"/>
                <w:kern w:val="2"/>
                <w:sz w:val="21"/>
                <w:szCs w:val="21"/>
                <w:lang w:eastAsia="zh-CN"/>
              </w:rPr>
              <w:t>工业固废</w:t>
            </w:r>
          </w:p>
        </w:tc>
        <w:tc>
          <w:tcPr>
            <w:tcW w:w="614" w:type="pct"/>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w:t>
            </w:r>
          </w:p>
        </w:tc>
        <w:tc>
          <w:tcPr>
            <w:tcW w:w="459" w:type="pct"/>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w:t>
            </w:r>
          </w:p>
        </w:tc>
        <w:tc>
          <w:tcPr>
            <w:tcW w:w="614" w:type="pct"/>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w:t>
            </w:r>
          </w:p>
        </w:tc>
        <w:tc>
          <w:tcPr>
            <w:tcW w:w="563" w:type="pct"/>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0.575</w:t>
            </w:r>
          </w:p>
        </w:tc>
        <w:tc>
          <w:tcPr>
            <w:tcW w:w="637" w:type="pct"/>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w:t>
            </w:r>
          </w:p>
        </w:tc>
        <w:tc>
          <w:tcPr>
            <w:tcW w:w="709" w:type="pct"/>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0.575</w:t>
            </w:r>
          </w:p>
        </w:tc>
        <w:tc>
          <w:tcPr>
            <w:tcW w:w="320" w:type="pct"/>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0.575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74" w:type="pct"/>
            <w:vMerge w:val="continue"/>
            <w:vAlign w:val="center"/>
          </w:tcPr>
          <w:p>
            <w:pPr>
              <w:widowControl/>
              <w:jc w:val="center"/>
              <w:rPr>
                <w:rFonts w:ascii="Times New Roman" w:hAnsi="Times New Roman" w:eastAsia="宋体" w:cs="Times New Roman"/>
                <w:kern w:val="2"/>
                <w:sz w:val="21"/>
                <w:szCs w:val="21"/>
                <w:lang w:eastAsia="zh-CN"/>
              </w:rPr>
            </w:pPr>
          </w:p>
        </w:tc>
        <w:tc>
          <w:tcPr>
            <w:tcW w:w="510" w:type="pct"/>
            <w:vAlign w:val="center"/>
          </w:tcPr>
          <w:p>
            <w:pPr>
              <w:widowControl/>
              <w:jc w:val="center"/>
              <w:rPr>
                <w:rFonts w:ascii="Times New Roman" w:hAnsi="Times New Roman" w:eastAsia="宋体" w:cs="Times New Roman"/>
                <w:kern w:val="2"/>
                <w:sz w:val="21"/>
                <w:szCs w:val="21"/>
                <w:lang w:eastAsia="zh-CN"/>
              </w:rPr>
            </w:pPr>
            <w:r>
              <w:rPr>
                <w:rFonts w:ascii="Times New Roman" w:hAnsi="Times New Roman" w:eastAsia="宋体" w:cs="Times New Roman"/>
                <w:kern w:val="2"/>
                <w:sz w:val="21"/>
                <w:szCs w:val="21"/>
                <w:lang w:eastAsia="zh-CN"/>
              </w:rPr>
              <w:t>生活垃圾</w:t>
            </w:r>
          </w:p>
        </w:tc>
        <w:tc>
          <w:tcPr>
            <w:tcW w:w="614" w:type="pct"/>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w:t>
            </w:r>
          </w:p>
        </w:tc>
        <w:tc>
          <w:tcPr>
            <w:tcW w:w="459" w:type="pct"/>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w:t>
            </w:r>
          </w:p>
        </w:tc>
        <w:tc>
          <w:tcPr>
            <w:tcW w:w="614" w:type="pct"/>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w:t>
            </w:r>
          </w:p>
        </w:tc>
        <w:tc>
          <w:tcPr>
            <w:tcW w:w="563" w:type="pct"/>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8.76</w:t>
            </w:r>
          </w:p>
        </w:tc>
        <w:tc>
          <w:tcPr>
            <w:tcW w:w="637" w:type="pct"/>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w:t>
            </w:r>
          </w:p>
        </w:tc>
        <w:tc>
          <w:tcPr>
            <w:tcW w:w="709" w:type="pct"/>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8.76</w:t>
            </w:r>
          </w:p>
        </w:tc>
        <w:tc>
          <w:tcPr>
            <w:tcW w:w="320" w:type="pct"/>
            <w:vAlign w:val="center"/>
          </w:tcPr>
          <w:p>
            <w:pPr>
              <w:widowControl/>
              <w:jc w:val="center"/>
              <w:rPr>
                <w:rFonts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8.76</w:t>
            </w:r>
          </w:p>
        </w:tc>
      </w:tr>
    </w:tbl>
    <w:p>
      <w:pPr>
        <w:spacing w:before="6"/>
        <w:rPr>
          <w:rFonts w:hint="eastAsia" w:ascii="微软雅黑" w:hAnsi="微软雅黑" w:eastAsia="微软雅黑" w:cs="微软雅黑"/>
          <w:sz w:val="4"/>
          <w:szCs w:val="4"/>
          <w:lang w:eastAsia="zh-CN"/>
        </w:rPr>
      </w:pPr>
    </w:p>
    <w:p>
      <w:pPr>
        <w:pStyle w:val="2"/>
        <w:spacing w:before="36"/>
        <w:ind w:left="113"/>
        <w:rPr>
          <w:rFonts w:hint="eastAsia"/>
        </w:rPr>
      </w:pPr>
      <w:bookmarkStart w:id="16" w:name="_Toc5182"/>
      <w:r>
        <w:t>注：</w:t>
      </w:r>
      <w:r>
        <w:rPr>
          <w:spacing w:val="-3"/>
        </w:rPr>
        <w:t>⑥</w:t>
      </w:r>
      <w:r>
        <w:rPr>
          <w:rFonts w:ascii="Times New Roman" w:hAnsi="Times New Roman" w:eastAsia="Times New Roman" w:cs="Times New Roman"/>
          <w:spacing w:val="-16"/>
        </w:rPr>
        <w:t>=</w:t>
      </w:r>
      <w:r>
        <w:t>①</w:t>
      </w:r>
      <w:r>
        <w:rPr>
          <w:rFonts w:ascii="Times New Roman" w:hAnsi="Times New Roman" w:eastAsia="Times New Roman" w:cs="Times New Roman"/>
          <w:spacing w:val="-9"/>
        </w:rPr>
        <w:t>+</w:t>
      </w:r>
      <w:r>
        <w:t>③</w:t>
      </w:r>
      <w:r>
        <w:rPr>
          <w:rFonts w:ascii="Times New Roman" w:hAnsi="Times New Roman" w:eastAsia="Times New Roman" w:cs="Times New Roman"/>
          <w:spacing w:val="-9"/>
        </w:rPr>
        <w:t>+</w:t>
      </w:r>
      <w:r>
        <w:t>④</w:t>
      </w:r>
      <w:r>
        <w:rPr>
          <w:rFonts w:ascii="Times New Roman" w:hAnsi="Times New Roman" w:eastAsia="Times New Roman" w:cs="Times New Roman"/>
          <w:spacing w:val="-8"/>
        </w:rPr>
        <w:t>-</w:t>
      </w:r>
      <w:r>
        <w:t>⑤</w:t>
      </w:r>
      <w:r>
        <w:rPr>
          <w:spacing w:val="-34"/>
        </w:rPr>
        <w:t>；</w:t>
      </w:r>
      <w:r>
        <w:t>⑦</w:t>
      </w:r>
      <w:r>
        <w:rPr>
          <w:rFonts w:ascii="Times New Roman" w:hAnsi="Times New Roman" w:eastAsia="Times New Roman" w:cs="Times New Roman"/>
          <w:spacing w:val="-9"/>
        </w:rPr>
        <w:t>=</w:t>
      </w:r>
      <w:r>
        <w:t>⑥</w:t>
      </w:r>
      <w:r>
        <w:rPr>
          <w:rFonts w:ascii="Times New Roman" w:hAnsi="Times New Roman" w:eastAsia="Times New Roman" w:cs="Times New Roman"/>
          <w:spacing w:val="-18"/>
        </w:rPr>
        <w:t>-</w:t>
      </w:r>
      <w:r>
        <w:t>①</w:t>
      </w:r>
      <w:bookmarkEnd w:id="16"/>
      <w:r>
        <w:rPr>
          <w:rFonts w:hint="eastAsia"/>
          <w:lang w:eastAsia="zh-CN"/>
        </w:rPr>
        <w:t>；单位：t/a</w:t>
      </w:r>
    </w:p>
    <w:p>
      <w:pPr>
        <w:tabs>
          <w:tab w:val="left" w:pos="1245"/>
        </w:tabs>
        <w:rPr>
          <w:rFonts w:hint="eastAsia" w:ascii="宋体" w:hAnsi="宋体" w:eastAsia="宋体" w:cs="宋体"/>
          <w:sz w:val="20"/>
          <w:szCs w:val="20"/>
        </w:rPr>
      </w:pPr>
      <w:r>
        <w:rPr>
          <w:rFonts w:hint="eastAsia" w:ascii="宋体" w:hAnsi="宋体" w:eastAsia="宋体" w:cs="宋体"/>
          <w:sz w:val="20"/>
          <w:szCs w:val="20"/>
        </w:rPr>
        <w:tab/>
      </w:r>
    </w:p>
    <w:p>
      <w:pPr>
        <w:rPr>
          <w:rFonts w:hint="eastAsia" w:ascii="宋体" w:hAnsi="宋体" w:eastAsia="宋体" w:cs="宋体"/>
          <w:sz w:val="20"/>
          <w:szCs w:val="20"/>
        </w:rPr>
      </w:pPr>
    </w:p>
    <w:p>
      <w:pPr>
        <w:rPr>
          <w:rFonts w:hint="eastAsia" w:ascii="宋体" w:hAnsi="宋体" w:eastAsia="宋体" w:cs="宋体"/>
          <w:sz w:val="20"/>
          <w:szCs w:val="20"/>
        </w:rPr>
      </w:pPr>
    </w:p>
    <w:p>
      <w:pPr>
        <w:spacing w:before="10"/>
        <w:rPr>
          <w:rFonts w:hint="eastAsia" w:ascii="宋体" w:hAnsi="宋体" w:eastAsia="宋体" w:cs="宋体"/>
          <w:sz w:val="24"/>
          <w:szCs w:val="24"/>
        </w:rPr>
      </w:pPr>
    </w:p>
    <w:p>
      <w:pPr>
        <w:spacing w:before="76"/>
        <w:ind w:left="24"/>
        <w:jc w:val="center"/>
        <w:rPr>
          <w:rFonts w:ascii="Times New Roman"/>
          <w:sz w:val="18"/>
          <w:lang w:eastAsia="zh-CN"/>
        </w:rPr>
        <w:sectPr>
          <w:footerReference r:id="rId8" w:type="default"/>
          <w:pgSz w:w="16840" w:h="11910" w:orient="landscape"/>
          <w:pgMar w:top="1440" w:right="1080" w:bottom="1440" w:left="1080" w:header="0" w:footer="0" w:gutter="0"/>
          <w:cols w:space="720" w:num="1"/>
        </w:sectPr>
      </w:pPr>
      <w:r>
        <w:rPr>
          <w:rFonts w:ascii="Times New Roman"/>
          <w:sz w:val="18"/>
          <w:lang w:eastAsia="zh-CN"/>
        </w:rPr>
        <w:t>- 44</w:t>
      </w:r>
      <w:r>
        <w:rPr>
          <w:rFonts w:ascii="Times New Roman"/>
          <w:spacing w:val="-1"/>
          <w:sz w:val="18"/>
          <w:lang w:eastAsia="zh-CN"/>
        </w:rPr>
        <w:t xml:space="preserve"> </w:t>
      </w:r>
      <w:r>
        <w:rPr>
          <w:rFonts w:ascii="Times New Roman"/>
          <w:sz w:val="18"/>
          <w:lang w:eastAsia="zh-CN"/>
        </w:rPr>
        <w:t>-</w:t>
      </w:r>
    </w:p>
    <w:p>
      <w:pPr>
        <w:pStyle w:val="44"/>
        <w:sectPr>
          <w:pgSz w:w="16840" w:h="11910" w:orient="landscape"/>
          <w:pgMar w:top="1440" w:right="1080" w:bottom="1440" w:left="1080" w:header="0" w:footer="0" w:gutter="0"/>
          <w:cols w:space="720" w:num="1"/>
        </w:sectPr>
      </w:pPr>
    </w:p>
    <w:p>
      <w:pPr>
        <w:pStyle w:val="5"/>
        <w:spacing w:line="240" w:lineRule="auto"/>
        <w:jc w:val="both"/>
        <w:rPr>
          <w:rFonts w:hint="eastAsia" w:ascii="宋体" w:eastAsia="宋体" w:cs="宋体"/>
          <w:sz w:val="36"/>
          <w:szCs w:val="36"/>
          <w:lang w:eastAsia="zh-CN"/>
        </w:rPr>
      </w:pPr>
      <w:r>
        <w:rPr>
          <w:rFonts w:hint="eastAsia" w:ascii="宋体" w:eastAsia="宋体" w:cs="宋体"/>
          <w:sz w:val="36"/>
          <w:szCs w:val="36"/>
          <w:lang w:eastAsia="zh-CN"/>
        </w:rPr>
        <w:t>附件1 委托书</w:t>
      </w:r>
    </w:p>
    <w:p>
      <w:pPr>
        <w:pStyle w:val="44"/>
      </w:pPr>
      <w:r>
        <w:rPr>
          <w:rFonts w:hint="eastAsia" w:eastAsia="宋体"/>
          <w:lang w:eastAsia="zh-CN"/>
        </w:rPr>
        <w:drawing>
          <wp:inline distT="0" distB="0" distL="114300" distR="114300">
            <wp:extent cx="5727065" cy="8104505"/>
            <wp:effectExtent l="0" t="0" r="6985" b="10795"/>
            <wp:docPr id="16" name="图片 16" descr="cb399392e7edee4ad97135514bca28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cb399392e7edee4ad97135514bca28b"/>
                    <pic:cNvPicPr>
                      <a:picLocks noChangeAspect="1"/>
                    </pic:cNvPicPr>
                  </pic:nvPicPr>
                  <pic:blipFill>
                    <a:blip r:embed="rId29"/>
                    <a:stretch>
                      <a:fillRect/>
                    </a:stretch>
                  </pic:blipFill>
                  <pic:spPr>
                    <a:xfrm>
                      <a:off x="0" y="0"/>
                      <a:ext cx="5727065" cy="8104505"/>
                    </a:xfrm>
                    <a:prstGeom prst="rect">
                      <a:avLst/>
                    </a:prstGeom>
                  </pic:spPr>
                </pic:pic>
              </a:graphicData>
            </a:graphic>
          </wp:inline>
        </w:drawing>
      </w:r>
    </w:p>
    <w:p>
      <w:pPr>
        <w:pStyle w:val="44"/>
        <w:rPr>
          <w:rFonts w:hint="eastAsia" w:hAnsi="宋体"/>
        </w:rPr>
      </w:pPr>
      <w:r>
        <w:rPr>
          <w:rFonts w:hint="eastAsia"/>
        </w:rPr>
        <w:br w:type="page"/>
      </w:r>
    </w:p>
    <w:p>
      <w:pPr>
        <w:pStyle w:val="5"/>
        <w:spacing w:line="240" w:lineRule="auto"/>
        <w:jc w:val="both"/>
        <w:rPr>
          <w:rFonts w:hint="eastAsia" w:ascii="宋体" w:eastAsia="宋体" w:cs="宋体"/>
          <w:sz w:val="36"/>
          <w:szCs w:val="36"/>
          <w:lang w:eastAsia="zh-CN"/>
        </w:rPr>
      </w:pPr>
      <w:r>
        <w:rPr>
          <w:rFonts w:hint="eastAsia" w:ascii="宋体" w:eastAsia="宋体" w:cs="宋体"/>
          <w:sz w:val="36"/>
          <w:szCs w:val="36"/>
          <w:lang w:eastAsia="zh-CN"/>
        </w:rPr>
        <w:t>附件2 项目备案证明</w:t>
      </w:r>
    </w:p>
    <w:p>
      <w:pPr>
        <w:pStyle w:val="44"/>
      </w:pPr>
      <w:r>
        <w:drawing>
          <wp:inline distT="0" distB="0" distL="0" distR="0">
            <wp:extent cx="5734050" cy="5816600"/>
            <wp:effectExtent l="0" t="0" r="0" b="0"/>
            <wp:docPr id="1407851753" name="图片 10" descr="表格&#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851753" name="图片 10" descr="表格&#10;&#10;描述已自动生成"/>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a:xfrm>
                      <a:off x="0" y="0"/>
                      <a:ext cx="5734050" cy="5816600"/>
                    </a:xfrm>
                    <a:prstGeom prst="rect">
                      <a:avLst/>
                    </a:prstGeom>
                    <a:noFill/>
                    <a:ln>
                      <a:noFill/>
                    </a:ln>
                  </pic:spPr>
                </pic:pic>
              </a:graphicData>
            </a:graphic>
          </wp:inline>
        </w:drawing>
      </w:r>
    </w:p>
    <w:p>
      <w:pPr>
        <w:rPr>
          <w:rFonts w:eastAsiaTheme="minorEastAsia"/>
          <w:lang w:eastAsia="zh-CN"/>
        </w:rPr>
        <w:sectPr>
          <w:pgSz w:w="11910" w:h="16840"/>
          <w:pgMar w:top="1080" w:right="1440" w:bottom="1080" w:left="1440" w:header="0" w:footer="0" w:gutter="0"/>
          <w:cols w:space="720" w:num="1"/>
          <w:docGrid w:linePitch="299" w:charSpace="0"/>
        </w:sectPr>
      </w:pPr>
    </w:p>
    <w:p>
      <w:pPr>
        <w:pStyle w:val="5"/>
        <w:spacing w:line="240" w:lineRule="auto"/>
        <w:jc w:val="both"/>
        <w:rPr>
          <w:rFonts w:hint="eastAsia" w:ascii="宋体" w:eastAsia="宋体" w:cs="宋体"/>
          <w:sz w:val="36"/>
          <w:szCs w:val="36"/>
          <w:lang w:eastAsia="zh-CN"/>
        </w:rPr>
      </w:pPr>
      <w:bookmarkStart w:id="17" w:name="_Hlk186041190"/>
      <w:r>
        <w:rPr>
          <w:rFonts w:hint="eastAsia" w:ascii="宋体" w:eastAsia="宋体" w:cs="宋体"/>
          <w:sz w:val="36"/>
          <w:szCs w:val="36"/>
          <w:lang w:eastAsia="zh-CN"/>
        </w:rPr>
        <w:t>附件10 关于公开建设项目环评文件等信息情况的说明</w:t>
      </w:r>
    </w:p>
    <w:bookmarkEnd w:id="17"/>
    <w:p>
      <w:pPr>
        <w:pStyle w:val="44"/>
      </w:pPr>
      <w:r>
        <w:drawing>
          <wp:inline distT="0" distB="0" distL="0" distR="0">
            <wp:extent cx="5934075" cy="8402955"/>
            <wp:effectExtent l="0" t="0" r="0" b="0"/>
            <wp:docPr id="1496040569" name="图片 19" descr="图片包含 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6040569" name="图片 19" descr="图片包含 文本&#10;&#10;描述已自动生成"/>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a:xfrm>
                      <a:off x="0" y="0"/>
                      <a:ext cx="5937381" cy="8407941"/>
                    </a:xfrm>
                    <a:prstGeom prst="rect">
                      <a:avLst/>
                    </a:prstGeom>
                    <a:noFill/>
                    <a:ln>
                      <a:noFill/>
                    </a:ln>
                  </pic:spPr>
                </pic:pic>
              </a:graphicData>
            </a:graphic>
          </wp:inline>
        </w:drawing>
      </w:r>
    </w:p>
    <w:p>
      <w:pPr>
        <w:pStyle w:val="5"/>
        <w:spacing w:line="240" w:lineRule="auto"/>
        <w:jc w:val="both"/>
        <w:rPr>
          <w:rFonts w:hint="eastAsia" w:ascii="宋体" w:eastAsia="宋体" w:cs="宋体"/>
          <w:sz w:val="36"/>
          <w:szCs w:val="36"/>
          <w:lang w:eastAsia="zh-CN"/>
        </w:rPr>
      </w:pPr>
      <w:r>
        <w:rPr>
          <w:rFonts w:hint="eastAsia" w:ascii="宋体" w:eastAsia="宋体" w:cs="宋体"/>
          <w:sz w:val="36"/>
          <w:szCs w:val="36"/>
          <w:lang w:eastAsia="zh-CN"/>
        </w:rPr>
        <w:t>附件11 涉及国家秘密、商业秘密等内容的说明</w:t>
      </w:r>
    </w:p>
    <w:p>
      <w:pPr>
        <w:pStyle w:val="2"/>
        <w:rPr>
          <w:lang w:eastAsia="zh-CN"/>
        </w:rPr>
      </w:pPr>
      <w:r>
        <w:drawing>
          <wp:inline distT="0" distB="0" distL="0" distR="0">
            <wp:extent cx="5804535" cy="8220075"/>
            <wp:effectExtent l="0" t="0" r="5715" b="0"/>
            <wp:docPr id="18293926" name="图片 21" descr="文本, 信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3926" name="图片 21" descr="文本, 信件&#10;&#10;描述已自动生成"/>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a:xfrm>
                      <a:off x="0" y="0"/>
                      <a:ext cx="5805925" cy="8221786"/>
                    </a:xfrm>
                    <a:prstGeom prst="rect">
                      <a:avLst/>
                    </a:prstGeom>
                    <a:noFill/>
                    <a:ln>
                      <a:noFill/>
                    </a:ln>
                  </pic:spPr>
                </pic:pic>
              </a:graphicData>
            </a:graphic>
          </wp:inline>
        </w:drawing>
      </w:r>
    </w:p>
    <w:p>
      <w:pPr>
        <w:pStyle w:val="2"/>
        <w:rPr>
          <w:rFonts w:hint="eastAsia"/>
          <w:lang w:eastAsia="zh-CN"/>
        </w:rPr>
      </w:pPr>
      <w:r>
        <w:drawing>
          <wp:inline distT="0" distB="0" distL="0" distR="0">
            <wp:extent cx="6191250" cy="8767445"/>
            <wp:effectExtent l="0" t="0" r="0" b="0"/>
            <wp:docPr id="117997850" name="图片 22" descr="文本, 信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997850" name="图片 22" descr="文本, 信件&#10;&#10;描述已自动生成"/>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a:xfrm>
                      <a:off x="0" y="0"/>
                      <a:ext cx="6191250" cy="8767445"/>
                    </a:xfrm>
                    <a:prstGeom prst="rect">
                      <a:avLst/>
                    </a:prstGeom>
                    <a:noFill/>
                    <a:ln>
                      <a:noFill/>
                    </a:ln>
                  </pic:spPr>
                </pic:pic>
              </a:graphicData>
            </a:graphic>
          </wp:inline>
        </w:drawing>
      </w:r>
    </w:p>
    <w:sectPr>
      <w:pgSz w:w="11910" w:h="16840"/>
      <w:pgMar w:top="1440" w:right="1080" w:bottom="1440" w:left="1080" w:header="0" w:footer="0" w:gutter="0"/>
      <w:cols w:space="720" w:num="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font>
  <w:font w:name="方正小标宋_GBK">
    <w:altName w:val="微软雅黑"/>
    <w:panose1 w:val="00000000000000000000"/>
    <w:charset w:val="86"/>
    <w:family w:val="script"/>
    <w:pitch w:val="default"/>
    <w:sig w:usb0="00000000" w:usb1="00000000" w:usb2="00000010" w:usb3="00000000" w:csb0="00040000" w:csb1="00000000"/>
  </w:font>
  <w:font w:name="微软雅黑">
    <w:panose1 w:val="020B0503020204020204"/>
    <w:charset w:val="86"/>
    <w:family w:val="auto"/>
    <w:pitch w:val="default"/>
    <w:sig w:usb0="80000287" w:usb1="280F3C52" w:usb2="00000016" w:usb3="00000000" w:csb0="0004001F" w:csb1="00000000"/>
  </w:font>
  <w:font w:name="楷体_GB2312">
    <w:altName w:val="楷体"/>
    <w:panose1 w:val="00000000000000000000"/>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仿宋_GB2312">
    <w:panose1 w:val="02010609030101010101"/>
    <w:charset w:val="86"/>
    <w:family w:val="modern"/>
    <w:pitch w:val="default"/>
    <w:sig w:usb0="00000001" w:usb1="080E0000" w:usb2="00000000" w:usb3="00000000" w:csb0="00040000" w:csb1="00000000"/>
  </w:font>
  <w:font w:name="Wingdings 2">
    <w:panose1 w:val="05020102010507070707"/>
    <w:charset w:val="02"/>
    <w:family w:val="roman"/>
    <w:pitch w:val="default"/>
    <w:sig w:usb0="00000000" w:usb1="00000000" w:usb2="00000000" w:usb3="00000000" w:csb0="80000000" w:csb1="00000000"/>
  </w:font>
  <w:font w:name="Cambria Math">
    <w:panose1 w:val="02040503050406030204"/>
    <w:charset w:val="00"/>
    <w:family w:val="roman"/>
    <w:pitch w:val="default"/>
    <w:sig w:usb0="E00002FF" w:usb1="420024FF" w:usb2="00000000" w:usb3="00000000" w:csb0="2000019F" w:csb1="00000000"/>
  </w:font>
  <w:font w:name="等线">
    <w:altName w:val="微软雅黑"/>
    <w:panose1 w:val="02010600030101010101"/>
    <w:charset w:val="86"/>
    <w:family w:val="auto"/>
    <w:pitch w:val="default"/>
    <w:sig w:usb0="00000000" w:usb1="00000000" w:usb2="00000016" w:usb3="00000000" w:csb0="0004000F"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sz w:val="20"/>
        <w:szCs w:val="20"/>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sz w:val="20"/>
        <w:szCs w:val="20"/>
      </w:rPr>
    </w:pPr>
    <w:r>
      <w:rPr>
        <w:lang w:eastAsia="zh-CN"/>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274320" cy="139700"/>
              <wp:effectExtent l="0" t="0" r="0" b="0"/>
              <wp:wrapNone/>
              <wp:docPr id="7" name="文本框 1"/>
              <wp:cNvGraphicFramePr/>
              <a:graphic xmlns:a="http://schemas.openxmlformats.org/drawingml/2006/main">
                <a:graphicData uri="http://schemas.microsoft.com/office/word/2010/wordprocessingShape">
                  <wps:wsp>
                    <wps:cNvSpPr txBox="1"/>
                    <wps:spPr>
                      <a:xfrm>
                        <a:off x="0" y="0"/>
                        <a:ext cx="274320" cy="139700"/>
                      </a:xfrm>
                      <a:prstGeom prst="rect">
                        <a:avLst/>
                      </a:prstGeom>
                      <a:noFill/>
                      <a:ln>
                        <a:noFill/>
                      </a:ln>
                    </wps:spPr>
                    <wps:txbx>
                      <w:txbxContent>
                        <w:p>
                          <w:pPr>
                            <w:spacing w:line="204" w:lineRule="exact"/>
                            <w:ind w:left="20"/>
                            <w:rPr>
                              <w:rFonts w:ascii="Times New Roman" w:hAnsi="Times New Roman" w:eastAsia="Times New Roman" w:cs="Times New Roman"/>
                              <w:sz w:val="18"/>
                              <w:szCs w:val="18"/>
                            </w:rPr>
                          </w:pPr>
                          <w:r>
                            <w:rPr>
                              <w:rFonts w:ascii="Times New Roman"/>
                              <w:sz w:val="18"/>
                            </w:rPr>
                            <w:t xml:space="preserve">- </w:t>
                          </w:r>
                          <w:r>
                            <w:fldChar w:fldCharType="begin"/>
                          </w:r>
                          <w:r>
                            <w:rPr>
                              <w:rFonts w:ascii="Times New Roman"/>
                              <w:sz w:val="18"/>
                            </w:rPr>
                            <w:instrText xml:space="preserve"> PAGE </w:instrText>
                          </w:r>
                          <w:r>
                            <w:fldChar w:fldCharType="separate"/>
                          </w:r>
                          <w:r>
                            <w:rPr>
                              <w:rFonts w:ascii="Times New Roman"/>
                              <w:sz w:val="18"/>
                            </w:rPr>
                            <w:t>2</w:t>
                          </w:r>
                          <w:r>
                            <w:fldChar w:fldCharType="end"/>
                          </w:r>
                          <w:r>
                            <w:rPr>
                              <w:rFonts w:ascii="Times New Roman"/>
                              <w:spacing w:val="-1"/>
                              <w:sz w:val="18"/>
                            </w:rPr>
                            <w:t xml:space="preserve"> </w:t>
                          </w:r>
                          <w:r>
                            <w:rPr>
                              <w:rFonts w:ascii="Times New Roman"/>
                              <w:sz w:val="18"/>
                            </w:rPr>
                            <w:t>-</w:t>
                          </w:r>
                        </w:p>
                      </w:txbxContent>
                    </wps:txbx>
                    <wps:bodyPr lIns="0" tIns="0" rIns="0" bIns="0" upright="1"/>
                  </wps:wsp>
                </a:graphicData>
              </a:graphic>
            </wp:anchor>
          </w:drawing>
        </mc:Choice>
        <mc:Fallback>
          <w:pict>
            <v:shape id="文本框 1" o:spid="_x0000_s1026" o:spt="202" type="#_x0000_t202" style="position:absolute;left:0pt;margin-top:0pt;height:11pt;width:21.6pt;mso-position-horizontal:center;mso-position-horizontal-relative:margin;z-index:251662336;mso-width-relative:page;mso-height-relative:page;" filled="f" stroked="f" coordsize="21600,21600" o:gfxdata="UEsDBAoAAAAAAIdO4kAAAAAAAAAAAAAAAAAEAAAAZHJzL1BLAwQUAAAACACHTuJA1wuwkNQAAAAD&#10;AQAADwAAAGRycy9kb3ducmV2LnhtbE2PzU7DMBCE70i8g7VI3KjdFFUQsqkqRE9IiDQcODrxNrEa&#10;r9PY/eHtMVzgstJoRjPfFquLG8SJpmA9I8xnCgRx643lDuGj3tw9gAhRs9GDZ0L4ogCr8vqq0Lnx&#10;Z67otI2dSCUcco3QxzjmUoa2J6fDzI/Eydv5yemY5NRJM+lzKneDzJRaSqctp4Vej/TcU7vfHh3C&#10;+pOrF3t4a96rXWXr+lHx63KPeHszV08gIl3iXxh+8BM6lImp8Uc2QQwI6ZH4e5N3v8hANAhZpkCW&#10;hfzPXn4DUEsDBBQAAAAIAIdO4kBBM/oSuwEAAHEDAAAOAAAAZHJzL2Uyb0RvYy54bWytU0tu2zAQ&#10;3RfIHQjua8pOUTeC5QCFkaBA0RZIcgCaIi0C/IFDW/IF2ht01U33PZfP0SFtOW2yySIbajQzevPe&#10;G2pxPVhDdjKC9q6h00lFiXTCt9ptGvpwf/P2AyWQuGu58U42dC+BXi8v3iz6UMuZ77xpZSQI4qDu&#10;Q0O7lELNGIhOWg4TH6TDovLR8oSvccPayHtEt4bNquo9631sQ/RCAmB2dSzSE2J8CaBXSgu58mJr&#10;pUtH1CgNTygJOh2ALgtbpaRIX5UCmYhpKCpN5cQhGK/zyZYLXm8iD50WJwr8JRSeaLJcOxx6hlrx&#10;xMk26mdQVovowas0Ed6yo5DiCKqYVk+8uet4kEULWg3hbDq8Hqz4svsWiW4bOqfEcYsLP/z8cfj1&#10;5/D7O5lme/oANXbdBexLw0c/4KUZ84DJrHpQ0eYn6iFYR3P3Z3PlkIjA5Gz+7nKGFYGl6eXVvCrm&#10;s8ePQ4R0K70lOWhoxN0VS/nuMyQkgq1jS57l/I02puzPuP8S2JgzLDM/MsxRGtbDSc7at3tUYz45&#10;dDLfijGIY7Aeg22IetMhnaK5QOImCpnTrcmr/ve9DH78U5Z/A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CgEAABbQ29udGVudF9UeXBlc10ueG1s&#10;UEsBAhQACgAAAAAAh07iQAAAAAAAAAAAAAAAAAYAAAAAAAAAAAAQAAAACgMAAF9yZWxzL1BLAQIU&#10;ABQAAAAIAIdO4kCKFGY80QAAAJQBAAALAAAAAAAAAAEAIAAAAC4DAABfcmVscy8ucmVsc1BLAQIU&#10;AAoAAAAAAIdO4kAAAAAAAAAAAAAAAAAEAAAAAAAAAAAAEAAAAAAAAABkcnMvUEsBAhQAFAAAAAgA&#10;h07iQNcLsJDUAAAAAwEAAA8AAAAAAAAAAQAgAAAAIgAAAGRycy9kb3ducmV2LnhtbFBLAQIUABQA&#10;AAAIAIdO4kBBM/oSuwEAAHEDAAAOAAAAAAAAAAEAIAAAACMBAABkcnMvZTJvRG9jLnhtbFBLBQYA&#10;AAAABgAGAFkBAABQBQAAAAA=&#10;">
              <v:fill on="f" focussize="0,0"/>
              <v:stroke on="f"/>
              <v:imagedata o:title=""/>
              <o:lock v:ext="edit" aspectratio="f"/>
              <v:textbox inset="0mm,0mm,0mm,0mm">
                <w:txbxContent>
                  <w:p>
                    <w:pPr>
                      <w:spacing w:line="204" w:lineRule="exact"/>
                      <w:ind w:left="20"/>
                      <w:rPr>
                        <w:rFonts w:ascii="Times New Roman" w:hAnsi="Times New Roman" w:eastAsia="Times New Roman" w:cs="Times New Roman"/>
                        <w:sz w:val="18"/>
                        <w:szCs w:val="18"/>
                      </w:rPr>
                    </w:pPr>
                    <w:r>
                      <w:rPr>
                        <w:rFonts w:ascii="Times New Roman"/>
                        <w:sz w:val="18"/>
                      </w:rPr>
                      <w:t xml:space="preserve">- </w:t>
                    </w:r>
                    <w:r>
                      <w:fldChar w:fldCharType="begin"/>
                    </w:r>
                    <w:r>
                      <w:rPr>
                        <w:rFonts w:ascii="Times New Roman"/>
                        <w:sz w:val="18"/>
                      </w:rPr>
                      <w:instrText xml:space="preserve"> PAGE </w:instrText>
                    </w:r>
                    <w:r>
                      <w:fldChar w:fldCharType="separate"/>
                    </w:r>
                    <w:r>
                      <w:rPr>
                        <w:rFonts w:ascii="Times New Roman"/>
                        <w:sz w:val="18"/>
                      </w:rPr>
                      <w:t>2</w:t>
                    </w:r>
                    <w:r>
                      <w:fldChar w:fldCharType="end"/>
                    </w:r>
                    <w:r>
                      <w:rPr>
                        <w:rFonts w:ascii="Times New Roman"/>
                        <w:spacing w:val="-1"/>
                        <w:sz w:val="18"/>
                      </w:rPr>
                      <w:t xml:space="preserve"> </w:t>
                    </w:r>
                    <w:r>
                      <w:rPr>
                        <w:rFonts w:ascii="Times New Roman"/>
                        <w:sz w:val="18"/>
                      </w:rPr>
                      <w:t>-</w:t>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sz w:val="20"/>
        <w:szCs w:val="20"/>
      </w:rPr>
    </w:pPr>
    <w:r>
      <w:rPr>
        <w:lang w:eastAsia="zh-CN"/>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274320" cy="139700"/>
              <wp:effectExtent l="0" t="0" r="0" b="0"/>
              <wp:wrapNone/>
              <wp:docPr id="639" name="文本框 2"/>
              <wp:cNvGraphicFramePr/>
              <a:graphic xmlns:a="http://schemas.openxmlformats.org/drawingml/2006/main">
                <a:graphicData uri="http://schemas.microsoft.com/office/word/2010/wordprocessingShape">
                  <wps:wsp>
                    <wps:cNvSpPr txBox="1"/>
                    <wps:spPr>
                      <a:xfrm>
                        <a:off x="0" y="0"/>
                        <a:ext cx="274320" cy="139700"/>
                      </a:xfrm>
                      <a:prstGeom prst="rect">
                        <a:avLst/>
                      </a:prstGeom>
                      <a:noFill/>
                      <a:ln>
                        <a:noFill/>
                      </a:ln>
                    </wps:spPr>
                    <wps:txbx>
                      <w:txbxContent>
                        <w:p>
                          <w:pPr>
                            <w:spacing w:line="204" w:lineRule="exact"/>
                            <w:ind w:left="20"/>
                            <w:rPr>
                              <w:rFonts w:ascii="Times New Roman" w:hAnsi="Times New Roman" w:eastAsia="Times New Roman" w:cs="Times New Roman"/>
                              <w:sz w:val="18"/>
                              <w:szCs w:val="18"/>
                            </w:rPr>
                          </w:pPr>
                          <w:r>
                            <w:rPr>
                              <w:rFonts w:ascii="Times New Roman"/>
                              <w:sz w:val="18"/>
                            </w:rPr>
                            <w:t xml:space="preserve">- </w:t>
                          </w:r>
                          <w:r>
                            <w:fldChar w:fldCharType="begin"/>
                          </w:r>
                          <w:r>
                            <w:rPr>
                              <w:rFonts w:ascii="Times New Roman"/>
                              <w:sz w:val="18"/>
                            </w:rPr>
                            <w:instrText xml:space="preserve"> PAGE </w:instrText>
                          </w:r>
                          <w:r>
                            <w:fldChar w:fldCharType="separate"/>
                          </w:r>
                          <w:r>
                            <w:rPr>
                              <w:rFonts w:ascii="Times New Roman"/>
                              <w:sz w:val="18"/>
                            </w:rPr>
                            <w:t>14</w:t>
                          </w:r>
                          <w:r>
                            <w:fldChar w:fldCharType="end"/>
                          </w:r>
                          <w:r>
                            <w:rPr>
                              <w:rFonts w:ascii="Times New Roman"/>
                              <w:spacing w:val="-1"/>
                              <w:sz w:val="18"/>
                            </w:rPr>
                            <w:t xml:space="preserve"> </w:t>
                          </w:r>
                          <w:r>
                            <w:rPr>
                              <w:rFonts w:ascii="Times New Roman"/>
                              <w:sz w:val="18"/>
                            </w:rPr>
                            <w:t>-</w:t>
                          </w:r>
                        </w:p>
                      </w:txbxContent>
                    </wps:txbx>
                    <wps:bodyPr lIns="0" tIns="0" rIns="0" bIns="0" upright="1"/>
                  </wps:wsp>
                </a:graphicData>
              </a:graphic>
            </wp:anchor>
          </w:drawing>
        </mc:Choice>
        <mc:Fallback>
          <w:pict>
            <v:shape id="文本框 2" o:spid="_x0000_s1026" o:spt="202" type="#_x0000_t202" style="position:absolute;left:0pt;margin-top:0pt;height:11pt;width:21.6pt;mso-position-horizontal:center;mso-position-horizontal-relative:margin;z-index:251659264;mso-width-relative:page;mso-height-relative:page;" filled="f" stroked="f" coordsize="21600,21600" o:gfxdata="UEsDBAoAAAAAAIdO4kAAAAAAAAAAAAAAAAAEAAAAZHJzL1BLAwQUAAAACACHTuJA1wuwkNQAAAAD&#10;AQAADwAAAGRycy9kb3ducmV2LnhtbE2PzU7DMBCE70i8g7VI3KjdFFUQsqkqRE9IiDQcODrxNrEa&#10;r9PY/eHtMVzgstJoRjPfFquLG8SJpmA9I8xnCgRx643lDuGj3tw9gAhRs9GDZ0L4ogCr8vqq0Lnx&#10;Z67otI2dSCUcco3QxzjmUoa2J6fDzI/Eydv5yemY5NRJM+lzKneDzJRaSqctp4Vej/TcU7vfHh3C&#10;+pOrF3t4a96rXWXr+lHx63KPeHszV08gIl3iXxh+8BM6lImp8Uc2QQwI6ZH4e5N3v8hANAhZpkCW&#10;hfzPXn4DUEsDBBQAAAAIAIdO4kCt6HdZvAEAAHMDAAAOAAAAZHJzL2Uyb0RvYy54bWytU82O0zAQ&#10;viPxDpbv1GmKdtmo6UqoWoSEAGmXB3Adu7HkP43dJn0BeANOXLjzXH0Oxm7TheWyBy7OZGbyzfd9&#10;4yxvR2vIXkLU3rV0PqsokU74TrttS7883L16Q0lM3HXceCdbepCR3q5evlgOoZG1773pJBAEcbEZ&#10;Qkv7lELDWBS9tDzOfJAOi8qD5QlfYcs64AOiW8Pqqrpig4cugBcyRsyuT0V6RoTnAHqltJBrL3ZW&#10;unRCBWl4Qkmx1yHSVWGrlBTpk1JRJmJaikpTOXEIxpt8stWSN1vgodfiTIE/h8ITTZZrh0MvUGue&#10;ONmB/gfKagE+epVmwlt2ElIcQRXz6ok39z0PsmhBq2O4mB7/H6z4uP8MRHctvVrcUOK4xZUfv387&#10;/vh1/PmV1NmgIcQG++4DdqbxrR/x2kz5iMmse1Rg8xMVEayjvYeLvXJMRGCyvn69qLEisDRf3FxX&#10;xX72+HGAmN5Jb0kOWgq4vWIq33+ICYlg69SSZzl/p40pGzTurwQ25gzLzE8Mc5TGzXiWs/HdAdWY&#10;9w69zPdiCmAKNlOwC6C3PdIpmgsk7qKQOd+bvOw/38vgx39l9Rt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pBAAAW0NvbnRlbnRfVHlwZXNdLnht&#10;bFBLAQIUAAoAAAAAAIdO4kAAAAAAAAAAAAAAAAAGAAAAAAAAAAAAEAAAAAsDAABfcmVscy9QSwEC&#10;FAAUAAAACACHTuJAihRmPNEAAACUAQAACwAAAAAAAAABACAAAAAvAwAAX3JlbHMvLnJlbHNQSwEC&#10;FAAKAAAAAACHTuJAAAAAAAAAAAAAAAAABAAAAAAAAAAAABAAAAAAAAAAZHJzL1BLAQIUABQAAAAI&#10;AIdO4kDXC7CQ1AAAAAMBAAAPAAAAAAAAAAEAIAAAACIAAABkcnMvZG93bnJldi54bWxQSwECFAAU&#10;AAAACACHTuJAreh3WbwBAABzAwAADgAAAAAAAAABACAAAAAjAQAAZHJzL2Uyb0RvYy54bWxQSwUG&#10;AAAAAAYABgBZAQAAUQUAAAAA&#10;">
              <v:fill on="f" focussize="0,0"/>
              <v:stroke on="f"/>
              <v:imagedata o:title=""/>
              <o:lock v:ext="edit" aspectratio="f"/>
              <v:textbox inset="0mm,0mm,0mm,0mm">
                <w:txbxContent>
                  <w:p>
                    <w:pPr>
                      <w:spacing w:line="204" w:lineRule="exact"/>
                      <w:ind w:left="20"/>
                      <w:rPr>
                        <w:rFonts w:ascii="Times New Roman" w:hAnsi="Times New Roman" w:eastAsia="Times New Roman" w:cs="Times New Roman"/>
                        <w:sz w:val="18"/>
                        <w:szCs w:val="18"/>
                      </w:rPr>
                    </w:pPr>
                    <w:r>
                      <w:rPr>
                        <w:rFonts w:ascii="Times New Roman"/>
                        <w:sz w:val="18"/>
                      </w:rPr>
                      <w:t xml:space="preserve">- </w:t>
                    </w:r>
                    <w:r>
                      <w:fldChar w:fldCharType="begin"/>
                    </w:r>
                    <w:r>
                      <w:rPr>
                        <w:rFonts w:ascii="Times New Roman"/>
                        <w:sz w:val="18"/>
                      </w:rPr>
                      <w:instrText xml:space="preserve"> PAGE </w:instrText>
                    </w:r>
                    <w:r>
                      <w:fldChar w:fldCharType="separate"/>
                    </w:r>
                    <w:r>
                      <w:rPr>
                        <w:rFonts w:ascii="Times New Roman"/>
                        <w:sz w:val="18"/>
                      </w:rPr>
                      <w:t>14</w:t>
                    </w:r>
                    <w:r>
                      <w:fldChar w:fldCharType="end"/>
                    </w:r>
                    <w:r>
                      <w:rPr>
                        <w:rFonts w:ascii="Times New Roman"/>
                        <w:spacing w:val="-1"/>
                        <w:sz w:val="18"/>
                      </w:rPr>
                      <w:t xml:space="preserve"> </w:t>
                    </w:r>
                    <w:r>
                      <w:rPr>
                        <w:rFonts w:ascii="Times New Roman"/>
                        <w:sz w:val="18"/>
                      </w:rPr>
                      <w:t>-</w:t>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sz w:val="20"/>
        <w:szCs w:val="20"/>
      </w:rPr>
    </w:pPr>
    <w:r>
      <w:rPr>
        <w:lang w:eastAsia="zh-CN"/>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67005" cy="139700"/>
              <wp:effectExtent l="0" t="0" r="0" b="0"/>
              <wp:wrapNone/>
              <wp:docPr id="640" name="文本框 3"/>
              <wp:cNvGraphicFramePr/>
              <a:graphic xmlns:a="http://schemas.openxmlformats.org/drawingml/2006/main">
                <a:graphicData uri="http://schemas.microsoft.com/office/word/2010/wordprocessingShape">
                  <wps:wsp>
                    <wps:cNvSpPr txBox="1"/>
                    <wps:spPr>
                      <a:xfrm>
                        <a:off x="0" y="0"/>
                        <a:ext cx="167005" cy="139700"/>
                      </a:xfrm>
                      <a:prstGeom prst="rect">
                        <a:avLst/>
                      </a:prstGeom>
                      <a:noFill/>
                      <a:ln>
                        <a:noFill/>
                      </a:ln>
                    </wps:spPr>
                    <wps:txbx>
                      <w:txbxContent>
                        <w:p>
                          <w:pPr>
                            <w:spacing w:line="204" w:lineRule="exact"/>
                            <w:ind w:left="40"/>
                            <w:rPr>
                              <w:rFonts w:ascii="Times New Roman" w:hAnsi="Times New Roman" w:eastAsia="Times New Roman" w:cs="Times New Roman"/>
                              <w:sz w:val="18"/>
                              <w:szCs w:val="18"/>
                            </w:rPr>
                          </w:pPr>
                          <w:r>
                            <w:fldChar w:fldCharType="begin"/>
                          </w:r>
                          <w:r>
                            <w:rPr>
                              <w:rFonts w:ascii="Times New Roman"/>
                              <w:sz w:val="18"/>
                            </w:rPr>
                            <w:instrText xml:space="preserve"> PAGE </w:instrText>
                          </w:r>
                          <w:r>
                            <w:fldChar w:fldCharType="separate"/>
                          </w:r>
                          <w:r>
                            <w:rPr>
                              <w:rFonts w:ascii="Times New Roman"/>
                              <w:sz w:val="18"/>
                            </w:rPr>
                            <w:t>26</w:t>
                          </w:r>
                          <w:r>
                            <w:fldChar w:fldCharType="end"/>
                          </w:r>
                        </w:p>
                      </w:txbxContent>
                    </wps:txbx>
                    <wps:bodyPr lIns="0" tIns="0" rIns="0" bIns="0" upright="1"/>
                  </wps:wsp>
                </a:graphicData>
              </a:graphic>
            </wp:anchor>
          </w:drawing>
        </mc:Choice>
        <mc:Fallback>
          <w:pict>
            <v:shape id="文本框 3" o:spid="_x0000_s1026" o:spt="202" type="#_x0000_t202" style="position:absolute;left:0pt;margin-top:0pt;height:11pt;width:13.15pt;mso-position-horizontal:center;mso-position-horizontal-relative:margin;z-index:251660288;mso-width-relative:page;mso-height-relative:page;" filled="f" stroked="f" coordsize="21600,21600" o:gfxdata="UEsDBAoAAAAAAIdO4kAAAAAAAAAAAAAAAAAEAAAAZHJzL1BLAwQUAAAACACHTuJAZsk/aNMAAAAD&#10;AQAADwAAAGRycy9kb3ducmV2LnhtbE2PzU7DMBCE70i8g7WVuFG7QYogxKkqBCckRBoOHJ14m1iN&#10;1yF2f3h7Fi70sqPVrGa+LddnP4ojztEF0rBaKhBIXbCOeg0fzcvtPYiYDFkzBkIN3xhhXV1flaaw&#10;4UQ1HrepFxxCsTAahpSmQsrYDehNXIYJib1dmL1JvM69tLM5cbgfZaZULr1xxA2DmfBpwG6/PXgN&#10;m0+qn93XW/te72rXNA+KXvO91jeLlXoEkfCc/o/hF5/RoWKmNhzIRjFq4EfS32Qvy+9AtKyZAlmV&#10;8pK9+gFQSwMEFAAAAAgAh07iQONk5tO5AQAAcwMAAA4AAABkcnMvZTJvRG9jLnhtbK1TTW4TMRTe&#10;I3EHy3viSVsCjDKpVEWtkBAgFQ7geOyMJf/Jz8lMLgA3YMWGPefKOXj2ZFIomy668bw/f+993/Ms&#10;rwdryF5G0N41dD6rKJFO+Fa7bUO/frl99ZYSSNy13HgnG3qQQK9XL18s+1DLC99508pIEMRB3YeG&#10;dimFmjEQnbQcZj5Ih0nlo+UJ3bhlbeQ9olvDLqpqwXof2xC9kAAYXY9JekKMTwH0Smkh117srHRp&#10;RI3S8ISUoNMB6KpMq5QU6ZNSIBMxDUWmqZzYBO1NPtlqyett5KHT4jQCf8oIjzhZrh02PUOteeJk&#10;F/V/UFaL6MGrNBPespFIUQRZzKtH2tx3PMjCBaWGcBYdng9WfNx/jkS3DV1coSaOW1z58cf348/f&#10;x1/fyGUWqA9QY919wMo03PgBn80UBwxm3oOKNn+REcE8Qh3O8sohEZEvLd5U1WtKBKbml+/QySjs&#10;4XKIkO6ktyQbDY24vSIq33+ANJZOJbmX87famLJB4/4JIGaOsDz5OGG20rAZTnQ2vj0gG/PeoZb5&#10;XUxGnIzNZOxC1NsOxymcCyTuosx9ejd52X/7pfHDv7L6A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CUEAABbQ29udGVudF9UeXBlc10ueG1sUEsB&#10;AhQACgAAAAAAh07iQAAAAAAAAAAAAAAAAAYAAAAAAAAAAAAQAAAABwMAAF9yZWxzL1BLAQIUABQA&#10;AAAIAIdO4kCKFGY80QAAAJQBAAALAAAAAAAAAAEAIAAAACsDAABfcmVscy8ucmVsc1BLAQIUAAoA&#10;AAAAAIdO4kAAAAAAAAAAAAAAAAAEAAAAAAAAAAAAEAAAAAAAAABkcnMvUEsBAhQAFAAAAAgAh07i&#10;QGbJP2jTAAAAAwEAAA8AAAAAAAAAAQAgAAAAIgAAAGRycy9kb3ducmV2LnhtbFBLAQIUABQAAAAI&#10;AIdO4kDjZObTuQEAAHMDAAAOAAAAAAAAAAEAIAAAACIBAABkcnMvZTJvRG9jLnhtbFBLBQYAAAAA&#10;BgAGAFkBAABNBQAAAAA=&#10;">
              <v:fill on="f" focussize="0,0"/>
              <v:stroke on="f"/>
              <v:imagedata o:title=""/>
              <o:lock v:ext="edit" aspectratio="f"/>
              <v:textbox inset="0mm,0mm,0mm,0mm">
                <w:txbxContent>
                  <w:p>
                    <w:pPr>
                      <w:spacing w:line="204" w:lineRule="exact"/>
                      <w:ind w:left="40"/>
                      <w:rPr>
                        <w:rFonts w:ascii="Times New Roman" w:hAnsi="Times New Roman" w:eastAsia="Times New Roman" w:cs="Times New Roman"/>
                        <w:sz w:val="18"/>
                        <w:szCs w:val="18"/>
                      </w:rPr>
                    </w:pPr>
                    <w:r>
                      <w:fldChar w:fldCharType="begin"/>
                    </w:r>
                    <w:r>
                      <w:rPr>
                        <w:rFonts w:ascii="Times New Roman"/>
                        <w:sz w:val="18"/>
                      </w:rPr>
                      <w:instrText xml:space="preserve"> PAGE </w:instrText>
                    </w:r>
                    <w:r>
                      <w:fldChar w:fldCharType="separate"/>
                    </w:r>
                    <w:r>
                      <w:rPr>
                        <w:rFonts w:ascii="Times New Roman"/>
                        <w:sz w:val="18"/>
                      </w:rPr>
                      <w:t>26</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sz w:val="20"/>
        <w:szCs w:val="20"/>
      </w:rPr>
    </w:pPr>
    <w:r>
      <w:rPr>
        <w:lang w:eastAsia="zh-CN"/>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274320" cy="139700"/>
              <wp:effectExtent l="0" t="0" r="0" b="0"/>
              <wp:wrapNone/>
              <wp:docPr id="641" name="文本框 4"/>
              <wp:cNvGraphicFramePr/>
              <a:graphic xmlns:a="http://schemas.openxmlformats.org/drawingml/2006/main">
                <a:graphicData uri="http://schemas.microsoft.com/office/word/2010/wordprocessingShape">
                  <wps:wsp>
                    <wps:cNvSpPr txBox="1"/>
                    <wps:spPr>
                      <a:xfrm>
                        <a:off x="0" y="0"/>
                        <a:ext cx="274320" cy="139700"/>
                      </a:xfrm>
                      <a:prstGeom prst="rect">
                        <a:avLst/>
                      </a:prstGeom>
                      <a:noFill/>
                      <a:ln>
                        <a:noFill/>
                      </a:ln>
                    </wps:spPr>
                    <wps:txbx>
                      <w:txbxContent>
                        <w:p>
                          <w:pPr>
                            <w:spacing w:line="204" w:lineRule="exact"/>
                            <w:ind w:left="20"/>
                            <w:rPr>
                              <w:rFonts w:ascii="Times New Roman" w:hAnsi="Times New Roman" w:eastAsia="Times New Roman" w:cs="Times New Roman"/>
                              <w:sz w:val="18"/>
                              <w:szCs w:val="18"/>
                            </w:rPr>
                          </w:pPr>
                          <w:r>
                            <w:rPr>
                              <w:rFonts w:ascii="Times New Roman"/>
                              <w:sz w:val="18"/>
                            </w:rPr>
                            <w:t xml:space="preserve">- </w:t>
                          </w:r>
                          <w:r>
                            <w:fldChar w:fldCharType="begin"/>
                          </w:r>
                          <w:r>
                            <w:rPr>
                              <w:rFonts w:ascii="Times New Roman"/>
                              <w:sz w:val="18"/>
                            </w:rPr>
                            <w:instrText xml:space="preserve"> PAGE </w:instrText>
                          </w:r>
                          <w:r>
                            <w:fldChar w:fldCharType="separate"/>
                          </w:r>
                          <w:r>
                            <w:rPr>
                              <w:rFonts w:ascii="Times New Roman"/>
                              <w:sz w:val="18"/>
                            </w:rPr>
                            <w:t>49</w:t>
                          </w:r>
                          <w:r>
                            <w:fldChar w:fldCharType="end"/>
                          </w:r>
                          <w:r>
                            <w:rPr>
                              <w:rFonts w:ascii="Times New Roman"/>
                              <w:spacing w:val="-1"/>
                              <w:sz w:val="18"/>
                            </w:rPr>
                            <w:t xml:space="preserve"> </w:t>
                          </w:r>
                          <w:r>
                            <w:rPr>
                              <w:rFonts w:ascii="Times New Roman"/>
                              <w:sz w:val="18"/>
                            </w:rPr>
                            <w:t>-</w:t>
                          </w:r>
                        </w:p>
                      </w:txbxContent>
                    </wps:txbx>
                    <wps:bodyPr lIns="0" tIns="0" rIns="0" bIns="0" upright="1"/>
                  </wps:wsp>
                </a:graphicData>
              </a:graphic>
            </wp:anchor>
          </w:drawing>
        </mc:Choice>
        <mc:Fallback>
          <w:pict>
            <v:shape id="文本框 4" o:spid="_x0000_s1026" o:spt="202" type="#_x0000_t202" style="position:absolute;left:0pt;margin-top:0pt;height:11pt;width:21.6pt;mso-position-horizontal:center;mso-position-horizontal-relative:margin;z-index:251661312;mso-width-relative:page;mso-height-relative:page;" filled="f" stroked="f" coordsize="21600,21600" o:gfxdata="UEsDBAoAAAAAAIdO4kAAAAAAAAAAAAAAAAAEAAAAZHJzL1BLAwQUAAAACACHTuJA1wuwkNQAAAAD&#10;AQAADwAAAGRycy9kb3ducmV2LnhtbE2PzU7DMBCE70i8g7VI3KjdFFUQsqkqRE9IiDQcODrxNrEa&#10;r9PY/eHtMVzgstJoRjPfFquLG8SJpmA9I8xnCgRx643lDuGj3tw9gAhRs9GDZ0L4ogCr8vqq0Lnx&#10;Z67otI2dSCUcco3QxzjmUoa2J6fDzI/Eydv5yemY5NRJM+lzKneDzJRaSqctp4Vej/TcU7vfHh3C&#10;+pOrF3t4a96rXWXr+lHx63KPeHszV08gIl3iXxh+8BM6lImp8Uc2QQwI6ZH4e5N3v8hANAhZpkCW&#10;hfzPXn4DUEsDBBQAAAAIAIdO4kAHgy+PvQEAAHMDAAAOAAAAZHJzL2Uyb0RvYy54bWytU0tu2zAQ&#10;3RfIHQjua8qOkbSC5QCFkaBA0RZIegCaIi0C/GFIW/IFkht01U33PZfP0SFtOW26yaIbajQzevPe&#10;G2pxM1hDdhKi9q6h00lFiXTCt9ptGvrt4fbtO0pi4q7lxjvZ0L2M9GZ58WbRh1rOfOdNK4EgiIt1&#10;HxrapRRqxqLopOVx4oN0WFQeLE/4ChvWAu8R3Ro2q6or1ntoA3ghY8Ts6likJ0R4DaBXSgu58mJr&#10;pUtHVJCGJ5QUOx0iXRa2SkmRvigVZSKmoag0lROHYLzOJ1sueL0BHjotThT4ayi80GS5djj0DLXi&#10;iZMt6H+grBbgo1dpIrxlRyHFEVQxrV54c9/xIIsWtDqGs+nx/8GKz7uvQHTb0Kv5lBLHLa788P3p&#10;8OPX4ecjmWeD+hBr7LsP2JmGD37AazPmIyaz7kGBzU9URLCO9u7P9sohEYHJ2fX8coYVgaXp5fvr&#10;qtjPnj8OENOd9JbkoKGA2yum8t2nmJAIto4teZbzt9qYskHj/kpgY86wzPzIMEdpWA8nOWvf7lGN&#10;+ejQy3wvxgDGYD0G2wB60yGdorlA4i4KmdO9ycv+870Mfv5Xlr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1wuwkNQAAAADAQAADwAAAAAAAAABACAAAAAiAAAAZHJzL2Rvd25yZXYueG1sUEsBAhQA&#10;FAAAAAgAh07iQAeDL4+9AQAAcwMAAA4AAAAAAAAAAQAgAAAAIwEAAGRycy9lMm9Eb2MueG1sUEsF&#10;BgAAAAAGAAYAWQEAAFIFAAAAAA==&#10;">
              <v:fill on="f" focussize="0,0"/>
              <v:stroke on="f"/>
              <v:imagedata o:title=""/>
              <o:lock v:ext="edit" aspectratio="f"/>
              <v:textbox inset="0mm,0mm,0mm,0mm">
                <w:txbxContent>
                  <w:p>
                    <w:pPr>
                      <w:spacing w:line="204" w:lineRule="exact"/>
                      <w:ind w:left="20"/>
                      <w:rPr>
                        <w:rFonts w:ascii="Times New Roman" w:hAnsi="Times New Roman" w:eastAsia="Times New Roman" w:cs="Times New Roman"/>
                        <w:sz w:val="18"/>
                        <w:szCs w:val="18"/>
                      </w:rPr>
                    </w:pPr>
                    <w:r>
                      <w:rPr>
                        <w:rFonts w:ascii="Times New Roman"/>
                        <w:sz w:val="18"/>
                      </w:rPr>
                      <w:t xml:space="preserve">- </w:t>
                    </w:r>
                    <w:r>
                      <w:fldChar w:fldCharType="begin"/>
                    </w:r>
                    <w:r>
                      <w:rPr>
                        <w:rFonts w:ascii="Times New Roman"/>
                        <w:sz w:val="18"/>
                      </w:rPr>
                      <w:instrText xml:space="preserve"> PAGE </w:instrText>
                    </w:r>
                    <w:r>
                      <w:fldChar w:fldCharType="separate"/>
                    </w:r>
                    <w:r>
                      <w:rPr>
                        <w:rFonts w:ascii="Times New Roman"/>
                        <w:sz w:val="18"/>
                      </w:rPr>
                      <w:t>49</w:t>
                    </w:r>
                    <w:r>
                      <w:fldChar w:fldCharType="end"/>
                    </w:r>
                    <w:r>
                      <w:rPr>
                        <w:rFonts w:ascii="Times New Roman"/>
                        <w:spacing w:val="-1"/>
                        <w:sz w:val="18"/>
                      </w:rPr>
                      <w:t xml:space="preserve"> </w:t>
                    </w:r>
                    <w:r>
                      <w:rPr>
                        <w:rFonts w:ascii="Times New Roman"/>
                        <w:sz w:val="18"/>
                      </w:rPr>
                      <w:t>-</w:t>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sz w:val="2"/>
        <w:szCs w:val="2"/>
      </w:rPr>
    </w:pPr>
    <w:r>
      <w:rPr>
        <w:sz w:val="2"/>
        <w:lang w:eastAsia="zh-CN"/>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5" name="文本框 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0"/>
                          </w:pPr>
                          <w:r>
                            <w:fldChar w:fldCharType="begin"/>
                          </w:r>
                          <w:r>
                            <w:instrText xml:space="preserve"> PAGE  \* MERGEFORMAT </w:instrText>
                          </w:r>
                          <w:r>
                            <w:fldChar w:fldCharType="separate"/>
                          </w:r>
                          <w:r>
                            <w:t>45</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K9j2DAsAgAAVQQAAA4AAABkcnMvZTJvRG9jLnhtbK1UzY7TMBC+I/EO&#10;lu80aVFX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3k7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r2PYMCwCAABVBAAADgAAAAAAAAABACAAAAAfAQAAZHJzL2Uyb0RvYy54bWxQSwUGAAAAAAYA&#10;BgBZAQAAvQUAAAAA&#10;">
              <v:fill on="f" focussize="0,0"/>
              <v:stroke on="f" weight="0.5pt"/>
              <v:imagedata o:title=""/>
              <o:lock v:ext="edit" aspectratio="f"/>
              <v:textbox inset="0mm,0mm,0mm,0mm" style="mso-fit-shape-to-text:t;">
                <w:txbxContent>
                  <w:p>
                    <w:pPr>
                      <w:pStyle w:val="10"/>
                    </w:pPr>
                    <w:r>
                      <w:fldChar w:fldCharType="begin"/>
                    </w:r>
                    <w:r>
                      <w:instrText xml:space="preserve"> PAGE  \* MERGEFORMAT </w:instrText>
                    </w:r>
                    <w:r>
                      <w:fldChar w:fldCharType="separate"/>
                    </w:r>
                    <w:r>
                      <w:t>45</w:t>
                    </w:r>
                    <w:r>
                      <w:fldChar w:fldCharType="end"/>
                    </w:r>
                  </w:p>
                </w:txbxContent>
              </v:textbox>
            </v:shape>
          </w:pict>
        </mc:Fallback>
      </mc:AlternateContent>
    </w: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0"/>
  <w:bordersDoNotSurroundHeader w:val="1"/>
  <w:bordersDoNotSurroundFooter w:val="1"/>
  <w:documentProtection w:enforcement="0"/>
  <w:defaultTabStop w:val="720"/>
  <w:drawingGridHorizontalSpacing w:val="110"/>
  <w:noPunctuationKerning w:val="1"/>
  <w:characterSpacingControl w:val="doNotCompress"/>
  <w:compat>
    <w:ulTrailSpace/>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OGU2OTE2ZTA2ZDkzYzdhZjA0NGI0MmI3MjhjODRkOGEifQ=="/>
  </w:docVars>
  <w:rsids>
    <w:rsidRoot w:val="00172A27"/>
    <w:rsid w:val="00044A5B"/>
    <w:rsid w:val="000619E1"/>
    <w:rsid w:val="00067473"/>
    <w:rsid w:val="0008072B"/>
    <w:rsid w:val="00083B90"/>
    <w:rsid w:val="00096699"/>
    <w:rsid w:val="000A73E7"/>
    <w:rsid w:val="000E335D"/>
    <w:rsid w:val="000E3E74"/>
    <w:rsid w:val="00112391"/>
    <w:rsid w:val="0016081F"/>
    <w:rsid w:val="00172A27"/>
    <w:rsid w:val="00191340"/>
    <w:rsid w:val="0019504F"/>
    <w:rsid w:val="001B5B14"/>
    <w:rsid w:val="001D1206"/>
    <w:rsid w:val="001D7EAF"/>
    <w:rsid w:val="001E7F94"/>
    <w:rsid w:val="002008D9"/>
    <w:rsid w:val="00211365"/>
    <w:rsid w:val="00211E52"/>
    <w:rsid w:val="002233BE"/>
    <w:rsid w:val="002337A9"/>
    <w:rsid w:val="00242F2E"/>
    <w:rsid w:val="002461C1"/>
    <w:rsid w:val="002550D0"/>
    <w:rsid w:val="00287FC1"/>
    <w:rsid w:val="002C1ABD"/>
    <w:rsid w:val="002D7B94"/>
    <w:rsid w:val="002F367E"/>
    <w:rsid w:val="00333EB3"/>
    <w:rsid w:val="0033629C"/>
    <w:rsid w:val="00346EE7"/>
    <w:rsid w:val="003655DA"/>
    <w:rsid w:val="00386F20"/>
    <w:rsid w:val="00394532"/>
    <w:rsid w:val="003E2E98"/>
    <w:rsid w:val="003E6760"/>
    <w:rsid w:val="00401FAE"/>
    <w:rsid w:val="0042671A"/>
    <w:rsid w:val="00436151"/>
    <w:rsid w:val="00467FB1"/>
    <w:rsid w:val="00470B58"/>
    <w:rsid w:val="0047449D"/>
    <w:rsid w:val="00495173"/>
    <w:rsid w:val="00496FA8"/>
    <w:rsid w:val="004A4F6F"/>
    <w:rsid w:val="004B1162"/>
    <w:rsid w:val="004C6010"/>
    <w:rsid w:val="00522659"/>
    <w:rsid w:val="005447E3"/>
    <w:rsid w:val="00547A99"/>
    <w:rsid w:val="0055258B"/>
    <w:rsid w:val="005706DC"/>
    <w:rsid w:val="005C1947"/>
    <w:rsid w:val="005F0365"/>
    <w:rsid w:val="006137AA"/>
    <w:rsid w:val="006351A4"/>
    <w:rsid w:val="00644D99"/>
    <w:rsid w:val="0067466A"/>
    <w:rsid w:val="006A4B78"/>
    <w:rsid w:val="006A5E9D"/>
    <w:rsid w:val="006C19B9"/>
    <w:rsid w:val="006C3C78"/>
    <w:rsid w:val="006F0116"/>
    <w:rsid w:val="007114CB"/>
    <w:rsid w:val="007239BC"/>
    <w:rsid w:val="00733360"/>
    <w:rsid w:val="00736927"/>
    <w:rsid w:val="00766B8D"/>
    <w:rsid w:val="00794919"/>
    <w:rsid w:val="007A3685"/>
    <w:rsid w:val="007D195B"/>
    <w:rsid w:val="007E39A9"/>
    <w:rsid w:val="007F41BC"/>
    <w:rsid w:val="00804C9D"/>
    <w:rsid w:val="0081602E"/>
    <w:rsid w:val="00817CD4"/>
    <w:rsid w:val="00826578"/>
    <w:rsid w:val="00851D5D"/>
    <w:rsid w:val="008547AF"/>
    <w:rsid w:val="008560A8"/>
    <w:rsid w:val="008612BE"/>
    <w:rsid w:val="008B07CD"/>
    <w:rsid w:val="008B6DF7"/>
    <w:rsid w:val="008D6CC4"/>
    <w:rsid w:val="00901C51"/>
    <w:rsid w:val="00941FE7"/>
    <w:rsid w:val="00970C0C"/>
    <w:rsid w:val="009740FA"/>
    <w:rsid w:val="0099737F"/>
    <w:rsid w:val="009D007B"/>
    <w:rsid w:val="009D60E2"/>
    <w:rsid w:val="009D640B"/>
    <w:rsid w:val="00A46203"/>
    <w:rsid w:val="00A74FFD"/>
    <w:rsid w:val="00A825F2"/>
    <w:rsid w:val="00AC6B82"/>
    <w:rsid w:val="00AF0DB8"/>
    <w:rsid w:val="00AF396A"/>
    <w:rsid w:val="00B13789"/>
    <w:rsid w:val="00B179E5"/>
    <w:rsid w:val="00B2231C"/>
    <w:rsid w:val="00B550DC"/>
    <w:rsid w:val="00B9536B"/>
    <w:rsid w:val="00BA513E"/>
    <w:rsid w:val="00C004C8"/>
    <w:rsid w:val="00C07E22"/>
    <w:rsid w:val="00C31EC4"/>
    <w:rsid w:val="00C45F9F"/>
    <w:rsid w:val="00C54D3C"/>
    <w:rsid w:val="00C63CA7"/>
    <w:rsid w:val="00CA1C84"/>
    <w:rsid w:val="00CA5872"/>
    <w:rsid w:val="00CD026E"/>
    <w:rsid w:val="00CD5F93"/>
    <w:rsid w:val="00CF516D"/>
    <w:rsid w:val="00D255B3"/>
    <w:rsid w:val="00D35C9D"/>
    <w:rsid w:val="00D36C4B"/>
    <w:rsid w:val="00D56CBE"/>
    <w:rsid w:val="00D62616"/>
    <w:rsid w:val="00D86322"/>
    <w:rsid w:val="00D903AA"/>
    <w:rsid w:val="00D95CEB"/>
    <w:rsid w:val="00DE57B3"/>
    <w:rsid w:val="00DE799E"/>
    <w:rsid w:val="00DF26D7"/>
    <w:rsid w:val="00DF2A13"/>
    <w:rsid w:val="00E222F0"/>
    <w:rsid w:val="00E3094E"/>
    <w:rsid w:val="00EA2195"/>
    <w:rsid w:val="00EB5B40"/>
    <w:rsid w:val="00EC6F04"/>
    <w:rsid w:val="00ED4637"/>
    <w:rsid w:val="00EE3A0F"/>
    <w:rsid w:val="00EF6FC5"/>
    <w:rsid w:val="00F1176A"/>
    <w:rsid w:val="00F1572A"/>
    <w:rsid w:val="00F167C5"/>
    <w:rsid w:val="00F34A31"/>
    <w:rsid w:val="00F548EA"/>
    <w:rsid w:val="00F91EF8"/>
    <w:rsid w:val="00FA3318"/>
    <w:rsid w:val="00FD1A19"/>
    <w:rsid w:val="00FF042A"/>
    <w:rsid w:val="0119132C"/>
    <w:rsid w:val="011E177C"/>
    <w:rsid w:val="01200B75"/>
    <w:rsid w:val="01277E00"/>
    <w:rsid w:val="014C0703"/>
    <w:rsid w:val="01525FB9"/>
    <w:rsid w:val="016D1F3E"/>
    <w:rsid w:val="017B6288"/>
    <w:rsid w:val="0188083A"/>
    <w:rsid w:val="01906BF9"/>
    <w:rsid w:val="01963A15"/>
    <w:rsid w:val="019963BA"/>
    <w:rsid w:val="01AA79E8"/>
    <w:rsid w:val="01EF3ADB"/>
    <w:rsid w:val="0205362F"/>
    <w:rsid w:val="02056920"/>
    <w:rsid w:val="0206191B"/>
    <w:rsid w:val="020668A1"/>
    <w:rsid w:val="02150B93"/>
    <w:rsid w:val="021C2AD1"/>
    <w:rsid w:val="021F6EC0"/>
    <w:rsid w:val="0236230E"/>
    <w:rsid w:val="023B77EE"/>
    <w:rsid w:val="02401620"/>
    <w:rsid w:val="024B725A"/>
    <w:rsid w:val="0269035A"/>
    <w:rsid w:val="027F06F4"/>
    <w:rsid w:val="028239CD"/>
    <w:rsid w:val="02836593"/>
    <w:rsid w:val="028E3F25"/>
    <w:rsid w:val="02970DDD"/>
    <w:rsid w:val="02B60A8B"/>
    <w:rsid w:val="02C4593E"/>
    <w:rsid w:val="02D70B8C"/>
    <w:rsid w:val="02E629F3"/>
    <w:rsid w:val="02E878C3"/>
    <w:rsid w:val="02EA252B"/>
    <w:rsid w:val="02EF31D1"/>
    <w:rsid w:val="02EF3DE1"/>
    <w:rsid w:val="02FB325F"/>
    <w:rsid w:val="02FC0821"/>
    <w:rsid w:val="03053899"/>
    <w:rsid w:val="031B3CAE"/>
    <w:rsid w:val="031F2987"/>
    <w:rsid w:val="03212E78"/>
    <w:rsid w:val="0362193B"/>
    <w:rsid w:val="03666D35"/>
    <w:rsid w:val="036F343E"/>
    <w:rsid w:val="037C5086"/>
    <w:rsid w:val="03B931D3"/>
    <w:rsid w:val="03BD6990"/>
    <w:rsid w:val="03C911B8"/>
    <w:rsid w:val="03DF2A3B"/>
    <w:rsid w:val="03E95394"/>
    <w:rsid w:val="040745CA"/>
    <w:rsid w:val="040B0C41"/>
    <w:rsid w:val="0420262D"/>
    <w:rsid w:val="04301882"/>
    <w:rsid w:val="0440652C"/>
    <w:rsid w:val="044440B3"/>
    <w:rsid w:val="0452497B"/>
    <w:rsid w:val="04676957"/>
    <w:rsid w:val="0472766A"/>
    <w:rsid w:val="049B267B"/>
    <w:rsid w:val="04AA57BE"/>
    <w:rsid w:val="04BA31F2"/>
    <w:rsid w:val="04C35DA9"/>
    <w:rsid w:val="04C64BF3"/>
    <w:rsid w:val="04CA7CE8"/>
    <w:rsid w:val="04D343AA"/>
    <w:rsid w:val="04D44E9F"/>
    <w:rsid w:val="04D8594A"/>
    <w:rsid w:val="04E03F2B"/>
    <w:rsid w:val="04E766DF"/>
    <w:rsid w:val="04F046FE"/>
    <w:rsid w:val="0500786D"/>
    <w:rsid w:val="050B6C2B"/>
    <w:rsid w:val="050F2BB5"/>
    <w:rsid w:val="052F26E7"/>
    <w:rsid w:val="055E3242"/>
    <w:rsid w:val="05626775"/>
    <w:rsid w:val="056E7ADA"/>
    <w:rsid w:val="05736BBF"/>
    <w:rsid w:val="05AA1275"/>
    <w:rsid w:val="05AB49DE"/>
    <w:rsid w:val="05BF3F3D"/>
    <w:rsid w:val="05D51CFA"/>
    <w:rsid w:val="05D77523"/>
    <w:rsid w:val="05DC24A5"/>
    <w:rsid w:val="05FF026E"/>
    <w:rsid w:val="06087B52"/>
    <w:rsid w:val="060C313B"/>
    <w:rsid w:val="06186CC0"/>
    <w:rsid w:val="062C5157"/>
    <w:rsid w:val="064D4FCB"/>
    <w:rsid w:val="065103B9"/>
    <w:rsid w:val="065676C1"/>
    <w:rsid w:val="06597FCF"/>
    <w:rsid w:val="065D5ADD"/>
    <w:rsid w:val="067270DD"/>
    <w:rsid w:val="068324A6"/>
    <w:rsid w:val="068E7ADE"/>
    <w:rsid w:val="06995100"/>
    <w:rsid w:val="069D12D2"/>
    <w:rsid w:val="06A566B7"/>
    <w:rsid w:val="06C564BB"/>
    <w:rsid w:val="06C860D7"/>
    <w:rsid w:val="06CA7415"/>
    <w:rsid w:val="06F50F77"/>
    <w:rsid w:val="070473E6"/>
    <w:rsid w:val="072100FB"/>
    <w:rsid w:val="072319A4"/>
    <w:rsid w:val="07233032"/>
    <w:rsid w:val="07361860"/>
    <w:rsid w:val="07427727"/>
    <w:rsid w:val="07516A5D"/>
    <w:rsid w:val="075744F3"/>
    <w:rsid w:val="076A4DAA"/>
    <w:rsid w:val="076D710B"/>
    <w:rsid w:val="076E3B7C"/>
    <w:rsid w:val="076F5301"/>
    <w:rsid w:val="077C7F29"/>
    <w:rsid w:val="0799163F"/>
    <w:rsid w:val="07B13FE6"/>
    <w:rsid w:val="07B64C5C"/>
    <w:rsid w:val="07BF7C7D"/>
    <w:rsid w:val="07DC548D"/>
    <w:rsid w:val="07DD2A8C"/>
    <w:rsid w:val="07F27525"/>
    <w:rsid w:val="080650CD"/>
    <w:rsid w:val="0806545C"/>
    <w:rsid w:val="080C0F8F"/>
    <w:rsid w:val="080E64C1"/>
    <w:rsid w:val="080E683C"/>
    <w:rsid w:val="083E0049"/>
    <w:rsid w:val="08503E71"/>
    <w:rsid w:val="08547C85"/>
    <w:rsid w:val="08580653"/>
    <w:rsid w:val="088405CC"/>
    <w:rsid w:val="088B7DA1"/>
    <w:rsid w:val="088F2102"/>
    <w:rsid w:val="08906D87"/>
    <w:rsid w:val="089F781B"/>
    <w:rsid w:val="08A0780B"/>
    <w:rsid w:val="08A13C29"/>
    <w:rsid w:val="08AD628F"/>
    <w:rsid w:val="08CE5E7F"/>
    <w:rsid w:val="08D502A9"/>
    <w:rsid w:val="08DD5BA8"/>
    <w:rsid w:val="08EE29EB"/>
    <w:rsid w:val="08F41D3E"/>
    <w:rsid w:val="09073C53"/>
    <w:rsid w:val="09083746"/>
    <w:rsid w:val="09141EE5"/>
    <w:rsid w:val="095737EA"/>
    <w:rsid w:val="0966257D"/>
    <w:rsid w:val="09694CBA"/>
    <w:rsid w:val="096D0D0A"/>
    <w:rsid w:val="098532ED"/>
    <w:rsid w:val="09AB1189"/>
    <w:rsid w:val="09B24B41"/>
    <w:rsid w:val="09C723E3"/>
    <w:rsid w:val="09DB099F"/>
    <w:rsid w:val="09E27A7A"/>
    <w:rsid w:val="09F04630"/>
    <w:rsid w:val="09FB6B77"/>
    <w:rsid w:val="0A0E2F31"/>
    <w:rsid w:val="0A153FE4"/>
    <w:rsid w:val="0A241484"/>
    <w:rsid w:val="0A281491"/>
    <w:rsid w:val="0A2D79AC"/>
    <w:rsid w:val="0A315CE3"/>
    <w:rsid w:val="0A387DBE"/>
    <w:rsid w:val="0A3E66F1"/>
    <w:rsid w:val="0A85692D"/>
    <w:rsid w:val="0AB61359"/>
    <w:rsid w:val="0AB614DF"/>
    <w:rsid w:val="0ACD2EDB"/>
    <w:rsid w:val="0AE70C75"/>
    <w:rsid w:val="0AF134B0"/>
    <w:rsid w:val="0AF62F39"/>
    <w:rsid w:val="0B226D2C"/>
    <w:rsid w:val="0B2F44BB"/>
    <w:rsid w:val="0B41414E"/>
    <w:rsid w:val="0B4D0DCA"/>
    <w:rsid w:val="0B5E55AD"/>
    <w:rsid w:val="0B633A5E"/>
    <w:rsid w:val="0B647998"/>
    <w:rsid w:val="0B654D10"/>
    <w:rsid w:val="0B6F78AF"/>
    <w:rsid w:val="0B711FA3"/>
    <w:rsid w:val="0B735633"/>
    <w:rsid w:val="0B752201"/>
    <w:rsid w:val="0B7A5255"/>
    <w:rsid w:val="0BA3348D"/>
    <w:rsid w:val="0BA75CD2"/>
    <w:rsid w:val="0BBA59D9"/>
    <w:rsid w:val="0BBC5C1B"/>
    <w:rsid w:val="0BE54507"/>
    <w:rsid w:val="0BF40C1F"/>
    <w:rsid w:val="0C132C1B"/>
    <w:rsid w:val="0C1777DF"/>
    <w:rsid w:val="0C1C05DC"/>
    <w:rsid w:val="0C4E625D"/>
    <w:rsid w:val="0C5333AC"/>
    <w:rsid w:val="0C7A44B7"/>
    <w:rsid w:val="0C7C56E5"/>
    <w:rsid w:val="0C7E4B3B"/>
    <w:rsid w:val="0C89592A"/>
    <w:rsid w:val="0CA61D94"/>
    <w:rsid w:val="0CCE34E7"/>
    <w:rsid w:val="0CCE65B5"/>
    <w:rsid w:val="0CD3127B"/>
    <w:rsid w:val="0CF12C0F"/>
    <w:rsid w:val="0CF13886"/>
    <w:rsid w:val="0D330573"/>
    <w:rsid w:val="0D41072F"/>
    <w:rsid w:val="0D7111A4"/>
    <w:rsid w:val="0D722C03"/>
    <w:rsid w:val="0D735CC1"/>
    <w:rsid w:val="0D7C538D"/>
    <w:rsid w:val="0D8469C2"/>
    <w:rsid w:val="0D8D5C5A"/>
    <w:rsid w:val="0DAA6878"/>
    <w:rsid w:val="0DAE1DAC"/>
    <w:rsid w:val="0DB30484"/>
    <w:rsid w:val="0DCD2FF9"/>
    <w:rsid w:val="0DE1197B"/>
    <w:rsid w:val="0DE57C9E"/>
    <w:rsid w:val="0DE92BF0"/>
    <w:rsid w:val="0DE92C0D"/>
    <w:rsid w:val="0DEB760F"/>
    <w:rsid w:val="0DF202D6"/>
    <w:rsid w:val="0E262522"/>
    <w:rsid w:val="0E327B63"/>
    <w:rsid w:val="0E3A45CA"/>
    <w:rsid w:val="0E4B39D1"/>
    <w:rsid w:val="0E512721"/>
    <w:rsid w:val="0E5B7DE7"/>
    <w:rsid w:val="0E672854"/>
    <w:rsid w:val="0E6F548F"/>
    <w:rsid w:val="0EA756BF"/>
    <w:rsid w:val="0EA7603A"/>
    <w:rsid w:val="0EC314AB"/>
    <w:rsid w:val="0EE27444"/>
    <w:rsid w:val="0EF17E9C"/>
    <w:rsid w:val="0EF62BDD"/>
    <w:rsid w:val="0F00703D"/>
    <w:rsid w:val="0F013C57"/>
    <w:rsid w:val="0F043CCA"/>
    <w:rsid w:val="0F250482"/>
    <w:rsid w:val="0F3D44EB"/>
    <w:rsid w:val="0F4C2863"/>
    <w:rsid w:val="0F4F3510"/>
    <w:rsid w:val="0F582728"/>
    <w:rsid w:val="0F6237FD"/>
    <w:rsid w:val="0F69001F"/>
    <w:rsid w:val="0FA515AF"/>
    <w:rsid w:val="0FBD7BC5"/>
    <w:rsid w:val="0FC129A3"/>
    <w:rsid w:val="0FD271C1"/>
    <w:rsid w:val="0FD8420B"/>
    <w:rsid w:val="0FD97ABC"/>
    <w:rsid w:val="100079AF"/>
    <w:rsid w:val="10096E91"/>
    <w:rsid w:val="10315A16"/>
    <w:rsid w:val="103D6B79"/>
    <w:rsid w:val="104308B6"/>
    <w:rsid w:val="10484E56"/>
    <w:rsid w:val="1067024D"/>
    <w:rsid w:val="106B16F0"/>
    <w:rsid w:val="107402AB"/>
    <w:rsid w:val="109649B5"/>
    <w:rsid w:val="10B36424"/>
    <w:rsid w:val="10C4777B"/>
    <w:rsid w:val="10D01A3C"/>
    <w:rsid w:val="10D63763"/>
    <w:rsid w:val="10DA5188"/>
    <w:rsid w:val="10F60449"/>
    <w:rsid w:val="110A58CF"/>
    <w:rsid w:val="110F1804"/>
    <w:rsid w:val="113D5E06"/>
    <w:rsid w:val="115B0E9A"/>
    <w:rsid w:val="1169029C"/>
    <w:rsid w:val="11703D81"/>
    <w:rsid w:val="1188608E"/>
    <w:rsid w:val="11983D12"/>
    <w:rsid w:val="11AA28B3"/>
    <w:rsid w:val="11AF0C93"/>
    <w:rsid w:val="11D044B0"/>
    <w:rsid w:val="120A15E4"/>
    <w:rsid w:val="120E38A2"/>
    <w:rsid w:val="121F67CA"/>
    <w:rsid w:val="12274BA7"/>
    <w:rsid w:val="12276C85"/>
    <w:rsid w:val="124C21EE"/>
    <w:rsid w:val="1265744D"/>
    <w:rsid w:val="126B0D8E"/>
    <w:rsid w:val="12747648"/>
    <w:rsid w:val="128C7F71"/>
    <w:rsid w:val="12A6599A"/>
    <w:rsid w:val="12BF5309"/>
    <w:rsid w:val="12C766A9"/>
    <w:rsid w:val="12D41D0C"/>
    <w:rsid w:val="12ED07B2"/>
    <w:rsid w:val="131B32FD"/>
    <w:rsid w:val="132A4E3C"/>
    <w:rsid w:val="13393B59"/>
    <w:rsid w:val="133A2949"/>
    <w:rsid w:val="136039D0"/>
    <w:rsid w:val="13655F72"/>
    <w:rsid w:val="13991D74"/>
    <w:rsid w:val="13A4695F"/>
    <w:rsid w:val="13BF0EB5"/>
    <w:rsid w:val="13D65A23"/>
    <w:rsid w:val="13F167F2"/>
    <w:rsid w:val="14043D25"/>
    <w:rsid w:val="1415281E"/>
    <w:rsid w:val="142153EA"/>
    <w:rsid w:val="143722F3"/>
    <w:rsid w:val="14426290"/>
    <w:rsid w:val="145639D3"/>
    <w:rsid w:val="146F1119"/>
    <w:rsid w:val="1470000C"/>
    <w:rsid w:val="148537F5"/>
    <w:rsid w:val="14854DD7"/>
    <w:rsid w:val="14B72F68"/>
    <w:rsid w:val="14C73CFB"/>
    <w:rsid w:val="14CE2959"/>
    <w:rsid w:val="14D849AB"/>
    <w:rsid w:val="14DB4D3B"/>
    <w:rsid w:val="14E56F03"/>
    <w:rsid w:val="14F84B93"/>
    <w:rsid w:val="15082214"/>
    <w:rsid w:val="150849DE"/>
    <w:rsid w:val="150F2E75"/>
    <w:rsid w:val="15177D0A"/>
    <w:rsid w:val="15181DE6"/>
    <w:rsid w:val="15327291"/>
    <w:rsid w:val="154D2920"/>
    <w:rsid w:val="156C228D"/>
    <w:rsid w:val="156F0FF7"/>
    <w:rsid w:val="15767BE2"/>
    <w:rsid w:val="1577436F"/>
    <w:rsid w:val="157B4131"/>
    <w:rsid w:val="15826770"/>
    <w:rsid w:val="15897D4C"/>
    <w:rsid w:val="1592067C"/>
    <w:rsid w:val="159D3660"/>
    <w:rsid w:val="15D3484B"/>
    <w:rsid w:val="15DF09E8"/>
    <w:rsid w:val="15E7272C"/>
    <w:rsid w:val="15F71051"/>
    <w:rsid w:val="15FB1D3A"/>
    <w:rsid w:val="161B3CE5"/>
    <w:rsid w:val="16622A13"/>
    <w:rsid w:val="16685987"/>
    <w:rsid w:val="16702ED3"/>
    <w:rsid w:val="167A70C4"/>
    <w:rsid w:val="16822060"/>
    <w:rsid w:val="16886620"/>
    <w:rsid w:val="16992E9B"/>
    <w:rsid w:val="16A46D9A"/>
    <w:rsid w:val="16AB3406"/>
    <w:rsid w:val="16C84BE5"/>
    <w:rsid w:val="16CE267F"/>
    <w:rsid w:val="16D60938"/>
    <w:rsid w:val="16FF7D4D"/>
    <w:rsid w:val="1700487A"/>
    <w:rsid w:val="171547C7"/>
    <w:rsid w:val="171833D2"/>
    <w:rsid w:val="171D3ACC"/>
    <w:rsid w:val="17341AD4"/>
    <w:rsid w:val="173E7341"/>
    <w:rsid w:val="174C34D5"/>
    <w:rsid w:val="1758242F"/>
    <w:rsid w:val="175C4063"/>
    <w:rsid w:val="175F2728"/>
    <w:rsid w:val="176015B1"/>
    <w:rsid w:val="17703827"/>
    <w:rsid w:val="178256BC"/>
    <w:rsid w:val="17930573"/>
    <w:rsid w:val="17975797"/>
    <w:rsid w:val="179838F0"/>
    <w:rsid w:val="17A5010A"/>
    <w:rsid w:val="17A73787"/>
    <w:rsid w:val="17BF689C"/>
    <w:rsid w:val="17C6405C"/>
    <w:rsid w:val="17CD0BD7"/>
    <w:rsid w:val="17DF20E1"/>
    <w:rsid w:val="17E90C45"/>
    <w:rsid w:val="18171380"/>
    <w:rsid w:val="181B0649"/>
    <w:rsid w:val="181E2727"/>
    <w:rsid w:val="18460C6E"/>
    <w:rsid w:val="18520245"/>
    <w:rsid w:val="1855359D"/>
    <w:rsid w:val="186667BF"/>
    <w:rsid w:val="18687853"/>
    <w:rsid w:val="18AB1CCF"/>
    <w:rsid w:val="18AF2DB6"/>
    <w:rsid w:val="18B244BD"/>
    <w:rsid w:val="18C60898"/>
    <w:rsid w:val="18D0309A"/>
    <w:rsid w:val="18E51C98"/>
    <w:rsid w:val="18F60CBF"/>
    <w:rsid w:val="190143CC"/>
    <w:rsid w:val="19174E2B"/>
    <w:rsid w:val="19194C49"/>
    <w:rsid w:val="191B5F2E"/>
    <w:rsid w:val="19225070"/>
    <w:rsid w:val="192450FC"/>
    <w:rsid w:val="19340A3A"/>
    <w:rsid w:val="1938059A"/>
    <w:rsid w:val="194A42D7"/>
    <w:rsid w:val="19556488"/>
    <w:rsid w:val="195C0A21"/>
    <w:rsid w:val="196613D3"/>
    <w:rsid w:val="198837D6"/>
    <w:rsid w:val="19920140"/>
    <w:rsid w:val="19B76D68"/>
    <w:rsid w:val="19C04323"/>
    <w:rsid w:val="19F615CE"/>
    <w:rsid w:val="1A065122"/>
    <w:rsid w:val="1A0667A5"/>
    <w:rsid w:val="1A1043BD"/>
    <w:rsid w:val="1A1E48CD"/>
    <w:rsid w:val="1A2B74C5"/>
    <w:rsid w:val="1A44620A"/>
    <w:rsid w:val="1A5F16E2"/>
    <w:rsid w:val="1A704126"/>
    <w:rsid w:val="1A750F21"/>
    <w:rsid w:val="1A8413A3"/>
    <w:rsid w:val="1AAC34B0"/>
    <w:rsid w:val="1ABE69DF"/>
    <w:rsid w:val="1AC14912"/>
    <w:rsid w:val="1AE82BA8"/>
    <w:rsid w:val="1AEF00D8"/>
    <w:rsid w:val="1AF04CF3"/>
    <w:rsid w:val="1AFD42E3"/>
    <w:rsid w:val="1B185A14"/>
    <w:rsid w:val="1B243DF8"/>
    <w:rsid w:val="1B250C23"/>
    <w:rsid w:val="1B322554"/>
    <w:rsid w:val="1B385EAE"/>
    <w:rsid w:val="1B3E6D40"/>
    <w:rsid w:val="1B616C1F"/>
    <w:rsid w:val="1B6B6166"/>
    <w:rsid w:val="1B770E5E"/>
    <w:rsid w:val="1BB2680C"/>
    <w:rsid w:val="1BB664C1"/>
    <w:rsid w:val="1BC42F1B"/>
    <w:rsid w:val="1BCB5D57"/>
    <w:rsid w:val="1BD228CB"/>
    <w:rsid w:val="1BD42371"/>
    <w:rsid w:val="1BF17072"/>
    <w:rsid w:val="1C35758C"/>
    <w:rsid w:val="1C3A6A6E"/>
    <w:rsid w:val="1C49175A"/>
    <w:rsid w:val="1C6C0CF6"/>
    <w:rsid w:val="1C6C3F2B"/>
    <w:rsid w:val="1C810969"/>
    <w:rsid w:val="1C8122B2"/>
    <w:rsid w:val="1C970F9F"/>
    <w:rsid w:val="1CB11484"/>
    <w:rsid w:val="1CB87C7F"/>
    <w:rsid w:val="1CC22692"/>
    <w:rsid w:val="1CE9042F"/>
    <w:rsid w:val="1D214AEF"/>
    <w:rsid w:val="1D343B34"/>
    <w:rsid w:val="1D4F3FBD"/>
    <w:rsid w:val="1D6F263F"/>
    <w:rsid w:val="1D8B2E94"/>
    <w:rsid w:val="1D90610B"/>
    <w:rsid w:val="1DA0128A"/>
    <w:rsid w:val="1DAE1895"/>
    <w:rsid w:val="1DB27363"/>
    <w:rsid w:val="1DB50D87"/>
    <w:rsid w:val="1DDA176D"/>
    <w:rsid w:val="1DDB6AEF"/>
    <w:rsid w:val="1DF2477C"/>
    <w:rsid w:val="1E167E91"/>
    <w:rsid w:val="1E262505"/>
    <w:rsid w:val="1E2D55B7"/>
    <w:rsid w:val="1E300D6B"/>
    <w:rsid w:val="1E3247BD"/>
    <w:rsid w:val="1E327C78"/>
    <w:rsid w:val="1E3A40AE"/>
    <w:rsid w:val="1E4679B0"/>
    <w:rsid w:val="1E4F4948"/>
    <w:rsid w:val="1E5B368C"/>
    <w:rsid w:val="1E807DB1"/>
    <w:rsid w:val="1E820592"/>
    <w:rsid w:val="1E9D4889"/>
    <w:rsid w:val="1ECE6779"/>
    <w:rsid w:val="1ED43EE1"/>
    <w:rsid w:val="1EED4A66"/>
    <w:rsid w:val="1EFD4608"/>
    <w:rsid w:val="1F002828"/>
    <w:rsid w:val="1F083B2B"/>
    <w:rsid w:val="1F09711F"/>
    <w:rsid w:val="1F26229E"/>
    <w:rsid w:val="1F4B7A14"/>
    <w:rsid w:val="1F4C25E8"/>
    <w:rsid w:val="1F760886"/>
    <w:rsid w:val="1F923106"/>
    <w:rsid w:val="1FA869CB"/>
    <w:rsid w:val="1FAD6F7E"/>
    <w:rsid w:val="1FC06216"/>
    <w:rsid w:val="1FCE35D6"/>
    <w:rsid w:val="1FD80EA0"/>
    <w:rsid w:val="1FF924B3"/>
    <w:rsid w:val="2002265A"/>
    <w:rsid w:val="20037184"/>
    <w:rsid w:val="20090886"/>
    <w:rsid w:val="201211C6"/>
    <w:rsid w:val="2033553D"/>
    <w:rsid w:val="203C0398"/>
    <w:rsid w:val="20415EB3"/>
    <w:rsid w:val="2076324F"/>
    <w:rsid w:val="20796338"/>
    <w:rsid w:val="2088409C"/>
    <w:rsid w:val="208F3FB2"/>
    <w:rsid w:val="20D14E97"/>
    <w:rsid w:val="20D43C06"/>
    <w:rsid w:val="20F81657"/>
    <w:rsid w:val="21040BF5"/>
    <w:rsid w:val="21242585"/>
    <w:rsid w:val="216358D6"/>
    <w:rsid w:val="216B6F75"/>
    <w:rsid w:val="21BC2408"/>
    <w:rsid w:val="21C5070C"/>
    <w:rsid w:val="21D26F8B"/>
    <w:rsid w:val="21E054D0"/>
    <w:rsid w:val="21E6333F"/>
    <w:rsid w:val="21F5191E"/>
    <w:rsid w:val="221B46C6"/>
    <w:rsid w:val="22244F5E"/>
    <w:rsid w:val="22311F0B"/>
    <w:rsid w:val="22333284"/>
    <w:rsid w:val="226D2D61"/>
    <w:rsid w:val="226D3117"/>
    <w:rsid w:val="226F0465"/>
    <w:rsid w:val="228125FF"/>
    <w:rsid w:val="229C08FC"/>
    <w:rsid w:val="22A51C7D"/>
    <w:rsid w:val="22B25A28"/>
    <w:rsid w:val="22B45527"/>
    <w:rsid w:val="230448B3"/>
    <w:rsid w:val="230A25FF"/>
    <w:rsid w:val="230C59BE"/>
    <w:rsid w:val="231134BB"/>
    <w:rsid w:val="23150F31"/>
    <w:rsid w:val="23180AF5"/>
    <w:rsid w:val="232214FA"/>
    <w:rsid w:val="2324426F"/>
    <w:rsid w:val="233B7BE8"/>
    <w:rsid w:val="234537C3"/>
    <w:rsid w:val="23474B94"/>
    <w:rsid w:val="234D2389"/>
    <w:rsid w:val="2355340F"/>
    <w:rsid w:val="235E45DC"/>
    <w:rsid w:val="23641136"/>
    <w:rsid w:val="23651C88"/>
    <w:rsid w:val="23722FC4"/>
    <w:rsid w:val="23A6788A"/>
    <w:rsid w:val="23C240D1"/>
    <w:rsid w:val="23D250FC"/>
    <w:rsid w:val="23FD79D0"/>
    <w:rsid w:val="240F5A37"/>
    <w:rsid w:val="24114AD0"/>
    <w:rsid w:val="24303450"/>
    <w:rsid w:val="244C5F91"/>
    <w:rsid w:val="245A4565"/>
    <w:rsid w:val="245F7A15"/>
    <w:rsid w:val="24635800"/>
    <w:rsid w:val="246D313B"/>
    <w:rsid w:val="24792A5D"/>
    <w:rsid w:val="247F4ABE"/>
    <w:rsid w:val="24834912"/>
    <w:rsid w:val="24B04953"/>
    <w:rsid w:val="24C92798"/>
    <w:rsid w:val="24DC7AF2"/>
    <w:rsid w:val="24DE1B74"/>
    <w:rsid w:val="24DF06A6"/>
    <w:rsid w:val="25036789"/>
    <w:rsid w:val="254413EC"/>
    <w:rsid w:val="25523ABF"/>
    <w:rsid w:val="25542362"/>
    <w:rsid w:val="255C0354"/>
    <w:rsid w:val="255E4D8B"/>
    <w:rsid w:val="25657E53"/>
    <w:rsid w:val="257F113E"/>
    <w:rsid w:val="25914A7C"/>
    <w:rsid w:val="25A32C9D"/>
    <w:rsid w:val="25A70E86"/>
    <w:rsid w:val="25CC7D81"/>
    <w:rsid w:val="25DA2304"/>
    <w:rsid w:val="26015582"/>
    <w:rsid w:val="262430BF"/>
    <w:rsid w:val="26561571"/>
    <w:rsid w:val="26637B40"/>
    <w:rsid w:val="266F29CA"/>
    <w:rsid w:val="268D75A4"/>
    <w:rsid w:val="26930B32"/>
    <w:rsid w:val="26A803C7"/>
    <w:rsid w:val="26B344AB"/>
    <w:rsid w:val="26C428BB"/>
    <w:rsid w:val="26D57ED3"/>
    <w:rsid w:val="26D843D9"/>
    <w:rsid w:val="26E34B03"/>
    <w:rsid w:val="26F81245"/>
    <w:rsid w:val="27247AEC"/>
    <w:rsid w:val="2726212E"/>
    <w:rsid w:val="274B2789"/>
    <w:rsid w:val="275F36B0"/>
    <w:rsid w:val="2762450E"/>
    <w:rsid w:val="276A3A86"/>
    <w:rsid w:val="27796D09"/>
    <w:rsid w:val="27CC6CF7"/>
    <w:rsid w:val="27DE659B"/>
    <w:rsid w:val="27E02F38"/>
    <w:rsid w:val="27FA7594"/>
    <w:rsid w:val="27FD3633"/>
    <w:rsid w:val="281C24AC"/>
    <w:rsid w:val="282B7AC1"/>
    <w:rsid w:val="284212C3"/>
    <w:rsid w:val="28572730"/>
    <w:rsid w:val="28611730"/>
    <w:rsid w:val="288D4D42"/>
    <w:rsid w:val="28AF07A1"/>
    <w:rsid w:val="28C179E4"/>
    <w:rsid w:val="28E473F0"/>
    <w:rsid w:val="28EA20C8"/>
    <w:rsid w:val="28F305FD"/>
    <w:rsid w:val="28F42F4F"/>
    <w:rsid w:val="290D19CC"/>
    <w:rsid w:val="29190A49"/>
    <w:rsid w:val="293E0359"/>
    <w:rsid w:val="295B4376"/>
    <w:rsid w:val="296B45C7"/>
    <w:rsid w:val="29710B2F"/>
    <w:rsid w:val="297B5452"/>
    <w:rsid w:val="297C73AD"/>
    <w:rsid w:val="297D6303"/>
    <w:rsid w:val="29842752"/>
    <w:rsid w:val="29947C88"/>
    <w:rsid w:val="29B0189F"/>
    <w:rsid w:val="29B563D5"/>
    <w:rsid w:val="29BE014A"/>
    <w:rsid w:val="29F45B53"/>
    <w:rsid w:val="2A2534BC"/>
    <w:rsid w:val="2A3B0B3F"/>
    <w:rsid w:val="2A3D70CB"/>
    <w:rsid w:val="2A4561BD"/>
    <w:rsid w:val="2A4956F0"/>
    <w:rsid w:val="2A5B46A5"/>
    <w:rsid w:val="2A674B2F"/>
    <w:rsid w:val="2A72616B"/>
    <w:rsid w:val="2A7E22A0"/>
    <w:rsid w:val="2A8069FB"/>
    <w:rsid w:val="2AD35EB2"/>
    <w:rsid w:val="2ADC092E"/>
    <w:rsid w:val="2B1F00AC"/>
    <w:rsid w:val="2B38078E"/>
    <w:rsid w:val="2B427703"/>
    <w:rsid w:val="2B483E5A"/>
    <w:rsid w:val="2B4C46A1"/>
    <w:rsid w:val="2B7746D3"/>
    <w:rsid w:val="2B7D0957"/>
    <w:rsid w:val="2B8E6983"/>
    <w:rsid w:val="2BBC2842"/>
    <w:rsid w:val="2BC90437"/>
    <w:rsid w:val="2BCE4106"/>
    <w:rsid w:val="2BD95404"/>
    <w:rsid w:val="2BDE4B08"/>
    <w:rsid w:val="2BE41CCD"/>
    <w:rsid w:val="2BF846ED"/>
    <w:rsid w:val="2BFF66FF"/>
    <w:rsid w:val="2C264478"/>
    <w:rsid w:val="2C3B4831"/>
    <w:rsid w:val="2C454712"/>
    <w:rsid w:val="2C790C0F"/>
    <w:rsid w:val="2C7A52D9"/>
    <w:rsid w:val="2C8E54E3"/>
    <w:rsid w:val="2C9A1CA8"/>
    <w:rsid w:val="2CB10108"/>
    <w:rsid w:val="2CC342FE"/>
    <w:rsid w:val="2CC9456C"/>
    <w:rsid w:val="2CCA3186"/>
    <w:rsid w:val="2CDC5E43"/>
    <w:rsid w:val="2CED6EF0"/>
    <w:rsid w:val="2CF70DE7"/>
    <w:rsid w:val="2CFA2924"/>
    <w:rsid w:val="2D031D5B"/>
    <w:rsid w:val="2D0638B0"/>
    <w:rsid w:val="2D097A7D"/>
    <w:rsid w:val="2D17769C"/>
    <w:rsid w:val="2D3C237E"/>
    <w:rsid w:val="2D40078D"/>
    <w:rsid w:val="2D486D5A"/>
    <w:rsid w:val="2D4E7934"/>
    <w:rsid w:val="2D4F0BAE"/>
    <w:rsid w:val="2D50454A"/>
    <w:rsid w:val="2D7405AD"/>
    <w:rsid w:val="2D7E14CA"/>
    <w:rsid w:val="2D9D4938"/>
    <w:rsid w:val="2DBD3B8B"/>
    <w:rsid w:val="2DBE2D8C"/>
    <w:rsid w:val="2DC610C0"/>
    <w:rsid w:val="2DD61CA4"/>
    <w:rsid w:val="2DDF387E"/>
    <w:rsid w:val="2DE720AE"/>
    <w:rsid w:val="2DEB0C1C"/>
    <w:rsid w:val="2E0F07D1"/>
    <w:rsid w:val="2E140DE9"/>
    <w:rsid w:val="2E247B8E"/>
    <w:rsid w:val="2E2B4B78"/>
    <w:rsid w:val="2E2D743B"/>
    <w:rsid w:val="2E3870AF"/>
    <w:rsid w:val="2E3E3EDE"/>
    <w:rsid w:val="2E44207A"/>
    <w:rsid w:val="2EAB443F"/>
    <w:rsid w:val="2EAD1438"/>
    <w:rsid w:val="2EB57199"/>
    <w:rsid w:val="2EB705E7"/>
    <w:rsid w:val="2EB95917"/>
    <w:rsid w:val="2ECB23B4"/>
    <w:rsid w:val="2ED11DCF"/>
    <w:rsid w:val="2EDC2BE1"/>
    <w:rsid w:val="2EE87CE9"/>
    <w:rsid w:val="2EEF57AF"/>
    <w:rsid w:val="2EFA49F8"/>
    <w:rsid w:val="2EFD59D4"/>
    <w:rsid w:val="2F080A98"/>
    <w:rsid w:val="2F144A7B"/>
    <w:rsid w:val="2F1E0F53"/>
    <w:rsid w:val="2F1F2E57"/>
    <w:rsid w:val="2F5141D5"/>
    <w:rsid w:val="2F5B50F7"/>
    <w:rsid w:val="2F7A3930"/>
    <w:rsid w:val="2F815916"/>
    <w:rsid w:val="2F8D7929"/>
    <w:rsid w:val="2FA9355F"/>
    <w:rsid w:val="2FAC53E4"/>
    <w:rsid w:val="2FDE58A6"/>
    <w:rsid w:val="2FDF505E"/>
    <w:rsid w:val="2FE60176"/>
    <w:rsid w:val="2FEF2B0A"/>
    <w:rsid w:val="30041D43"/>
    <w:rsid w:val="30112462"/>
    <w:rsid w:val="301167E9"/>
    <w:rsid w:val="301A5865"/>
    <w:rsid w:val="3023129A"/>
    <w:rsid w:val="302A2715"/>
    <w:rsid w:val="30317C23"/>
    <w:rsid w:val="303D313B"/>
    <w:rsid w:val="304C36C0"/>
    <w:rsid w:val="304D0A41"/>
    <w:rsid w:val="30645D71"/>
    <w:rsid w:val="30723E8D"/>
    <w:rsid w:val="307372A9"/>
    <w:rsid w:val="307610EE"/>
    <w:rsid w:val="307C02F0"/>
    <w:rsid w:val="309F15CB"/>
    <w:rsid w:val="30A005AE"/>
    <w:rsid w:val="30A85DCB"/>
    <w:rsid w:val="30D9401A"/>
    <w:rsid w:val="30FD5D1A"/>
    <w:rsid w:val="3105593D"/>
    <w:rsid w:val="310D31AE"/>
    <w:rsid w:val="3135416E"/>
    <w:rsid w:val="31440269"/>
    <w:rsid w:val="314D1895"/>
    <w:rsid w:val="31654E09"/>
    <w:rsid w:val="316553C8"/>
    <w:rsid w:val="31857F5E"/>
    <w:rsid w:val="318C219B"/>
    <w:rsid w:val="31AB273C"/>
    <w:rsid w:val="31AB6A20"/>
    <w:rsid w:val="31C366BC"/>
    <w:rsid w:val="31C407CF"/>
    <w:rsid w:val="31D57C49"/>
    <w:rsid w:val="31D63D9F"/>
    <w:rsid w:val="31FC12EF"/>
    <w:rsid w:val="32392ADC"/>
    <w:rsid w:val="32467C44"/>
    <w:rsid w:val="324F6D5A"/>
    <w:rsid w:val="32687194"/>
    <w:rsid w:val="32717DCD"/>
    <w:rsid w:val="32795879"/>
    <w:rsid w:val="327B23C4"/>
    <w:rsid w:val="32907829"/>
    <w:rsid w:val="32936401"/>
    <w:rsid w:val="32AF2528"/>
    <w:rsid w:val="32B77B22"/>
    <w:rsid w:val="32E621AD"/>
    <w:rsid w:val="32EA7BF5"/>
    <w:rsid w:val="32ED1EB5"/>
    <w:rsid w:val="32F45ED1"/>
    <w:rsid w:val="32F9715E"/>
    <w:rsid w:val="330C468C"/>
    <w:rsid w:val="330E5DD5"/>
    <w:rsid w:val="331730FC"/>
    <w:rsid w:val="33195182"/>
    <w:rsid w:val="331F1160"/>
    <w:rsid w:val="332909D7"/>
    <w:rsid w:val="33B177E8"/>
    <w:rsid w:val="33BC5AED"/>
    <w:rsid w:val="33C811DA"/>
    <w:rsid w:val="33D5751F"/>
    <w:rsid w:val="33F24171"/>
    <w:rsid w:val="33FE502A"/>
    <w:rsid w:val="340F73E2"/>
    <w:rsid w:val="342270CE"/>
    <w:rsid w:val="342F484A"/>
    <w:rsid w:val="34651402"/>
    <w:rsid w:val="346856F0"/>
    <w:rsid w:val="347F2C5D"/>
    <w:rsid w:val="34884D7D"/>
    <w:rsid w:val="34886DE4"/>
    <w:rsid w:val="34C00965"/>
    <w:rsid w:val="34C77EAB"/>
    <w:rsid w:val="34E02457"/>
    <w:rsid w:val="34E04125"/>
    <w:rsid w:val="34E264F3"/>
    <w:rsid w:val="34EB0885"/>
    <w:rsid w:val="34EB7DD4"/>
    <w:rsid w:val="35045B3E"/>
    <w:rsid w:val="35282796"/>
    <w:rsid w:val="35287ECE"/>
    <w:rsid w:val="3557602E"/>
    <w:rsid w:val="35656FAE"/>
    <w:rsid w:val="35671EB4"/>
    <w:rsid w:val="35732E8E"/>
    <w:rsid w:val="35745B67"/>
    <w:rsid w:val="357C7036"/>
    <w:rsid w:val="359606D3"/>
    <w:rsid w:val="35973F53"/>
    <w:rsid w:val="35994AD6"/>
    <w:rsid w:val="359A49CC"/>
    <w:rsid w:val="35A73DB0"/>
    <w:rsid w:val="35AD1228"/>
    <w:rsid w:val="35B16D43"/>
    <w:rsid w:val="35B32327"/>
    <w:rsid w:val="35B5366C"/>
    <w:rsid w:val="35D50E82"/>
    <w:rsid w:val="35D91930"/>
    <w:rsid w:val="35DF3456"/>
    <w:rsid w:val="35E319D7"/>
    <w:rsid w:val="35FB3B5B"/>
    <w:rsid w:val="36015D69"/>
    <w:rsid w:val="36155D39"/>
    <w:rsid w:val="363D0646"/>
    <w:rsid w:val="36611382"/>
    <w:rsid w:val="36627A8D"/>
    <w:rsid w:val="366764A5"/>
    <w:rsid w:val="3683519D"/>
    <w:rsid w:val="36841DA7"/>
    <w:rsid w:val="36A17B5A"/>
    <w:rsid w:val="36B1382E"/>
    <w:rsid w:val="36DF1C50"/>
    <w:rsid w:val="36EC6731"/>
    <w:rsid w:val="36F17510"/>
    <w:rsid w:val="370C433B"/>
    <w:rsid w:val="371E09DA"/>
    <w:rsid w:val="37505B45"/>
    <w:rsid w:val="377732A6"/>
    <w:rsid w:val="377F4FB5"/>
    <w:rsid w:val="378317E1"/>
    <w:rsid w:val="37907F2F"/>
    <w:rsid w:val="3794619D"/>
    <w:rsid w:val="379542BF"/>
    <w:rsid w:val="3796358A"/>
    <w:rsid w:val="37A20A82"/>
    <w:rsid w:val="37A21C49"/>
    <w:rsid w:val="37AA0929"/>
    <w:rsid w:val="37AA383C"/>
    <w:rsid w:val="37CA575A"/>
    <w:rsid w:val="37CF19C3"/>
    <w:rsid w:val="37D06B49"/>
    <w:rsid w:val="37D47762"/>
    <w:rsid w:val="37F505F3"/>
    <w:rsid w:val="38186D8B"/>
    <w:rsid w:val="38300981"/>
    <w:rsid w:val="383F323D"/>
    <w:rsid w:val="384903E6"/>
    <w:rsid w:val="3859469E"/>
    <w:rsid w:val="3875404F"/>
    <w:rsid w:val="38A72206"/>
    <w:rsid w:val="38A83EAF"/>
    <w:rsid w:val="38B83E0A"/>
    <w:rsid w:val="38C5723C"/>
    <w:rsid w:val="38CE1573"/>
    <w:rsid w:val="38D552EA"/>
    <w:rsid w:val="38D73B7A"/>
    <w:rsid w:val="38E508A1"/>
    <w:rsid w:val="38E728C7"/>
    <w:rsid w:val="39020B99"/>
    <w:rsid w:val="390C5B42"/>
    <w:rsid w:val="39297079"/>
    <w:rsid w:val="39371041"/>
    <w:rsid w:val="39427769"/>
    <w:rsid w:val="3965470B"/>
    <w:rsid w:val="397B5F38"/>
    <w:rsid w:val="39853268"/>
    <w:rsid w:val="3987777D"/>
    <w:rsid w:val="39A3041C"/>
    <w:rsid w:val="39A65CAE"/>
    <w:rsid w:val="39C96EB0"/>
    <w:rsid w:val="39CC1C9C"/>
    <w:rsid w:val="39D352D7"/>
    <w:rsid w:val="39E71E31"/>
    <w:rsid w:val="39F56A62"/>
    <w:rsid w:val="39F8419A"/>
    <w:rsid w:val="3A0C50A6"/>
    <w:rsid w:val="3A117B1A"/>
    <w:rsid w:val="3A246FFC"/>
    <w:rsid w:val="3A4A0979"/>
    <w:rsid w:val="3A863600"/>
    <w:rsid w:val="3A8E3399"/>
    <w:rsid w:val="3A9D454C"/>
    <w:rsid w:val="3AB8057A"/>
    <w:rsid w:val="3ADC7E9D"/>
    <w:rsid w:val="3AF84BF8"/>
    <w:rsid w:val="3B046EB2"/>
    <w:rsid w:val="3B0A5A7F"/>
    <w:rsid w:val="3B256BFA"/>
    <w:rsid w:val="3B2E136E"/>
    <w:rsid w:val="3B421387"/>
    <w:rsid w:val="3B4277E0"/>
    <w:rsid w:val="3B463B2B"/>
    <w:rsid w:val="3B48739B"/>
    <w:rsid w:val="3B54369C"/>
    <w:rsid w:val="3B623DD8"/>
    <w:rsid w:val="3B651D96"/>
    <w:rsid w:val="3B702933"/>
    <w:rsid w:val="3B7C4876"/>
    <w:rsid w:val="3BA477F6"/>
    <w:rsid w:val="3BB53C34"/>
    <w:rsid w:val="3BBF2B53"/>
    <w:rsid w:val="3BC17240"/>
    <w:rsid w:val="3BD60ADB"/>
    <w:rsid w:val="3BD82B58"/>
    <w:rsid w:val="3BDC54CF"/>
    <w:rsid w:val="3BF410F7"/>
    <w:rsid w:val="3C0C4898"/>
    <w:rsid w:val="3C157929"/>
    <w:rsid w:val="3C330A07"/>
    <w:rsid w:val="3C393276"/>
    <w:rsid w:val="3C461F50"/>
    <w:rsid w:val="3C4C503D"/>
    <w:rsid w:val="3C536D86"/>
    <w:rsid w:val="3C6E6608"/>
    <w:rsid w:val="3C777BD2"/>
    <w:rsid w:val="3C801CCD"/>
    <w:rsid w:val="3C83093F"/>
    <w:rsid w:val="3C87324C"/>
    <w:rsid w:val="3C922DDD"/>
    <w:rsid w:val="3CA77287"/>
    <w:rsid w:val="3CB71617"/>
    <w:rsid w:val="3CBB55B3"/>
    <w:rsid w:val="3CD01041"/>
    <w:rsid w:val="3CEE1D51"/>
    <w:rsid w:val="3CF14D75"/>
    <w:rsid w:val="3D164942"/>
    <w:rsid w:val="3D2E0D28"/>
    <w:rsid w:val="3D31790F"/>
    <w:rsid w:val="3D350147"/>
    <w:rsid w:val="3D362C14"/>
    <w:rsid w:val="3D3E228B"/>
    <w:rsid w:val="3D551C7E"/>
    <w:rsid w:val="3D625C76"/>
    <w:rsid w:val="3D761451"/>
    <w:rsid w:val="3D93444B"/>
    <w:rsid w:val="3DC672E4"/>
    <w:rsid w:val="3DCB4C12"/>
    <w:rsid w:val="3DCB60AF"/>
    <w:rsid w:val="3DD30F91"/>
    <w:rsid w:val="3DE50E58"/>
    <w:rsid w:val="3E303353"/>
    <w:rsid w:val="3E38398B"/>
    <w:rsid w:val="3E647336"/>
    <w:rsid w:val="3E69651B"/>
    <w:rsid w:val="3E705D54"/>
    <w:rsid w:val="3E8B005B"/>
    <w:rsid w:val="3EA77D2D"/>
    <w:rsid w:val="3EB44677"/>
    <w:rsid w:val="3EBD4E0D"/>
    <w:rsid w:val="3EF075AE"/>
    <w:rsid w:val="3EFA0CDF"/>
    <w:rsid w:val="3F056F91"/>
    <w:rsid w:val="3F3B0756"/>
    <w:rsid w:val="3F4132D8"/>
    <w:rsid w:val="3F452150"/>
    <w:rsid w:val="3F6779D8"/>
    <w:rsid w:val="3F7F1379"/>
    <w:rsid w:val="3F9E1F12"/>
    <w:rsid w:val="3FA21CBC"/>
    <w:rsid w:val="3FB12484"/>
    <w:rsid w:val="3FCB7D60"/>
    <w:rsid w:val="3FED1CAE"/>
    <w:rsid w:val="3FFC1F08"/>
    <w:rsid w:val="401A149E"/>
    <w:rsid w:val="401D5248"/>
    <w:rsid w:val="403A2C54"/>
    <w:rsid w:val="40564854"/>
    <w:rsid w:val="405D1799"/>
    <w:rsid w:val="406A2ED8"/>
    <w:rsid w:val="40722580"/>
    <w:rsid w:val="40743490"/>
    <w:rsid w:val="407E06E5"/>
    <w:rsid w:val="408B5145"/>
    <w:rsid w:val="408E5363"/>
    <w:rsid w:val="40A7280F"/>
    <w:rsid w:val="40A86F45"/>
    <w:rsid w:val="40D9572C"/>
    <w:rsid w:val="40DE04A3"/>
    <w:rsid w:val="40DE71B3"/>
    <w:rsid w:val="40E92B9C"/>
    <w:rsid w:val="411A0B4C"/>
    <w:rsid w:val="41275749"/>
    <w:rsid w:val="412B7F06"/>
    <w:rsid w:val="41612156"/>
    <w:rsid w:val="417143BE"/>
    <w:rsid w:val="417955BF"/>
    <w:rsid w:val="41836FCA"/>
    <w:rsid w:val="418A79F8"/>
    <w:rsid w:val="418F7ECF"/>
    <w:rsid w:val="41C84C2F"/>
    <w:rsid w:val="41CE504C"/>
    <w:rsid w:val="41D80458"/>
    <w:rsid w:val="41FC7421"/>
    <w:rsid w:val="421B6FE6"/>
    <w:rsid w:val="426E4A71"/>
    <w:rsid w:val="427F5950"/>
    <w:rsid w:val="42B579EE"/>
    <w:rsid w:val="42BE0D46"/>
    <w:rsid w:val="42C737B8"/>
    <w:rsid w:val="42D272D7"/>
    <w:rsid w:val="42E158D5"/>
    <w:rsid w:val="42E94670"/>
    <w:rsid w:val="43096C6F"/>
    <w:rsid w:val="43157A51"/>
    <w:rsid w:val="432952B5"/>
    <w:rsid w:val="4341555E"/>
    <w:rsid w:val="434E7996"/>
    <w:rsid w:val="435029FD"/>
    <w:rsid w:val="43523DA3"/>
    <w:rsid w:val="4358066B"/>
    <w:rsid w:val="4359394B"/>
    <w:rsid w:val="435C2876"/>
    <w:rsid w:val="43752F27"/>
    <w:rsid w:val="437B53F3"/>
    <w:rsid w:val="43831C69"/>
    <w:rsid w:val="43973F40"/>
    <w:rsid w:val="439D0499"/>
    <w:rsid w:val="439F44F2"/>
    <w:rsid w:val="43A01A8D"/>
    <w:rsid w:val="43A26615"/>
    <w:rsid w:val="43A30E8D"/>
    <w:rsid w:val="43B20957"/>
    <w:rsid w:val="43B35E28"/>
    <w:rsid w:val="43CA322E"/>
    <w:rsid w:val="43CB4CA5"/>
    <w:rsid w:val="43ED6D16"/>
    <w:rsid w:val="440134C8"/>
    <w:rsid w:val="44042DAC"/>
    <w:rsid w:val="4405204B"/>
    <w:rsid w:val="440C29FA"/>
    <w:rsid w:val="44223C28"/>
    <w:rsid w:val="4445262F"/>
    <w:rsid w:val="44496558"/>
    <w:rsid w:val="444D6421"/>
    <w:rsid w:val="4464201E"/>
    <w:rsid w:val="446A7B20"/>
    <w:rsid w:val="446C272E"/>
    <w:rsid w:val="44870DA4"/>
    <w:rsid w:val="448945B4"/>
    <w:rsid w:val="448D080E"/>
    <w:rsid w:val="4495500A"/>
    <w:rsid w:val="44A036A8"/>
    <w:rsid w:val="44A56832"/>
    <w:rsid w:val="44AD4477"/>
    <w:rsid w:val="44B75081"/>
    <w:rsid w:val="44C3293F"/>
    <w:rsid w:val="45074874"/>
    <w:rsid w:val="45352D0B"/>
    <w:rsid w:val="45401A63"/>
    <w:rsid w:val="45666FFF"/>
    <w:rsid w:val="4576636B"/>
    <w:rsid w:val="458379FD"/>
    <w:rsid w:val="458951CE"/>
    <w:rsid w:val="458B0154"/>
    <w:rsid w:val="458B2DE0"/>
    <w:rsid w:val="458D42E5"/>
    <w:rsid w:val="45BD09AC"/>
    <w:rsid w:val="45BF06E2"/>
    <w:rsid w:val="45CB38B0"/>
    <w:rsid w:val="45D43595"/>
    <w:rsid w:val="45DF0787"/>
    <w:rsid w:val="45FC604E"/>
    <w:rsid w:val="45FF3CEA"/>
    <w:rsid w:val="4607111E"/>
    <w:rsid w:val="460D4A04"/>
    <w:rsid w:val="46111726"/>
    <w:rsid w:val="46190A9E"/>
    <w:rsid w:val="4632743B"/>
    <w:rsid w:val="466D2EE0"/>
    <w:rsid w:val="467C38ED"/>
    <w:rsid w:val="46812956"/>
    <w:rsid w:val="46896824"/>
    <w:rsid w:val="46D515AA"/>
    <w:rsid w:val="46DC28ED"/>
    <w:rsid w:val="46DE64B8"/>
    <w:rsid w:val="46E03390"/>
    <w:rsid w:val="46E733A8"/>
    <w:rsid w:val="46EB02B1"/>
    <w:rsid w:val="46F5336F"/>
    <w:rsid w:val="47181EBD"/>
    <w:rsid w:val="471E75EB"/>
    <w:rsid w:val="472E6CC4"/>
    <w:rsid w:val="47362CD0"/>
    <w:rsid w:val="47397C95"/>
    <w:rsid w:val="477016D8"/>
    <w:rsid w:val="47A544B8"/>
    <w:rsid w:val="47BC0715"/>
    <w:rsid w:val="47C87B7A"/>
    <w:rsid w:val="47D605B3"/>
    <w:rsid w:val="47FF3BA4"/>
    <w:rsid w:val="48090269"/>
    <w:rsid w:val="48161EAE"/>
    <w:rsid w:val="48254A95"/>
    <w:rsid w:val="48717FE3"/>
    <w:rsid w:val="487D14FE"/>
    <w:rsid w:val="48845146"/>
    <w:rsid w:val="48857F69"/>
    <w:rsid w:val="488A34B9"/>
    <w:rsid w:val="488E573B"/>
    <w:rsid w:val="48993319"/>
    <w:rsid w:val="48A216F0"/>
    <w:rsid w:val="48A33D7F"/>
    <w:rsid w:val="48AE6137"/>
    <w:rsid w:val="48B0472E"/>
    <w:rsid w:val="48B325F5"/>
    <w:rsid w:val="48B465BC"/>
    <w:rsid w:val="48D71D97"/>
    <w:rsid w:val="492C64F6"/>
    <w:rsid w:val="4964427D"/>
    <w:rsid w:val="49657C02"/>
    <w:rsid w:val="496E5D78"/>
    <w:rsid w:val="496F1A19"/>
    <w:rsid w:val="49AA29F8"/>
    <w:rsid w:val="49B50335"/>
    <w:rsid w:val="49B84D4D"/>
    <w:rsid w:val="49BF45D1"/>
    <w:rsid w:val="49C41075"/>
    <w:rsid w:val="49C43C95"/>
    <w:rsid w:val="49CE737E"/>
    <w:rsid w:val="49DE380C"/>
    <w:rsid w:val="49EC4D5E"/>
    <w:rsid w:val="49F911FA"/>
    <w:rsid w:val="4A3F7B54"/>
    <w:rsid w:val="4A783EBB"/>
    <w:rsid w:val="4AA43EEF"/>
    <w:rsid w:val="4AA56BBB"/>
    <w:rsid w:val="4AAE2549"/>
    <w:rsid w:val="4AB0493A"/>
    <w:rsid w:val="4ACE7DF5"/>
    <w:rsid w:val="4AEB02CF"/>
    <w:rsid w:val="4AED215B"/>
    <w:rsid w:val="4AFE19DC"/>
    <w:rsid w:val="4B04208C"/>
    <w:rsid w:val="4B05734C"/>
    <w:rsid w:val="4B1B30A9"/>
    <w:rsid w:val="4B1C6348"/>
    <w:rsid w:val="4B42257F"/>
    <w:rsid w:val="4B5727F9"/>
    <w:rsid w:val="4B5C1D90"/>
    <w:rsid w:val="4B5E3D3F"/>
    <w:rsid w:val="4B6372F8"/>
    <w:rsid w:val="4B7F078C"/>
    <w:rsid w:val="4B8260A9"/>
    <w:rsid w:val="4BA412A4"/>
    <w:rsid w:val="4BBA3B59"/>
    <w:rsid w:val="4BE836E5"/>
    <w:rsid w:val="4BEB5A25"/>
    <w:rsid w:val="4BEF3FFA"/>
    <w:rsid w:val="4BF13D98"/>
    <w:rsid w:val="4C113A8D"/>
    <w:rsid w:val="4C277578"/>
    <w:rsid w:val="4C354A17"/>
    <w:rsid w:val="4C4B10EF"/>
    <w:rsid w:val="4C4D756D"/>
    <w:rsid w:val="4C5720C5"/>
    <w:rsid w:val="4C5E1EEB"/>
    <w:rsid w:val="4C632235"/>
    <w:rsid w:val="4C643B1B"/>
    <w:rsid w:val="4C6C0F9E"/>
    <w:rsid w:val="4C7C58D8"/>
    <w:rsid w:val="4C89412E"/>
    <w:rsid w:val="4CAB3751"/>
    <w:rsid w:val="4CB00041"/>
    <w:rsid w:val="4CCC52C6"/>
    <w:rsid w:val="4CCF308D"/>
    <w:rsid w:val="4CF16D3D"/>
    <w:rsid w:val="4CF71386"/>
    <w:rsid w:val="4D074C79"/>
    <w:rsid w:val="4D174556"/>
    <w:rsid w:val="4D1A2E3A"/>
    <w:rsid w:val="4D281F62"/>
    <w:rsid w:val="4D4A7BFB"/>
    <w:rsid w:val="4D5F0810"/>
    <w:rsid w:val="4D723BE9"/>
    <w:rsid w:val="4D8B2EB8"/>
    <w:rsid w:val="4D943B9B"/>
    <w:rsid w:val="4DCD7D68"/>
    <w:rsid w:val="4DD61906"/>
    <w:rsid w:val="4DF37828"/>
    <w:rsid w:val="4E06603E"/>
    <w:rsid w:val="4E1124A4"/>
    <w:rsid w:val="4E1307B1"/>
    <w:rsid w:val="4E34540C"/>
    <w:rsid w:val="4E5E446F"/>
    <w:rsid w:val="4E6E7E06"/>
    <w:rsid w:val="4E716202"/>
    <w:rsid w:val="4E790AB8"/>
    <w:rsid w:val="4E8A108C"/>
    <w:rsid w:val="4E913F86"/>
    <w:rsid w:val="4E942D9C"/>
    <w:rsid w:val="4E9B1DD3"/>
    <w:rsid w:val="4EA0520E"/>
    <w:rsid w:val="4EC9516B"/>
    <w:rsid w:val="4ED53493"/>
    <w:rsid w:val="4EF56E30"/>
    <w:rsid w:val="4F045618"/>
    <w:rsid w:val="4F0F62FF"/>
    <w:rsid w:val="4F1014BA"/>
    <w:rsid w:val="4F3B65FE"/>
    <w:rsid w:val="4F407307"/>
    <w:rsid w:val="4F882DB0"/>
    <w:rsid w:val="4FAA7276"/>
    <w:rsid w:val="4FAA76A1"/>
    <w:rsid w:val="4FB6551B"/>
    <w:rsid w:val="500716F3"/>
    <w:rsid w:val="50101714"/>
    <w:rsid w:val="501B247B"/>
    <w:rsid w:val="502A4AFC"/>
    <w:rsid w:val="50352892"/>
    <w:rsid w:val="50391909"/>
    <w:rsid w:val="50454E3E"/>
    <w:rsid w:val="504956F6"/>
    <w:rsid w:val="505B2A82"/>
    <w:rsid w:val="50A92020"/>
    <w:rsid w:val="50B12DE6"/>
    <w:rsid w:val="50B82CDF"/>
    <w:rsid w:val="50BD570F"/>
    <w:rsid w:val="50C26782"/>
    <w:rsid w:val="50C91270"/>
    <w:rsid w:val="50D873C4"/>
    <w:rsid w:val="50FA6EB8"/>
    <w:rsid w:val="51054F67"/>
    <w:rsid w:val="51067FB7"/>
    <w:rsid w:val="51072E7E"/>
    <w:rsid w:val="512065AD"/>
    <w:rsid w:val="5121624A"/>
    <w:rsid w:val="512D4E42"/>
    <w:rsid w:val="513A564E"/>
    <w:rsid w:val="513C13B4"/>
    <w:rsid w:val="51900B2A"/>
    <w:rsid w:val="51AA22DF"/>
    <w:rsid w:val="51AB759A"/>
    <w:rsid w:val="51B64F34"/>
    <w:rsid w:val="51C40032"/>
    <w:rsid w:val="51C71D4B"/>
    <w:rsid w:val="51DE21F4"/>
    <w:rsid w:val="51E359B8"/>
    <w:rsid w:val="51E65F03"/>
    <w:rsid w:val="51E95511"/>
    <w:rsid w:val="51F0384E"/>
    <w:rsid w:val="51F85309"/>
    <w:rsid w:val="5212618A"/>
    <w:rsid w:val="52136B79"/>
    <w:rsid w:val="521C1977"/>
    <w:rsid w:val="52260E17"/>
    <w:rsid w:val="522E153D"/>
    <w:rsid w:val="5235347C"/>
    <w:rsid w:val="523B1DE8"/>
    <w:rsid w:val="524806F2"/>
    <w:rsid w:val="524926C7"/>
    <w:rsid w:val="52510C45"/>
    <w:rsid w:val="52A75656"/>
    <w:rsid w:val="52A76715"/>
    <w:rsid w:val="52B27213"/>
    <w:rsid w:val="52B4076A"/>
    <w:rsid w:val="52B641B9"/>
    <w:rsid w:val="52B740C0"/>
    <w:rsid w:val="52BB2AF6"/>
    <w:rsid w:val="52BD6A0A"/>
    <w:rsid w:val="52D21EC5"/>
    <w:rsid w:val="52D83656"/>
    <w:rsid w:val="52DE1294"/>
    <w:rsid w:val="52F1284C"/>
    <w:rsid w:val="52FE3767"/>
    <w:rsid w:val="530A5264"/>
    <w:rsid w:val="532E00A0"/>
    <w:rsid w:val="53470A39"/>
    <w:rsid w:val="536E0CD2"/>
    <w:rsid w:val="53707CCE"/>
    <w:rsid w:val="537733CB"/>
    <w:rsid w:val="538719E2"/>
    <w:rsid w:val="53871B8C"/>
    <w:rsid w:val="53966D60"/>
    <w:rsid w:val="5397332B"/>
    <w:rsid w:val="53A53F64"/>
    <w:rsid w:val="53A60E35"/>
    <w:rsid w:val="53A6179C"/>
    <w:rsid w:val="53B8796F"/>
    <w:rsid w:val="53E9244E"/>
    <w:rsid w:val="53FD2E20"/>
    <w:rsid w:val="54142665"/>
    <w:rsid w:val="541D15B2"/>
    <w:rsid w:val="54297AD6"/>
    <w:rsid w:val="542F02FB"/>
    <w:rsid w:val="54406DE4"/>
    <w:rsid w:val="54425D09"/>
    <w:rsid w:val="545A4A68"/>
    <w:rsid w:val="54767BCD"/>
    <w:rsid w:val="54855A4E"/>
    <w:rsid w:val="549C55C5"/>
    <w:rsid w:val="54C16F2F"/>
    <w:rsid w:val="54CB4A9A"/>
    <w:rsid w:val="54D231B3"/>
    <w:rsid w:val="54D65815"/>
    <w:rsid w:val="54D94FCC"/>
    <w:rsid w:val="550B04EA"/>
    <w:rsid w:val="55196CE1"/>
    <w:rsid w:val="553366F7"/>
    <w:rsid w:val="553813C7"/>
    <w:rsid w:val="55404614"/>
    <w:rsid w:val="55540F13"/>
    <w:rsid w:val="55567347"/>
    <w:rsid w:val="557554E6"/>
    <w:rsid w:val="557A2B1B"/>
    <w:rsid w:val="558C627F"/>
    <w:rsid w:val="558E7EF8"/>
    <w:rsid w:val="559106F7"/>
    <w:rsid w:val="55940A85"/>
    <w:rsid w:val="55A376B7"/>
    <w:rsid w:val="55CB5217"/>
    <w:rsid w:val="560837A8"/>
    <w:rsid w:val="561337BB"/>
    <w:rsid w:val="563515C2"/>
    <w:rsid w:val="5638791A"/>
    <w:rsid w:val="56457769"/>
    <w:rsid w:val="565602C6"/>
    <w:rsid w:val="56637A30"/>
    <w:rsid w:val="566918B4"/>
    <w:rsid w:val="566D179F"/>
    <w:rsid w:val="56915DDE"/>
    <w:rsid w:val="569B4BF9"/>
    <w:rsid w:val="56AA56B4"/>
    <w:rsid w:val="56B5251C"/>
    <w:rsid w:val="56E05A97"/>
    <w:rsid w:val="56F12F20"/>
    <w:rsid w:val="56FE63DF"/>
    <w:rsid w:val="57087A6C"/>
    <w:rsid w:val="570A7F96"/>
    <w:rsid w:val="570E4BEE"/>
    <w:rsid w:val="572E1E43"/>
    <w:rsid w:val="573169AC"/>
    <w:rsid w:val="57944261"/>
    <w:rsid w:val="579A4402"/>
    <w:rsid w:val="57BC5FA5"/>
    <w:rsid w:val="57C80FEC"/>
    <w:rsid w:val="57CE405F"/>
    <w:rsid w:val="57D17103"/>
    <w:rsid w:val="57D7327A"/>
    <w:rsid w:val="57DC7CFC"/>
    <w:rsid w:val="57DE511B"/>
    <w:rsid w:val="57DF0852"/>
    <w:rsid w:val="57E93713"/>
    <w:rsid w:val="57F66268"/>
    <w:rsid w:val="57FC75DC"/>
    <w:rsid w:val="58122EC4"/>
    <w:rsid w:val="58211913"/>
    <w:rsid w:val="583017EF"/>
    <w:rsid w:val="583E6973"/>
    <w:rsid w:val="58612B6C"/>
    <w:rsid w:val="5861664B"/>
    <w:rsid w:val="58646496"/>
    <w:rsid w:val="586C61A8"/>
    <w:rsid w:val="587B596E"/>
    <w:rsid w:val="589019A8"/>
    <w:rsid w:val="589461F2"/>
    <w:rsid w:val="58A23F37"/>
    <w:rsid w:val="58A26235"/>
    <w:rsid w:val="58B50A2A"/>
    <w:rsid w:val="58B965E8"/>
    <w:rsid w:val="58C657BC"/>
    <w:rsid w:val="58CD3D8C"/>
    <w:rsid w:val="590A4689"/>
    <w:rsid w:val="591D175F"/>
    <w:rsid w:val="592A2B5C"/>
    <w:rsid w:val="592A3774"/>
    <w:rsid w:val="593B1F4B"/>
    <w:rsid w:val="594941DE"/>
    <w:rsid w:val="594B5168"/>
    <w:rsid w:val="5978138E"/>
    <w:rsid w:val="598D5FF0"/>
    <w:rsid w:val="599627C1"/>
    <w:rsid w:val="59A0220C"/>
    <w:rsid w:val="59A754A3"/>
    <w:rsid w:val="59B630A6"/>
    <w:rsid w:val="59B64419"/>
    <w:rsid w:val="59EC6A29"/>
    <w:rsid w:val="5A1637F3"/>
    <w:rsid w:val="5A2812B8"/>
    <w:rsid w:val="5A3513BE"/>
    <w:rsid w:val="5A3D6415"/>
    <w:rsid w:val="5A432DB4"/>
    <w:rsid w:val="5A6160A2"/>
    <w:rsid w:val="5A650D7E"/>
    <w:rsid w:val="5A686020"/>
    <w:rsid w:val="5A6A611C"/>
    <w:rsid w:val="5A873CFB"/>
    <w:rsid w:val="5A8D068A"/>
    <w:rsid w:val="5A9A23D1"/>
    <w:rsid w:val="5A9F7019"/>
    <w:rsid w:val="5AA93068"/>
    <w:rsid w:val="5ABC25A4"/>
    <w:rsid w:val="5ACF2414"/>
    <w:rsid w:val="5AD323CA"/>
    <w:rsid w:val="5AD75631"/>
    <w:rsid w:val="5ADC5B05"/>
    <w:rsid w:val="5AE4228B"/>
    <w:rsid w:val="5B055554"/>
    <w:rsid w:val="5B2151ED"/>
    <w:rsid w:val="5B2840BE"/>
    <w:rsid w:val="5B2D3EF3"/>
    <w:rsid w:val="5B411ACF"/>
    <w:rsid w:val="5B64050D"/>
    <w:rsid w:val="5B66309E"/>
    <w:rsid w:val="5B8F3B5A"/>
    <w:rsid w:val="5B8F7AA0"/>
    <w:rsid w:val="5B92700E"/>
    <w:rsid w:val="5BCA130A"/>
    <w:rsid w:val="5BF87ACE"/>
    <w:rsid w:val="5C08402D"/>
    <w:rsid w:val="5C137CAD"/>
    <w:rsid w:val="5C29153C"/>
    <w:rsid w:val="5C3211A1"/>
    <w:rsid w:val="5C442CC8"/>
    <w:rsid w:val="5C472402"/>
    <w:rsid w:val="5C634F7F"/>
    <w:rsid w:val="5C6B35CB"/>
    <w:rsid w:val="5C721E2A"/>
    <w:rsid w:val="5C790301"/>
    <w:rsid w:val="5C994D9D"/>
    <w:rsid w:val="5C9E394D"/>
    <w:rsid w:val="5CA45F0F"/>
    <w:rsid w:val="5CAF7827"/>
    <w:rsid w:val="5CDD702B"/>
    <w:rsid w:val="5CE121F3"/>
    <w:rsid w:val="5CE8543E"/>
    <w:rsid w:val="5D3B2A95"/>
    <w:rsid w:val="5D4702AE"/>
    <w:rsid w:val="5D55673C"/>
    <w:rsid w:val="5D5821FB"/>
    <w:rsid w:val="5D743208"/>
    <w:rsid w:val="5D7A05AA"/>
    <w:rsid w:val="5D852E69"/>
    <w:rsid w:val="5DBB3761"/>
    <w:rsid w:val="5DCD6212"/>
    <w:rsid w:val="5DD010BC"/>
    <w:rsid w:val="5DD6057B"/>
    <w:rsid w:val="5DDF0063"/>
    <w:rsid w:val="5E095086"/>
    <w:rsid w:val="5E145205"/>
    <w:rsid w:val="5E2F7019"/>
    <w:rsid w:val="5E347859"/>
    <w:rsid w:val="5E637124"/>
    <w:rsid w:val="5E7651CF"/>
    <w:rsid w:val="5E7E699C"/>
    <w:rsid w:val="5EA03DE5"/>
    <w:rsid w:val="5EAB41D8"/>
    <w:rsid w:val="5EAE10D3"/>
    <w:rsid w:val="5EC831A0"/>
    <w:rsid w:val="5EE51FBC"/>
    <w:rsid w:val="5EED645E"/>
    <w:rsid w:val="5EFE4C37"/>
    <w:rsid w:val="5F0025A7"/>
    <w:rsid w:val="5F015B21"/>
    <w:rsid w:val="5F0220A6"/>
    <w:rsid w:val="5F1504B3"/>
    <w:rsid w:val="5F2D5BFD"/>
    <w:rsid w:val="5F35332F"/>
    <w:rsid w:val="5F4203D3"/>
    <w:rsid w:val="5F6E78EC"/>
    <w:rsid w:val="5F7E614E"/>
    <w:rsid w:val="5F8149E9"/>
    <w:rsid w:val="5F926146"/>
    <w:rsid w:val="5F9C68FF"/>
    <w:rsid w:val="5F9D1D84"/>
    <w:rsid w:val="5FA44336"/>
    <w:rsid w:val="5FA626A6"/>
    <w:rsid w:val="5FB6537A"/>
    <w:rsid w:val="5FC4010D"/>
    <w:rsid w:val="5FC91DC4"/>
    <w:rsid w:val="5FCE07B1"/>
    <w:rsid w:val="600D6CF9"/>
    <w:rsid w:val="60106F4E"/>
    <w:rsid w:val="60152B16"/>
    <w:rsid w:val="60193117"/>
    <w:rsid w:val="60270AE1"/>
    <w:rsid w:val="602729F3"/>
    <w:rsid w:val="6029190C"/>
    <w:rsid w:val="602D4E57"/>
    <w:rsid w:val="602D59F9"/>
    <w:rsid w:val="602F2D87"/>
    <w:rsid w:val="60351BDA"/>
    <w:rsid w:val="603D348D"/>
    <w:rsid w:val="604617E0"/>
    <w:rsid w:val="6052004D"/>
    <w:rsid w:val="60721023"/>
    <w:rsid w:val="60A06D75"/>
    <w:rsid w:val="60A11695"/>
    <w:rsid w:val="60AB7085"/>
    <w:rsid w:val="60B461E4"/>
    <w:rsid w:val="60C51000"/>
    <w:rsid w:val="60DB248F"/>
    <w:rsid w:val="60E179B2"/>
    <w:rsid w:val="60E51B3C"/>
    <w:rsid w:val="60FA531C"/>
    <w:rsid w:val="611114C2"/>
    <w:rsid w:val="6132056E"/>
    <w:rsid w:val="613A02C3"/>
    <w:rsid w:val="614C7196"/>
    <w:rsid w:val="614F181B"/>
    <w:rsid w:val="61631EF5"/>
    <w:rsid w:val="61971057"/>
    <w:rsid w:val="619E6293"/>
    <w:rsid w:val="61A85B24"/>
    <w:rsid w:val="61CA758E"/>
    <w:rsid w:val="61CC0557"/>
    <w:rsid w:val="61CE695A"/>
    <w:rsid w:val="61E43E4A"/>
    <w:rsid w:val="62143AD5"/>
    <w:rsid w:val="621666AE"/>
    <w:rsid w:val="621A528D"/>
    <w:rsid w:val="6254645E"/>
    <w:rsid w:val="625B7D4E"/>
    <w:rsid w:val="626728CC"/>
    <w:rsid w:val="626E76CE"/>
    <w:rsid w:val="628B39F3"/>
    <w:rsid w:val="62906746"/>
    <w:rsid w:val="62C85726"/>
    <w:rsid w:val="62D56FE6"/>
    <w:rsid w:val="62E63257"/>
    <w:rsid w:val="630643D7"/>
    <w:rsid w:val="631636FA"/>
    <w:rsid w:val="631665EE"/>
    <w:rsid w:val="631D48DE"/>
    <w:rsid w:val="63327FEF"/>
    <w:rsid w:val="634C6A7D"/>
    <w:rsid w:val="63567C48"/>
    <w:rsid w:val="63570EDA"/>
    <w:rsid w:val="63656A91"/>
    <w:rsid w:val="63695671"/>
    <w:rsid w:val="63737BAD"/>
    <w:rsid w:val="637C2FD4"/>
    <w:rsid w:val="639778A6"/>
    <w:rsid w:val="63B875C0"/>
    <w:rsid w:val="63C95EC1"/>
    <w:rsid w:val="63E56ADA"/>
    <w:rsid w:val="63F17B10"/>
    <w:rsid w:val="640228A7"/>
    <w:rsid w:val="64053712"/>
    <w:rsid w:val="641B077B"/>
    <w:rsid w:val="64206900"/>
    <w:rsid w:val="64247D08"/>
    <w:rsid w:val="643240DE"/>
    <w:rsid w:val="644224AB"/>
    <w:rsid w:val="644E0E5D"/>
    <w:rsid w:val="646F6212"/>
    <w:rsid w:val="64851E6B"/>
    <w:rsid w:val="648F0DE9"/>
    <w:rsid w:val="64901E86"/>
    <w:rsid w:val="649B2F25"/>
    <w:rsid w:val="64D30A03"/>
    <w:rsid w:val="64D34DC4"/>
    <w:rsid w:val="64D767AE"/>
    <w:rsid w:val="64DD19C3"/>
    <w:rsid w:val="64FF307D"/>
    <w:rsid w:val="650436FC"/>
    <w:rsid w:val="6539067F"/>
    <w:rsid w:val="654013BD"/>
    <w:rsid w:val="65702220"/>
    <w:rsid w:val="65757FB3"/>
    <w:rsid w:val="65A76CDD"/>
    <w:rsid w:val="65B41296"/>
    <w:rsid w:val="65CD6820"/>
    <w:rsid w:val="65E04D33"/>
    <w:rsid w:val="65EB3BA3"/>
    <w:rsid w:val="660C7A76"/>
    <w:rsid w:val="660E5A9F"/>
    <w:rsid w:val="6638054B"/>
    <w:rsid w:val="6642311D"/>
    <w:rsid w:val="664F46B2"/>
    <w:rsid w:val="665866D5"/>
    <w:rsid w:val="665C09A0"/>
    <w:rsid w:val="667367A4"/>
    <w:rsid w:val="667410B7"/>
    <w:rsid w:val="6687018F"/>
    <w:rsid w:val="668A67FE"/>
    <w:rsid w:val="66A8335E"/>
    <w:rsid w:val="66B252EA"/>
    <w:rsid w:val="66B410B9"/>
    <w:rsid w:val="66B56858"/>
    <w:rsid w:val="66B65E5A"/>
    <w:rsid w:val="66CE0774"/>
    <w:rsid w:val="66D23941"/>
    <w:rsid w:val="66E61F74"/>
    <w:rsid w:val="66EF6D69"/>
    <w:rsid w:val="66F535D7"/>
    <w:rsid w:val="67035B92"/>
    <w:rsid w:val="67191032"/>
    <w:rsid w:val="6720092C"/>
    <w:rsid w:val="6728102E"/>
    <w:rsid w:val="67410582"/>
    <w:rsid w:val="6763043E"/>
    <w:rsid w:val="676A7777"/>
    <w:rsid w:val="6784253D"/>
    <w:rsid w:val="67911F48"/>
    <w:rsid w:val="679B04E8"/>
    <w:rsid w:val="679C4255"/>
    <w:rsid w:val="67A77F60"/>
    <w:rsid w:val="67AB35EE"/>
    <w:rsid w:val="67AC6A55"/>
    <w:rsid w:val="67B840EC"/>
    <w:rsid w:val="67C721AE"/>
    <w:rsid w:val="67D45293"/>
    <w:rsid w:val="67E1643D"/>
    <w:rsid w:val="67E50892"/>
    <w:rsid w:val="67E63F84"/>
    <w:rsid w:val="67FC12DC"/>
    <w:rsid w:val="67FE2C38"/>
    <w:rsid w:val="68265831"/>
    <w:rsid w:val="6832698C"/>
    <w:rsid w:val="683A7153"/>
    <w:rsid w:val="684927C0"/>
    <w:rsid w:val="68510D14"/>
    <w:rsid w:val="685772E4"/>
    <w:rsid w:val="689836C2"/>
    <w:rsid w:val="68DA769D"/>
    <w:rsid w:val="68F237AF"/>
    <w:rsid w:val="69076DBB"/>
    <w:rsid w:val="694058CF"/>
    <w:rsid w:val="694146A0"/>
    <w:rsid w:val="699234CD"/>
    <w:rsid w:val="69C229CA"/>
    <w:rsid w:val="69D15BE1"/>
    <w:rsid w:val="69D21A4C"/>
    <w:rsid w:val="69FE1566"/>
    <w:rsid w:val="69FF6C80"/>
    <w:rsid w:val="6A096FD1"/>
    <w:rsid w:val="6A0B7C61"/>
    <w:rsid w:val="6A250E6D"/>
    <w:rsid w:val="6A5C452B"/>
    <w:rsid w:val="6A607535"/>
    <w:rsid w:val="6A656785"/>
    <w:rsid w:val="6A6D6EAF"/>
    <w:rsid w:val="6A7D022F"/>
    <w:rsid w:val="6A826C26"/>
    <w:rsid w:val="6A8C069B"/>
    <w:rsid w:val="6A9378D9"/>
    <w:rsid w:val="6AAA2133"/>
    <w:rsid w:val="6AB579CA"/>
    <w:rsid w:val="6AC51A96"/>
    <w:rsid w:val="6ACE3271"/>
    <w:rsid w:val="6AD13FC0"/>
    <w:rsid w:val="6AD608FD"/>
    <w:rsid w:val="6AD72BB1"/>
    <w:rsid w:val="6AF2040C"/>
    <w:rsid w:val="6B021BC4"/>
    <w:rsid w:val="6B130AEA"/>
    <w:rsid w:val="6B1D12A8"/>
    <w:rsid w:val="6B1F1A16"/>
    <w:rsid w:val="6B2A713F"/>
    <w:rsid w:val="6B455275"/>
    <w:rsid w:val="6B45746B"/>
    <w:rsid w:val="6B470EC6"/>
    <w:rsid w:val="6B584D03"/>
    <w:rsid w:val="6B6C1918"/>
    <w:rsid w:val="6B7107E8"/>
    <w:rsid w:val="6B8A77C4"/>
    <w:rsid w:val="6BC31014"/>
    <w:rsid w:val="6BF01146"/>
    <w:rsid w:val="6BFB789F"/>
    <w:rsid w:val="6BFD456E"/>
    <w:rsid w:val="6C125CBC"/>
    <w:rsid w:val="6C2A3B0C"/>
    <w:rsid w:val="6C3E31AE"/>
    <w:rsid w:val="6C617068"/>
    <w:rsid w:val="6C826763"/>
    <w:rsid w:val="6C8A0A31"/>
    <w:rsid w:val="6C8E7EBA"/>
    <w:rsid w:val="6CB90BB5"/>
    <w:rsid w:val="6CC63C6D"/>
    <w:rsid w:val="6CD4474B"/>
    <w:rsid w:val="6CE33B8B"/>
    <w:rsid w:val="6CE4707A"/>
    <w:rsid w:val="6CF53CCB"/>
    <w:rsid w:val="6D03314D"/>
    <w:rsid w:val="6D086CF8"/>
    <w:rsid w:val="6D155656"/>
    <w:rsid w:val="6D2320B9"/>
    <w:rsid w:val="6D330950"/>
    <w:rsid w:val="6D3A0780"/>
    <w:rsid w:val="6D427E1F"/>
    <w:rsid w:val="6D5262E6"/>
    <w:rsid w:val="6D542DC3"/>
    <w:rsid w:val="6D5B789C"/>
    <w:rsid w:val="6D6A0977"/>
    <w:rsid w:val="6D8706B9"/>
    <w:rsid w:val="6D881A70"/>
    <w:rsid w:val="6D980ED2"/>
    <w:rsid w:val="6D987C54"/>
    <w:rsid w:val="6DA3249E"/>
    <w:rsid w:val="6DAF4289"/>
    <w:rsid w:val="6DC95FC7"/>
    <w:rsid w:val="6DDD3B87"/>
    <w:rsid w:val="6DE919EF"/>
    <w:rsid w:val="6E0241E6"/>
    <w:rsid w:val="6E076436"/>
    <w:rsid w:val="6E3568DA"/>
    <w:rsid w:val="6E47341E"/>
    <w:rsid w:val="6E5367A8"/>
    <w:rsid w:val="6E53766F"/>
    <w:rsid w:val="6E60598E"/>
    <w:rsid w:val="6E6706F0"/>
    <w:rsid w:val="6E781BF3"/>
    <w:rsid w:val="6E817608"/>
    <w:rsid w:val="6E9C4BA4"/>
    <w:rsid w:val="6EC3071F"/>
    <w:rsid w:val="6EC943FB"/>
    <w:rsid w:val="6ED65C65"/>
    <w:rsid w:val="6EDB0E34"/>
    <w:rsid w:val="6EF971F4"/>
    <w:rsid w:val="6F1C498F"/>
    <w:rsid w:val="6F1D6D7E"/>
    <w:rsid w:val="6F1F692A"/>
    <w:rsid w:val="6F357D47"/>
    <w:rsid w:val="6F4101EB"/>
    <w:rsid w:val="6F4F0D96"/>
    <w:rsid w:val="6F6329C9"/>
    <w:rsid w:val="6F8B3F0D"/>
    <w:rsid w:val="6F9637C5"/>
    <w:rsid w:val="6F9D4DDA"/>
    <w:rsid w:val="6FA350F6"/>
    <w:rsid w:val="6FD9516B"/>
    <w:rsid w:val="6FF67D31"/>
    <w:rsid w:val="6FF720EB"/>
    <w:rsid w:val="7006397B"/>
    <w:rsid w:val="701D00B9"/>
    <w:rsid w:val="704E36B2"/>
    <w:rsid w:val="706039DC"/>
    <w:rsid w:val="706D2994"/>
    <w:rsid w:val="708A4008"/>
    <w:rsid w:val="708C48E9"/>
    <w:rsid w:val="70AA5F6C"/>
    <w:rsid w:val="70AC7129"/>
    <w:rsid w:val="70D50EBC"/>
    <w:rsid w:val="70DA3FD3"/>
    <w:rsid w:val="70DF15E9"/>
    <w:rsid w:val="70E437AD"/>
    <w:rsid w:val="70E96186"/>
    <w:rsid w:val="70ED156B"/>
    <w:rsid w:val="70FF7EF5"/>
    <w:rsid w:val="71064C61"/>
    <w:rsid w:val="71144D62"/>
    <w:rsid w:val="71414B6F"/>
    <w:rsid w:val="7159396D"/>
    <w:rsid w:val="71633ACD"/>
    <w:rsid w:val="717A0208"/>
    <w:rsid w:val="717A1FCA"/>
    <w:rsid w:val="717F1FDA"/>
    <w:rsid w:val="71880347"/>
    <w:rsid w:val="719E323D"/>
    <w:rsid w:val="71B3416C"/>
    <w:rsid w:val="71B86881"/>
    <w:rsid w:val="71BE3B6E"/>
    <w:rsid w:val="71C20211"/>
    <w:rsid w:val="71DE041E"/>
    <w:rsid w:val="71DF4B41"/>
    <w:rsid w:val="71F51F40"/>
    <w:rsid w:val="71F70218"/>
    <w:rsid w:val="71FD7C59"/>
    <w:rsid w:val="72001269"/>
    <w:rsid w:val="720C020F"/>
    <w:rsid w:val="7217229E"/>
    <w:rsid w:val="721E360A"/>
    <w:rsid w:val="722C6568"/>
    <w:rsid w:val="722D33E0"/>
    <w:rsid w:val="723F5B8C"/>
    <w:rsid w:val="72450CCC"/>
    <w:rsid w:val="726E370A"/>
    <w:rsid w:val="727C331A"/>
    <w:rsid w:val="728631D7"/>
    <w:rsid w:val="728F450C"/>
    <w:rsid w:val="729218FC"/>
    <w:rsid w:val="72A3275B"/>
    <w:rsid w:val="72AB72EA"/>
    <w:rsid w:val="72B95E98"/>
    <w:rsid w:val="72C0451B"/>
    <w:rsid w:val="72C90C22"/>
    <w:rsid w:val="72D13DAD"/>
    <w:rsid w:val="72F90DDA"/>
    <w:rsid w:val="72FB0B0C"/>
    <w:rsid w:val="7327679F"/>
    <w:rsid w:val="73381E24"/>
    <w:rsid w:val="734342A2"/>
    <w:rsid w:val="734D5233"/>
    <w:rsid w:val="735328C2"/>
    <w:rsid w:val="736F6E9F"/>
    <w:rsid w:val="73910671"/>
    <w:rsid w:val="739657D2"/>
    <w:rsid w:val="73965AF3"/>
    <w:rsid w:val="73A6500A"/>
    <w:rsid w:val="73B56D25"/>
    <w:rsid w:val="73B84DED"/>
    <w:rsid w:val="73B94FBA"/>
    <w:rsid w:val="73BF2DAF"/>
    <w:rsid w:val="73D52FE3"/>
    <w:rsid w:val="73ED7FC0"/>
    <w:rsid w:val="73F241B5"/>
    <w:rsid w:val="74025909"/>
    <w:rsid w:val="741D7A0A"/>
    <w:rsid w:val="7422433C"/>
    <w:rsid w:val="7459156D"/>
    <w:rsid w:val="746C6351"/>
    <w:rsid w:val="749B32E7"/>
    <w:rsid w:val="74A0744C"/>
    <w:rsid w:val="74A56D3F"/>
    <w:rsid w:val="74A61C7F"/>
    <w:rsid w:val="74B06327"/>
    <w:rsid w:val="74B27297"/>
    <w:rsid w:val="74B75839"/>
    <w:rsid w:val="74C679FF"/>
    <w:rsid w:val="74DC2B99"/>
    <w:rsid w:val="74EF5B3D"/>
    <w:rsid w:val="74F702C9"/>
    <w:rsid w:val="75075B32"/>
    <w:rsid w:val="75082B32"/>
    <w:rsid w:val="75100F9E"/>
    <w:rsid w:val="75215561"/>
    <w:rsid w:val="75320F87"/>
    <w:rsid w:val="75497880"/>
    <w:rsid w:val="7552524D"/>
    <w:rsid w:val="75547E3F"/>
    <w:rsid w:val="75713828"/>
    <w:rsid w:val="757226AA"/>
    <w:rsid w:val="75790E6C"/>
    <w:rsid w:val="757C33B3"/>
    <w:rsid w:val="7580746E"/>
    <w:rsid w:val="7583572C"/>
    <w:rsid w:val="758A2736"/>
    <w:rsid w:val="75A44B2F"/>
    <w:rsid w:val="75AF3A58"/>
    <w:rsid w:val="75EE01C9"/>
    <w:rsid w:val="75F14595"/>
    <w:rsid w:val="75FF5149"/>
    <w:rsid w:val="76262C95"/>
    <w:rsid w:val="762B6C0F"/>
    <w:rsid w:val="76380E44"/>
    <w:rsid w:val="7652142F"/>
    <w:rsid w:val="76604552"/>
    <w:rsid w:val="76680BBF"/>
    <w:rsid w:val="766C7A56"/>
    <w:rsid w:val="766E634C"/>
    <w:rsid w:val="767B76A1"/>
    <w:rsid w:val="767E5DF8"/>
    <w:rsid w:val="76896FB4"/>
    <w:rsid w:val="769B53DA"/>
    <w:rsid w:val="76C06D2A"/>
    <w:rsid w:val="76D4269A"/>
    <w:rsid w:val="76EB04A0"/>
    <w:rsid w:val="76EE23BC"/>
    <w:rsid w:val="770951EF"/>
    <w:rsid w:val="770C3AB6"/>
    <w:rsid w:val="774106C7"/>
    <w:rsid w:val="77590873"/>
    <w:rsid w:val="777A469F"/>
    <w:rsid w:val="77C868B2"/>
    <w:rsid w:val="77D25FCC"/>
    <w:rsid w:val="77DE2F1A"/>
    <w:rsid w:val="781756FB"/>
    <w:rsid w:val="782855C5"/>
    <w:rsid w:val="784D2661"/>
    <w:rsid w:val="78557E41"/>
    <w:rsid w:val="785E239F"/>
    <w:rsid w:val="78607F46"/>
    <w:rsid w:val="786D54CD"/>
    <w:rsid w:val="786F5A60"/>
    <w:rsid w:val="787426C1"/>
    <w:rsid w:val="78795CFC"/>
    <w:rsid w:val="7886164F"/>
    <w:rsid w:val="78957243"/>
    <w:rsid w:val="78964A2C"/>
    <w:rsid w:val="78C10FDA"/>
    <w:rsid w:val="78E831A9"/>
    <w:rsid w:val="792C1178"/>
    <w:rsid w:val="793422C3"/>
    <w:rsid w:val="79902409"/>
    <w:rsid w:val="79944636"/>
    <w:rsid w:val="79A938B1"/>
    <w:rsid w:val="79C65E3B"/>
    <w:rsid w:val="79EE1978"/>
    <w:rsid w:val="79FF29F9"/>
    <w:rsid w:val="7A05287C"/>
    <w:rsid w:val="7A061010"/>
    <w:rsid w:val="7A0B3A39"/>
    <w:rsid w:val="7A105868"/>
    <w:rsid w:val="7A1F4C5B"/>
    <w:rsid w:val="7A27787F"/>
    <w:rsid w:val="7A305305"/>
    <w:rsid w:val="7A343E31"/>
    <w:rsid w:val="7A383FC6"/>
    <w:rsid w:val="7A4714A2"/>
    <w:rsid w:val="7A774C2C"/>
    <w:rsid w:val="7A78208E"/>
    <w:rsid w:val="7A7A65A4"/>
    <w:rsid w:val="7A7B7CBF"/>
    <w:rsid w:val="7A877FCC"/>
    <w:rsid w:val="7A967430"/>
    <w:rsid w:val="7A9D62A0"/>
    <w:rsid w:val="7AB16990"/>
    <w:rsid w:val="7ACE65F7"/>
    <w:rsid w:val="7AD44A69"/>
    <w:rsid w:val="7ADE162D"/>
    <w:rsid w:val="7AEC2616"/>
    <w:rsid w:val="7AEC4235"/>
    <w:rsid w:val="7AEC6BD1"/>
    <w:rsid w:val="7AF619B3"/>
    <w:rsid w:val="7AF71734"/>
    <w:rsid w:val="7B16051E"/>
    <w:rsid w:val="7B185E23"/>
    <w:rsid w:val="7B3178C8"/>
    <w:rsid w:val="7B490549"/>
    <w:rsid w:val="7B5F6FF6"/>
    <w:rsid w:val="7B8D4C1F"/>
    <w:rsid w:val="7B9240D7"/>
    <w:rsid w:val="7BAD49A4"/>
    <w:rsid w:val="7BB45A89"/>
    <w:rsid w:val="7BBE61A2"/>
    <w:rsid w:val="7BC70292"/>
    <w:rsid w:val="7BEE422D"/>
    <w:rsid w:val="7BF9491F"/>
    <w:rsid w:val="7C385A4B"/>
    <w:rsid w:val="7C686936"/>
    <w:rsid w:val="7C6A1C53"/>
    <w:rsid w:val="7C797002"/>
    <w:rsid w:val="7C7D6CFC"/>
    <w:rsid w:val="7C8C4897"/>
    <w:rsid w:val="7C8C7F67"/>
    <w:rsid w:val="7C95262B"/>
    <w:rsid w:val="7CA47577"/>
    <w:rsid w:val="7CB22018"/>
    <w:rsid w:val="7CB36E1D"/>
    <w:rsid w:val="7CB44869"/>
    <w:rsid w:val="7CB934D6"/>
    <w:rsid w:val="7CD07D6B"/>
    <w:rsid w:val="7CD24869"/>
    <w:rsid w:val="7CD81C08"/>
    <w:rsid w:val="7CE76AA8"/>
    <w:rsid w:val="7D0055F2"/>
    <w:rsid w:val="7D093E74"/>
    <w:rsid w:val="7D0B070F"/>
    <w:rsid w:val="7D223364"/>
    <w:rsid w:val="7D317A9A"/>
    <w:rsid w:val="7D397229"/>
    <w:rsid w:val="7D485CF7"/>
    <w:rsid w:val="7D542F30"/>
    <w:rsid w:val="7D676F5D"/>
    <w:rsid w:val="7D712B53"/>
    <w:rsid w:val="7D793C82"/>
    <w:rsid w:val="7D9C58B1"/>
    <w:rsid w:val="7D9E67A0"/>
    <w:rsid w:val="7DAF0185"/>
    <w:rsid w:val="7DAF78B8"/>
    <w:rsid w:val="7DC63DBE"/>
    <w:rsid w:val="7DDB42F2"/>
    <w:rsid w:val="7DDC6B78"/>
    <w:rsid w:val="7DF20B41"/>
    <w:rsid w:val="7DF970EE"/>
    <w:rsid w:val="7E0D1A3A"/>
    <w:rsid w:val="7E132151"/>
    <w:rsid w:val="7E155FC4"/>
    <w:rsid w:val="7E1B00E6"/>
    <w:rsid w:val="7E1B5EDE"/>
    <w:rsid w:val="7E3456FE"/>
    <w:rsid w:val="7E38036E"/>
    <w:rsid w:val="7E3D5AE0"/>
    <w:rsid w:val="7E411C7E"/>
    <w:rsid w:val="7E4E22FD"/>
    <w:rsid w:val="7E563314"/>
    <w:rsid w:val="7E8162FA"/>
    <w:rsid w:val="7E860CD5"/>
    <w:rsid w:val="7E8F15B6"/>
    <w:rsid w:val="7EAE6248"/>
    <w:rsid w:val="7ED8003E"/>
    <w:rsid w:val="7EE92D3E"/>
    <w:rsid w:val="7EF21DFD"/>
    <w:rsid w:val="7F00383E"/>
    <w:rsid w:val="7F0F37E4"/>
    <w:rsid w:val="7F14337C"/>
    <w:rsid w:val="7F323B1D"/>
    <w:rsid w:val="7F4339B5"/>
    <w:rsid w:val="7F4D5753"/>
    <w:rsid w:val="7F647874"/>
    <w:rsid w:val="7F6B22F5"/>
    <w:rsid w:val="7F8470BD"/>
    <w:rsid w:val="7FB46B42"/>
    <w:rsid w:val="7FC756E3"/>
    <w:rsid w:val="7FDD44AE"/>
    <w:rsid w:val="7FE374F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1" w:semiHidden="0" w:name="Normal"/>
    <w:lsdException w:qFormat="1" w:unhideWhenUsed="0" w:uiPriority="1" w:semiHidden="0" w:name="heading 1"/>
    <w:lsdException w:qFormat="1" w:unhideWhenUsed="0" w:uiPriority="1" w:semiHidden="0" w:name="heading 2"/>
    <w:lsdException w:qFormat="1" w:uiPriority="0" w:name="heading 3"/>
    <w:lsdException w:qFormat="1" w:unhideWhenUsed="0"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99"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semiHidden="0" w:name="Default Paragraph Font"/>
    <w:lsdException w:qFormat="1" w:unhideWhenUsed="0" w:uiPriority="1"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qFormat="1"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1"/>
    <w:pPr>
      <w:widowControl w:val="0"/>
    </w:pPr>
    <w:rPr>
      <w:rFonts w:asciiTheme="minorHAnsi" w:hAnsiTheme="minorHAnsi" w:eastAsiaTheme="minorHAnsi" w:cstheme="minorBidi"/>
      <w:sz w:val="22"/>
      <w:szCs w:val="22"/>
      <w:lang w:val="en-US" w:eastAsia="en-US" w:bidi="ar-SA"/>
    </w:rPr>
  </w:style>
  <w:style w:type="paragraph" w:styleId="3">
    <w:name w:val="heading 1"/>
    <w:basedOn w:val="1"/>
    <w:next w:val="1"/>
    <w:qFormat/>
    <w:uiPriority w:val="1"/>
    <w:pPr>
      <w:spacing w:before="7"/>
      <w:outlineLvl w:val="0"/>
    </w:pPr>
    <w:rPr>
      <w:rFonts w:ascii="黑体" w:hAnsi="黑体" w:eastAsia="黑体"/>
      <w:sz w:val="30"/>
      <w:szCs w:val="30"/>
    </w:rPr>
  </w:style>
  <w:style w:type="paragraph" w:styleId="4">
    <w:name w:val="heading 2"/>
    <w:basedOn w:val="1"/>
    <w:next w:val="1"/>
    <w:qFormat/>
    <w:uiPriority w:val="1"/>
    <w:pPr>
      <w:ind w:left="976"/>
      <w:outlineLvl w:val="1"/>
    </w:pPr>
    <w:rPr>
      <w:rFonts w:ascii="宋体" w:hAnsi="宋体" w:eastAsia="宋体"/>
      <w:b/>
      <w:bCs/>
      <w:sz w:val="21"/>
      <w:szCs w:val="21"/>
    </w:rPr>
  </w:style>
  <w:style w:type="paragraph" w:styleId="5">
    <w:name w:val="heading 4"/>
    <w:basedOn w:val="1"/>
    <w:next w:val="1"/>
    <w:qFormat/>
    <w:uiPriority w:val="0"/>
    <w:pPr>
      <w:keepNext/>
      <w:snapToGrid w:val="0"/>
      <w:spacing w:line="360" w:lineRule="auto"/>
      <w:outlineLvl w:val="3"/>
    </w:pPr>
    <w:rPr>
      <w:rFonts w:ascii="黑体" w:hAnsi="宋体" w:eastAsia="黑体" w:cs="Times New Roman"/>
      <w:b/>
      <w:bCs/>
      <w:sz w:val="24"/>
      <w:szCs w:val="20"/>
    </w:rPr>
  </w:style>
  <w:style w:type="character" w:default="1" w:styleId="19">
    <w:name w:val="Default Paragraph Font"/>
    <w:unhideWhenUsed/>
    <w:qFormat/>
    <w:uiPriority w:val="1"/>
  </w:style>
  <w:style w:type="table" w:default="1" w:styleId="17">
    <w:name w:val="Normal Table"/>
    <w:semiHidden/>
    <w:unhideWhenUsed/>
    <w:qFormat/>
    <w:uiPriority w:val="99"/>
    <w:tblPr>
      <w:tblCellMar>
        <w:top w:w="0" w:type="dxa"/>
        <w:left w:w="108" w:type="dxa"/>
        <w:bottom w:w="0" w:type="dxa"/>
        <w:right w:w="108" w:type="dxa"/>
      </w:tblCellMar>
    </w:tblPr>
  </w:style>
  <w:style w:type="paragraph" w:styleId="2">
    <w:name w:val="Body Text"/>
    <w:basedOn w:val="1"/>
    <w:link w:val="40"/>
    <w:qFormat/>
    <w:uiPriority w:val="1"/>
    <w:rPr>
      <w:rFonts w:ascii="宋体" w:hAnsi="宋体" w:eastAsia="宋体"/>
      <w:sz w:val="21"/>
      <w:szCs w:val="21"/>
    </w:rPr>
  </w:style>
  <w:style w:type="paragraph" w:styleId="6">
    <w:name w:val="Normal Indent"/>
    <w:basedOn w:val="1"/>
    <w:link w:val="46"/>
    <w:qFormat/>
    <w:uiPriority w:val="99"/>
    <w:pPr>
      <w:widowControl/>
      <w:spacing w:after="160" w:line="360" w:lineRule="auto"/>
      <w:ind w:firstLine="200" w:firstLineChars="200"/>
    </w:pPr>
    <w:rPr>
      <w:rFonts w:eastAsiaTheme="minorEastAsia"/>
      <w:sz w:val="24"/>
      <w:szCs w:val="20"/>
      <w:lang w:eastAsia="zh-CN"/>
    </w:rPr>
  </w:style>
  <w:style w:type="paragraph" w:styleId="7">
    <w:name w:val="annotation text"/>
    <w:basedOn w:val="1"/>
    <w:link w:val="37"/>
    <w:qFormat/>
    <w:uiPriority w:val="0"/>
  </w:style>
  <w:style w:type="paragraph" w:styleId="8">
    <w:name w:val="Plain Text"/>
    <w:basedOn w:val="1"/>
    <w:qFormat/>
    <w:uiPriority w:val="0"/>
    <w:rPr>
      <w:rFonts w:ascii="宋体" w:hAnsi="Courier New" w:cs="Courier New"/>
      <w:szCs w:val="21"/>
    </w:rPr>
  </w:style>
  <w:style w:type="paragraph" w:styleId="9">
    <w:name w:val="Balloon Text"/>
    <w:basedOn w:val="1"/>
    <w:link w:val="36"/>
    <w:qFormat/>
    <w:uiPriority w:val="0"/>
    <w:rPr>
      <w:sz w:val="18"/>
      <w:szCs w:val="18"/>
    </w:rPr>
  </w:style>
  <w:style w:type="paragraph" w:styleId="10">
    <w:name w:val="footer"/>
    <w:basedOn w:val="1"/>
    <w:qFormat/>
    <w:uiPriority w:val="0"/>
    <w:pPr>
      <w:tabs>
        <w:tab w:val="center" w:pos="4153"/>
        <w:tab w:val="right" w:pos="8306"/>
      </w:tabs>
      <w:snapToGrid w:val="0"/>
    </w:pPr>
    <w:rPr>
      <w:sz w:val="18"/>
    </w:rPr>
  </w:style>
  <w:style w:type="paragraph" w:styleId="11">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jc w:val="both"/>
    </w:pPr>
    <w:rPr>
      <w:sz w:val="18"/>
    </w:rPr>
  </w:style>
  <w:style w:type="paragraph" w:styleId="12">
    <w:name w:val="toc 1"/>
    <w:basedOn w:val="1"/>
    <w:next w:val="1"/>
    <w:qFormat/>
    <w:uiPriority w:val="0"/>
  </w:style>
  <w:style w:type="paragraph" w:styleId="13">
    <w:name w:val="Body Text Indent 3"/>
    <w:basedOn w:val="1"/>
    <w:qFormat/>
    <w:uiPriority w:val="0"/>
    <w:pPr>
      <w:spacing w:line="360" w:lineRule="auto"/>
      <w:ind w:firstLine="420"/>
    </w:pPr>
    <w:rPr>
      <w:sz w:val="24"/>
      <w:szCs w:val="24"/>
    </w:rPr>
  </w:style>
  <w:style w:type="paragraph" w:styleId="14">
    <w:name w:val="Normal (Web)"/>
    <w:basedOn w:val="1"/>
    <w:qFormat/>
    <w:uiPriority w:val="99"/>
    <w:pPr>
      <w:widowControl/>
      <w:spacing w:before="100" w:beforeAutospacing="1" w:after="100" w:afterAutospacing="1"/>
    </w:pPr>
    <w:rPr>
      <w:rFonts w:ascii="宋体" w:hAnsi="宋体" w:cs="宋体"/>
      <w:sz w:val="24"/>
      <w:szCs w:val="24"/>
    </w:rPr>
  </w:style>
  <w:style w:type="paragraph" w:styleId="15">
    <w:name w:val="annotation subject"/>
    <w:basedOn w:val="7"/>
    <w:next w:val="7"/>
    <w:link w:val="38"/>
    <w:qFormat/>
    <w:uiPriority w:val="0"/>
    <w:rPr>
      <w:b/>
      <w:bCs/>
    </w:rPr>
  </w:style>
  <w:style w:type="paragraph" w:styleId="16">
    <w:name w:val="Body Text First Indent"/>
    <w:basedOn w:val="2"/>
    <w:link w:val="41"/>
    <w:qFormat/>
    <w:uiPriority w:val="0"/>
    <w:pPr>
      <w:spacing w:after="120"/>
      <w:ind w:firstLine="420" w:firstLineChars="100"/>
    </w:pPr>
    <w:rPr>
      <w:rFonts w:asciiTheme="minorHAnsi" w:hAnsiTheme="minorHAnsi" w:eastAsiaTheme="minorHAnsi"/>
      <w:sz w:val="22"/>
      <w:szCs w:val="22"/>
    </w:rPr>
  </w:style>
  <w:style w:type="table" w:styleId="18">
    <w:name w:val="Table Grid"/>
    <w:basedOn w:val="17"/>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0">
    <w:name w:val="annotation reference"/>
    <w:qFormat/>
    <w:uiPriority w:val="0"/>
    <w:rPr>
      <w:sz w:val="21"/>
      <w:szCs w:val="21"/>
    </w:rPr>
  </w:style>
  <w:style w:type="paragraph" w:customStyle="1" w:styleId="21">
    <w:name w:val="Default1"/>
    <w:basedOn w:val="1"/>
    <w:next w:val="1"/>
    <w:qFormat/>
    <w:uiPriority w:val="99"/>
    <w:pPr>
      <w:autoSpaceDE w:val="0"/>
      <w:autoSpaceDN w:val="0"/>
      <w:adjustRightInd w:val="0"/>
    </w:pPr>
    <w:rPr>
      <w:rFonts w:ascii="宋体"/>
      <w:sz w:val="24"/>
    </w:rPr>
  </w:style>
  <w:style w:type="table" w:customStyle="1" w:styleId="22">
    <w:name w:val="Table Normal"/>
    <w:unhideWhenUsed/>
    <w:qFormat/>
    <w:uiPriority w:val="0"/>
    <w:tblPr>
      <w:tblCellMar>
        <w:top w:w="0" w:type="dxa"/>
        <w:left w:w="0" w:type="dxa"/>
        <w:bottom w:w="0" w:type="dxa"/>
        <w:right w:w="0" w:type="dxa"/>
      </w:tblCellMar>
    </w:tblPr>
  </w:style>
  <w:style w:type="paragraph" w:styleId="23">
    <w:name w:val="List Paragraph"/>
    <w:basedOn w:val="1"/>
    <w:qFormat/>
    <w:uiPriority w:val="1"/>
  </w:style>
  <w:style w:type="paragraph" w:customStyle="1" w:styleId="24">
    <w:name w:val="Table Paragraph"/>
    <w:basedOn w:val="1"/>
    <w:qFormat/>
    <w:uiPriority w:val="1"/>
  </w:style>
  <w:style w:type="paragraph" w:customStyle="1" w:styleId="25">
    <w:name w:val="标号正文"/>
    <w:basedOn w:val="1"/>
    <w:next w:val="1"/>
    <w:qFormat/>
    <w:uiPriority w:val="0"/>
    <w:pPr>
      <w:tabs>
        <w:tab w:val="left" w:pos="1540"/>
      </w:tabs>
      <w:overflowPunct w:val="0"/>
      <w:snapToGrid w:val="0"/>
      <w:spacing w:line="360" w:lineRule="auto"/>
      <w:ind w:firstLine="1040"/>
    </w:pPr>
    <w:rPr>
      <w:rFonts w:ascii="Arial" w:hAnsi="Arial" w:eastAsia="宋体"/>
      <w:sz w:val="24"/>
      <w:szCs w:val="20"/>
    </w:rPr>
  </w:style>
  <w:style w:type="paragraph" w:customStyle="1" w:styleId="26">
    <w:name w:val="表格文字"/>
    <w:basedOn w:val="1"/>
    <w:qFormat/>
    <w:uiPriority w:val="0"/>
    <w:pPr>
      <w:spacing w:line="300" w:lineRule="exact"/>
      <w:jc w:val="center"/>
    </w:pPr>
    <w:rPr>
      <w:szCs w:val="24"/>
    </w:rPr>
  </w:style>
  <w:style w:type="paragraph" w:customStyle="1" w:styleId="27">
    <w:name w:val="表格1"/>
    <w:basedOn w:val="1"/>
    <w:qFormat/>
    <w:uiPriority w:val="0"/>
    <w:pPr>
      <w:widowControl/>
      <w:spacing w:before="20" w:beforeLines="20" w:after="20" w:afterLines="20"/>
      <w:jc w:val="center"/>
    </w:pPr>
    <w:rPr>
      <w:sz w:val="21"/>
      <w:szCs w:val="21"/>
    </w:rPr>
  </w:style>
  <w:style w:type="paragraph" w:customStyle="1" w:styleId="28">
    <w:name w:val="Default"/>
    <w:qFormat/>
    <w:uiPriority w:val="0"/>
    <w:pPr>
      <w:widowControl w:val="0"/>
      <w:autoSpaceDE w:val="0"/>
      <w:autoSpaceDN w:val="0"/>
      <w:adjustRightInd w:val="0"/>
    </w:pPr>
    <w:rPr>
      <w:rFonts w:ascii="Times New Roman" w:hAnsi="Times New Roman" w:eastAsia="宋体" w:cs="Times New Roman"/>
      <w:color w:val="000000"/>
      <w:sz w:val="24"/>
      <w:szCs w:val="24"/>
      <w:lang w:val="en-US" w:eastAsia="zh-CN" w:bidi="ar-SA"/>
    </w:rPr>
  </w:style>
  <w:style w:type="paragraph" w:customStyle="1" w:styleId="29">
    <w:name w:val="表格"/>
    <w:basedOn w:val="1"/>
    <w:next w:val="1"/>
    <w:qFormat/>
    <w:uiPriority w:val="0"/>
    <w:pPr>
      <w:jc w:val="center"/>
    </w:pPr>
    <w:rPr>
      <w:sz w:val="24"/>
      <w:szCs w:val="24"/>
    </w:rPr>
  </w:style>
  <w:style w:type="paragraph" w:customStyle="1" w:styleId="30">
    <w:name w:val="WPSOffice手动目录 1"/>
    <w:qFormat/>
    <w:uiPriority w:val="0"/>
    <w:rPr>
      <w:rFonts w:asciiTheme="minorHAnsi" w:hAnsiTheme="minorHAnsi" w:eastAsiaTheme="minorEastAsia" w:cstheme="minorBidi"/>
      <w:lang w:val="en-US" w:eastAsia="zh-CN" w:bidi="ar-SA"/>
    </w:rPr>
  </w:style>
  <w:style w:type="paragraph" w:customStyle="1" w:styleId="31">
    <w:name w:val="表格文字2"/>
    <w:basedOn w:val="1"/>
    <w:qFormat/>
    <w:uiPriority w:val="0"/>
    <w:pPr>
      <w:tabs>
        <w:tab w:val="left" w:pos="277"/>
        <w:tab w:val="left" w:pos="600"/>
        <w:tab w:val="left" w:pos="780"/>
        <w:tab w:val="left" w:pos="2517"/>
      </w:tabs>
      <w:adjustRightInd w:val="0"/>
      <w:snapToGrid w:val="0"/>
      <w:jc w:val="center"/>
      <w:textAlignment w:val="baseline"/>
    </w:pPr>
    <w:rPr>
      <w:szCs w:val="21"/>
    </w:rPr>
  </w:style>
  <w:style w:type="paragraph" w:customStyle="1" w:styleId="32">
    <w:name w:val="表格及图件标题"/>
    <w:basedOn w:val="1"/>
    <w:next w:val="29"/>
    <w:qFormat/>
    <w:uiPriority w:val="0"/>
    <w:pPr>
      <w:spacing w:before="25" w:beforeLines="25"/>
      <w:jc w:val="center"/>
    </w:pPr>
    <w:rPr>
      <w:rFonts w:ascii="Times New Roman" w:hAnsi="Times New Roman"/>
      <w:b/>
      <w:sz w:val="20"/>
      <w:szCs w:val="20"/>
    </w:rPr>
  </w:style>
  <w:style w:type="paragraph" w:customStyle="1" w:styleId="33">
    <w:name w:val="CM17"/>
    <w:basedOn w:val="28"/>
    <w:next w:val="28"/>
    <w:qFormat/>
    <w:uiPriority w:val="99"/>
    <w:pPr>
      <w:spacing w:line="500" w:lineRule="atLeast"/>
    </w:pPr>
    <w:rPr>
      <w:rFonts w:hAnsiTheme="minorHAnsi" w:cstheme="minorBidi"/>
      <w:color w:val="auto"/>
    </w:rPr>
  </w:style>
  <w:style w:type="paragraph" w:customStyle="1" w:styleId="34">
    <w:name w:val="0-Meng"/>
    <w:basedOn w:val="1"/>
    <w:next w:val="1"/>
    <w:qFormat/>
    <w:uiPriority w:val="0"/>
    <w:pPr>
      <w:spacing w:line="360" w:lineRule="auto"/>
      <w:ind w:firstLine="200" w:firstLineChars="200"/>
    </w:pPr>
    <w:rPr>
      <w:sz w:val="24"/>
      <w:lang w:val="zh-CN"/>
    </w:rPr>
  </w:style>
  <w:style w:type="paragraph" w:customStyle="1" w:styleId="35">
    <w:name w:val="标题2"/>
    <w:unhideWhenUsed/>
    <w:qFormat/>
    <w:uiPriority w:val="2"/>
    <w:pPr>
      <w:outlineLvl w:val="2"/>
    </w:pPr>
    <w:rPr>
      <w:rFonts w:asciiTheme="minorHAnsi" w:hAnsiTheme="minorHAnsi" w:eastAsiaTheme="minorEastAsia" w:cstheme="minorBidi"/>
      <w:kern w:val="2"/>
      <w:sz w:val="21"/>
      <w:szCs w:val="22"/>
      <w:lang w:val="en-US" w:eastAsia="zh-CN" w:bidi="ar-SA"/>
    </w:rPr>
  </w:style>
  <w:style w:type="character" w:customStyle="1" w:styleId="36">
    <w:name w:val="批注框文本 字符"/>
    <w:basedOn w:val="19"/>
    <w:link w:val="9"/>
    <w:qFormat/>
    <w:uiPriority w:val="0"/>
    <w:rPr>
      <w:rFonts w:asciiTheme="minorHAnsi" w:hAnsiTheme="minorHAnsi" w:eastAsiaTheme="minorHAnsi" w:cstheme="minorBidi"/>
      <w:sz w:val="18"/>
      <w:szCs w:val="18"/>
      <w:lang w:eastAsia="en-US"/>
    </w:rPr>
  </w:style>
  <w:style w:type="character" w:customStyle="1" w:styleId="37">
    <w:name w:val="批注文字 字符"/>
    <w:basedOn w:val="19"/>
    <w:link w:val="7"/>
    <w:qFormat/>
    <w:uiPriority w:val="0"/>
    <w:rPr>
      <w:rFonts w:asciiTheme="minorHAnsi" w:hAnsiTheme="minorHAnsi" w:eastAsiaTheme="minorHAnsi" w:cstheme="minorBidi"/>
      <w:sz w:val="22"/>
      <w:szCs w:val="22"/>
      <w:lang w:eastAsia="en-US"/>
    </w:rPr>
  </w:style>
  <w:style w:type="character" w:customStyle="1" w:styleId="38">
    <w:name w:val="批注主题 字符"/>
    <w:basedOn w:val="37"/>
    <w:link w:val="15"/>
    <w:qFormat/>
    <w:uiPriority w:val="0"/>
    <w:rPr>
      <w:rFonts w:asciiTheme="minorHAnsi" w:hAnsiTheme="minorHAnsi" w:eastAsiaTheme="minorHAnsi" w:cstheme="minorBidi"/>
      <w:b/>
      <w:bCs/>
      <w:sz w:val="22"/>
      <w:szCs w:val="22"/>
      <w:lang w:eastAsia="en-US"/>
    </w:rPr>
  </w:style>
  <w:style w:type="paragraph" w:customStyle="1" w:styleId="39">
    <w:name w:val="【表格】"/>
    <w:next w:val="16"/>
    <w:qFormat/>
    <w:uiPriority w:val="0"/>
    <w:pPr>
      <w:jc w:val="center"/>
    </w:pPr>
    <w:rPr>
      <w:rFonts w:ascii="Times New Roman" w:hAnsi="Times New Roman" w:eastAsia="宋体" w:cs="Times New Roman"/>
      <w:sz w:val="21"/>
      <w:szCs w:val="24"/>
      <w:lang w:val="en-US" w:eastAsia="zh-CN" w:bidi="ar-SA"/>
      <w14:ligatures w14:val="standardContextual"/>
    </w:rPr>
  </w:style>
  <w:style w:type="character" w:customStyle="1" w:styleId="40">
    <w:name w:val="正文文本 字符"/>
    <w:basedOn w:val="19"/>
    <w:link w:val="2"/>
    <w:qFormat/>
    <w:uiPriority w:val="1"/>
    <w:rPr>
      <w:rFonts w:ascii="宋体" w:hAnsi="宋体" w:cstheme="minorBidi"/>
      <w:sz w:val="21"/>
      <w:szCs w:val="21"/>
      <w:lang w:eastAsia="en-US"/>
    </w:rPr>
  </w:style>
  <w:style w:type="character" w:customStyle="1" w:styleId="41">
    <w:name w:val="正文文本首行缩进 字符"/>
    <w:basedOn w:val="40"/>
    <w:link w:val="16"/>
    <w:qFormat/>
    <w:uiPriority w:val="0"/>
    <w:rPr>
      <w:rFonts w:asciiTheme="minorHAnsi" w:hAnsiTheme="minorHAnsi" w:eastAsiaTheme="minorHAnsi" w:cstheme="minorBidi"/>
      <w:sz w:val="22"/>
      <w:szCs w:val="22"/>
      <w:lang w:eastAsia="en-US"/>
    </w:rPr>
  </w:style>
  <w:style w:type="paragraph" w:customStyle="1" w:styleId="42">
    <w:name w:val="【表头】"/>
    <w:basedOn w:val="1"/>
    <w:qFormat/>
    <w:uiPriority w:val="0"/>
    <w:pPr>
      <w:adjustRightInd w:val="0"/>
      <w:snapToGrid w:val="0"/>
      <w:spacing w:beforeLines="50"/>
      <w:jc w:val="center"/>
    </w:pPr>
    <w:rPr>
      <w:rFonts w:ascii="Times New Roman" w:hAnsi="Times New Roman" w:eastAsia="宋体" w:cs="Times New Roman"/>
      <w:b/>
      <w:kern w:val="2"/>
      <w:sz w:val="24"/>
      <w:szCs w:val="24"/>
      <w:lang w:eastAsia="zh-CN"/>
      <w14:ligatures w14:val="standardContextual"/>
    </w:rPr>
  </w:style>
  <w:style w:type="paragraph" w:customStyle="1" w:styleId="43">
    <w:name w:val="【表下正文】"/>
    <w:basedOn w:val="1"/>
    <w:next w:val="1"/>
    <w:qFormat/>
    <w:uiPriority w:val="0"/>
    <w:pPr>
      <w:spacing w:before="50" w:beforeLines="50" w:line="360" w:lineRule="auto"/>
      <w:ind w:firstLine="200" w:firstLineChars="200"/>
      <w:jc w:val="both"/>
    </w:pPr>
    <w:rPr>
      <w:rFonts w:ascii="Times New Roman" w:hAnsi="Times New Roman" w:eastAsia="宋体" w:cs="Times New Roman"/>
      <w:kern w:val="2"/>
      <w:sz w:val="24"/>
      <w:szCs w:val="20"/>
      <w:lang w:eastAsia="zh-CN"/>
      <w14:ligatures w14:val="standardContextual"/>
    </w:rPr>
  </w:style>
  <w:style w:type="paragraph" w:customStyle="1" w:styleId="44">
    <w:name w:val="【图】"/>
    <w:qFormat/>
    <w:uiPriority w:val="0"/>
    <w:pPr>
      <w:spacing w:line="360" w:lineRule="auto"/>
      <w:jc w:val="center"/>
    </w:pPr>
    <w:rPr>
      <w:rFonts w:ascii="Times New Roman" w:hAnsi="Times New Roman" w:eastAsia="宋体" w:cs="Times New Roman"/>
      <w:b/>
      <w:kern w:val="2"/>
      <w:sz w:val="24"/>
      <w:szCs w:val="24"/>
      <w:lang w:val="en-US" w:eastAsia="zh-CN" w:bidi="ar-SA"/>
      <w14:ligatures w14:val="standardContextual"/>
    </w:rPr>
  </w:style>
  <w:style w:type="paragraph" w:customStyle="1" w:styleId="45">
    <w:name w:val="【正文】"/>
    <w:qFormat/>
    <w:uiPriority w:val="0"/>
    <w:pPr>
      <w:spacing w:line="360" w:lineRule="auto"/>
      <w:ind w:firstLine="200" w:firstLineChars="200"/>
      <w:jc w:val="both"/>
    </w:pPr>
    <w:rPr>
      <w:rFonts w:ascii="Times New Roman" w:hAnsi="Times New Roman" w:eastAsia="宋体" w:cs="Times New Roman"/>
      <w:sz w:val="24"/>
      <w:szCs w:val="24"/>
      <w:lang w:val="zh-CN" w:eastAsia="zh-CN" w:bidi="zh-CN"/>
      <w14:ligatures w14:val="standardContextual"/>
    </w:rPr>
  </w:style>
  <w:style w:type="character" w:customStyle="1" w:styleId="46">
    <w:name w:val="正文缩进 字符"/>
    <w:link w:val="6"/>
    <w:qFormat/>
    <w:uiPriority w:val="99"/>
    <w:rPr>
      <w:rFonts w:asciiTheme="minorHAnsi" w:hAnsiTheme="minorHAnsi" w:eastAsiaTheme="minorEastAsia" w:cstheme="minorBidi"/>
      <w:sz w:val="24"/>
    </w:rPr>
  </w:style>
  <w:style w:type="table" w:customStyle="1" w:styleId="47">
    <w:name w:val="表格样式刘"/>
    <w:basedOn w:val="17"/>
    <w:qFormat/>
    <w:uiPriority w:val="99"/>
    <w:pPr>
      <w:jc w:val="center"/>
    </w:pPr>
    <w:tblPr>
      <w:jc w:val="center"/>
      <w:tblBorders>
        <w:top w:val="single" w:color="auto" w:sz="12" w:space="0"/>
        <w:bottom w:val="single" w:color="auto" w:sz="12" w:space="0"/>
        <w:insideH w:val="single" w:color="auto" w:sz="4" w:space="0"/>
        <w:insideV w:val="single" w:color="auto" w:sz="4" w:space="0"/>
      </w:tblBorders>
    </w:tblPr>
    <w:trPr>
      <w:jc w:val="center"/>
    </w:trPr>
    <w:tcPr>
      <w:vAlign w:val="center"/>
    </w:tcPr>
  </w:style>
  <w:style w:type="paragraph" w:customStyle="1" w:styleId="48">
    <w:name w:val="Table Text"/>
    <w:basedOn w:val="1"/>
    <w:semiHidden/>
    <w:qFormat/>
    <w:uiPriority w:val="0"/>
    <w:pPr>
      <w:widowControl/>
      <w:spacing w:after="160" w:line="259" w:lineRule="auto"/>
    </w:pPr>
    <w:rPr>
      <w:rFonts w:ascii="宋体" w:hAnsi="宋体" w:cs="宋体" w:eastAsiaTheme="minorEastAsia"/>
      <w:sz w:val="24"/>
    </w:rPr>
  </w:style>
  <w:style w:type="table" w:customStyle="1" w:styleId="49">
    <w:name w:val="样式1"/>
    <w:basedOn w:val="17"/>
    <w:qFormat/>
    <w:uiPriority w:val="99"/>
    <w:pPr>
      <w:jc w:val="center"/>
    </w:pPr>
    <w:rPr>
      <w:sz w:val="21"/>
    </w:rPr>
    <w:tblPr>
      <w:jc w:val="center"/>
      <w:tblBorders>
        <w:top w:val="single" w:color="auto" w:sz="12" w:space="0"/>
        <w:bottom w:val="single" w:color="auto" w:sz="12" w:space="0"/>
        <w:insideH w:val="single" w:color="auto" w:sz="4" w:space="0"/>
        <w:insideV w:val="single" w:color="auto" w:sz="4" w:space="0"/>
      </w:tblBorders>
    </w:tblPr>
    <w:trPr>
      <w:jc w:val="center"/>
    </w:trPr>
    <w:tcPr>
      <w:vAlign w:val="center"/>
    </w:tcPr>
  </w:style>
  <w:style w:type="paragraph" w:customStyle="1" w:styleId="50">
    <w:name w:val="3表内文字"/>
    <w:basedOn w:val="1"/>
    <w:qFormat/>
    <w:uiPriority w:val="0"/>
    <w:pPr>
      <w:widowControl/>
      <w:spacing w:after="160" w:line="259" w:lineRule="auto"/>
      <w:jc w:val="center"/>
    </w:pPr>
    <w:rPr>
      <w:rFonts w:eastAsiaTheme="minorEastAsia"/>
      <w:color w:val="000000"/>
      <w:sz w:val="18"/>
      <w:lang w:eastAsia="zh-CN"/>
    </w:rPr>
  </w:style>
  <w:style w:type="table" w:customStyle="1" w:styleId="51">
    <w:name w:val="网格型7"/>
    <w:basedOn w:val="17"/>
    <w:qFormat/>
    <w:uiPriority w:val="0"/>
    <w:pPr>
      <w:widowControl w:val="0"/>
      <w:jc w:val="both"/>
    </w:pPr>
    <w:rPr>
      <w:sz w:val="21"/>
    </w:rPr>
    <w:tblPr>
      <w:jc w:val="center"/>
      <w:tblBorders>
        <w:top w:val="single" w:color="auto" w:sz="12" w:space="0"/>
        <w:bottom w:val="single" w:color="auto" w:sz="12" w:space="0"/>
        <w:insideH w:val="single" w:color="auto" w:sz="4" w:space="0"/>
        <w:insideV w:val="single" w:color="auto" w:sz="4" w:space="0"/>
      </w:tblBorders>
    </w:tblPr>
    <w:trPr>
      <w:jc w:val="center"/>
    </w:trPr>
    <w:tcPr>
      <w:vAlign w:val="center"/>
    </w:tc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6.xml"/><Relationship Id="rId7" Type="http://schemas.openxmlformats.org/officeDocument/2006/relationships/footer" Target="footer5.xml"/><Relationship Id="rId6" Type="http://schemas.openxmlformats.org/officeDocument/2006/relationships/footer" Target="footer4.xml"/><Relationship Id="rId5" Type="http://schemas.openxmlformats.org/officeDocument/2006/relationships/footer" Target="footer3.xml"/><Relationship Id="rId4" Type="http://schemas.openxmlformats.org/officeDocument/2006/relationships/footer" Target="footer2.xml"/><Relationship Id="rId35" Type="http://schemas.openxmlformats.org/officeDocument/2006/relationships/fontTable" Target="fontTable.xml"/><Relationship Id="rId34" Type="http://schemas.openxmlformats.org/officeDocument/2006/relationships/customXml" Target="../customXml/item1.xml"/><Relationship Id="rId33" Type="http://schemas.openxmlformats.org/officeDocument/2006/relationships/image" Target="media/image23.png"/><Relationship Id="rId32" Type="http://schemas.openxmlformats.org/officeDocument/2006/relationships/image" Target="media/image22.png"/><Relationship Id="rId31" Type="http://schemas.openxmlformats.org/officeDocument/2006/relationships/image" Target="media/image21.png"/><Relationship Id="rId30" Type="http://schemas.openxmlformats.org/officeDocument/2006/relationships/image" Target="media/image20.png"/><Relationship Id="rId3" Type="http://schemas.openxmlformats.org/officeDocument/2006/relationships/footer" Target="footer1.xml"/><Relationship Id="rId29" Type="http://schemas.openxmlformats.org/officeDocument/2006/relationships/image" Target="media/image19.jpeg"/><Relationship Id="rId28" Type="http://schemas.openxmlformats.org/officeDocument/2006/relationships/image" Target="media/image18.png"/><Relationship Id="rId27" Type="http://schemas.openxmlformats.org/officeDocument/2006/relationships/image" Target="media/image17.wmf"/><Relationship Id="rId26" Type="http://schemas.openxmlformats.org/officeDocument/2006/relationships/image" Target="media/image16.wmf"/><Relationship Id="rId25" Type="http://schemas.openxmlformats.org/officeDocument/2006/relationships/image" Target="media/image15.wmf"/><Relationship Id="rId24" Type="http://schemas.openxmlformats.org/officeDocument/2006/relationships/image" Target="media/image14.wmf"/><Relationship Id="rId23" Type="http://schemas.openxmlformats.org/officeDocument/2006/relationships/image" Target="media/image13.wmf"/><Relationship Id="rId22" Type="http://schemas.openxmlformats.org/officeDocument/2006/relationships/image" Target="media/image12.wmf"/><Relationship Id="rId21" Type="http://schemas.openxmlformats.org/officeDocument/2006/relationships/image" Target="media/image11.wmf"/><Relationship Id="rId20" Type="http://schemas.openxmlformats.org/officeDocument/2006/relationships/image" Target="media/image10.jpeg"/><Relationship Id="rId2" Type="http://schemas.openxmlformats.org/officeDocument/2006/relationships/settings" Target="settings.xml"/><Relationship Id="rId19" Type="http://schemas.openxmlformats.org/officeDocument/2006/relationships/image" Target="media/image9.png"/><Relationship Id="rId18" Type="http://schemas.openxmlformats.org/officeDocument/2006/relationships/image" Target="media/image8.png"/><Relationship Id="rId17" Type="http://schemas.openxmlformats.org/officeDocument/2006/relationships/image" Target="media/image7.emf"/><Relationship Id="rId16" Type="http://schemas.openxmlformats.org/officeDocument/2006/relationships/package" Target="embeddings/Microsoft_Visio___1.vsdx"/><Relationship Id="rId15" Type="http://schemas.openxmlformats.org/officeDocument/2006/relationships/image" Target="media/image6.png"/><Relationship Id="rId14" Type="http://schemas.openxmlformats.org/officeDocument/2006/relationships/image" Target="media/image5.jpeg"/><Relationship Id="rId13" Type="http://schemas.openxmlformats.org/officeDocument/2006/relationships/image" Target="media/image4.jpeg"/><Relationship Id="rId12" Type="http://schemas.openxmlformats.org/officeDocument/2006/relationships/image" Target="media/image3.jpeg"/><Relationship Id="rId11" Type="http://schemas.openxmlformats.org/officeDocument/2006/relationships/image" Target="media/image2.png"/><Relationship Id="rId10" Type="http://schemas.openxmlformats.org/officeDocument/2006/relationships/image" Target="media/image1.pn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Win10NeT.COM</Company>
  <Pages>71</Pages>
  <Words>36657</Words>
  <Characters>42104</Characters>
  <Lines>322</Lines>
  <Paragraphs>90</Paragraphs>
  <TotalTime>2</TotalTime>
  <ScaleCrop>false</ScaleCrop>
  <LinksUpToDate>false</LinksUpToDate>
  <CharactersWithSpaces>42454</CharactersWithSpaces>
  <Application>WPS Office_11.1.0.11294_F1E327BC-269C-435d-A152-05C5408002CA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2025-01-17T09:18:00Z</dcterms:created>
  <dc:creator>lhj</dc:creator>
  <cp:lastModifiedBy>NTKO</cp:lastModifiedBy>
  <cp:lastPrinted>2025-01-17T09:01:00Z</cp:lastPrinted>
  <dcterms:modified xsi:type="dcterms:W3CDTF">2025-03-23T08:31:53Z</dcterms:modified>
  <dc:title>附件2</dc:title>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2021-03-03T00:00:00Z</vt:filetime>
  </property>
  <property fmtid="{D5CDD505-2E9C-101B-9397-08002B2CF9AE}" pid="3" name="LastSaved">
    <vt:filetime>2021-03-05T00:00:00Z</vt:filetime>
  </property>
  <property fmtid="{D5CDD505-2E9C-101B-9397-08002B2CF9AE}" pid="4" name="KSOProductBuildVer">
    <vt:lpwstr>2052-11.1.0.11294</vt:lpwstr>
  </property>
  <property fmtid="{D5CDD505-2E9C-101B-9397-08002B2CF9AE}" pid="5" name="ICV">
    <vt:lpwstr>D06FB9AAF106495D815092ED428B3462</vt:lpwstr>
  </property>
  <property fmtid="{D5CDD505-2E9C-101B-9397-08002B2CF9AE}" pid="6" name="MSIP_Label_defa4170-0d19-0005-0004-bc88714345d2_Enabled">
    <vt:lpwstr>true</vt:lpwstr>
  </property>
  <property fmtid="{D5CDD505-2E9C-101B-9397-08002B2CF9AE}" pid="7" name="MSIP_Label_defa4170-0d19-0005-0004-bc88714345d2_SetDate">
    <vt:lpwstr>2024-12-13T09:52:09Z</vt:lpwstr>
  </property>
  <property fmtid="{D5CDD505-2E9C-101B-9397-08002B2CF9AE}" pid="8" name="MSIP_Label_defa4170-0d19-0005-0004-bc88714345d2_Method">
    <vt:lpwstr>Standard</vt:lpwstr>
  </property>
  <property fmtid="{D5CDD505-2E9C-101B-9397-08002B2CF9AE}" pid="9" name="MSIP_Label_defa4170-0d19-0005-0004-bc88714345d2_Name">
    <vt:lpwstr>defa4170-0d19-0005-0004-bc88714345d2</vt:lpwstr>
  </property>
  <property fmtid="{D5CDD505-2E9C-101B-9397-08002B2CF9AE}" pid="10" name="MSIP_Label_defa4170-0d19-0005-0004-bc88714345d2_SiteId">
    <vt:lpwstr>f5fc9c0b-f80e-4bcc-bb1f-03e97bc2c076</vt:lpwstr>
  </property>
  <property fmtid="{D5CDD505-2E9C-101B-9397-08002B2CF9AE}" pid="11" name="MSIP_Label_defa4170-0d19-0005-0004-bc88714345d2_ActionId">
    <vt:lpwstr>5c3ab400-7095-4079-a728-01b94dc639da</vt:lpwstr>
  </property>
  <property fmtid="{D5CDD505-2E9C-101B-9397-08002B2CF9AE}" pid="12" name="MSIP_Label_defa4170-0d19-0005-0004-bc88714345d2_ContentBits">
    <vt:lpwstr>0</vt:lpwstr>
  </property>
</Properties>
</file>