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Times New Roman" w:hAnsi="Times New Roman" w:eastAsia="仿宋_GB2312" w:cs="Times New Roman"/>
          <w:color w:val="auto"/>
          <w:sz w:val="36"/>
          <w:szCs w:val="36"/>
          <w:highlight w:val="none"/>
        </w:rPr>
      </w:pPr>
      <w:bookmarkStart w:id="146" w:name="_GoBack"/>
      <w:bookmarkEnd w:id="146"/>
      <w:r>
        <w:rPr>
          <w:rFonts w:hint="eastAsia" w:eastAsia="宋体"/>
          <w:lang w:eastAsia="zh-CN"/>
        </w:rPr>
        <w:drawing>
          <wp:anchor distT="0" distB="0" distL="114300" distR="114300" simplePos="0" relativeHeight="251676672" behindDoc="0" locked="0" layoutInCell="1" allowOverlap="1">
            <wp:simplePos x="0" y="0"/>
            <wp:positionH relativeFrom="column">
              <wp:posOffset>-990600</wp:posOffset>
            </wp:positionH>
            <wp:positionV relativeFrom="paragraph">
              <wp:posOffset>-516890</wp:posOffset>
            </wp:positionV>
            <wp:extent cx="7038975" cy="9855835"/>
            <wp:effectExtent l="0" t="0" r="9525" b="12065"/>
            <wp:wrapNone/>
            <wp:docPr id="35" name="图片 35" descr="未命名2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未命名2_02"/>
                    <pic:cNvPicPr>
                      <a:picLocks noChangeAspect="1"/>
                    </pic:cNvPicPr>
                  </pic:nvPicPr>
                  <pic:blipFill>
                    <a:blip r:embed="rId11"/>
                    <a:srcRect t="989"/>
                    <a:stretch>
                      <a:fillRect/>
                    </a:stretch>
                  </pic:blipFill>
                  <pic:spPr>
                    <a:xfrm>
                      <a:off x="0" y="0"/>
                      <a:ext cx="7038975" cy="9855835"/>
                    </a:xfrm>
                    <a:prstGeom prst="rect">
                      <a:avLst/>
                    </a:prstGeom>
                  </pic:spPr>
                </pic:pic>
              </a:graphicData>
            </a:graphic>
          </wp:anchor>
        </w:drawing>
      </w:r>
    </w:p>
    <w:p>
      <w:pPr>
        <w:rPr>
          <w:rFonts w:hint="default" w:ascii="Times New Roman" w:hAnsi="Times New Roman" w:eastAsia="仿宋_GB2312" w:cs="Times New Roman"/>
          <w:color w:val="auto"/>
          <w:sz w:val="36"/>
          <w:szCs w:val="36"/>
          <w:highlight w:val="none"/>
        </w:rPr>
      </w:pPr>
    </w:p>
    <w:p>
      <w:pPr>
        <w:rPr>
          <w:rFonts w:hint="default" w:ascii="Times New Roman" w:hAnsi="Times New Roman" w:eastAsia="仿宋_GB2312" w:cs="Times New Roman"/>
          <w:color w:val="auto"/>
          <w:sz w:val="36"/>
          <w:szCs w:val="36"/>
          <w:highlight w:val="none"/>
        </w:rPr>
      </w:pPr>
    </w:p>
    <w:p>
      <w:pPr>
        <w:ind w:left="0" w:leftChars="0" w:firstLine="0" w:firstLineChars="0"/>
        <w:rPr>
          <w:rFonts w:hint="default" w:ascii="Times New Roman" w:hAnsi="Times New Roman" w:eastAsia="仿宋_GB2312" w:cs="Times New Roman"/>
          <w:color w:val="auto"/>
          <w:sz w:val="36"/>
          <w:szCs w:val="36"/>
          <w:highlight w:val="none"/>
        </w:rPr>
      </w:pPr>
    </w:p>
    <w:p>
      <w:pPr>
        <w:rPr>
          <w:rFonts w:hint="default" w:ascii="Times New Roman" w:hAnsi="Times New Roman" w:eastAsia="仿宋_GB2312" w:cs="Times New Roman"/>
          <w:color w:val="auto"/>
          <w:sz w:val="36"/>
          <w:szCs w:val="36"/>
          <w:highlight w:val="none"/>
        </w:rPr>
      </w:pPr>
    </w:p>
    <w:p>
      <w:pPr>
        <w:bidi w:val="0"/>
        <w:jc w:val="center"/>
        <w:rPr>
          <w:rFonts w:hint="eastAsia" w:ascii="方正小标宋_GBK" w:hAnsi="方正小标宋_GBK" w:eastAsia="方正小标宋_GBK" w:cs="方正小标宋_GBK"/>
          <w:color w:val="auto"/>
          <w:sz w:val="72"/>
          <w:szCs w:val="72"/>
        </w:rPr>
      </w:pPr>
      <w:r>
        <w:rPr>
          <w:rFonts w:hint="eastAsia" w:ascii="方正小标宋_GBK" w:hAnsi="方正小标宋_GBK" w:eastAsia="方正小标宋_GBK" w:cs="方正小标宋_GBK"/>
          <w:color w:val="auto"/>
          <w:sz w:val="72"/>
          <w:szCs w:val="72"/>
        </w:rPr>
        <w:t>建设项目环境影响报告表</w:t>
      </w:r>
    </w:p>
    <w:p>
      <w:pPr>
        <w:adjustRightInd w:val="0"/>
        <w:snapToGrid w:val="0"/>
        <w:spacing w:before="192" w:beforeLines="80"/>
        <w:jc w:val="center"/>
        <w:rPr>
          <w:rFonts w:hint="eastAsia" w:ascii="楷体_GB2312" w:hAnsi="Times New Roman" w:eastAsia="楷体_GB2312" w:cs="Times New Roman"/>
          <w:bCs/>
          <w:color w:val="auto"/>
          <w:sz w:val="48"/>
          <w:szCs w:val="48"/>
        </w:rPr>
      </w:pPr>
      <w:r>
        <w:rPr>
          <w:rFonts w:hint="eastAsia" w:ascii="楷体_GB2312" w:hAnsi="Times New Roman" w:eastAsia="楷体_GB2312" w:cs="Times New Roman"/>
          <w:bCs/>
          <w:color w:val="auto"/>
          <w:sz w:val="48"/>
          <w:szCs w:val="48"/>
        </w:rPr>
        <w:t>（</w:t>
      </w:r>
      <w:r>
        <w:rPr>
          <w:rFonts w:hint="eastAsia" w:ascii="楷体_GB2312" w:hAnsi="Times New Roman" w:eastAsia="楷体_GB2312" w:cs="Times New Roman"/>
          <w:bCs/>
          <w:color w:val="auto"/>
          <w:sz w:val="48"/>
          <w:szCs w:val="48"/>
          <w:lang w:val="en-US" w:eastAsia="zh-CN"/>
        </w:rPr>
        <w:t>污染</w:t>
      </w:r>
      <w:r>
        <w:rPr>
          <w:rFonts w:hint="eastAsia" w:ascii="楷体_GB2312" w:hAnsi="Times New Roman" w:eastAsia="楷体_GB2312" w:cs="Times New Roman"/>
          <w:bCs/>
          <w:color w:val="auto"/>
          <w:sz w:val="48"/>
          <w:szCs w:val="48"/>
        </w:rPr>
        <w:t>影响类）</w:t>
      </w:r>
    </w:p>
    <w:p>
      <w:pPr>
        <w:ind w:firstLine="1040"/>
        <w:rPr>
          <w:rFonts w:hint="default" w:ascii="Times New Roman" w:hAnsi="Times New Roman" w:eastAsia="仿宋" w:cs="Times New Roman"/>
          <w:color w:val="auto"/>
          <w:sz w:val="44"/>
          <w:szCs w:val="44"/>
          <w:highlight w:val="none"/>
        </w:rPr>
      </w:pPr>
    </w:p>
    <w:p>
      <w:pPr>
        <w:ind w:firstLine="1040"/>
        <w:rPr>
          <w:rFonts w:hint="default" w:ascii="Times New Roman" w:hAnsi="Times New Roman" w:eastAsia="仿宋" w:cs="Times New Roman"/>
          <w:color w:val="auto"/>
          <w:sz w:val="44"/>
          <w:szCs w:val="44"/>
          <w:highlight w:val="none"/>
        </w:rPr>
      </w:pPr>
    </w:p>
    <w:p>
      <w:pPr>
        <w:ind w:firstLine="1040"/>
        <w:jc w:val="center"/>
        <w:rPr>
          <w:rFonts w:hint="default" w:ascii="Times New Roman" w:hAnsi="Times New Roman" w:eastAsia="仿宋" w:cs="Times New Roman"/>
          <w:color w:val="auto"/>
          <w:sz w:val="44"/>
          <w:szCs w:val="44"/>
          <w:highlight w:val="none"/>
          <w:lang w:val="en-US" w:eastAsia="zh-CN"/>
        </w:rPr>
      </w:pPr>
    </w:p>
    <w:p>
      <w:pPr>
        <w:ind w:firstLine="1040"/>
        <w:rPr>
          <w:rFonts w:hint="default" w:ascii="Times New Roman" w:hAnsi="Times New Roman" w:eastAsia="仿宋" w:cs="Times New Roman"/>
          <w:color w:val="auto"/>
          <w:sz w:val="44"/>
          <w:szCs w:val="44"/>
          <w:highlight w:val="none"/>
        </w:rPr>
      </w:pPr>
    </w:p>
    <w:p>
      <w:pPr>
        <w:ind w:firstLine="1040"/>
        <w:rPr>
          <w:rFonts w:hint="default" w:ascii="Times New Roman" w:hAnsi="Times New Roman" w:eastAsia="仿宋" w:cs="Times New Roman"/>
          <w:color w:val="auto"/>
          <w:sz w:val="44"/>
          <w:szCs w:val="44"/>
          <w:highlight w:val="none"/>
        </w:rPr>
      </w:pPr>
    </w:p>
    <w:p>
      <w:pPr>
        <w:ind w:firstLine="1040"/>
        <w:rPr>
          <w:rFonts w:hint="default" w:ascii="Times New Roman" w:hAnsi="Times New Roman" w:eastAsia="仿宋" w:cs="Times New Roman"/>
          <w:color w:val="auto"/>
          <w:sz w:val="44"/>
          <w:szCs w:val="44"/>
          <w:highlight w:val="none"/>
        </w:rPr>
      </w:pPr>
    </w:p>
    <w:p>
      <w:pPr>
        <w:ind w:firstLine="1040"/>
        <w:rPr>
          <w:rFonts w:hint="default" w:ascii="Times New Roman" w:hAnsi="Times New Roman" w:eastAsia="仿宋" w:cs="Times New Roman"/>
          <w:color w:val="auto"/>
          <w:sz w:val="44"/>
          <w:szCs w:val="44"/>
          <w:highlight w:val="none"/>
        </w:rPr>
      </w:pPr>
    </w:p>
    <w:p>
      <w:pPr>
        <w:ind w:firstLine="1040"/>
        <w:rPr>
          <w:rFonts w:hint="default" w:ascii="Times New Roman" w:hAnsi="Times New Roman" w:eastAsia="仿宋" w:cs="Times New Roman"/>
          <w:color w:val="auto"/>
          <w:sz w:val="44"/>
          <w:szCs w:val="44"/>
          <w:highlight w:val="none"/>
        </w:rPr>
      </w:pPr>
    </w:p>
    <w:p>
      <w:pPr>
        <w:adjustRightInd w:val="0"/>
        <w:snapToGrid w:val="0"/>
        <w:spacing w:line="360" w:lineRule="auto"/>
        <w:ind w:left="2110" w:leftChars="304" w:hanging="1472" w:hangingChars="409"/>
        <w:rPr>
          <w:rFonts w:hint="default" w:ascii="Times New Roman" w:hAnsi="Times New Roman" w:eastAsia="仿宋_GB2312" w:cs="Times New Roman"/>
          <w:color w:val="auto"/>
          <w:sz w:val="36"/>
          <w:szCs w:val="36"/>
          <w:highlight w:val="none"/>
          <w:u w:val="single"/>
          <w:lang w:val="en-US"/>
        </w:rPr>
      </w:pPr>
      <w:r>
        <w:rPr>
          <w:rFonts w:hint="default" w:ascii="Times New Roman" w:hAnsi="Times New Roman" w:eastAsia="仿宋_GB2312" w:cs="Times New Roman"/>
          <w:color w:val="auto"/>
          <w:sz w:val="36"/>
          <w:szCs w:val="36"/>
          <w:highlight w:val="none"/>
        </w:rPr>
        <w:t>项目名称：</w:t>
      </w:r>
      <w:r>
        <w:rPr>
          <w:rFonts w:hint="default" w:ascii="Times New Roman" w:hAnsi="Times New Roman" w:eastAsia="仿宋_GB2312" w:cs="Times New Roman"/>
          <w:color w:val="auto"/>
          <w:sz w:val="36"/>
          <w:szCs w:val="36"/>
          <w:highlight w:val="none"/>
          <w:u w:val="single"/>
          <w:lang w:val="en-US" w:eastAsia="zh-CN"/>
        </w:rPr>
        <w:t xml:space="preserve">     </w:t>
      </w:r>
      <w:r>
        <w:rPr>
          <w:rFonts w:hint="eastAsia" w:eastAsia="仿宋_GB2312" w:cs="Times New Roman"/>
          <w:color w:val="auto"/>
          <w:sz w:val="36"/>
          <w:szCs w:val="36"/>
          <w:highlight w:val="none"/>
          <w:u w:val="single"/>
          <w:lang w:eastAsia="zh-CN"/>
        </w:rPr>
        <w:t>福清水质检测中心实验室项目</w:t>
      </w:r>
      <w:r>
        <w:rPr>
          <w:rFonts w:hint="default" w:ascii="Times New Roman" w:hAnsi="Times New Roman" w:eastAsia="仿宋_GB2312" w:cs="Times New Roman"/>
          <w:color w:val="auto"/>
          <w:sz w:val="36"/>
          <w:szCs w:val="36"/>
          <w:highlight w:val="none"/>
          <w:u w:val="single"/>
          <w:lang w:val="en-US" w:eastAsia="zh-CN"/>
        </w:rPr>
        <w:t xml:space="preserve">                       </w:t>
      </w:r>
    </w:p>
    <w:p>
      <w:pPr>
        <w:adjustRightInd w:val="0"/>
        <w:snapToGrid w:val="0"/>
        <w:spacing w:line="360" w:lineRule="auto"/>
        <w:ind w:left="2110" w:leftChars="304" w:hanging="1472" w:hangingChars="409"/>
        <w:rPr>
          <w:rFonts w:hint="default" w:ascii="Times New Roman" w:hAnsi="Times New Roman" w:eastAsia="仿宋_GB2312" w:cs="Times New Roman"/>
          <w:color w:val="auto"/>
          <w:sz w:val="36"/>
          <w:szCs w:val="36"/>
          <w:highlight w:val="none"/>
          <w:u w:val="single"/>
        </w:rPr>
      </w:pPr>
      <w:r>
        <w:rPr>
          <w:rFonts w:hint="default" w:ascii="Times New Roman" w:hAnsi="Times New Roman" w:eastAsia="仿宋_GB2312" w:cs="Times New Roman"/>
          <w:color w:val="auto"/>
          <w:sz w:val="36"/>
          <w:szCs w:val="36"/>
          <w:highlight w:val="none"/>
        </w:rPr>
        <w:t>建设单位（盖章）：</w:t>
      </w:r>
      <w:r>
        <w:rPr>
          <w:rFonts w:hint="eastAsia" w:eastAsia="仿宋_GB2312" w:cs="Times New Roman"/>
          <w:color w:val="auto"/>
          <w:sz w:val="36"/>
          <w:szCs w:val="36"/>
          <w:highlight w:val="none"/>
          <w:u w:val="single"/>
          <w:lang w:eastAsia="zh-CN"/>
        </w:rPr>
        <w:t>福建水投集团检测科技有限公司</w:t>
      </w:r>
      <w:r>
        <w:rPr>
          <w:rFonts w:hint="default" w:ascii="Times New Roman" w:hAnsi="Times New Roman" w:eastAsia="仿宋_GB2312" w:cs="Times New Roman"/>
          <w:color w:val="auto"/>
          <w:sz w:val="36"/>
          <w:szCs w:val="36"/>
          <w:highlight w:val="none"/>
          <w:u w:val="single"/>
        </w:rPr>
        <w:t xml:space="preserve">        </w:t>
      </w:r>
    </w:p>
    <w:p>
      <w:pPr>
        <w:adjustRightInd w:val="0"/>
        <w:snapToGrid w:val="0"/>
        <w:spacing w:line="360" w:lineRule="auto"/>
        <w:ind w:left="2110" w:leftChars="304" w:hanging="1472" w:hangingChars="409"/>
        <w:rPr>
          <w:rFonts w:hint="default" w:ascii="Times New Roman" w:hAnsi="Times New Roman" w:eastAsia="仿宋_GB2312" w:cs="Times New Roman"/>
          <w:color w:val="auto"/>
          <w:sz w:val="36"/>
          <w:szCs w:val="36"/>
          <w:highlight w:val="none"/>
          <w:u w:val="single"/>
          <w:lang w:val="en-US" w:eastAsia="zh-CN"/>
        </w:rPr>
      </w:pPr>
      <w:r>
        <w:rPr>
          <w:rFonts w:hint="default" w:ascii="Times New Roman" w:hAnsi="Times New Roman" w:eastAsia="仿宋_GB2312" w:cs="Times New Roman"/>
          <w:color w:val="auto"/>
          <w:sz w:val="36"/>
          <w:szCs w:val="36"/>
          <w:highlight w:val="none"/>
        </w:rPr>
        <w:t>编制日期：</w:t>
      </w:r>
      <w:r>
        <w:rPr>
          <w:rFonts w:hint="default" w:ascii="Times New Roman" w:hAnsi="Times New Roman" w:eastAsia="仿宋_GB2312" w:cs="Times New Roman"/>
          <w:color w:val="auto"/>
          <w:sz w:val="36"/>
          <w:szCs w:val="36"/>
          <w:highlight w:val="none"/>
          <w:u w:val="single"/>
        </w:rPr>
        <w:t xml:space="preserve">    </w:t>
      </w:r>
      <w:r>
        <w:rPr>
          <w:rFonts w:hint="default" w:ascii="Times New Roman" w:hAnsi="Times New Roman"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rPr>
        <w:t>202</w:t>
      </w:r>
      <w:r>
        <w:rPr>
          <w:rFonts w:hint="eastAsia" w:eastAsia="仿宋_GB2312" w:cs="Times New Roman"/>
          <w:color w:val="auto"/>
          <w:sz w:val="36"/>
          <w:szCs w:val="36"/>
          <w:highlight w:val="none"/>
          <w:u w:val="single"/>
          <w:lang w:val="en-US" w:eastAsia="zh-CN"/>
        </w:rPr>
        <w:t>5</w:t>
      </w:r>
      <w:r>
        <w:rPr>
          <w:rFonts w:hint="default" w:ascii="Times New Roman" w:hAnsi="Times New Roman" w:eastAsia="仿宋_GB2312" w:cs="Times New Roman"/>
          <w:color w:val="auto"/>
          <w:sz w:val="36"/>
          <w:szCs w:val="36"/>
          <w:highlight w:val="none"/>
          <w:u w:val="single"/>
        </w:rPr>
        <w:t>年</w:t>
      </w:r>
      <w:r>
        <w:rPr>
          <w:rFonts w:hint="eastAsia" w:eastAsia="仿宋_GB2312" w:cs="Times New Roman"/>
          <w:color w:val="auto"/>
          <w:sz w:val="36"/>
          <w:szCs w:val="36"/>
          <w:highlight w:val="none"/>
          <w:u w:val="single"/>
          <w:lang w:val="en-US" w:eastAsia="zh-CN"/>
        </w:rPr>
        <w:t>3</w:t>
      </w:r>
      <w:r>
        <w:rPr>
          <w:rFonts w:hint="default" w:ascii="Times New Roman" w:hAnsi="Times New Roman" w:eastAsia="仿宋_GB2312" w:cs="Times New Roman"/>
          <w:color w:val="auto"/>
          <w:sz w:val="36"/>
          <w:szCs w:val="36"/>
          <w:highlight w:val="none"/>
          <w:u w:val="single"/>
        </w:rPr>
        <w:t>月</w:t>
      </w:r>
      <w:r>
        <w:rPr>
          <w:rFonts w:hint="default" w:ascii="Times New Roman" w:hAnsi="Times New Roman"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rPr>
        <w:t xml:space="preserve">         </w:t>
      </w:r>
      <w:r>
        <w:rPr>
          <w:rFonts w:hint="default" w:ascii="Times New Roman" w:hAnsi="Times New Roman" w:eastAsia="仿宋_GB2312" w:cs="Times New Roman"/>
          <w:color w:val="auto"/>
          <w:sz w:val="36"/>
          <w:szCs w:val="36"/>
          <w:highlight w:val="none"/>
          <w:u w:val="single"/>
          <w:lang w:val="en-US" w:eastAsia="zh-CN"/>
        </w:rPr>
        <w:t xml:space="preserve"> </w:t>
      </w:r>
    </w:p>
    <w:p>
      <w:pPr>
        <w:adjustRightInd w:val="0"/>
        <w:snapToGrid w:val="0"/>
        <w:spacing w:line="288" w:lineRule="auto"/>
        <w:ind w:firstLine="1040"/>
        <w:rPr>
          <w:rFonts w:hint="default" w:ascii="Times New Roman" w:hAnsi="Times New Roman" w:eastAsia="仿宋_GB2312" w:cs="Times New Roman"/>
          <w:color w:val="auto"/>
          <w:sz w:val="36"/>
          <w:szCs w:val="36"/>
          <w:highlight w:val="none"/>
          <w:u w:val="single"/>
        </w:rPr>
      </w:pPr>
    </w:p>
    <w:p>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outlineLvl w:val="9"/>
        <w:rPr>
          <w:rFonts w:hint="default" w:ascii="Times New Roman" w:hAnsi="Times New Roman" w:eastAsia="楷体_GB2312" w:cs="Times New Roman"/>
          <w:color w:val="auto"/>
          <w:sz w:val="36"/>
          <w:szCs w:val="36"/>
          <w:highlight w:val="none"/>
        </w:rPr>
      </w:pPr>
      <w:bookmarkStart w:id="0" w:name="_Toc3231"/>
      <w:r>
        <w:rPr>
          <w:rFonts w:hint="default" w:ascii="Times New Roman" w:hAnsi="Times New Roman" w:eastAsia="楷体_GB2312" w:cs="Times New Roman"/>
          <w:color w:val="auto"/>
          <w:sz w:val="36"/>
          <w:szCs w:val="36"/>
          <w:highlight w:val="none"/>
        </w:rPr>
        <w:t>中华人民共和国生态环境部制</w:t>
      </w:r>
      <w:bookmarkEnd w:id="0"/>
    </w:p>
    <w:p>
      <w:pPr>
        <w:adjustRightInd w:val="0"/>
        <w:snapToGrid w:val="0"/>
        <w:spacing w:line="288" w:lineRule="auto"/>
        <w:jc w:val="center"/>
        <w:rPr>
          <w:rFonts w:hint="default" w:ascii="Times New Roman" w:hAnsi="Times New Roman" w:eastAsia="楷体_GB2312" w:cs="Times New Roman"/>
          <w:color w:val="auto"/>
          <w:sz w:val="36"/>
          <w:szCs w:val="36"/>
          <w:highlight w:val="none"/>
        </w:rPr>
        <w:sectPr>
          <w:headerReference r:id="rId3" w:type="default"/>
          <w:footerReference r:id="rId4" w:type="default"/>
          <w:pgSz w:w="11906" w:h="16838"/>
          <w:pgMar w:top="1701" w:right="1417" w:bottom="1701" w:left="1531" w:header="851" w:footer="1077" w:gutter="0"/>
          <w:pgBorders>
            <w:top w:val="none" w:sz="0" w:space="0"/>
            <w:left w:val="none" w:sz="0" w:space="0"/>
            <w:bottom w:val="none" w:sz="0" w:space="0"/>
            <w:right w:val="none" w:sz="0" w:space="0"/>
          </w:pgBorders>
          <w:pgNumType w:fmt="numberInDash" w:start="3"/>
          <w:cols w:space="720" w:num="1"/>
          <w:docGrid w:linePitch="312" w:charSpace="0"/>
        </w:sectPr>
      </w:pPr>
    </w:p>
    <w:p>
      <w:pPr>
        <w:rPr>
          <w:rFonts w:hint="eastAsia" w:eastAsia="宋体"/>
          <w:lang w:eastAsia="zh-CN"/>
        </w:rPr>
        <w:sectPr>
          <w:pgSz w:w="11906" w:h="16838"/>
          <w:pgMar w:top="1701" w:right="1417" w:bottom="1701" w:left="1531" w:header="851" w:footer="1077" w:gutter="0"/>
          <w:pgBorders>
            <w:top w:val="none" w:sz="0" w:space="0"/>
            <w:left w:val="none" w:sz="0" w:space="0"/>
            <w:bottom w:val="none" w:sz="0" w:space="0"/>
            <w:right w:val="none" w:sz="0" w:space="0"/>
          </w:pgBorders>
          <w:pgNumType w:fmt="numberInDash" w:start="3"/>
          <w:cols w:space="720" w:num="1"/>
          <w:docGrid w:linePitch="312" w:charSpace="0"/>
        </w:sectPr>
      </w:pPr>
      <w:r>
        <w:rPr>
          <w:rFonts w:hint="eastAsia" w:eastAsia="宋体"/>
          <w:lang w:eastAsia="zh-CN"/>
        </w:rPr>
        <w:drawing>
          <wp:anchor distT="0" distB="0" distL="114300" distR="114300" simplePos="0" relativeHeight="251677696" behindDoc="1" locked="0" layoutInCell="1" allowOverlap="1">
            <wp:simplePos x="0" y="0"/>
            <wp:positionH relativeFrom="column">
              <wp:posOffset>-928370</wp:posOffset>
            </wp:positionH>
            <wp:positionV relativeFrom="paragraph">
              <wp:posOffset>-750570</wp:posOffset>
            </wp:positionV>
            <wp:extent cx="7054215" cy="9975215"/>
            <wp:effectExtent l="0" t="0" r="13335" b="6985"/>
            <wp:wrapThrough wrapText="bothSides">
              <wp:wrapPolygon>
                <wp:start x="0" y="0"/>
                <wp:lineTo x="0" y="21600"/>
                <wp:lineTo x="21600" y="21600"/>
                <wp:lineTo x="21600" y="0"/>
                <wp:lineTo x="0" y="0"/>
              </wp:wrapPolygon>
            </wp:wrapThrough>
            <wp:docPr id="48" name="图片 48" descr="未命名2(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未命名2(1)_04"/>
                    <pic:cNvPicPr>
                      <a:picLocks noChangeAspect="1"/>
                    </pic:cNvPicPr>
                  </pic:nvPicPr>
                  <pic:blipFill>
                    <a:blip r:embed="rId12"/>
                    <a:stretch>
                      <a:fillRect/>
                    </a:stretch>
                  </pic:blipFill>
                  <pic:spPr>
                    <a:xfrm>
                      <a:off x="0" y="0"/>
                      <a:ext cx="7054215" cy="9975215"/>
                    </a:xfrm>
                    <a:prstGeom prst="rect">
                      <a:avLst/>
                    </a:prstGeom>
                  </pic:spPr>
                </pic:pic>
              </a:graphicData>
            </a:graphic>
          </wp:anchor>
        </w:drawing>
      </w:r>
    </w:p>
    <w:p>
      <w:pPr>
        <w:rPr>
          <w:rFonts w:hint="default"/>
        </w:rPr>
      </w:pPr>
    </w:p>
    <w:p>
      <w:pPr>
        <w:rPr>
          <w:rFonts w:hint="default"/>
        </w:rPr>
      </w:pPr>
      <w:r>
        <w:rPr>
          <w:sz w:val="21"/>
        </w:rPr>
        <mc:AlternateContent>
          <mc:Choice Requires="wps">
            <w:drawing>
              <wp:anchor distT="0" distB="0" distL="114300" distR="114300" simplePos="0" relativeHeight="251671552" behindDoc="0" locked="0" layoutInCell="1" allowOverlap="1">
                <wp:simplePos x="0" y="0"/>
                <wp:positionH relativeFrom="column">
                  <wp:posOffset>-338455</wp:posOffset>
                </wp:positionH>
                <wp:positionV relativeFrom="paragraph">
                  <wp:posOffset>1173480</wp:posOffset>
                </wp:positionV>
                <wp:extent cx="5142865" cy="499110"/>
                <wp:effectExtent l="0" t="0" r="0" b="0"/>
                <wp:wrapNone/>
                <wp:docPr id="10" name="文本框 10"/>
                <wp:cNvGraphicFramePr/>
                <a:graphic xmlns:a="http://schemas.openxmlformats.org/drawingml/2006/main">
                  <a:graphicData uri="http://schemas.microsoft.com/office/word/2010/wordprocessingShape">
                    <wps:wsp>
                      <wps:cNvSpPr txBox="1"/>
                      <wps:spPr>
                        <a:xfrm rot="18900000">
                          <a:off x="1307465" y="3587115"/>
                          <a:ext cx="5142865" cy="4991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微软雅黑" w:hAnsi="微软雅黑" w:eastAsia="微软雅黑" w:cs="微软雅黑"/>
                                <w:b w:val="0"/>
                                <w:bCs w:val="0"/>
                                <w:sz w:val="36"/>
                                <w:szCs w:val="36"/>
                                <w:lang w:val="en-US" w:eastAsia="zh-CN"/>
                              </w:rPr>
                            </w:pPr>
                            <w:r>
                              <w:rPr>
                                <w:rFonts w:hint="eastAsia" w:ascii="微软雅黑" w:hAnsi="微软雅黑" w:eastAsia="微软雅黑" w:cs="微软雅黑"/>
                                <w:b w:val="0"/>
                                <w:bCs w:val="0"/>
                                <w:sz w:val="36"/>
                                <w:szCs w:val="36"/>
                                <w:lang w:val="en-US" w:eastAsia="zh-CN"/>
                              </w:rPr>
                              <w:t>仅限</w:t>
                            </w:r>
                            <w:r>
                              <w:rPr>
                                <w:rFonts w:hint="eastAsia" w:ascii="微软雅黑" w:hAnsi="微软雅黑" w:eastAsia="微软雅黑" w:cs="微软雅黑"/>
                                <w:b w:val="0"/>
                                <w:bCs w:val="0"/>
                                <w:color w:val="auto"/>
                                <w:sz w:val="36"/>
                                <w:szCs w:val="36"/>
                                <w:highlight w:val="none"/>
                                <w:lang w:val="en-US" w:eastAsia="zh-CN"/>
                              </w:rPr>
                              <w:t>福清水质检测中心实验室项目环评使用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5pt;margin-top:92.4pt;height:39.3pt;width:404.95pt;rotation:-2949120f;z-index:251671552;mso-width-relative:page;mso-height-relative:page;" filled="f" stroked="f" coordsize="21600,21600" o:gfxdata="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7V2edoAAAALAQAADwAAAAAAAAABACAAAAAiAAAAZHJzL2Rvd25yZXYu&#10;eG1sUEsBAhQAFAAAAAgAh07iQPf+i4IyAgAANQQAAA4AAAAAAAAAAQAgAAAAKQEAAGRycy9lMm9E&#10;b2MueG1sUEsFBgAAAAAGAAYAWQEAAM0FAAAAAA==&#10;">
                <v:fill on="f" focussize="0,0"/>
                <v:stroke on="f" weight="0.5pt"/>
                <v:imagedata o:title=""/>
                <o:lock v:ext="edit" aspectratio="f"/>
                <v:textbox>
                  <w:txbxContent>
                    <w:p>
                      <w:pPr>
                        <w:rPr>
                          <w:rFonts w:hint="eastAsia" w:ascii="微软雅黑" w:hAnsi="微软雅黑" w:eastAsia="微软雅黑" w:cs="微软雅黑"/>
                          <w:b w:val="0"/>
                          <w:bCs w:val="0"/>
                          <w:sz w:val="36"/>
                          <w:szCs w:val="36"/>
                          <w:lang w:val="en-US" w:eastAsia="zh-CN"/>
                        </w:rPr>
                      </w:pPr>
                      <w:r>
                        <w:rPr>
                          <w:rFonts w:hint="eastAsia" w:ascii="微软雅黑" w:hAnsi="微软雅黑" w:eastAsia="微软雅黑" w:cs="微软雅黑"/>
                          <w:b w:val="0"/>
                          <w:bCs w:val="0"/>
                          <w:sz w:val="36"/>
                          <w:szCs w:val="36"/>
                          <w:lang w:val="en-US" w:eastAsia="zh-CN"/>
                        </w:rPr>
                        <w:t>仅限</w:t>
                      </w:r>
                      <w:r>
                        <w:rPr>
                          <w:rFonts w:hint="eastAsia" w:ascii="微软雅黑" w:hAnsi="微软雅黑" w:eastAsia="微软雅黑" w:cs="微软雅黑"/>
                          <w:b w:val="0"/>
                          <w:bCs w:val="0"/>
                          <w:color w:val="auto"/>
                          <w:sz w:val="36"/>
                          <w:szCs w:val="36"/>
                          <w:highlight w:val="none"/>
                          <w:lang w:val="en-US" w:eastAsia="zh-CN"/>
                        </w:rPr>
                        <w:t>福清水质检测中心实验室项目环评使用</w:t>
                      </w:r>
                    </w:p>
                  </w:txbxContent>
                </v:textbox>
              </v:shape>
            </w:pict>
          </mc:Fallback>
        </mc:AlternateContent>
      </w:r>
      <w:r>
        <w:rPr>
          <w:sz w:val="21"/>
        </w:rPr>
        <mc:AlternateContent>
          <mc:Choice Requires="wps">
            <w:drawing>
              <wp:anchor distT="0" distB="0" distL="114300" distR="114300" simplePos="0" relativeHeight="251672576" behindDoc="0" locked="0" layoutInCell="1" allowOverlap="1">
                <wp:simplePos x="0" y="0"/>
                <wp:positionH relativeFrom="column">
                  <wp:posOffset>-5080</wp:posOffset>
                </wp:positionH>
                <wp:positionV relativeFrom="paragraph">
                  <wp:posOffset>3869055</wp:posOffset>
                </wp:positionV>
                <wp:extent cx="5142865" cy="499110"/>
                <wp:effectExtent l="0" t="0" r="0" b="0"/>
                <wp:wrapNone/>
                <wp:docPr id="16" name="文本框 16"/>
                <wp:cNvGraphicFramePr/>
                <a:graphic xmlns:a="http://schemas.openxmlformats.org/drawingml/2006/main">
                  <a:graphicData uri="http://schemas.microsoft.com/office/word/2010/wordprocessingShape">
                    <wps:wsp>
                      <wps:cNvSpPr txBox="1"/>
                      <wps:spPr>
                        <a:xfrm rot="18900000">
                          <a:off x="0" y="0"/>
                          <a:ext cx="5142865" cy="4991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微软雅黑" w:hAnsi="微软雅黑" w:eastAsia="微软雅黑" w:cs="微软雅黑"/>
                                <w:b w:val="0"/>
                                <w:bCs w:val="0"/>
                                <w:sz w:val="36"/>
                                <w:szCs w:val="36"/>
                                <w:lang w:val="en-US" w:eastAsia="zh-CN"/>
                              </w:rPr>
                            </w:pPr>
                            <w:r>
                              <w:rPr>
                                <w:rFonts w:hint="eastAsia" w:ascii="微软雅黑" w:hAnsi="微软雅黑" w:eastAsia="微软雅黑" w:cs="微软雅黑"/>
                                <w:b w:val="0"/>
                                <w:bCs w:val="0"/>
                                <w:sz w:val="36"/>
                                <w:szCs w:val="36"/>
                                <w:lang w:val="en-US" w:eastAsia="zh-CN"/>
                              </w:rPr>
                              <w:t>仅限</w:t>
                            </w:r>
                            <w:r>
                              <w:rPr>
                                <w:rFonts w:hint="eastAsia" w:ascii="微软雅黑" w:hAnsi="微软雅黑" w:eastAsia="微软雅黑" w:cs="微软雅黑"/>
                                <w:b w:val="0"/>
                                <w:bCs w:val="0"/>
                                <w:color w:val="auto"/>
                                <w:sz w:val="36"/>
                                <w:szCs w:val="36"/>
                                <w:highlight w:val="none"/>
                                <w:lang w:val="en-US" w:eastAsia="zh-CN"/>
                              </w:rPr>
                              <w:t>福清水质检测中心实验室项目环评使用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4pt;margin-top:304.65pt;height:39.3pt;width:404.95pt;rotation:-2949120f;z-index:251672576;mso-width-relative:page;mso-height-relative:page;" filled="f" stroked="f" coordsize="21600,21600" o:gfxdata="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KCf1RbYAAAACQEAAA8AAAAAAAAAAQAgAAAAIgAAAGRycy9kb3ducmV2LnhtbFBLAQIUABQA&#10;AAAIAIdO4kCwGIGzKQIAACkEAAAOAAAAAAAAAAEAIAAAACcBAABkcnMvZTJvRG9jLnhtbFBLBQYA&#10;AAAABgAGAFkBAADCBQAAAAA=&#10;">
                <v:fill on="f" focussize="0,0"/>
                <v:stroke on="f" weight="0.5pt"/>
                <v:imagedata o:title=""/>
                <o:lock v:ext="edit" aspectratio="f"/>
                <v:textbox>
                  <w:txbxContent>
                    <w:p>
                      <w:pPr>
                        <w:rPr>
                          <w:rFonts w:hint="eastAsia" w:ascii="微软雅黑" w:hAnsi="微软雅黑" w:eastAsia="微软雅黑" w:cs="微软雅黑"/>
                          <w:b w:val="0"/>
                          <w:bCs w:val="0"/>
                          <w:sz w:val="36"/>
                          <w:szCs w:val="36"/>
                          <w:lang w:val="en-US" w:eastAsia="zh-CN"/>
                        </w:rPr>
                      </w:pPr>
                      <w:r>
                        <w:rPr>
                          <w:rFonts w:hint="eastAsia" w:ascii="微软雅黑" w:hAnsi="微软雅黑" w:eastAsia="微软雅黑" w:cs="微软雅黑"/>
                          <w:b w:val="0"/>
                          <w:bCs w:val="0"/>
                          <w:sz w:val="36"/>
                          <w:szCs w:val="36"/>
                          <w:lang w:val="en-US" w:eastAsia="zh-CN"/>
                        </w:rPr>
                        <w:t>仅限</w:t>
                      </w:r>
                      <w:r>
                        <w:rPr>
                          <w:rFonts w:hint="eastAsia" w:ascii="微软雅黑" w:hAnsi="微软雅黑" w:eastAsia="微软雅黑" w:cs="微软雅黑"/>
                          <w:b w:val="0"/>
                          <w:bCs w:val="0"/>
                          <w:color w:val="auto"/>
                          <w:sz w:val="36"/>
                          <w:szCs w:val="36"/>
                          <w:highlight w:val="none"/>
                          <w:lang w:val="en-US" w:eastAsia="zh-CN"/>
                        </w:rPr>
                        <w:t>福清水质检测中心实验室项目环评使用</w:t>
                      </w:r>
                    </w:p>
                  </w:txbxContent>
                </v:textbox>
              </v:shape>
            </w:pict>
          </mc:Fallback>
        </mc:AlternateContent>
      </w:r>
      <w:r>
        <w:rPr>
          <w:sz w:val="21"/>
        </w:rPr>
        <mc:AlternateContent>
          <mc:Choice Requires="wps">
            <w:drawing>
              <wp:anchor distT="0" distB="0" distL="114300" distR="114300" simplePos="0" relativeHeight="251673600" behindDoc="0" locked="0" layoutInCell="1" allowOverlap="1">
                <wp:simplePos x="0" y="0"/>
                <wp:positionH relativeFrom="column">
                  <wp:posOffset>385445</wp:posOffset>
                </wp:positionH>
                <wp:positionV relativeFrom="paragraph">
                  <wp:posOffset>6402705</wp:posOffset>
                </wp:positionV>
                <wp:extent cx="5142865" cy="499110"/>
                <wp:effectExtent l="0" t="0" r="0" b="0"/>
                <wp:wrapNone/>
                <wp:docPr id="19" name="文本框 19"/>
                <wp:cNvGraphicFramePr/>
                <a:graphic xmlns:a="http://schemas.openxmlformats.org/drawingml/2006/main">
                  <a:graphicData uri="http://schemas.microsoft.com/office/word/2010/wordprocessingShape">
                    <wps:wsp>
                      <wps:cNvSpPr txBox="1"/>
                      <wps:spPr>
                        <a:xfrm rot="18900000">
                          <a:off x="0" y="0"/>
                          <a:ext cx="5142865" cy="4991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微软雅黑" w:hAnsi="微软雅黑" w:eastAsia="微软雅黑" w:cs="微软雅黑"/>
                                <w:b w:val="0"/>
                                <w:bCs w:val="0"/>
                                <w:sz w:val="36"/>
                                <w:szCs w:val="36"/>
                                <w:lang w:val="en-US" w:eastAsia="zh-CN"/>
                              </w:rPr>
                            </w:pPr>
                            <w:r>
                              <w:rPr>
                                <w:rFonts w:hint="eastAsia" w:ascii="微软雅黑" w:hAnsi="微软雅黑" w:eastAsia="微软雅黑" w:cs="微软雅黑"/>
                                <w:b w:val="0"/>
                                <w:bCs w:val="0"/>
                                <w:sz w:val="36"/>
                                <w:szCs w:val="36"/>
                                <w:lang w:val="en-US" w:eastAsia="zh-CN"/>
                              </w:rPr>
                              <w:t>仅限</w:t>
                            </w:r>
                            <w:r>
                              <w:rPr>
                                <w:rFonts w:hint="eastAsia" w:ascii="微软雅黑" w:hAnsi="微软雅黑" w:eastAsia="微软雅黑" w:cs="微软雅黑"/>
                                <w:b w:val="0"/>
                                <w:bCs w:val="0"/>
                                <w:color w:val="auto"/>
                                <w:sz w:val="36"/>
                                <w:szCs w:val="36"/>
                                <w:highlight w:val="none"/>
                                <w:lang w:val="en-US" w:eastAsia="zh-CN"/>
                              </w:rPr>
                              <w:t>福清水质检测中心实验室项目环评使用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35pt;margin-top:504.15pt;height:39.3pt;width:404.95pt;rotation:-2949120f;z-index:251673600;mso-width-relative:page;mso-height-relative:page;" filled="f" stroked="f" coordsize="21600,21600" o:gfxdata="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b2s/z2QAAAAwBAAAPAAAAAAAAAAEAIAAAACIAAABkcnMvZG93bnJldi54bWxQSwECFAAU&#10;AAAACACHTuJAsq+ntCkCAAApBAAADgAAAAAAAAABACAAAAAoAQAAZHJzL2Uyb0RvYy54bWxQSwUG&#10;AAAAAAYABgBZAQAAwwUAAAAA&#10;">
                <v:fill on="f" focussize="0,0"/>
                <v:stroke on="f" weight="0.5pt"/>
                <v:imagedata o:title=""/>
                <o:lock v:ext="edit" aspectratio="f"/>
                <v:textbox>
                  <w:txbxContent>
                    <w:p>
                      <w:pPr>
                        <w:rPr>
                          <w:rFonts w:hint="eastAsia" w:ascii="微软雅黑" w:hAnsi="微软雅黑" w:eastAsia="微软雅黑" w:cs="微软雅黑"/>
                          <w:b w:val="0"/>
                          <w:bCs w:val="0"/>
                          <w:sz w:val="36"/>
                          <w:szCs w:val="36"/>
                          <w:lang w:val="en-US" w:eastAsia="zh-CN"/>
                        </w:rPr>
                      </w:pPr>
                      <w:r>
                        <w:rPr>
                          <w:rFonts w:hint="eastAsia" w:ascii="微软雅黑" w:hAnsi="微软雅黑" w:eastAsia="微软雅黑" w:cs="微软雅黑"/>
                          <w:b w:val="0"/>
                          <w:bCs w:val="0"/>
                          <w:sz w:val="36"/>
                          <w:szCs w:val="36"/>
                          <w:lang w:val="en-US" w:eastAsia="zh-CN"/>
                        </w:rPr>
                        <w:t>仅限</w:t>
                      </w:r>
                      <w:r>
                        <w:rPr>
                          <w:rFonts w:hint="eastAsia" w:ascii="微软雅黑" w:hAnsi="微软雅黑" w:eastAsia="微软雅黑" w:cs="微软雅黑"/>
                          <w:b w:val="0"/>
                          <w:bCs w:val="0"/>
                          <w:color w:val="auto"/>
                          <w:sz w:val="36"/>
                          <w:szCs w:val="36"/>
                          <w:highlight w:val="none"/>
                          <w:lang w:val="en-US" w:eastAsia="zh-CN"/>
                        </w:rPr>
                        <w:t>福清水质检测中心实验室项目环评使用</w:t>
                      </w:r>
                    </w:p>
                  </w:txbxContent>
                </v:textbox>
              </v:shape>
            </w:pict>
          </mc:Fallback>
        </mc:AlternateContent>
      </w:r>
      <w:r>
        <w:rPr>
          <w:rFonts w:hint="default"/>
        </w:rPr>
        <w:drawing>
          <wp:inline distT="0" distB="0" distL="114300" distR="114300">
            <wp:extent cx="5657850" cy="8001000"/>
            <wp:effectExtent l="0" t="0" r="0" b="0"/>
            <wp:docPr id="2" name="图片 2" descr="营业执照（正本）新210914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营业执照（正本）新210914_00"/>
                    <pic:cNvPicPr>
                      <a:picLocks noChangeAspect="1"/>
                    </pic:cNvPicPr>
                  </pic:nvPicPr>
                  <pic:blipFill>
                    <a:blip r:embed="rId13"/>
                    <a:stretch>
                      <a:fillRect/>
                    </a:stretch>
                  </pic:blipFill>
                  <pic:spPr>
                    <a:xfrm>
                      <a:off x="0" y="0"/>
                      <a:ext cx="5657850" cy="8001000"/>
                    </a:xfrm>
                    <a:prstGeom prst="rect">
                      <a:avLst/>
                    </a:prstGeom>
                  </pic:spPr>
                </pic:pic>
              </a:graphicData>
            </a:graphic>
          </wp:inline>
        </w:drawing>
      </w:r>
    </w:p>
    <w:p>
      <w:pPr>
        <w:rPr>
          <w:rFonts w:hint="default"/>
        </w:rPr>
      </w:pPr>
      <w:r>
        <w:rPr>
          <w:rFonts w:hint="default"/>
        </w:rPr>
        <w:br w:type="page"/>
      </w:r>
    </w:p>
    <w:p>
      <w:pPr>
        <w:rPr>
          <w:rFonts w:hint="default"/>
        </w:rPr>
      </w:pPr>
      <w:r>
        <w:rPr>
          <w:sz w:val="21"/>
        </w:rPr>
        <mc:AlternateContent>
          <mc:Choice Requires="wps">
            <w:drawing>
              <wp:anchor distT="0" distB="0" distL="114300" distR="114300" simplePos="0" relativeHeight="251675648" behindDoc="0" locked="0" layoutInCell="1" allowOverlap="1">
                <wp:simplePos x="0" y="0"/>
                <wp:positionH relativeFrom="column">
                  <wp:posOffset>175895</wp:posOffset>
                </wp:positionH>
                <wp:positionV relativeFrom="paragraph">
                  <wp:posOffset>4351655</wp:posOffset>
                </wp:positionV>
                <wp:extent cx="5142865" cy="499110"/>
                <wp:effectExtent l="0" t="0" r="0" b="0"/>
                <wp:wrapNone/>
                <wp:docPr id="28" name="文本框 28"/>
                <wp:cNvGraphicFramePr/>
                <a:graphic xmlns:a="http://schemas.openxmlformats.org/drawingml/2006/main">
                  <a:graphicData uri="http://schemas.microsoft.com/office/word/2010/wordprocessingShape">
                    <wps:wsp>
                      <wps:cNvSpPr txBox="1"/>
                      <wps:spPr>
                        <a:xfrm rot="18900000">
                          <a:off x="0" y="0"/>
                          <a:ext cx="5142865" cy="4991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微软雅黑" w:hAnsi="微软雅黑" w:eastAsia="微软雅黑" w:cs="微软雅黑"/>
                                <w:b w:val="0"/>
                                <w:bCs w:val="0"/>
                                <w:sz w:val="36"/>
                                <w:szCs w:val="36"/>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5pt;margin-top:342.65pt;height:39.3pt;width:404.95pt;rotation:-2949120f;z-index:251675648;mso-width-relative:page;mso-height-relative:page;" filled="f" stroked="f" coordsize="21600,21600" o:gfxdata="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Khfpw7aAAAACgEAAA8AAAAAAAAAAQAgAAAAIgAAAGRycy9kb3ducmV2LnhtbFBLAQIU&#10;ABQAAAAIAIdO4kC1ahrLKgIAACkEAAAOAAAAAAAAAAEAIAAAACkBAABkcnMvZTJvRG9jLnhtbFBL&#10;BQYAAAAABgAGAFkBAADFBQAAAAA=&#10;">
                <v:fill on="f" focussize="0,0"/>
                <v:stroke on="f" weight="0.5pt"/>
                <v:imagedata o:title=""/>
                <o:lock v:ext="edit" aspectratio="f"/>
                <v:textbox>
                  <w:txbxContent>
                    <w:p>
                      <w:pPr>
                        <w:rPr>
                          <w:rFonts w:hint="eastAsia" w:ascii="微软雅黑" w:hAnsi="微软雅黑" w:eastAsia="微软雅黑" w:cs="微软雅黑"/>
                          <w:b w:val="0"/>
                          <w:bCs w:val="0"/>
                          <w:sz w:val="36"/>
                          <w:szCs w:val="36"/>
                          <w:lang w:val="en-US" w:eastAsia="zh-CN"/>
                        </w:rPr>
                      </w:pPr>
                    </w:p>
                  </w:txbxContent>
                </v:textbox>
              </v:shape>
            </w:pict>
          </mc:Fallback>
        </mc:AlternateContent>
      </w:r>
      <w:r>
        <w:rPr>
          <w:sz w:val="21"/>
        </w:rPr>
        <mc:AlternateContent>
          <mc:Choice Requires="wps">
            <w:drawing>
              <wp:anchor distT="0" distB="0" distL="114300" distR="114300" simplePos="0" relativeHeight="251674624" behindDoc="0" locked="0" layoutInCell="1" allowOverlap="1">
                <wp:simplePos x="0" y="0"/>
                <wp:positionH relativeFrom="column">
                  <wp:posOffset>680720</wp:posOffset>
                </wp:positionH>
                <wp:positionV relativeFrom="paragraph">
                  <wp:posOffset>6732905</wp:posOffset>
                </wp:positionV>
                <wp:extent cx="5142865" cy="499110"/>
                <wp:effectExtent l="0" t="0" r="0" b="0"/>
                <wp:wrapNone/>
                <wp:docPr id="23" name="文本框 23"/>
                <wp:cNvGraphicFramePr/>
                <a:graphic xmlns:a="http://schemas.openxmlformats.org/drawingml/2006/main">
                  <a:graphicData uri="http://schemas.microsoft.com/office/word/2010/wordprocessingShape">
                    <wps:wsp>
                      <wps:cNvSpPr txBox="1"/>
                      <wps:spPr>
                        <a:xfrm rot="18900000">
                          <a:off x="0" y="0"/>
                          <a:ext cx="5142865" cy="4991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微软雅黑" w:hAnsi="微软雅黑" w:eastAsia="微软雅黑" w:cs="微软雅黑"/>
                                <w:b w:val="0"/>
                                <w:bCs w:val="0"/>
                                <w:sz w:val="36"/>
                                <w:szCs w:val="36"/>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6pt;margin-top:530.15pt;height:39.3pt;width:404.95pt;rotation:-2949120f;z-index:251674624;mso-width-relative:page;mso-height-relative:page;" filled="f" stroked="f" coordsize="21600,21600" o:gfxdata="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QnUhu2wAAAA0BAAAPAAAAAAAAAAEAIAAAACIAAABkcnMvZG93bnJldi54bWxQSwEC&#10;FAAUAAAACACHTuJA4zcBXCoCAAApBAAADgAAAAAAAAABACAAAAAqAQAAZHJzL2Uyb0RvYy54bWxQ&#10;SwUGAAAAAAYABgBZAQAAxgUAAAAA&#10;">
                <v:fill on="f" focussize="0,0"/>
                <v:stroke on="f" weight="0.5pt"/>
                <v:imagedata o:title=""/>
                <o:lock v:ext="edit" aspectratio="f"/>
                <v:textbox>
                  <w:txbxContent>
                    <w:p>
                      <w:pPr>
                        <w:rPr>
                          <w:rFonts w:hint="eastAsia" w:ascii="微软雅黑" w:hAnsi="微软雅黑" w:eastAsia="微软雅黑" w:cs="微软雅黑"/>
                          <w:b w:val="0"/>
                          <w:bCs w:val="0"/>
                          <w:sz w:val="36"/>
                          <w:szCs w:val="36"/>
                          <w:lang w:val="en-US" w:eastAsia="zh-CN"/>
                        </w:rPr>
                      </w:pPr>
                    </w:p>
                  </w:txbxContent>
                </v:textbox>
              </v:shape>
            </w:pict>
          </mc:Fallback>
        </mc:AlternateContent>
      </w:r>
    </w:p>
    <w:sdt>
      <w:sdtPr>
        <w:rPr>
          <w:rFonts w:ascii="宋体" w:hAnsi="宋体" w:eastAsia="宋体" w:cs="Times New Roman"/>
          <w:b/>
          <w:bCs/>
          <w:color w:val="auto"/>
          <w:kern w:val="2"/>
          <w:sz w:val="32"/>
          <w:szCs w:val="32"/>
          <w:lang w:val="en-US" w:eastAsia="zh-CN" w:bidi="ar-SA"/>
        </w:rPr>
        <w:id w:val="147475548"/>
        <w15:color w:val="DBDBDB"/>
        <w:docPartObj>
          <w:docPartGallery w:val="Table of Contents"/>
          <w:docPartUnique/>
        </w:docPartObj>
      </w:sdtPr>
      <w:sdtEndPr>
        <w:rPr>
          <w:rFonts w:ascii="Times New Roman" w:hAnsi="Times New Roman" w:eastAsia="宋体" w:cs="宋体"/>
          <w:b/>
          <w:bCs/>
          <w:color w:val="auto"/>
          <w:kern w:val="0"/>
          <w:sz w:val="24"/>
          <w:szCs w:val="20"/>
          <w:lang w:val="zh-CN" w:eastAsia="zh-CN" w:bidi="ar-SA"/>
        </w:rPr>
      </w:sdtEndPr>
      <w:sdtContent>
        <w:p>
          <w:pPr>
            <w:keepNext w:val="0"/>
            <w:keepLines w:val="0"/>
            <w:pageBreakBefore w:val="0"/>
            <w:widowControl w:val="0"/>
            <w:kinsoku/>
            <w:wordWrap/>
            <w:overflowPunct/>
            <w:topLinePunct w:val="0"/>
            <w:autoSpaceDE/>
            <w:autoSpaceDN/>
            <w:bidi w:val="0"/>
            <w:adjustRightInd/>
            <w:snapToGrid/>
            <w:spacing w:before="157" w:beforeLines="50" w:after="157" w:afterLines="50" w:line="336" w:lineRule="auto"/>
            <w:ind w:left="0" w:leftChars="0" w:right="0" w:rightChars="0" w:firstLine="0" w:firstLineChars="0"/>
            <w:jc w:val="center"/>
            <w:textAlignment w:val="auto"/>
            <w:rPr>
              <w:b/>
              <w:bCs/>
              <w:color w:val="auto"/>
              <w:sz w:val="32"/>
              <w:szCs w:val="32"/>
            </w:rPr>
          </w:pPr>
          <w:r>
            <w:rPr>
              <w:rFonts w:ascii="宋体" w:hAnsi="宋体" w:eastAsia="宋体"/>
              <w:b/>
              <w:bCs/>
              <w:color w:val="auto"/>
              <w:sz w:val="32"/>
              <w:szCs w:val="32"/>
            </w:rPr>
            <w:t>目</w:t>
          </w:r>
          <w:r>
            <w:rPr>
              <w:rFonts w:hint="eastAsia" w:ascii="宋体" w:hAnsi="宋体" w:eastAsia="宋体"/>
              <w:b/>
              <w:bCs/>
              <w:color w:val="auto"/>
              <w:sz w:val="32"/>
              <w:szCs w:val="32"/>
              <w:lang w:val="en-US" w:eastAsia="zh-CN"/>
            </w:rPr>
            <w:t xml:space="preserve">  </w:t>
          </w:r>
          <w:r>
            <w:rPr>
              <w:rFonts w:ascii="宋体" w:hAnsi="宋体" w:eastAsia="宋体"/>
              <w:b/>
              <w:bCs/>
              <w:color w:val="auto"/>
              <w:sz w:val="32"/>
              <w:szCs w:val="32"/>
            </w:rPr>
            <w:t>录</w:t>
          </w:r>
        </w:p>
        <w:p>
          <w:pPr>
            <w:pStyle w:val="23"/>
            <w:tabs>
              <w:tab w:val="right" w:leader="dot" w:pos="8958"/>
            </w:tabs>
          </w:pPr>
          <w:r>
            <w:rPr>
              <w:color w:val="auto"/>
              <w:sz w:val="24"/>
              <w:szCs w:val="24"/>
            </w:rPr>
            <w:fldChar w:fldCharType="begin"/>
          </w:r>
          <w:r>
            <w:rPr>
              <w:color w:val="auto"/>
              <w:sz w:val="24"/>
              <w:szCs w:val="24"/>
            </w:rPr>
            <w:instrText xml:space="preserve">TOC \o "1-2" \h \u </w:instrText>
          </w:r>
          <w:r>
            <w:rPr>
              <w:color w:val="auto"/>
              <w:sz w:val="24"/>
              <w:szCs w:val="24"/>
            </w:rPr>
            <w:fldChar w:fldCharType="separate"/>
          </w:r>
          <w:r>
            <w:rPr>
              <w:color w:val="auto"/>
              <w:szCs w:val="24"/>
            </w:rPr>
            <w:fldChar w:fldCharType="begin"/>
          </w:r>
          <w:r>
            <w:rPr>
              <w:szCs w:val="24"/>
            </w:rPr>
            <w:instrText xml:space="preserve"> HYPERLINK \l _Toc16027 </w:instrText>
          </w:r>
          <w:r>
            <w:rPr>
              <w:szCs w:val="24"/>
            </w:rPr>
            <w:fldChar w:fldCharType="separate"/>
          </w:r>
          <w:r>
            <w:rPr>
              <w:rFonts w:hint="eastAsia" w:ascii="宋体" w:hAnsi="宋体" w:eastAsia="宋体" w:cs="宋体"/>
              <w:bCs/>
              <w:szCs w:val="32"/>
            </w:rPr>
            <w:t xml:space="preserve">一、 </w:t>
          </w:r>
          <w:r>
            <w:rPr>
              <w:rFonts w:hint="default" w:eastAsia="宋体"/>
            </w:rPr>
            <w:t>建设项目基本情况</w:t>
          </w:r>
          <w:r>
            <w:tab/>
          </w:r>
          <w:r>
            <w:fldChar w:fldCharType="begin"/>
          </w:r>
          <w:r>
            <w:instrText xml:space="preserve"> PAGEREF _Toc16027 \h </w:instrText>
          </w:r>
          <w:r>
            <w:fldChar w:fldCharType="separate"/>
          </w:r>
          <w:r>
            <w:t>- 1 -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_Toc16820 </w:instrText>
          </w:r>
          <w:r>
            <w:rPr>
              <w:szCs w:val="24"/>
            </w:rPr>
            <w:fldChar w:fldCharType="separate"/>
          </w:r>
          <w:r>
            <w:rPr>
              <w:rFonts w:hint="default" w:ascii="Times New Roman" w:hAnsi="Times New Roman" w:eastAsia="宋体" w:cs="Times New Roman"/>
              <w:bCs/>
              <w:szCs w:val="30"/>
              <w:lang w:val="en-US" w:eastAsia="zh-CN"/>
            </w:rPr>
            <w:t xml:space="preserve">1.1 </w:t>
          </w:r>
          <w:r>
            <w:rPr>
              <w:rFonts w:hint="eastAsia"/>
              <w:szCs w:val="32"/>
              <w:lang w:val="en-US" w:eastAsia="zh-CN"/>
            </w:rPr>
            <w:t>与《福清融侨经济技术开发区总体规划(2018-2035年)》及规划环境影响评价的符合性分析</w:t>
          </w:r>
          <w:r>
            <w:tab/>
          </w:r>
          <w:r>
            <w:fldChar w:fldCharType="begin"/>
          </w:r>
          <w:r>
            <w:instrText xml:space="preserve"> PAGEREF _Toc16820 \h </w:instrText>
          </w:r>
          <w:r>
            <w:fldChar w:fldCharType="separate"/>
          </w:r>
          <w:r>
            <w:t>- 3 -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_Toc7548 </w:instrText>
          </w:r>
          <w:r>
            <w:rPr>
              <w:szCs w:val="24"/>
            </w:rPr>
            <w:fldChar w:fldCharType="separate"/>
          </w:r>
          <w:r>
            <w:rPr>
              <w:rFonts w:hint="default" w:ascii="Times New Roman" w:hAnsi="Times New Roman" w:eastAsia="宋体" w:cs="Times New Roman"/>
              <w:bCs/>
              <w:szCs w:val="30"/>
            </w:rPr>
            <w:t xml:space="preserve">1.2 </w:t>
          </w:r>
          <w:r>
            <w:rPr>
              <w:rFonts w:hint="default" w:ascii="Times New Roman" w:hAnsi="Times New Roman" w:cs="Times New Roman"/>
              <w:highlight w:val="none"/>
            </w:rPr>
            <w:t>产业政策符合性分析</w:t>
          </w:r>
          <w:r>
            <w:tab/>
          </w:r>
          <w:r>
            <w:fldChar w:fldCharType="begin"/>
          </w:r>
          <w:r>
            <w:instrText xml:space="preserve"> PAGEREF _Toc7548 \h </w:instrText>
          </w:r>
          <w:r>
            <w:fldChar w:fldCharType="separate"/>
          </w:r>
          <w:r>
            <w:t>- 6 -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_Toc21660 </w:instrText>
          </w:r>
          <w:r>
            <w:rPr>
              <w:szCs w:val="24"/>
            </w:rPr>
            <w:fldChar w:fldCharType="separate"/>
          </w:r>
          <w:r>
            <w:rPr>
              <w:rFonts w:hint="default" w:ascii="Times New Roman" w:hAnsi="Times New Roman" w:eastAsia="宋体" w:cs="Times New Roman"/>
              <w:bCs/>
              <w:szCs w:val="30"/>
            </w:rPr>
            <w:t xml:space="preserve">1.3 </w:t>
          </w:r>
          <w:r>
            <w:rPr>
              <w:rFonts w:hint="eastAsia" w:ascii="Times New Roman" w:hAnsi="Times New Roman" w:cs="Times New Roman"/>
              <w:highlight w:val="none"/>
              <w:lang w:val="en-US" w:eastAsia="zh-CN"/>
            </w:rPr>
            <w:t>项目选址合理</w:t>
          </w:r>
          <w:r>
            <w:rPr>
              <w:rFonts w:hint="default" w:ascii="Times New Roman" w:hAnsi="Times New Roman" w:cs="Times New Roman"/>
              <w:highlight w:val="none"/>
            </w:rPr>
            <w:t>性分析</w:t>
          </w:r>
          <w:r>
            <w:tab/>
          </w:r>
          <w:r>
            <w:fldChar w:fldCharType="begin"/>
          </w:r>
          <w:r>
            <w:instrText xml:space="preserve"> PAGEREF _Toc21660 \h </w:instrText>
          </w:r>
          <w:r>
            <w:fldChar w:fldCharType="separate"/>
          </w:r>
          <w:r>
            <w:t>- 6 -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_Toc8899 </w:instrText>
          </w:r>
          <w:r>
            <w:rPr>
              <w:szCs w:val="24"/>
            </w:rPr>
            <w:fldChar w:fldCharType="separate"/>
          </w:r>
          <w:r>
            <w:rPr>
              <w:rFonts w:hint="default" w:ascii="Times New Roman" w:hAnsi="Times New Roman" w:eastAsia="宋体" w:cs="Times New Roman"/>
              <w:bCs/>
              <w:szCs w:val="30"/>
              <w:lang w:val="en-US" w:eastAsia="zh-CN"/>
            </w:rPr>
            <w:t xml:space="preserve">1.4 </w:t>
          </w:r>
          <w:r>
            <w:rPr>
              <w:rFonts w:hint="eastAsia" w:ascii="Times New Roman" w:hAnsi="Times New Roman" w:cs="Times New Roman"/>
              <w:highlight w:val="none"/>
              <w:lang w:val="en-US" w:eastAsia="zh-CN"/>
            </w:rPr>
            <w:t>环境功能区划符合性分析</w:t>
          </w:r>
          <w:r>
            <w:tab/>
          </w:r>
          <w:r>
            <w:fldChar w:fldCharType="begin"/>
          </w:r>
          <w:r>
            <w:instrText xml:space="preserve"> PAGEREF _Toc8899 \h </w:instrText>
          </w:r>
          <w:r>
            <w:fldChar w:fldCharType="separate"/>
          </w:r>
          <w:r>
            <w:t>- 6 -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_Toc9446 </w:instrText>
          </w:r>
          <w:r>
            <w:rPr>
              <w:szCs w:val="24"/>
            </w:rPr>
            <w:fldChar w:fldCharType="separate"/>
          </w:r>
          <w:r>
            <w:rPr>
              <w:rFonts w:hint="default" w:ascii="Times New Roman" w:hAnsi="Times New Roman" w:eastAsia="宋体" w:cs="Times New Roman"/>
              <w:bCs/>
              <w:szCs w:val="30"/>
              <w:lang w:val="en-US" w:eastAsia="zh-CN"/>
            </w:rPr>
            <w:t xml:space="preserve">1.5 </w:t>
          </w:r>
          <w:r>
            <w:rPr>
              <w:rFonts w:hint="eastAsia" w:ascii="Times New Roman" w:hAnsi="Times New Roman" w:cs="Times New Roman"/>
              <w:highlight w:val="none"/>
              <w:lang w:val="en-US" w:eastAsia="zh-CN"/>
            </w:rPr>
            <w:t>“三线一单”控制要求的符合性分析</w:t>
          </w:r>
          <w:r>
            <w:tab/>
          </w:r>
          <w:r>
            <w:fldChar w:fldCharType="begin"/>
          </w:r>
          <w:r>
            <w:instrText xml:space="preserve"> PAGEREF _Toc9446 \h </w:instrText>
          </w:r>
          <w:r>
            <w:fldChar w:fldCharType="separate"/>
          </w:r>
          <w:r>
            <w:t>- 6 -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_Toc17191 </w:instrText>
          </w:r>
          <w:r>
            <w:rPr>
              <w:szCs w:val="24"/>
            </w:rPr>
            <w:fldChar w:fldCharType="separate"/>
          </w:r>
          <w:r>
            <w:rPr>
              <w:rFonts w:hint="default" w:ascii="Times New Roman" w:hAnsi="Times New Roman" w:eastAsia="宋体" w:cs="Times New Roman"/>
              <w:bCs/>
              <w:szCs w:val="30"/>
              <w:lang w:val="en-US" w:eastAsia="zh-CN"/>
            </w:rPr>
            <w:t xml:space="preserve">1.6 </w:t>
          </w:r>
          <w:r>
            <w:rPr>
              <w:rFonts w:hint="eastAsia" w:ascii="Times New Roman" w:hAnsi="Times New Roman" w:cs="Times New Roman"/>
              <w:highlight w:val="none"/>
              <w:lang w:val="en-US" w:eastAsia="zh-CN"/>
            </w:rPr>
            <w:t>与挥发性有机物污染防治相关政策符合性分析</w:t>
          </w:r>
          <w:r>
            <w:tab/>
          </w:r>
          <w:r>
            <w:fldChar w:fldCharType="begin"/>
          </w:r>
          <w:r>
            <w:instrText xml:space="preserve"> PAGEREF _Toc17191 \h </w:instrText>
          </w:r>
          <w:r>
            <w:fldChar w:fldCharType="separate"/>
          </w:r>
          <w:r>
            <w:t>- 12 -</w:t>
          </w:r>
          <w:r>
            <w:fldChar w:fldCharType="end"/>
          </w:r>
          <w:r>
            <w:rPr>
              <w:color w:val="auto"/>
              <w:szCs w:val="24"/>
            </w:rPr>
            <w:fldChar w:fldCharType="end"/>
          </w:r>
        </w:p>
        <w:p>
          <w:pPr>
            <w:pStyle w:val="23"/>
            <w:tabs>
              <w:tab w:val="right" w:leader="dot" w:pos="8958"/>
            </w:tabs>
          </w:pPr>
          <w:r>
            <w:rPr>
              <w:color w:val="auto"/>
              <w:szCs w:val="24"/>
            </w:rPr>
            <w:fldChar w:fldCharType="begin"/>
          </w:r>
          <w:r>
            <w:rPr>
              <w:szCs w:val="24"/>
            </w:rPr>
            <w:instrText xml:space="preserve"> HYPERLINK \l _Toc31514 </w:instrText>
          </w:r>
          <w:r>
            <w:rPr>
              <w:szCs w:val="24"/>
            </w:rPr>
            <w:fldChar w:fldCharType="separate"/>
          </w:r>
          <w:r>
            <w:rPr>
              <w:rFonts w:hint="eastAsia" w:ascii="宋体" w:hAnsi="宋体" w:eastAsia="宋体" w:cs="宋体"/>
              <w:bCs/>
              <w:szCs w:val="32"/>
            </w:rPr>
            <w:t xml:space="preserve">二、 </w:t>
          </w:r>
          <w:r>
            <w:rPr>
              <w:rFonts w:hint="default"/>
            </w:rPr>
            <w:t>建设项目工程分析</w:t>
          </w:r>
          <w:r>
            <w:tab/>
          </w:r>
          <w:r>
            <w:fldChar w:fldCharType="begin"/>
          </w:r>
          <w:r>
            <w:instrText xml:space="preserve"> PAGEREF _Toc31514 \h </w:instrText>
          </w:r>
          <w:r>
            <w:fldChar w:fldCharType="separate"/>
          </w:r>
          <w:r>
            <w:t>- 14 -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_Toc22798 </w:instrText>
          </w:r>
          <w:r>
            <w:rPr>
              <w:szCs w:val="24"/>
            </w:rPr>
            <w:fldChar w:fldCharType="separate"/>
          </w:r>
          <w:r>
            <w:rPr>
              <w:rFonts w:hint="default" w:ascii="Times New Roman" w:hAnsi="Times New Roman" w:eastAsia="宋体" w:cs="Times New Roman"/>
              <w:bCs/>
              <w:szCs w:val="30"/>
            </w:rPr>
            <w:t xml:space="preserve">2.1 </w:t>
          </w:r>
          <w:r>
            <w:rPr>
              <w:rFonts w:hint="default" w:ascii="Times New Roman" w:hAnsi="Times New Roman" w:cs="Times New Roman"/>
            </w:rPr>
            <w:t>项目由来</w:t>
          </w:r>
          <w:r>
            <w:tab/>
          </w:r>
          <w:r>
            <w:fldChar w:fldCharType="begin"/>
          </w:r>
          <w:r>
            <w:instrText xml:space="preserve"> PAGEREF _Toc22798 \h </w:instrText>
          </w:r>
          <w:r>
            <w:fldChar w:fldCharType="separate"/>
          </w:r>
          <w:r>
            <w:t>- 14 -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_Toc13310 </w:instrText>
          </w:r>
          <w:r>
            <w:rPr>
              <w:szCs w:val="24"/>
            </w:rPr>
            <w:fldChar w:fldCharType="separate"/>
          </w:r>
          <w:r>
            <w:rPr>
              <w:rFonts w:hint="default" w:ascii="Times New Roman" w:hAnsi="Times New Roman" w:eastAsia="宋体" w:cs="Times New Roman"/>
              <w:bCs/>
              <w:szCs w:val="30"/>
            </w:rPr>
            <w:t xml:space="preserve">2.2 </w:t>
          </w:r>
          <w:r>
            <w:rPr>
              <w:rFonts w:hint="default" w:ascii="Times New Roman" w:hAnsi="Times New Roman" w:cs="Times New Roman"/>
            </w:rPr>
            <w:t>项目概况</w:t>
          </w:r>
          <w:r>
            <w:tab/>
          </w:r>
          <w:r>
            <w:fldChar w:fldCharType="begin"/>
          </w:r>
          <w:r>
            <w:instrText xml:space="preserve"> PAGEREF _Toc13310 \h </w:instrText>
          </w:r>
          <w:r>
            <w:fldChar w:fldCharType="separate"/>
          </w:r>
          <w:r>
            <w:t>- 14 -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_Toc29240 </w:instrText>
          </w:r>
          <w:r>
            <w:rPr>
              <w:szCs w:val="24"/>
            </w:rPr>
            <w:fldChar w:fldCharType="separate"/>
          </w:r>
          <w:r>
            <w:rPr>
              <w:rFonts w:hint="default" w:ascii="Times New Roman" w:hAnsi="Times New Roman" w:eastAsia="宋体" w:cs="Times New Roman"/>
              <w:bCs/>
              <w:szCs w:val="30"/>
            </w:rPr>
            <w:t xml:space="preserve">2.3 </w:t>
          </w:r>
          <w:r>
            <w:rPr>
              <w:rFonts w:hint="default" w:ascii="Times New Roman" w:hAnsi="Times New Roman" w:cs="Times New Roman"/>
            </w:rPr>
            <w:t>项目建设内容</w:t>
          </w:r>
          <w:r>
            <w:rPr>
              <w:rFonts w:hint="default" w:ascii="Times New Roman" w:hAnsi="Times New Roman" w:cs="Times New Roman"/>
            </w:rPr>
            <w:drawing>
              <wp:inline distT="0" distB="0" distL="114300" distR="114300">
                <wp:extent cx="635" cy="0"/>
                <wp:effectExtent l="0" t="0" r="0" b="0"/>
                <wp:docPr id="17" name="图片 15" descr="5d4d756192e6f7dcc479903b567cd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descr="5d4d756192e6f7dcc479903b567cde9"/>
                        <pic:cNvPicPr>
                          <a:picLocks noChangeAspect="1"/>
                        </pic:cNvPicPr>
                      </pic:nvPicPr>
                      <pic:blipFill>
                        <a:blip r:embed="rId14"/>
                        <a:stretch>
                          <a:fillRect/>
                        </a:stretch>
                      </pic:blipFill>
                      <pic:spPr>
                        <a:xfrm>
                          <a:off x="0" y="0"/>
                          <a:ext cx="635" cy="0"/>
                        </a:xfrm>
                        <a:prstGeom prst="rect">
                          <a:avLst/>
                        </a:prstGeom>
                        <a:noFill/>
                        <a:ln>
                          <a:noFill/>
                        </a:ln>
                      </pic:spPr>
                    </pic:pic>
                  </a:graphicData>
                </a:graphic>
              </wp:inline>
            </w:drawing>
          </w:r>
          <w:r>
            <w:tab/>
          </w:r>
          <w:r>
            <w:fldChar w:fldCharType="begin"/>
          </w:r>
          <w:r>
            <w:instrText xml:space="preserve"> PAGEREF _Toc29240 \h </w:instrText>
          </w:r>
          <w:r>
            <w:fldChar w:fldCharType="separate"/>
          </w:r>
          <w:r>
            <w:t>- 15 -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_Toc539 </w:instrText>
          </w:r>
          <w:r>
            <w:rPr>
              <w:szCs w:val="24"/>
            </w:rPr>
            <w:fldChar w:fldCharType="separate"/>
          </w:r>
          <w:r>
            <w:rPr>
              <w:rFonts w:hint="default" w:ascii="Times New Roman" w:hAnsi="Times New Roman" w:eastAsia="宋体" w:cs="Times New Roman"/>
              <w:bCs/>
              <w:szCs w:val="30"/>
            </w:rPr>
            <w:t xml:space="preserve">2.4 </w:t>
          </w:r>
          <w:r>
            <w:rPr>
              <w:rFonts w:hint="default" w:ascii="Times New Roman" w:hAnsi="Times New Roman" w:cs="Times New Roman"/>
              <w:lang w:val="en-US" w:eastAsia="zh-CN"/>
            </w:rPr>
            <w:t>水平衡</w:t>
          </w:r>
          <w:r>
            <w:tab/>
          </w:r>
          <w:r>
            <w:fldChar w:fldCharType="begin"/>
          </w:r>
          <w:r>
            <w:instrText xml:space="preserve"> PAGEREF _Toc539 \h </w:instrText>
          </w:r>
          <w:r>
            <w:fldChar w:fldCharType="separate"/>
          </w:r>
          <w:r>
            <w:t>- 52 -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_Toc2989 </w:instrText>
          </w:r>
          <w:r>
            <w:rPr>
              <w:szCs w:val="24"/>
            </w:rPr>
            <w:fldChar w:fldCharType="separate"/>
          </w:r>
          <w:r>
            <w:rPr>
              <w:rFonts w:hint="default" w:ascii="Times New Roman" w:hAnsi="Times New Roman" w:eastAsia="宋体" w:cs="Times New Roman"/>
              <w:bCs/>
              <w:szCs w:val="30"/>
            </w:rPr>
            <w:t xml:space="preserve">2.5 </w:t>
          </w:r>
          <w:r>
            <w:rPr>
              <w:rFonts w:hint="default" w:ascii="Times New Roman" w:hAnsi="Times New Roman" w:cs="Times New Roman"/>
            </w:rPr>
            <w:t>主要工艺流程及产污环节</w:t>
          </w:r>
          <w:r>
            <w:tab/>
          </w:r>
          <w:r>
            <w:fldChar w:fldCharType="begin"/>
          </w:r>
          <w:r>
            <w:instrText xml:space="preserve"> PAGEREF _Toc2989 \h </w:instrText>
          </w:r>
          <w:r>
            <w:fldChar w:fldCharType="separate"/>
          </w:r>
          <w:r>
            <w:t>- 55 -</w:t>
          </w:r>
          <w:r>
            <w:fldChar w:fldCharType="end"/>
          </w:r>
          <w:r>
            <w:rPr>
              <w:color w:val="auto"/>
              <w:szCs w:val="24"/>
            </w:rPr>
            <w:fldChar w:fldCharType="end"/>
          </w:r>
        </w:p>
        <w:p>
          <w:pPr>
            <w:pStyle w:val="23"/>
            <w:tabs>
              <w:tab w:val="right" w:leader="dot" w:pos="8958"/>
            </w:tabs>
          </w:pPr>
          <w:r>
            <w:rPr>
              <w:color w:val="auto"/>
              <w:szCs w:val="24"/>
            </w:rPr>
            <w:fldChar w:fldCharType="begin"/>
          </w:r>
          <w:r>
            <w:rPr>
              <w:szCs w:val="24"/>
            </w:rPr>
            <w:instrText xml:space="preserve"> HYPERLINK \l _Toc14452 </w:instrText>
          </w:r>
          <w:r>
            <w:rPr>
              <w:szCs w:val="24"/>
            </w:rPr>
            <w:fldChar w:fldCharType="separate"/>
          </w:r>
          <w:r>
            <w:rPr>
              <w:rFonts w:hint="eastAsia" w:ascii="宋体" w:hAnsi="宋体" w:eastAsia="宋体" w:cs="宋体"/>
              <w:bCs/>
              <w:szCs w:val="32"/>
            </w:rPr>
            <w:t xml:space="preserve">三、 </w:t>
          </w:r>
          <w:r>
            <w:rPr>
              <w:rFonts w:hint="default"/>
            </w:rPr>
            <w:t>区域环境质量现状、环境保护目标及评价标准</w:t>
          </w:r>
          <w:r>
            <w:tab/>
          </w:r>
          <w:r>
            <w:fldChar w:fldCharType="begin"/>
          </w:r>
          <w:r>
            <w:instrText xml:space="preserve"> PAGEREF _Toc14452 \h </w:instrText>
          </w:r>
          <w:r>
            <w:fldChar w:fldCharType="separate"/>
          </w:r>
          <w:r>
            <w:t>- 60 -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_Toc13847 </w:instrText>
          </w:r>
          <w:r>
            <w:rPr>
              <w:szCs w:val="24"/>
            </w:rPr>
            <w:fldChar w:fldCharType="separate"/>
          </w:r>
          <w:r>
            <w:rPr>
              <w:rFonts w:hint="default" w:ascii="Times New Roman" w:hAnsi="Times New Roman" w:eastAsia="宋体" w:cs="Times New Roman"/>
              <w:bCs/>
              <w:szCs w:val="30"/>
              <w:lang w:val="en-US" w:eastAsia="zh-CN"/>
            </w:rPr>
            <w:t xml:space="preserve">3.1 </w:t>
          </w:r>
          <w:r>
            <w:rPr>
              <w:rFonts w:hint="eastAsia"/>
              <w:lang w:val="en-US" w:eastAsia="zh-CN"/>
            </w:rPr>
            <w:t>大气环境质量现状</w:t>
          </w:r>
          <w:r>
            <w:tab/>
          </w:r>
          <w:r>
            <w:fldChar w:fldCharType="begin"/>
          </w:r>
          <w:r>
            <w:instrText xml:space="preserve"> PAGEREF _Toc13847 \h </w:instrText>
          </w:r>
          <w:r>
            <w:fldChar w:fldCharType="separate"/>
          </w:r>
          <w:r>
            <w:t>- 60 -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_Toc20470 </w:instrText>
          </w:r>
          <w:r>
            <w:rPr>
              <w:szCs w:val="24"/>
            </w:rPr>
            <w:fldChar w:fldCharType="separate"/>
          </w:r>
          <w:r>
            <w:rPr>
              <w:rFonts w:hint="default" w:ascii="Times New Roman" w:hAnsi="Times New Roman" w:eastAsia="宋体" w:cs="Times New Roman"/>
              <w:bCs/>
              <w:szCs w:val="30"/>
              <w:lang w:val="en-US" w:eastAsia="zh-CN"/>
            </w:rPr>
            <w:t xml:space="preserve">3.2 </w:t>
          </w:r>
          <w:r>
            <w:rPr>
              <w:rFonts w:hint="eastAsia" w:ascii="Times New Roman" w:hAnsi="Times New Roman" w:cs="Times New Roman"/>
              <w:lang w:val="en-US" w:eastAsia="zh-CN"/>
            </w:rPr>
            <w:t>地表水环境质量现状</w:t>
          </w:r>
          <w:r>
            <w:tab/>
          </w:r>
          <w:r>
            <w:fldChar w:fldCharType="begin"/>
          </w:r>
          <w:r>
            <w:instrText xml:space="preserve"> PAGEREF _Toc20470 \h </w:instrText>
          </w:r>
          <w:r>
            <w:fldChar w:fldCharType="separate"/>
          </w:r>
          <w:r>
            <w:t>- 62 -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_Toc11762 </w:instrText>
          </w:r>
          <w:r>
            <w:rPr>
              <w:szCs w:val="24"/>
            </w:rPr>
            <w:fldChar w:fldCharType="separate"/>
          </w:r>
          <w:r>
            <w:rPr>
              <w:rFonts w:hint="default" w:ascii="Times New Roman" w:hAnsi="Times New Roman" w:eastAsia="宋体" w:cs="Times New Roman"/>
              <w:bCs/>
              <w:szCs w:val="30"/>
              <w:lang w:val="en-US" w:eastAsia="zh-CN"/>
            </w:rPr>
            <w:t xml:space="preserve">3.3 </w:t>
          </w:r>
          <w:r>
            <w:rPr>
              <w:rFonts w:hint="eastAsia" w:ascii="Times New Roman" w:hAnsi="Times New Roman" w:cs="Times New Roman"/>
              <w:lang w:val="en-US" w:eastAsia="zh-CN"/>
            </w:rPr>
            <w:t>声环境质量现状</w:t>
          </w:r>
          <w:r>
            <w:tab/>
          </w:r>
          <w:r>
            <w:fldChar w:fldCharType="begin"/>
          </w:r>
          <w:r>
            <w:instrText xml:space="preserve"> PAGEREF _Toc11762 \h </w:instrText>
          </w:r>
          <w:r>
            <w:fldChar w:fldCharType="separate"/>
          </w:r>
          <w:r>
            <w:t>- 63 -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_Toc9577 </w:instrText>
          </w:r>
          <w:r>
            <w:rPr>
              <w:szCs w:val="24"/>
            </w:rPr>
            <w:fldChar w:fldCharType="separate"/>
          </w:r>
          <w:r>
            <w:rPr>
              <w:rFonts w:hint="default" w:ascii="Times New Roman" w:hAnsi="Times New Roman" w:eastAsia="宋体" w:cs="Times New Roman"/>
              <w:bCs/>
              <w:szCs w:val="30"/>
              <w:lang w:val="en-US" w:eastAsia="zh-CN"/>
            </w:rPr>
            <w:t xml:space="preserve">3.4 </w:t>
          </w:r>
          <w:r>
            <w:rPr>
              <w:rFonts w:hint="default" w:ascii="Times New Roman" w:hAnsi="Times New Roman" w:cs="Times New Roman"/>
              <w:lang w:val="en-US" w:eastAsia="zh-CN"/>
            </w:rPr>
            <w:t>生态环境</w:t>
          </w:r>
          <w:r>
            <w:tab/>
          </w:r>
          <w:r>
            <w:fldChar w:fldCharType="begin"/>
          </w:r>
          <w:r>
            <w:instrText xml:space="preserve"> PAGEREF _Toc9577 \h </w:instrText>
          </w:r>
          <w:r>
            <w:fldChar w:fldCharType="separate"/>
          </w:r>
          <w:r>
            <w:t>- 64 -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_Toc3637 </w:instrText>
          </w:r>
          <w:r>
            <w:rPr>
              <w:szCs w:val="24"/>
            </w:rPr>
            <w:fldChar w:fldCharType="separate"/>
          </w:r>
          <w:r>
            <w:rPr>
              <w:rFonts w:hint="default" w:ascii="Times New Roman" w:hAnsi="Times New Roman" w:eastAsia="宋体" w:cs="Times New Roman"/>
              <w:bCs/>
              <w:szCs w:val="30"/>
              <w:lang w:val="en-US" w:eastAsia="zh-CN"/>
            </w:rPr>
            <w:t xml:space="preserve">3.5 </w:t>
          </w:r>
          <w:r>
            <w:rPr>
              <w:rFonts w:hint="default" w:ascii="Times New Roman" w:hAnsi="Times New Roman" w:cs="Times New Roman"/>
              <w:lang w:val="en-US" w:eastAsia="zh-CN"/>
            </w:rPr>
            <w:t>地下水、土壤</w:t>
          </w:r>
          <w:r>
            <w:tab/>
          </w:r>
          <w:r>
            <w:fldChar w:fldCharType="begin"/>
          </w:r>
          <w:r>
            <w:instrText xml:space="preserve"> PAGEREF _Toc3637 \h </w:instrText>
          </w:r>
          <w:r>
            <w:fldChar w:fldCharType="separate"/>
          </w:r>
          <w:r>
            <w:t>- 64 -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_Toc7146 </w:instrText>
          </w:r>
          <w:r>
            <w:rPr>
              <w:szCs w:val="24"/>
            </w:rPr>
            <w:fldChar w:fldCharType="separate"/>
          </w:r>
          <w:r>
            <w:rPr>
              <w:rFonts w:hint="default" w:ascii="Times New Roman" w:hAnsi="Times New Roman" w:eastAsia="宋体" w:cs="Times New Roman"/>
              <w:bCs/>
              <w:szCs w:val="30"/>
              <w:lang w:val="en-US" w:eastAsia="zh-CN"/>
            </w:rPr>
            <w:t xml:space="preserve">3.6 </w:t>
          </w:r>
          <w:r>
            <w:rPr>
              <w:rFonts w:hint="eastAsia"/>
              <w:lang w:val="en-US" w:eastAsia="zh-CN"/>
            </w:rPr>
            <w:t>环境保护目标</w:t>
          </w:r>
          <w:r>
            <w:tab/>
          </w:r>
          <w:r>
            <w:fldChar w:fldCharType="begin"/>
          </w:r>
          <w:r>
            <w:instrText xml:space="preserve"> PAGEREF _Toc7146 \h </w:instrText>
          </w:r>
          <w:r>
            <w:fldChar w:fldCharType="separate"/>
          </w:r>
          <w:r>
            <w:t>- 64 -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_Toc14700 </w:instrText>
          </w:r>
          <w:r>
            <w:rPr>
              <w:szCs w:val="24"/>
            </w:rPr>
            <w:fldChar w:fldCharType="separate"/>
          </w:r>
          <w:r>
            <w:rPr>
              <w:rFonts w:hint="default" w:ascii="Times New Roman" w:hAnsi="Times New Roman" w:eastAsia="宋体" w:cs="Times New Roman"/>
              <w:bCs/>
              <w:szCs w:val="30"/>
            </w:rPr>
            <w:t xml:space="preserve">3.7 </w:t>
          </w:r>
          <w:r>
            <w:rPr>
              <w:rFonts w:hint="eastAsia"/>
              <w:lang w:val="en-US" w:eastAsia="zh-CN"/>
            </w:rPr>
            <w:t>污染物排放控制标准</w:t>
          </w:r>
          <w:r>
            <w:tab/>
          </w:r>
          <w:r>
            <w:fldChar w:fldCharType="begin"/>
          </w:r>
          <w:r>
            <w:instrText xml:space="preserve"> PAGEREF _Toc14700 \h </w:instrText>
          </w:r>
          <w:r>
            <w:fldChar w:fldCharType="separate"/>
          </w:r>
          <w:r>
            <w:t>- 65 -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_Toc28727 </w:instrText>
          </w:r>
          <w:r>
            <w:rPr>
              <w:szCs w:val="24"/>
            </w:rPr>
            <w:fldChar w:fldCharType="separate"/>
          </w:r>
          <w:r>
            <w:rPr>
              <w:rFonts w:hint="default" w:ascii="Times New Roman" w:hAnsi="Times New Roman" w:eastAsia="宋体" w:cs="Times New Roman"/>
              <w:bCs/>
              <w:szCs w:val="30"/>
            </w:rPr>
            <w:t xml:space="preserve">3.8 </w:t>
          </w:r>
          <w:r>
            <w:rPr>
              <w:rFonts w:hint="default"/>
            </w:rPr>
            <w:t>总量控制因子</w:t>
          </w:r>
          <w:r>
            <w:tab/>
          </w:r>
          <w:r>
            <w:fldChar w:fldCharType="begin"/>
          </w:r>
          <w:r>
            <w:instrText xml:space="preserve"> PAGEREF _Toc28727 \h </w:instrText>
          </w:r>
          <w:r>
            <w:fldChar w:fldCharType="separate"/>
          </w:r>
          <w:r>
            <w:t>- 68 -</w:t>
          </w:r>
          <w:r>
            <w:fldChar w:fldCharType="end"/>
          </w:r>
          <w:r>
            <w:rPr>
              <w:color w:val="auto"/>
              <w:szCs w:val="24"/>
            </w:rPr>
            <w:fldChar w:fldCharType="end"/>
          </w:r>
        </w:p>
        <w:p>
          <w:pPr>
            <w:pStyle w:val="23"/>
            <w:tabs>
              <w:tab w:val="right" w:leader="dot" w:pos="8958"/>
            </w:tabs>
          </w:pPr>
          <w:r>
            <w:rPr>
              <w:color w:val="auto"/>
              <w:szCs w:val="24"/>
            </w:rPr>
            <w:fldChar w:fldCharType="begin"/>
          </w:r>
          <w:r>
            <w:rPr>
              <w:szCs w:val="24"/>
            </w:rPr>
            <w:instrText xml:space="preserve"> HYPERLINK \l _Toc13390 </w:instrText>
          </w:r>
          <w:r>
            <w:rPr>
              <w:szCs w:val="24"/>
            </w:rPr>
            <w:fldChar w:fldCharType="separate"/>
          </w:r>
          <w:r>
            <w:rPr>
              <w:rFonts w:hint="eastAsia" w:ascii="宋体" w:hAnsi="宋体" w:eastAsia="宋体" w:cs="宋体"/>
              <w:bCs/>
              <w:szCs w:val="32"/>
            </w:rPr>
            <w:t xml:space="preserve">四、 </w:t>
          </w:r>
          <w:r>
            <w:rPr>
              <w:rFonts w:hint="default"/>
              <w:bCs/>
              <w:lang w:val="en-US" w:eastAsia="zh-CN"/>
            </w:rPr>
            <w:t>主要环境影响和保护措施</w:t>
          </w:r>
          <w:r>
            <w:tab/>
          </w:r>
          <w:r>
            <w:fldChar w:fldCharType="begin"/>
          </w:r>
          <w:r>
            <w:instrText xml:space="preserve"> PAGEREF _Toc13390 \h </w:instrText>
          </w:r>
          <w:r>
            <w:fldChar w:fldCharType="separate"/>
          </w:r>
          <w:r>
            <w:t>- 69 -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_Toc11092 </w:instrText>
          </w:r>
          <w:r>
            <w:rPr>
              <w:szCs w:val="24"/>
            </w:rPr>
            <w:fldChar w:fldCharType="separate"/>
          </w:r>
          <w:r>
            <w:rPr>
              <w:rFonts w:hint="default" w:ascii="Times New Roman" w:hAnsi="Times New Roman" w:eastAsia="宋体" w:cs="Times New Roman"/>
              <w:bCs/>
              <w:szCs w:val="30"/>
              <w:lang w:val="en-US" w:eastAsia="zh-CN"/>
            </w:rPr>
            <w:t xml:space="preserve">4.1 </w:t>
          </w:r>
          <w:r>
            <w:rPr>
              <w:rFonts w:hint="eastAsia" w:cs="Times New Roman"/>
              <w:highlight w:val="none"/>
              <w:lang w:val="en-US" w:eastAsia="zh-CN"/>
            </w:rPr>
            <w:t>施工期环境保护措施</w:t>
          </w:r>
          <w:r>
            <w:tab/>
          </w:r>
          <w:r>
            <w:fldChar w:fldCharType="begin"/>
          </w:r>
          <w:r>
            <w:instrText xml:space="preserve"> PAGEREF _Toc11092 \h </w:instrText>
          </w:r>
          <w:r>
            <w:fldChar w:fldCharType="separate"/>
          </w:r>
          <w:r>
            <w:t>- 69 -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_Toc18004 </w:instrText>
          </w:r>
          <w:r>
            <w:rPr>
              <w:szCs w:val="24"/>
            </w:rPr>
            <w:fldChar w:fldCharType="separate"/>
          </w:r>
          <w:r>
            <w:rPr>
              <w:rFonts w:hint="default" w:ascii="Times New Roman" w:hAnsi="Times New Roman" w:eastAsia="宋体" w:cs="Times New Roman"/>
              <w:bCs/>
              <w:szCs w:val="30"/>
              <w:lang w:val="en-US" w:eastAsia="zh-CN"/>
            </w:rPr>
            <w:t xml:space="preserve">4.2 </w:t>
          </w:r>
          <w:r>
            <w:rPr>
              <w:rFonts w:hint="default" w:cs="Times New Roman"/>
              <w:highlight w:val="none"/>
              <w:lang w:val="en-US" w:eastAsia="zh-CN"/>
            </w:rPr>
            <w:t>运营期废气影响和保护措施</w:t>
          </w:r>
          <w:r>
            <w:tab/>
          </w:r>
          <w:r>
            <w:fldChar w:fldCharType="begin"/>
          </w:r>
          <w:r>
            <w:instrText xml:space="preserve"> PAGEREF _Toc18004 \h </w:instrText>
          </w:r>
          <w:r>
            <w:fldChar w:fldCharType="separate"/>
          </w:r>
          <w:r>
            <w:t>- 71 -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_Toc22349 </w:instrText>
          </w:r>
          <w:r>
            <w:rPr>
              <w:szCs w:val="24"/>
            </w:rPr>
            <w:fldChar w:fldCharType="separate"/>
          </w:r>
          <w:r>
            <w:rPr>
              <w:rFonts w:hint="default" w:ascii="Times New Roman" w:hAnsi="Times New Roman" w:eastAsia="宋体" w:cs="Times New Roman"/>
              <w:bCs/>
              <w:szCs w:val="30"/>
            </w:rPr>
            <w:t xml:space="preserve">4.3 </w:t>
          </w:r>
          <w:r>
            <w:rPr>
              <w:rFonts w:hint="eastAsia"/>
              <w:lang w:val="en-US" w:eastAsia="zh-CN"/>
            </w:rPr>
            <w:t>运营期地表水环境</w:t>
          </w:r>
          <w:r>
            <w:rPr>
              <w:rFonts w:hint="default"/>
              <w:lang w:val="en-US" w:eastAsia="zh-CN"/>
            </w:rPr>
            <w:t>影响和保护措施</w:t>
          </w:r>
          <w:r>
            <w:tab/>
          </w:r>
          <w:r>
            <w:fldChar w:fldCharType="begin"/>
          </w:r>
          <w:r>
            <w:instrText xml:space="preserve"> PAGEREF _Toc22349 \h </w:instrText>
          </w:r>
          <w:r>
            <w:fldChar w:fldCharType="separate"/>
          </w:r>
          <w:r>
            <w:t>- 81 -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_Toc6123 </w:instrText>
          </w:r>
          <w:r>
            <w:rPr>
              <w:szCs w:val="24"/>
            </w:rPr>
            <w:fldChar w:fldCharType="separate"/>
          </w:r>
          <w:r>
            <w:rPr>
              <w:rFonts w:hint="default" w:ascii="Times New Roman" w:hAnsi="Times New Roman" w:eastAsia="宋体" w:cs="Times New Roman"/>
              <w:bCs/>
              <w:szCs w:val="30"/>
            </w:rPr>
            <w:t xml:space="preserve">4.4 </w:t>
          </w:r>
          <w:r>
            <w:rPr>
              <w:rFonts w:hint="default"/>
            </w:rPr>
            <w:t>运营期声环境</w:t>
          </w:r>
          <w:r>
            <w:rPr>
              <w:rFonts w:hint="default"/>
              <w:lang w:val="en-US" w:eastAsia="zh-CN"/>
            </w:rPr>
            <w:t>影响和保护措施</w:t>
          </w:r>
          <w:r>
            <w:tab/>
          </w:r>
          <w:r>
            <w:fldChar w:fldCharType="begin"/>
          </w:r>
          <w:r>
            <w:instrText xml:space="preserve"> PAGEREF _Toc6123 \h </w:instrText>
          </w:r>
          <w:r>
            <w:fldChar w:fldCharType="separate"/>
          </w:r>
          <w:r>
            <w:t>- 87 -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_Toc28453 </w:instrText>
          </w:r>
          <w:r>
            <w:rPr>
              <w:szCs w:val="24"/>
            </w:rPr>
            <w:fldChar w:fldCharType="separate"/>
          </w:r>
          <w:r>
            <w:rPr>
              <w:rFonts w:hint="default" w:ascii="Times New Roman" w:hAnsi="Times New Roman" w:eastAsia="宋体" w:cs="Times New Roman"/>
              <w:bCs/>
              <w:szCs w:val="30"/>
            </w:rPr>
            <w:t xml:space="preserve">4.5 </w:t>
          </w:r>
          <w:r>
            <w:rPr>
              <w:rFonts w:hint="eastAsia"/>
              <w:lang w:val="en-US" w:eastAsia="zh-CN"/>
            </w:rPr>
            <w:t>运营期</w:t>
          </w:r>
          <w:r>
            <w:rPr>
              <w:rFonts w:hint="default"/>
            </w:rPr>
            <w:t>固体废物</w:t>
          </w:r>
          <w:r>
            <w:rPr>
              <w:rFonts w:hint="eastAsia"/>
              <w:lang w:val="en-US" w:eastAsia="zh-CN"/>
            </w:rPr>
            <w:t>污染防治</w:t>
          </w:r>
          <w:r>
            <w:tab/>
          </w:r>
          <w:r>
            <w:fldChar w:fldCharType="begin"/>
          </w:r>
          <w:r>
            <w:instrText xml:space="preserve"> PAGEREF _Toc28453 \h </w:instrText>
          </w:r>
          <w:r>
            <w:fldChar w:fldCharType="separate"/>
          </w:r>
          <w:r>
            <w:t>- 91 -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_Toc807 </w:instrText>
          </w:r>
          <w:r>
            <w:rPr>
              <w:szCs w:val="24"/>
            </w:rPr>
            <w:fldChar w:fldCharType="separate"/>
          </w:r>
          <w:r>
            <w:rPr>
              <w:rFonts w:hint="default" w:ascii="Times New Roman" w:hAnsi="Times New Roman" w:eastAsia="宋体" w:cs="Times New Roman"/>
              <w:bCs/>
              <w:szCs w:val="30"/>
            </w:rPr>
            <w:t xml:space="preserve">4.6 </w:t>
          </w:r>
          <w:r>
            <w:rPr>
              <w:rFonts w:hint="eastAsia"/>
              <w:lang w:val="en-US" w:eastAsia="zh-CN"/>
            </w:rPr>
            <w:t>运营期</w:t>
          </w:r>
          <w:r>
            <w:rPr>
              <w:rFonts w:hint="default"/>
              <w:lang w:val="en-US" w:eastAsia="zh-CN"/>
            </w:rPr>
            <w:t>地下水、土壤</w:t>
          </w:r>
          <w:r>
            <w:rPr>
              <w:rFonts w:hint="eastAsia"/>
              <w:lang w:val="en-US" w:eastAsia="zh-CN"/>
            </w:rPr>
            <w:t>影响分析</w:t>
          </w:r>
          <w:r>
            <w:tab/>
          </w:r>
          <w:r>
            <w:fldChar w:fldCharType="begin"/>
          </w:r>
          <w:r>
            <w:instrText xml:space="preserve"> PAGEREF _Toc807 \h </w:instrText>
          </w:r>
          <w:r>
            <w:fldChar w:fldCharType="separate"/>
          </w:r>
          <w:r>
            <w:t>- 97 -</w:t>
          </w:r>
          <w:r>
            <w:fldChar w:fldCharType="end"/>
          </w:r>
          <w:r>
            <w:rPr>
              <w:color w:val="auto"/>
              <w:szCs w:val="24"/>
            </w:rPr>
            <w:fldChar w:fldCharType="end"/>
          </w:r>
        </w:p>
        <w:p>
          <w:pPr>
            <w:pStyle w:val="25"/>
            <w:tabs>
              <w:tab w:val="right" w:leader="dot" w:pos="8958"/>
            </w:tabs>
          </w:pPr>
          <w:r>
            <w:rPr>
              <w:color w:val="auto"/>
              <w:szCs w:val="24"/>
            </w:rPr>
            <w:fldChar w:fldCharType="begin"/>
          </w:r>
          <w:r>
            <w:rPr>
              <w:szCs w:val="24"/>
            </w:rPr>
            <w:instrText xml:space="preserve"> HYPERLINK \l _Toc2874 </w:instrText>
          </w:r>
          <w:r>
            <w:rPr>
              <w:szCs w:val="24"/>
            </w:rPr>
            <w:fldChar w:fldCharType="separate"/>
          </w:r>
          <w:r>
            <w:rPr>
              <w:rFonts w:hint="default" w:ascii="Times New Roman" w:hAnsi="Times New Roman" w:eastAsia="宋体" w:cs="Times New Roman"/>
              <w:bCs/>
              <w:szCs w:val="30"/>
            </w:rPr>
            <w:t xml:space="preserve">4.7 </w:t>
          </w:r>
          <w:r>
            <w:rPr>
              <w:rFonts w:hint="default"/>
            </w:rPr>
            <w:t>环境风险</w:t>
          </w:r>
          <w:r>
            <w:tab/>
          </w:r>
          <w:r>
            <w:fldChar w:fldCharType="begin"/>
          </w:r>
          <w:r>
            <w:instrText xml:space="preserve"> PAGEREF _Toc2874 \h </w:instrText>
          </w:r>
          <w:r>
            <w:fldChar w:fldCharType="separate"/>
          </w:r>
          <w:r>
            <w:t>- 97 -</w:t>
          </w:r>
          <w:r>
            <w:fldChar w:fldCharType="end"/>
          </w:r>
          <w:r>
            <w:rPr>
              <w:color w:val="auto"/>
              <w:szCs w:val="24"/>
            </w:rPr>
            <w:fldChar w:fldCharType="end"/>
          </w:r>
        </w:p>
        <w:p>
          <w:pPr>
            <w:pStyle w:val="23"/>
            <w:tabs>
              <w:tab w:val="right" w:leader="dot" w:pos="8958"/>
            </w:tabs>
          </w:pPr>
          <w:r>
            <w:rPr>
              <w:color w:val="auto"/>
              <w:szCs w:val="24"/>
            </w:rPr>
            <w:fldChar w:fldCharType="begin"/>
          </w:r>
          <w:r>
            <w:rPr>
              <w:szCs w:val="24"/>
            </w:rPr>
            <w:instrText xml:space="preserve"> HYPERLINK \l _Toc13098 </w:instrText>
          </w:r>
          <w:r>
            <w:rPr>
              <w:szCs w:val="24"/>
            </w:rPr>
            <w:fldChar w:fldCharType="separate"/>
          </w:r>
          <w:r>
            <w:rPr>
              <w:rFonts w:hint="eastAsia" w:ascii="宋体" w:hAnsi="宋体" w:eastAsia="宋体" w:cs="宋体"/>
              <w:bCs/>
              <w:szCs w:val="32"/>
            </w:rPr>
            <w:t xml:space="preserve">五、 </w:t>
          </w:r>
          <w:r>
            <w:rPr>
              <w:rFonts w:hint="default"/>
            </w:rPr>
            <w:t>环境保护措施监督检查清单</w:t>
          </w:r>
          <w:r>
            <w:tab/>
          </w:r>
          <w:r>
            <w:fldChar w:fldCharType="begin"/>
          </w:r>
          <w:r>
            <w:instrText xml:space="preserve"> PAGEREF _Toc13098 \h </w:instrText>
          </w:r>
          <w:r>
            <w:fldChar w:fldCharType="separate"/>
          </w:r>
          <w:r>
            <w:t>- 106 -</w:t>
          </w:r>
          <w:r>
            <w:fldChar w:fldCharType="end"/>
          </w:r>
          <w:r>
            <w:rPr>
              <w:color w:val="auto"/>
              <w:szCs w:val="24"/>
            </w:rPr>
            <w:fldChar w:fldCharType="end"/>
          </w:r>
        </w:p>
        <w:p>
          <w:pPr>
            <w:pStyle w:val="23"/>
            <w:tabs>
              <w:tab w:val="right" w:leader="dot" w:pos="8958"/>
            </w:tabs>
          </w:pPr>
          <w:r>
            <w:rPr>
              <w:color w:val="auto"/>
              <w:szCs w:val="24"/>
            </w:rPr>
            <w:fldChar w:fldCharType="begin"/>
          </w:r>
          <w:r>
            <w:rPr>
              <w:szCs w:val="24"/>
            </w:rPr>
            <w:instrText xml:space="preserve"> HYPERLINK \l _Toc5524 </w:instrText>
          </w:r>
          <w:r>
            <w:rPr>
              <w:szCs w:val="24"/>
            </w:rPr>
            <w:fldChar w:fldCharType="separate"/>
          </w:r>
          <w:r>
            <w:rPr>
              <w:rFonts w:hint="eastAsia" w:ascii="宋体" w:hAnsi="宋体" w:eastAsia="宋体" w:cs="宋体"/>
              <w:bCs/>
              <w:szCs w:val="32"/>
            </w:rPr>
            <w:t xml:space="preserve">六、 </w:t>
          </w:r>
          <w:r>
            <w:rPr>
              <w:rFonts w:hint="default"/>
            </w:rPr>
            <w:t>结论</w:t>
          </w:r>
          <w:r>
            <w:tab/>
          </w:r>
          <w:r>
            <w:fldChar w:fldCharType="begin"/>
          </w:r>
          <w:r>
            <w:instrText xml:space="preserve"> PAGEREF _Toc5524 \h </w:instrText>
          </w:r>
          <w:r>
            <w:fldChar w:fldCharType="separate"/>
          </w:r>
          <w:r>
            <w:t>- 109 -</w:t>
          </w:r>
          <w:r>
            <w:fldChar w:fldCharType="end"/>
          </w:r>
          <w:r>
            <w:rPr>
              <w:color w:val="auto"/>
              <w:szCs w:val="24"/>
            </w:rPr>
            <w:fldChar w:fldCharType="end"/>
          </w:r>
        </w:p>
        <w:p>
          <w:pPr>
            <w:pStyle w:val="23"/>
            <w:tabs>
              <w:tab w:val="right" w:leader="dot" w:pos="8958"/>
            </w:tabs>
          </w:pPr>
          <w:r>
            <w:rPr>
              <w:color w:val="auto"/>
              <w:szCs w:val="24"/>
            </w:rPr>
            <w:fldChar w:fldCharType="begin"/>
          </w:r>
          <w:r>
            <w:rPr>
              <w:szCs w:val="24"/>
            </w:rPr>
            <w:instrText xml:space="preserve"> HYPERLINK \l _Toc20373 </w:instrText>
          </w:r>
          <w:r>
            <w:rPr>
              <w:szCs w:val="24"/>
            </w:rPr>
            <w:fldChar w:fldCharType="separate"/>
          </w:r>
          <w:r>
            <w:rPr>
              <w:rFonts w:hint="eastAsia"/>
              <w:bCs/>
              <w:szCs w:val="28"/>
              <w:lang w:val="en-US" w:eastAsia="zh-CN"/>
            </w:rPr>
            <w:t>附表 建设项目污染物排放量汇总表</w:t>
          </w:r>
          <w:r>
            <w:tab/>
          </w:r>
          <w:r>
            <w:fldChar w:fldCharType="begin"/>
          </w:r>
          <w:r>
            <w:instrText xml:space="preserve"> PAGEREF _Toc20373 \h </w:instrText>
          </w:r>
          <w:r>
            <w:fldChar w:fldCharType="separate"/>
          </w:r>
          <w:r>
            <w:t>- 110 -</w:t>
          </w:r>
          <w:r>
            <w:fldChar w:fldCharType="end"/>
          </w:r>
          <w:r>
            <w:rPr>
              <w:color w:val="auto"/>
              <w:szCs w:val="24"/>
            </w:rPr>
            <w:fldChar w:fldCharType="end"/>
          </w:r>
        </w:p>
        <w:p>
          <w:pPr>
            <w:pStyle w:val="23"/>
            <w:tabs>
              <w:tab w:val="right" w:leader="dot" w:pos="8958"/>
            </w:tabs>
          </w:pPr>
          <w:r>
            <w:rPr>
              <w:color w:val="auto"/>
              <w:szCs w:val="24"/>
            </w:rPr>
            <w:fldChar w:fldCharType="begin"/>
          </w:r>
          <w:r>
            <w:rPr>
              <w:szCs w:val="24"/>
            </w:rPr>
            <w:instrText xml:space="preserve"> HYPERLINK \l _Toc7361 </w:instrText>
          </w:r>
          <w:r>
            <w:rPr>
              <w:szCs w:val="24"/>
            </w:rPr>
            <w:fldChar w:fldCharType="separate"/>
          </w:r>
          <w:r>
            <w:rPr>
              <w:rFonts w:hint="default" w:ascii="Times New Roman" w:hAnsi="Times New Roman" w:eastAsia="宋体" w:cs="Times New Roman"/>
              <w:bCs w:val="0"/>
              <w:szCs w:val="24"/>
              <w:highlight w:val="none"/>
            </w:rPr>
            <w:t>附图1：项目地理位置图</w:t>
          </w:r>
          <w:r>
            <w:tab/>
          </w:r>
          <w:r>
            <w:fldChar w:fldCharType="begin"/>
          </w:r>
          <w:r>
            <w:instrText xml:space="preserve"> PAGEREF _Toc7361 \h </w:instrText>
          </w:r>
          <w:r>
            <w:fldChar w:fldCharType="separate"/>
          </w:r>
          <w:r>
            <w:t>- 112 -</w:t>
          </w:r>
          <w:r>
            <w:fldChar w:fldCharType="end"/>
          </w:r>
          <w:r>
            <w:rPr>
              <w:color w:val="auto"/>
              <w:szCs w:val="24"/>
            </w:rPr>
            <w:fldChar w:fldCharType="end"/>
          </w:r>
        </w:p>
        <w:p>
          <w:pPr>
            <w:pStyle w:val="23"/>
            <w:tabs>
              <w:tab w:val="right" w:leader="dot" w:pos="8958"/>
            </w:tabs>
          </w:pPr>
          <w:r>
            <w:rPr>
              <w:color w:val="auto"/>
              <w:szCs w:val="24"/>
            </w:rPr>
            <w:fldChar w:fldCharType="begin"/>
          </w:r>
          <w:r>
            <w:rPr>
              <w:szCs w:val="24"/>
            </w:rPr>
            <w:instrText xml:space="preserve"> HYPERLINK \l _Toc25616 </w:instrText>
          </w:r>
          <w:r>
            <w:rPr>
              <w:szCs w:val="24"/>
            </w:rPr>
            <w:fldChar w:fldCharType="separate"/>
          </w:r>
          <w:r>
            <w:rPr>
              <w:rFonts w:hint="default" w:ascii="Times New Roman" w:hAnsi="Times New Roman" w:eastAsia="宋体" w:cs="Times New Roman"/>
              <w:bCs w:val="0"/>
              <w:szCs w:val="24"/>
              <w:highlight w:val="none"/>
            </w:rPr>
            <w:t>附图2：项目周边环境及环境保护目标分布图</w:t>
          </w:r>
          <w:r>
            <w:tab/>
          </w:r>
          <w:r>
            <w:fldChar w:fldCharType="begin"/>
          </w:r>
          <w:r>
            <w:instrText xml:space="preserve"> PAGEREF _Toc25616 \h </w:instrText>
          </w:r>
          <w:r>
            <w:fldChar w:fldCharType="separate"/>
          </w:r>
          <w:r>
            <w:t>- 113 -</w:t>
          </w:r>
          <w:r>
            <w:fldChar w:fldCharType="end"/>
          </w:r>
          <w:r>
            <w:rPr>
              <w:color w:val="auto"/>
              <w:szCs w:val="24"/>
            </w:rPr>
            <w:fldChar w:fldCharType="end"/>
          </w:r>
        </w:p>
        <w:p>
          <w:pPr>
            <w:pStyle w:val="23"/>
            <w:tabs>
              <w:tab w:val="right" w:leader="dot" w:pos="8958"/>
            </w:tabs>
          </w:pPr>
          <w:r>
            <w:rPr>
              <w:color w:val="auto"/>
              <w:szCs w:val="24"/>
            </w:rPr>
            <w:fldChar w:fldCharType="begin"/>
          </w:r>
          <w:r>
            <w:rPr>
              <w:szCs w:val="24"/>
            </w:rPr>
            <w:instrText xml:space="preserve"> HYPERLINK \l _Toc32410 </w:instrText>
          </w:r>
          <w:r>
            <w:rPr>
              <w:szCs w:val="24"/>
            </w:rPr>
            <w:fldChar w:fldCharType="separate"/>
          </w:r>
          <w:r>
            <w:rPr>
              <w:rFonts w:hint="default" w:ascii="Times New Roman" w:hAnsi="Times New Roman" w:eastAsia="宋体" w:cs="Times New Roman"/>
              <w:bCs w:val="0"/>
              <w:szCs w:val="24"/>
              <w:highlight w:val="none"/>
            </w:rPr>
            <w:t>附图3：</w:t>
          </w:r>
          <w:r>
            <w:rPr>
              <w:rFonts w:hint="default" w:ascii="Times New Roman" w:hAnsi="Times New Roman" w:eastAsia="宋体" w:cs="Times New Roman"/>
              <w:bCs w:val="0"/>
              <w:szCs w:val="24"/>
              <w:highlight w:val="none"/>
              <w:lang w:val="en-US" w:eastAsia="zh-CN"/>
            </w:rPr>
            <w:t>实验室</w:t>
          </w:r>
          <w:r>
            <w:rPr>
              <w:rFonts w:hint="default" w:ascii="Times New Roman" w:hAnsi="Times New Roman" w:eastAsia="宋体" w:cs="Times New Roman"/>
              <w:bCs w:val="0"/>
              <w:szCs w:val="24"/>
              <w:highlight w:val="none"/>
            </w:rPr>
            <w:t>平面布置</w:t>
          </w:r>
          <w:r>
            <w:rPr>
              <w:rFonts w:hint="eastAsia" w:cs="Times New Roman"/>
              <w:bCs w:val="0"/>
              <w:szCs w:val="24"/>
              <w:highlight w:val="none"/>
              <w:lang w:val="en-US" w:eastAsia="zh-CN"/>
            </w:rPr>
            <w:t>（污水管路、通风管道）</w:t>
          </w:r>
          <w:r>
            <w:tab/>
          </w:r>
          <w:r>
            <w:fldChar w:fldCharType="begin"/>
          </w:r>
          <w:r>
            <w:instrText xml:space="preserve"> PAGEREF _Toc32410 \h </w:instrText>
          </w:r>
          <w:r>
            <w:fldChar w:fldCharType="separate"/>
          </w:r>
          <w:r>
            <w:t>- 115 -</w:t>
          </w:r>
          <w:r>
            <w:fldChar w:fldCharType="end"/>
          </w:r>
          <w:r>
            <w:rPr>
              <w:color w:val="auto"/>
              <w:szCs w:val="24"/>
            </w:rPr>
            <w:fldChar w:fldCharType="end"/>
          </w:r>
        </w:p>
        <w:p>
          <w:pPr>
            <w:pStyle w:val="23"/>
            <w:tabs>
              <w:tab w:val="right" w:leader="dot" w:pos="8958"/>
            </w:tabs>
          </w:pPr>
          <w:r>
            <w:rPr>
              <w:color w:val="auto"/>
              <w:szCs w:val="24"/>
            </w:rPr>
            <w:fldChar w:fldCharType="begin"/>
          </w:r>
          <w:r>
            <w:rPr>
              <w:szCs w:val="24"/>
            </w:rPr>
            <w:instrText xml:space="preserve"> HYPERLINK \l _Toc31553 </w:instrText>
          </w:r>
          <w:r>
            <w:rPr>
              <w:szCs w:val="24"/>
            </w:rPr>
            <w:fldChar w:fldCharType="separate"/>
          </w:r>
          <w:r>
            <w:rPr>
              <w:rFonts w:hint="default" w:ascii="Times New Roman" w:hAnsi="Times New Roman" w:eastAsia="宋体" w:cs="Times New Roman"/>
              <w:bCs w:val="0"/>
              <w:szCs w:val="24"/>
              <w:highlight w:val="none"/>
            </w:rPr>
            <w:t>附件1：委托书</w:t>
          </w:r>
          <w:r>
            <w:tab/>
          </w:r>
          <w:r>
            <w:fldChar w:fldCharType="begin"/>
          </w:r>
          <w:r>
            <w:instrText xml:space="preserve"> PAGEREF _Toc31553 \h </w:instrText>
          </w:r>
          <w:r>
            <w:fldChar w:fldCharType="separate"/>
          </w:r>
          <w:r>
            <w:t>- 118 -</w:t>
          </w:r>
          <w:r>
            <w:fldChar w:fldCharType="end"/>
          </w:r>
          <w:r>
            <w:rPr>
              <w:color w:val="auto"/>
              <w:szCs w:val="24"/>
            </w:rPr>
            <w:fldChar w:fldCharType="end"/>
          </w:r>
        </w:p>
        <w:p>
          <w:pPr>
            <w:pStyle w:val="23"/>
            <w:tabs>
              <w:tab w:val="right" w:leader="dot" w:pos="8958"/>
            </w:tabs>
          </w:pPr>
          <w:r>
            <w:rPr>
              <w:color w:val="auto"/>
              <w:szCs w:val="24"/>
            </w:rPr>
            <w:fldChar w:fldCharType="begin"/>
          </w:r>
          <w:r>
            <w:rPr>
              <w:szCs w:val="24"/>
            </w:rPr>
            <w:instrText xml:space="preserve"> HYPERLINK \l _Toc28025 </w:instrText>
          </w:r>
          <w:r>
            <w:rPr>
              <w:szCs w:val="24"/>
            </w:rPr>
            <w:fldChar w:fldCharType="separate"/>
          </w:r>
          <w:r>
            <w:rPr>
              <w:rFonts w:hint="default" w:ascii="Times New Roman" w:hAnsi="Times New Roman" w:eastAsia="宋体" w:cs="Times New Roman"/>
              <w:bCs w:val="0"/>
              <w:szCs w:val="24"/>
              <w:highlight w:val="none"/>
            </w:rPr>
            <w:t>附件</w:t>
          </w:r>
          <w:r>
            <w:rPr>
              <w:rFonts w:hint="default" w:ascii="Times New Roman" w:hAnsi="Times New Roman" w:eastAsia="宋体" w:cs="Times New Roman"/>
              <w:bCs w:val="0"/>
              <w:szCs w:val="24"/>
              <w:highlight w:val="none"/>
              <w:lang w:val="en-US" w:eastAsia="zh-CN"/>
            </w:rPr>
            <w:t>2</w:t>
          </w:r>
          <w:r>
            <w:rPr>
              <w:rFonts w:hint="default" w:ascii="Times New Roman" w:hAnsi="Times New Roman" w:eastAsia="宋体" w:cs="Times New Roman"/>
              <w:bCs w:val="0"/>
              <w:szCs w:val="24"/>
              <w:highlight w:val="none"/>
            </w:rPr>
            <w:t>：</w:t>
          </w:r>
          <w:r>
            <w:rPr>
              <w:rFonts w:hint="eastAsia" w:ascii="Times New Roman" w:hAnsi="Times New Roman" w:eastAsia="宋体" w:cs="Times New Roman"/>
              <w:bCs w:val="0"/>
              <w:szCs w:val="24"/>
              <w:highlight w:val="none"/>
              <w:lang w:val="en-US" w:eastAsia="zh-CN"/>
            </w:rPr>
            <w:t>项目备案表</w:t>
          </w:r>
          <w:r>
            <w:tab/>
          </w:r>
          <w:r>
            <w:fldChar w:fldCharType="begin"/>
          </w:r>
          <w:r>
            <w:instrText xml:space="preserve"> PAGEREF _Toc28025 \h </w:instrText>
          </w:r>
          <w:r>
            <w:fldChar w:fldCharType="separate"/>
          </w:r>
          <w:r>
            <w:t>- 119 -</w:t>
          </w:r>
          <w:r>
            <w:fldChar w:fldCharType="end"/>
          </w:r>
          <w:r>
            <w:rPr>
              <w:color w:val="auto"/>
              <w:szCs w:val="24"/>
            </w:rPr>
            <w:fldChar w:fldCharType="end"/>
          </w:r>
        </w:p>
        <w:p>
          <w:pPr>
            <w:pStyle w:val="23"/>
            <w:tabs>
              <w:tab w:val="right" w:leader="dot" w:pos="8958"/>
            </w:tabs>
          </w:pPr>
          <w:r>
            <w:rPr>
              <w:color w:val="auto"/>
              <w:szCs w:val="24"/>
            </w:rPr>
            <w:fldChar w:fldCharType="begin"/>
          </w:r>
          <w:r>
            <w:rPr>
              <w:szCs w:val="24"/>
            </w:rPr>
            <w:instrText xml:space="preserve"> HYPERLINK \l _Toc1003 </w:instrText>
          </w:r>
          <w:r>
            <w:rPr>
              <w:szCs w:val="24"/>
            </w:rPr>
            <w:fldChar w:fldCharType="separate"/>
          </w:r>
          <w:r>
            <w:rPr>
              <w:rFonts w:hint="default" w:ascii="Times New Roman" w:hAnsi="Times New Roman" w:eastAsia="宋体" w:cs="Times New Roman"/>
              <w:bCs w:val="0"/>
              <w:szCs w:val="24"/>
              <w:highlight w:val="none"/>
            </w:rPr>
            <w:t>附件</w:t>
          </w:r>
          <w:r>
            <w:rPr>
              <w:rFonts w:hint="eastAsia" w:cs="Times New Roman"/>
              <w:bCs w:val="0"/>
              <w:szCs w:val="24"/>
              <w:highlight w:val="none"/>
              <w:lang w:val="en-US" w:eastAsia="zh-CN"/>
            </w:rPr>
            <w:t>3</w:t>
          </w:r>
          <w:r>
            <w:rPr>
              <w:rFonts w:hint="default" w:ascii="Times New Roman" w:hAnsi="Times New Roman" w:eastAsia="宋体" w:cs="Times New Roman"/>
              <w:bCs w:val="0"/>
              <w:szCs w:val="24"/>
              <w:highlight w:val="none"/>
            </w:rPr>
            <w:t>：营业执照</w:t>
          </w:r>
          <w:r>
            <w:tab/>
          </w:r>
          <w:r>
            <w:fldChar w:fldCharType="begin"/>
          </w:r>
          <w:r>
            <w:instrText xml:space="preserve"> PAGEREF _Toc1003 \h </w:instrText>
          </w:r>
          <w:r>
            <w:fldChar w:fldCharType="separate"/>
          </w:r>
          <w:r>
            <w:t>- 120 -</w:t>
          </w:r>
          <w:r>
            <w:fldChar w:fldCharType="end"/>
          </w:r>
          <w:r>
            <w:rPr>
              <w:color w:val="auto"/>
              <w:szCs w:val="24"/>
            </w:rPr>
            <w:fldChar w:fldCharType="end"/>
          </w:r>
        </w:p>
        <w:p>
          <w:pPr>
            <w:pStyle w:val="23"/>
            <w:tabs>
              <w:tab w:val="right" w:leader="dot" w:pos="8958"/>
            </w:tabs>
          </w:pPr>
          <w:r>
            <w:rPr>
              <w:color w:val="auto"/>
              <w:szCs w:val="24"/>
            </w:rPr>
            <w:fldChar w:fldCharType="begin"/>
          </w:r>
          <w:r>
            <w:rPr>
              <w:szCs w:val="24"/>
            </w:rPr>
            <w:instrText xml:space="preserve"> HYPERLINK \l _Toc14200 </w:instrText>
          </w:r>
          <w:r>
            <w:rPr>
              <w:szCs w:val="24"/>
            </w:rPr>
            <w:fldChar w:fldCharType="separate"/>
          </w:r>
          <w:r>
            <w:rPr>
              <w:rFonts w:hint="default" w:ascii="Times New Roman" w:hAnsi="Times New Roman" w:cs="Times New Roman"/>
              <w:bCs/>
              <w:kern w:val="44"/>
              <w:szCs w:val="24"/>
              <w:highlight w:val="none"/>
            </w:rPr>
            <w:t>附件</w:t>
          </w:r>
          <w:r>
            <w:rPr>
              <w:rFonts w:hint="eastAsia" w:cs="Times New Roman"/>
              <w:bCs/>
              <w:kern w:val="44"/>
              <w:szCs w:val="24"/>
              <w:highlight w:val="none"/>
              <w:lang w:val="en-US" w:eastAsia="zh-CN"/>
            </w:rPr>
            <w:t>4</w:t>
          </w:r>
          <w:r>
            <w:rPr>
              <w:rFonts w:hint="default" w:ascii="Times New Roman" w:hAnsi="Times New Roman" w:cs="Times New Roman"/>
              <w:bCs/>
              <w:kern w:val="44"/>
              <w:szCs w:val="24"/>
              <w:highlight w:val="none"/>
            </w:rPr>
            <w:t>：</w:t>
          </w:r>
          <w:r>
            <w:rPr>
              <w:rFonts w:hint="default" w:ascii="Times New Roman" w:hAnsi="Times New Roman" w:cs="Times New Roman"/>
              <w:bCs/>
              <w:kern w:val="44"/>
              <w:szCs w:val="24"/>
              <w:highlight w:val="none"/>
              <w:lang w:val="en-US" w:eastAsia="zh-CN"/>
            </w:rPr>
            <w:t>用地租赁合同</w:t>
          </w:r>
          <w:r>
            <w:tab/>
          </w:r>
          <w:r>
            <w:fldChar w:fldCharType="begin"/>
          </w:r>
          <w:r>
            <w:instrText xml:space="preserve"> PAGEREF _Toc14200 \h </w:instrText>
          </w:r>
          <w:r>
            <w:fldChar w:fldCharType="separate"/>
          </w:r>
          <w:r>
            <w:t>- 121 -</w:t>
          </w:r>
          <w:r>
            <w:fldChar w:fldCharType="end"/>
          </w:r>
          <w:r>
            <w:rPr>
              <w:color w:val="auto"/>
              <w:szCs w:val="24"/>
            </w:rPr>
            <w:fldChar w:fldCharType="end"/>
          </w:r>
        </w:p>
        <w:p>
          <w:pPr>
            <w:pStyle w:val="23"/>
            <w:tabs>
              <w:tab w:val="right" w:leader="dot" w:pos="8958"/>
            </w:tabs>
          </w:pPr>
          <w:r>
            <w:rPr>
              <w:color w:val="auto"/>
              <w:szCs w:val="24"/>
            </w:rPr>
            <w:fldChar w:fldCharType="begin"/>
          </w:r>
          <w:r>
            <w:rPr>
              <w:szCs w:val="24"/>
            </w:rPr>
            <w:instrText xml:space="preserve"> HYPERLINK \l _Toc15768 </w:instrText>
          </w:r>
          <w:r>
            <w:rPr>
              <w:szCs w:val="24"/>
            </w:rPr>
            <w:fldChar w:fldCharType="separate"/>
          </w:r>
          <w:r>
            <w:rPr>
              <w:rFonts w:hint="default" w:ascii="Times New Roman" w:hAnsi="Times New Roman" w:eastAsia="宋体" w:cs="Times New Roman"/>
              <w:bCs w:val="0"/>
              <w:szCs w:val="24"/>
              <w:highlight w:val="none"/>
            </w:rPr>
            <w:t>附件</w:t>
          </w:r>
          <w:r>
            <w:rPr>
              <w:rFonts w:hint="eastAsia" w:ascii="Times New Roman" w:hAnsi="Times New Roman" w:eastAsia="宋体" w:cs="Times New Roman"/>
              <w:bCs w:val="0"/>
              <w:szCs w:val="24"/>
              <w:highlight w:val="none"/>
              <w:lang w:val="en-US" w:eastAsia="zh-CN"/>
            </w:rPr>
            <w:t>5</w:t>
          </w:r>
          <w:r>
            <w:rPr>
              <w:rFonts w:hint="default" w:ascii="Times New Roman" w:hAnsi="Times New Roman" w:eastAsia="宋体" w:cs="Times New Roman"/>
              <w:bCs w:val="0"/>
              <w:szCs w:val="24"/>
              <w:highlight w:val="none"/>
              <w:lang w:val="en-US" w:eastAsia="zh-CN"/>
            </w:rPr>
            <w:t>：</w:t>
          </w:r>
          <w:r>
            <w:rPr>
              <w:rFonts w:hint="eastAsia" w:ascii="Times New Roman" w:hAnsi="Times New Roman" w:eastAsia="宋体" w:cs="Times New Roman"/>
              <w:bCs w:val="0"/>
              <w:szCs w:val="24"/>
              <w:highlight w:val="none"/>
              <w:lang w:val="en-US" w:eastAsia="zh-CN"/>
            </w:rPr>
            <w:t>三线一单综合查询报告书</w:t>
          </w:r>
          <w:r>
            <w:tab/>
          </w:r>
          <w:r>
            <w:fldChar w:fldCharType="begin"/>
          </w:r>
          <w:r>
            <w:instrText xml:space="preserve"> PAGEREF _Toc15768 \h </w:instrText>
          </w:r>
          <w:r>
            <w:fldChar w:fldCharType="separate"/>
          </w:r>
          <w:r>
            <w:t>- 142 -</w:t>
          </w:r>
          <w:r>
            <w:fldChar w:fldCharType="end"/>
          </w:r>
          <w:r>
            <w:rPr>
              <w:color w:val="auto"/>
              <w:szCs w:val="24"/>
            </w:rPr>
            <w:fldChar w:fldCharType="end"/>
          </w:r>
        </w:p>
        <w:p>
          <w:pPr>
            <w:pStyle w:val="23"/>
            <w:tabs>
              <w:tab w:val="right" w:leader="dot" w:pos="8958"/>
            </w:tabs>
          </w:pPr>
          <w:r>
            <w:rPr>
              <w:color w:val="auto"/>
              <w:szCs w:val="24"/>
            </w:rPr>
            <w:fldChar w:fldCharType="begin"/>
          </w:r>
          <w:r>
            <w:rPr>
              <w:szCs w:val="24"/>
            </w:rPr>
            <w:instrText xml:space="preserve"> HYPERLINK \l _Toc30863 </w:instrText>
          </w:r>
          <w:r>
            <w:rPr>
              <w:szCs w:val="24"/>
            </w:rPr>
            <w:fldChar w:fldCharType="separate"/>
          </w:r>
          <w:r>
            <w:rPr>
              <w:rFonts w:hint="default" w:ascii="Times New Roman" w:hAnsi="Times New Roman" w:eastAsia="宋体" w:cs="Times New Roman"/>
              <w:bCs w:val="0"/>
              <w:szCs w:val="24"/>
              <w:highlight w:val="none"/>
            </w:rPr>
            <w:t>附件</w:t>
          </w:r>
          <w:r>
            <w:rPr>
              <w:rFonts w:hint="eastAsia" w:ascii="Times New Roman" w:hAnsi="Times New Roman" w:eastAsia="宋体" w:cs="Times New Roman"/>
              <w:bCs w:val="0"/>
              <w:szCs w:val="24"/>
              <w:highlight w:val="none"/>
              <w:lang w:val="en-US" w:eastAsia="zh-CN"/>
            </w:rPr>
            <w:t>6</w:t>
          </w:r>
          <w:r>
            <w:rPr>
              <w:rFonts w:hint="default" w:ascii="Times New Roman" w:hAnsi="Times New Roman" w:eastAsia="宋体" w:cs="Times New Roman"/>
              <w:bCs w:val="0"/>
              <w:szCs w:val="24"/>
              <w:highlight w:val="none"/>
              <w:lang w:val="en-US" w:eastAsia="zh-CN"/>
            </w:rPr>
            <w:t>：</w:t>
          </w:r>
          <w:r>
            <w:rPr>
              <w:rFonts w:hint="eastAsia" w:ascii="Times New Roman" w:hAnsi="Times New Roman" w:eastAsia="宋体" w:cs="Times New Roman"/>
              <w:bCs w:val="0"/>
              <w:szCs w:val="24"/>
              <w:highlight w:val="none"/>
              <w:lang w:val="en-US" w:eastAsia="zh-CN"/>
            </w:rPr>
            <w:t>用地产权证</w:t>
          </w:r>
          <w:r>
            <w:tab/>
          </w:r>
          <w:r>
            <w:fldChar w:fldCharType="begin"/>
          </w:r>
          <w:r>
            <w:instrText xml:space="preserve"> PAGEREF _Toc30863 \h </w:instrText>
          </w:r>
          <w:r>
            <w:fldChar w:fldCharType="separate"/>
          </w:r>
          <w:r>
            <w:t>- 148 -</w:t>
          </w:r>
          <w:r>
            <w:fldChar w:fldCharType="end"/>
          </w:r>
          <w:r>
            <w:rPr>
              <w:color w:val="auto"/>
              <w:szCs w:val="24"/>
            </w:rPr>
            <w:fldChar w:fldCharType="end"/>
          </w:r>
        </w:p>
        <w:p>
          <w:pPr>
            <w:pStyle w:val="23"/>
            <w:tabs>
              <w:tab w:val="right" w:leader="dot" w:pos="8958"/>
            </w:tabs>
          </w:pPr>
          <w:r>
            <w:rPr>
              <w:color w:val="auto"/>
              <w:szCs w:val="24"/>
            </w:rPr>
            <w:fldChar w:fldCharType="begin"/>
          </w:r>
          <w:r>
            <w:rPr>
              <w:szCs w:val="24"/>
            </w:rPr>
            <w:instrText xml:space="preserve"> HYPERLINK \l _Toc4243 </w:instrText>
          </w:r>
          <w:r>
            <w:rPr>
              <w:szCs w:val="24"/>
            </w:rPr>
            <w:fldChar w:fldCharType="separate"/>
          </w:r>
          <w:r>
            <w:rPr>
              <w:rFonts w:hint="default" w:ascii="Times New Roman" w:hAnsi="Times New Roman" w:eastAsia="宋体" w:cs="Times New Roman"/>
              <w:bCs w:val="0"/>
              <w:szCs w:val="24"/>
              <w:highlight w:val="none"/>
            </w:rPr>
            <w:t>附件</w:t>
          </w:r>
          <w:r>
            <w:rPr>
              <w:rFonts w:hint="eastAsia" w:ascii="Times New Roman" w:hAnsi="Times New Roman" w:eastAsia="宋体" w:cs="Times New Roman"/>
              <w:bCs w:val="0"/>
              <w:szCs w:val="24"/>
              <w:highlight w:val="none"/>
              <w:lang w:val="en-US" w:eastAsia="zh-CN"/>
            </w:rPr>
            <w:t>7</w:t>
          </w:r>
          <w:r>
            <w:rPr>
              <w:rFonts w:hint="default" w:ascii="Times New Roman" w:hAnsi="Times New Roman" w:eastAsia="宋体" w:cs="Times New Roman"/>
              <w:bCs w:val="0"/>
              <w:szCs w:val="24"/>
              <w:highlight w:val="none"/>
              <w:lang w:val="en-US" w:eastAsia="zh-CN"/>
            </w:rPr>
            <w:t>：</w:t>
          </w:r>
          <w:r>
            <w:rPr>
              <w:rFonts w:hint="eastAsia" w:ascii="Times New Roman" w:hAnsi="Times New Roman" w:eastAsia="宋体" w:cs="Times New Roman"/>
              <w:bCs w:val="0"/>
              <w:szCs w:val="24"/>
              <w:highlight w:val="none"/>
              <w:lang w:val="en-US" w:eastAsia="zh-CN"/>
            </w:rPr>
            <w:t>排水证明</w:t>
          </w:r>
          <w:r>
            <w:tab/>
          </w:r>
          <w:r>
            <w:fldChar w:fldCharType="begin"/>
          </w:r>
          <w:r>
            <w:instrText xml:space="preserve"> PAGEREF _Toc4243 \h </w:instrText>
          </w:r>
          <w:r>
            <w:fldChar w:fldCharType="separate"/>
          </w:r>
          <w:r>
            <w:t>- 153 -</w:t>
          </w:r>
          <w:r>
            <w:fldChar w:fldCharType="end"/>
          </w:r>
          <w:r>
            <w:rPr>
              <w:color w:val="auto"/>
              <w:szCs w:val="24"/>
            </w:rPr>
            <w:fldChar w:fldCharType="end"/>
          </w:r>
        </w:p>
        <w:p>
          <w:pPr>
            <w:pStyle w:val="23"/>
            <w:tabs>
              <w:tab w:val="right" w:leader="dot" w:pos="8958"/>
            </w:tabs>
          </w:pPr>
          <w:r>
            <w:rPr>
              <w:color w:val="auto"/>
              <w:szCs w:val="24"/>
            </w:rPr>
            <w:fldChar w:fldCharType="begin"/>
          </w:r>
          <w:r>
            <w:rPr>
              <w:szCs w:val="24"/>
            </w:rPr>
            <w:instrText xml:space="preserve"> HYPERLINK \l _Toc6907 </w:instrText>
          </w:r>
          <w:r>
            <w:rPr>
              <w:szCs w:val="24"/>
            </w:rPr>
            <w:fldChar w:fldCharType="separate"/>
          </w:r>
          <w:r>
            <w:rPr>
              <w:rFonts w:hint="default" w:ascii="Times New Roman" w:hAnsi="Times New Roman" w:eastAsia="宋体" w:cs="Times New Roman"/>
              <w:bCs w:val="0"/>
              <w:szCs w:val="24"/>
              <w:highlight w:val="none"/>
            </w:rPr>
            <w:t>附件</w:t>
          </w:r>
          <w:r>
            <w:rPr>
              <w:rFonts w:hint="eastAsia" w:cs="Times New Roman"/>
              <w:bCs w:val="0"/>
              <w:szCs w:val="24"/>
              <w:highlight w:val="none"/>
              <w:lang w:val="en-US" w:eastAsia="zh-CN"/>
            </w:rPr>
            <w:t>8</w:t>
          </w:r>
          <w:r>
            <w:rPr>
              <w:rFonts w:hint="default" w:ascii="Times New Roman" w:hAnsi="Times New Roman" w:eastAsia="宋体" w:cs="Times New Roman"/>
              <w:bCs w:val="0"/>
              <w:szCs w:val="24"/>
              <w:highlight w:val="none"/>
              <w:lang w:val="en-US" w:eastAsia="zh-CN"/>
            </w:rPr>
            <w:t>：</w:t>
          </w:r>
          <w:r>
            <w:rPr>
              <w:rFonts w:hint="eastAsia" w:ascii="Times New Roman" w:hAnsi="Times New Roman" w:eastAsia="宋体" w:cs="Times New Roman"/>
              <w:bCs w:val="0"/>
              <w:szCs w:val="24"/>
              <w:highlight w:val="none"/>
              <w:lang w:val="en-US" w:eastAsia="zh-CN"/>
            </w:rPr>
            <w:t>放射性同位素</w:t>
          </w:r>
          <w:r>
            <w:rPr>
              <w:rFonts w:hint="eastAsia" w:cs="Times New Roman"/>
              <w:bCs w:val="0"/>
              <w:szCs w:val="24"/>
              <w:highlight w:val="none"/>
              <w:lang w:val="en-US" w:eastAsia="zh-CN"/>
            </w:rPr>
            <w:t>豁免证明</w:t>
          </w:r>
          <w:r>
            <w:tab/>
          </w:r>
          <w:r>
            <w:fldChar w:fldCharType="begin"/>
          </w:r>
          <w:r>
            <w:instrText xml:space="preserve"> PAGEREF _Toc6907 \h </w:instrText>
          </w:r>
          <w:r>
            <w:fldChar w:fldCharType="separate"/>
          </w:r>
          <w:r>
            <w:t>- 154 -</w:t>
          </w:r>
          <w:r>
            <w:fldChar w:fldCharType="end"/>
          </w:r>
          <w:r>
            <w:rPr>
              <w:color w:val="auto"/>
              <w:szCs w:val="24"/>
            </w:rPr>
            <w:fldChar w:fldCharType="end"/>
          </w:r>
        </w:p>
        <w:p>
          <w:pPr>
            <w:pStyle w:val="23"/>
            <w:tabs>
              <w:tab w:val="right" w:leader="dot" w:pos="8958"/>
            </w:tabs>
          </w:pPr>
          <w:r>
            <w:rPr>
              <w:color w:val="auto"/>
              <w:szCs w:val="24"/>
            </w:rPr>
            <w:fldChar w:fldCharType="begin"/>
          </w:r>
          <w:r>
            <w:rPr>
              <w:szCs w:val="24"/>
            </w:rPr>
            <w:instrText xml:space="preserve"> HYPERLINK \l _Toc15578 </w:instrText>
          </w:r>
          <w:r>
            <w:rPr>
              <w:szCs w:val="24"/>
            </w:rPr>
            <w:fldChar w:fldCharType="separate"/>
          </w:r>
          <w:r>
            <w:rPr>
              <w:rFonts w:hint="default" w:ascii="Times New Roman" w:hAnsi="Times New Roman" w:eastAsia="宋体" w:cs="Times New Roman"/>
              <w:bCs w:val="0"/>
              <w:szCs w:val="24"/>
              <w:highlight w:val="none"/>
            </w:rPr>
            <w:t>附件</w:t>
          </w:r>
          <w:r>
            <w:rPr>
              <w:rFonts w:hint="eastAsia" w:cs="Times New Roman"/>
              <w:bCs w:val="0"/>
              <w:szCs w:val="24"/>
              <w:highlight w:val="none"/>
              <w:lang w:val="en-US" w:eastAsia="zh-CN"/>
            </w:rPr>
            <w:t>9</w:t>
          </w:r>
          <w:r>
            <w:rPr>
              <w:rFonts w:hint="default" w:ascii="Times New Roman" w:hAnsi="Times New Roman" w:eastAsia="宋体" w:cs="Times New Roman"/>
              <w:bCs w:val="0"/>
              <w:szCs w:val="24"/>
              <w:highlight w:val="none"/>
              <w:lang w:val="en-US" w:eastAsia="zh-CN"/>
            </w:rPr>
            <w:t>：</w:t>
          </w:r>
          <w:r>
            <w:rPr>
              <w:rFonts w:hint="eastAsia" w:ascii="Times New Roman" w:hAnsi="Times New Roman" w:eastAsia="宋体" w:cs="Times New Roman"/>
              <w:bCs w:val="0"/>
              <w:szCs w:val="24"/>
              <w:highlight w:val="none"/>
              <w:lang w:val="en-US" w:eastAsia="zh-CN"/>
            </w:rPr>
            <w:t>关于环评文件公开文本删除的涉及国家秘密、商业秘密等内容的删除依据和理由说明</w:t>
          </w:r>
          <w:r>
            <w:tab/>
          </w:r>
          <w:r>
            <w:fldChar w:fldCharType="begin"/>
          </w:r>
          <w:r>
            <w:instrText xml:space="preserve"> PAGEREF _Toc15578 \h </w:instrText>
          </w:r>
          <w:r>
            <w:fldChar w:fldCharType="separate"/>
          </w:r>
          <w:r>
            <w:t>- 155 -</w:t>
          </w:r>
          <w:r>
            <w:fldChar w:fldCharType="end"/>
          </w:r>
          <w:r>
            <w:rPr>
              <w:color w:val="auto"/>
              <w:szCs w:val="24"/>
            </w:rPr>
            <w:fldChar w:fldCharType="end"/>
          </w:r>
        </w:p>
        <w:p>
          <w:pPr>
            <w:pStyle w:val="23"/>
            <w:tabs>
              <w:tab w:val="right" w:leader="dot" w:pos="8958"/>
            </w:tabs>
          </w:pPr>
          <w:r>
            <w:rPr>
              <w:color w:val="auto"/>
              <w:szCs w:val="24"/>
            </w:rPr>
            <w:fldChar w:fldCharType="begin"/>
          </w:r>
          <w:r>
            <w:rPr>
              <w:szCs w:val="24"/>
            </w:rPr>
            <w:instrText xml:space="preserve"> HYPERLINK \l _Toc10923 </w:instrText>
          </w:r>
          <w:r>
            <w:rPr>
              <w:szCs w:val="24"/>
            </w:rPr>
            <w:fldChar w:fldCharType="separate"/>
          </w:r>
          <w:r>
            <w:rPr>
              <w:rFonts w:hint="default" w:ascii="Times New Roman" w:hAnsi="Times New Roman" w:eastAsia="宋体" w:cs="Times New Roman"/>
              <w:bCs w:val="0"/>
              <w:szCs w:val="24"/>
              <w:highlight w:val="none"/>
            </w:rPr>
            <w:t>附件</w:t>
          </w:r>
          <w:r>
            <w:rPr>
              <w:rFonts w:hint="eastAsia" w:cs="Times New Roman"/>
              <w:bCs w:val="0"/>
              <w:szCs w:val="24"/>
              <w:highlight w:val="none"/>
              <w:lang w:val="en-US" w:eastAsia="zh-CN"/>
            </w:rPr>
            <w:t>10</w:t>
          </w:r>
          <w:r>
            <w:rPr>
              <w:rFonts w:hint="default" w:ascii="Times New Roman" w:hAnsi="Times New Roman" w:eastAsia="宋体" w:cs="Times New Roman"/>
              <w:bCs w:val="0"/>
              <w:szCs w:val="24"/>
              <w:highlight w:val="none"/>
              <w:lang w:val="en-US" w:eastAsia="zh-CN"/>
            </w:rPr>
            <w:t>：</w:t>
          </w:r>
          <w:r>
            <w:rPr>
              <w:rFonts w:hint="eastAsia" w:ascii="Times New Roman" w:hAnsi="Times New Roman" w:eastAsia="宋体" w:cs="Times New Roman"/>
              <w:bCs w:val="0"/>
              <w:szCs w:val="24"/>
              <w:highlight w:val="none"/>
              <w:lang w:val="en-US" w:eastAsia="zh-CN"/>
            </w:rPr>
            <w:t>关于公开建设项目环评文件等信息情况的说明</w:t>
          </w:r>
          <w:r>
            <w:tab/>
          </w:r>
          <w:r>
            <w:fldChar w:fldCharType="begin"/>
          </w:r>
          <w:r>
            <w:instrText xml:space="preserve"> PAGEREF _Toc10923 \h </w:instrText>
          </w:r>
          <w:r>
            <w:fldChar w:fldCharType="separate"/>
          </w:r>
          <w:r>
            <w:t>- 157 -</w:t>
          </w:r>
          <w:r>
            <w:fldChar w:fldCharType="end"/>
          </w:r>
          <w:r>
            <w:rPr>
              <w:color w:val="auto"/>
              <w:szCs w:val="24"/>
            </w:rPr>
            <w:fldChar w:fldCharType="end"/>
          </w:r>
        </w:p>
        <w:p>
          <w:pPr>
            <w:pStyle w:val="23"/>
            <w:tabs>
              <w:tab w:val="right" w:leader="dot" w:pos="8958"/>
            </w:tabs>
          </w:pPr>
          <w:r>
            <w:rPr>
              <w:color w:val="auto"/>
              <w:szCs w:val="24"/>
            </w:rPr>
            <w:fldChar w:fldCharType="begin"/>
          </w:r>
          <w:r>
            <w:rPr>
              <w:szCs w:val="24"/>
            </w:rPr>
            <w:instrText xml:space="preserve"> HYPERLINK \l _Toc25310 </w:instrText>
          </w:r>
          <w:r>
            <w:rPr>
              <w:szCs w:val="24"/>
            </w:rPr>
            <w:fldChar w:fldCharType="separate"/>
          </w:r>
          <w:r>
            <w:rPr>
              <w:rFonts w:hint="default" w:ascii="Times New Roman" w:hAnsi="Times New Roman" w:eastAsia="宋体" w:cs="Times New Roman"/>
              <w:bCs w:val="0"/>
              <w:szCs w:val="24"/>
              <w:highlight w:val="none"/>
            </w:rPr>
            <w:t>附件</w:t>
          </w:r>
          <w:r>
            <w:rPr>
              <w:rFonts w:hint="eastAsia" w:cs="Times New Roman"/>
              <w:bCs w:val="0"/>
              <w:szCs w:val="24"/>
              <w:highlight w:val="none"/>
              <w:lang w:val="en-US" w:eastAsia="zh-CN"/>
            </w:rPr>
            <w:t>11</w:t>
          </w:r>
          <w:r>
            <w:rPr>
              <w:rFonts w:hint="default" w:ascii="Times New Roman" w:hAnsi="Times New Roman" w:eastAsia="宋体" w:cs="Times New Roman"/>
              <w:bCs w:val="0"/>
              <w:szCs w:val="24"/>
              <w:highlight w:val="none"/>
              <w:lang w:val="en-US" w:eastAsia="zh-CN"/>
            </w:rPr>
            <w:t>：授权委托书</w:t>
          </w:r>
          <w:r>
            <w:tab/>
          </w:r>
          <w:r>
            <w:fldChar w:fldCharType="begin"/>
          </w:r>
          <w:r>
            <w:instrText xml:space="preserve"> PAGEREF _Toc25310 \h </w:instrText>
          </w:r>
          <w:r>
            <w:fldChar w:fldCharType="separate"/>
          </w:r>
          <w:r>
            <w:t>- 158 -</w:t>
          </w:r>
          <w:r>
            <w:fldChar w:fldCharType="end"/>
          </w:r>
          <w:r>
            <w:rPr>
              <w:color w:val="auto"/>
              <w:szCs w:val="24"/>
            </w:rPr>
            <w:fldChar w:fldCharType="end"/>
          </w:r>
        </w:p>
        <w:p>
          <w:pPr>
            <w:adjustRightInd w:val="0"/>
            <w:snapToGrid w:val="0"/>
            <w:spacing w:line="360" w:lineRule="auto"/>
            <w:jc w:val="center"/>
            <w:rPr>
              <w:rFonts w:ascii="Times New Roman" w:hAnsi="Times New Roman" w:eastAsia="宋体" w:cs="宋体"/>
              <w:b/>
              <w:bCs/>
              <w:color w:val="auto"/>
              <w:kern w:val="0"/>
              <w:sz w:val="24"/>
              <w:szCs w:val="20"/>
              <w:lang w:val="zh-CN" w:eastAsia="zh-CN" w:bidi="ar-SA"/>
            </w:rPr>
          </w:pPr>
          <w:r>
            <w:rPr>
              <w:color w:val="auto"/>
              <w:szCs w:val="24"/>
            </w:rPr>
            <w:fldChar w:fldCharType="end"/>
          </w:r>
        </w:p>
      </w:sdtContent>
    </w:sdt>
    <w:p>
      <w:pPr>
        <w:adjustRightInd w:val="0"/>
        <w:snapToGrid w:val="0"/>
        <w:spacing w:line="360" w:lineRule="auto"/>
        <w:jc w:val="center"/>
        <w:rPr>
          <w:rFonts w:ascii="Times New Roman" w:hAnsi="Times New Roman" w:eastAsia="宋体" w:cs="宋体"/>
          <w:b/>
          <w:bCs/>
          <w:color w:val="auto"/>
          <w:kern w:val="0"/>
          <w:sz w:val="24"/>
          <w:szCs w:val="20"/>
          <w:lang w:val="en-US" w:eastAsia="zh-CN" w:bidi="ar-SA"/>
        </w:rPr>
      </w:pPr>
    </w:p>
    <w:p>
      <w:pPr>
        <w:adjustRightInd w:val="0"/>
        <w:snapToGrid w:val="0"/>
        <w:spacing w:line="360" w:lineRule="auto"/>
        <w:jc w:val="center"/>
        <w:rPr>
          <w:rFonts w:ascii="宋体" w:hAnsi="宋体" w:eastAsia="宋体" w:cs="Times New Roman"/>
          <w:b/>
          <w:bCs/>
          <w:color w:val="auto"/>
          <w:kern w:val="2"/>
          <w:sz w:val="32"/>
          <w:szCs w:val="32"/>
          <w:lang w:val="en-US" w:eastAsia="zh-CN" w:bidi="ar-SA"/>
        </w:rPr>
      </w:pPr>
    </w:p>
    <w:p>
      <w:pPr>
        <w:adjustRightInd w:val="0"/>
        <w:snapToGrid w:val="0"/>
        <w:spacing w:line="360" w:lineRule="auto"/>
        <w:jc w:val="center"/>
        <w:rPr>
          <w:rFonts w:ascii="宋体" w:hAnsi="宋体" w:eastAsia="宋体" w:cs="Times New Roman"/>
          <w:b/>
          <w:bCs/>
          <w:color w:val="auto"/>
          <w:kern w:val="2"/>
          <w:sz w:val="32"/>
          <w:szCs w:val="32"/>
          <w:lang w:val="en-US" w:eastAsia="zh-CN" w:bidi="ar-SA"/>
        </w:rPr>
      </w:pPr>
    </w:p>
    <w:sdt>
      <w:sdtPr>
        <w:rPr>
          <w:rFonts w:ascii="宋体" w:hAnsi="宋体" w:eastAsia="宋体" w:cs="Times New Roman"/>
          <w:b/>
          <w:bCs/>
          <w:color w:val="auto"/>
          <w:kern w:val="2"/>
          <w:sz w:val="32"/>
          <w:szCs w:val="32"/>
          <w:lang w:val="en-US" w:eastAsia="zh-CN" w:bidi="ar-SA"/>
        </w:rPr>
        <w:id w:val="147476443"/>
        <w:showingPlcHdr/>
        <w15:color w:val="DBDBDB"/>
        <w:docPartObj>
          <w:docPartGallery w:val="Table of Contents"/>
          <w:docPartUnique/>
        </w:docPartObj>
      </w:sdtPr>
      <w:sdtEndPr>
        <w:rPr>
          <w:rFonts w:hint="default" w:ascii="Times New Roman" w:hAnsi="Times New Roman" w:eastAsia="楷体_GB2312" w:cs="Times New Roman"/>
          <w:b/>
          <w:bCs/>
          <w:color w:val="auto"/>
          <w:kern w:val="2"/>
          <w:sz w:val="21"/>
          <w:szCs w:val="36"/>
          <w:highlight w:val="none"/>
          <w:lang w:val="en-US" w:eastAsia="zh-CN" w:bidi="ar-SA"/>
        </w:rPr>
      </w:sdtEndPr>
      <w:sdtContent>
        <w:p>
          <w:pPr>
            <w:adjustRightInd w:val="0"/>
            <w:snapToGrid w:val="0"/>
            <w:spacing w:line="360" w:lineRule="auto"/>
            <w:jc w:val="center"/>
            <w:rPr>
              <w:rFonts w:hint="default" w:ascii="Times New Roman" w:hAnsi="Times New Roman" w:eastAsia="楷体_GB2312" w:cs="Times New Roman"/>
              <w:color w:val="auto"/>
              <w:sz w:val="36"/>
              <w:szCs w:val="36"/>
              <w:highlight w:val="none"/>
            </w:rPr>
            <w:sectPr>
              <w:pgSz w:w="11906" w:h="16838"/>
              <w:pgMar w:top="1701" w:right="1417" w:bottom="1701" w:left="1531" w:header="851" w:footer="1077" w:gutter="0"/>
              <w:pgBorders>
                <w:top w:val="none" w:sz="0" w:space="0"/>
                <w:left w:val="none" w:sz="0" w:space="0"/>
                <w:bottom w:val="none" w:sz="0" w:space="0"/>
                <w:right w:val="none" w:sz="0" w:space="0"/>
              </w:pgBorders>
              <w:pgNumType w:fmt="numberInDash" w:start="3"/>
              <w:cols w:space="720" w:num="1"/>
              <w:docGrid w:linePitch="312" w:charSpace="0"/>
            </w:sectPr>
          </w:pPr>
          <w:r>
            <w:rPr>
              <w:rFonts w:hint="eastAsia" w:ascii="宋体" w:hAnsi="宋体" w:cs="Times New Roman"/>
              <w:b/>
              <w:bCs/>
              <w:color w:val="auto"/>
              <w:kern w:val="2"/>
              <w:sz w:val="32"/>
              <w:szCs w:val="32"/>
              <w:lang w:val="en-US" w:eastAsia="zh-CN" w:bidi="ar-SA"/>
            </w:rPr>
            <w:t xml:space="preserve">     </w:t>
          </w:r>
        </w:p>
      </w:sdtContent>
    </w:sdt>
    <w:p>
      <w:pPr>
        <w:pStyle w:val="2"/>
        <w:bidi w:val="0"/>
        <w:spacing w:before="0" w:after="0" w:line="360" w:lineRule="auto"/>
        <w:ind w:left="432" w:leftChars="0" w:hanging="432" w:firstLineChars="0"/>
        <w:rPr>
          <w:rFonts w:hint="default" w:eastAsia="宋体"/>
          <w:b/>
          <w:color w:val="auto"/>
        </w:rPr>
      </w:pPr>
      <w:bookmarkStart w:id="1" w:name="_Toc1781"/>
      <w:bookmarkStart w:id="2" w:name="_Toc16027"/>
      <w:r>
        <w:rPr>
          <w:rFonts w:hint="default" w:eastAsia="宋体"/>
          <w:b/>
          <w:color w:val="auto"/>
        </w:rPr>
        <w:t>建设项目基本情况</w:t>
      </w:r>
      <w:bookmarkEnd w:id="1"/>
      <w:bookmarkEnd w:id="2"/>
    </w:p>
    <w:tbl>
      <w:tblPr>
        <w:tblStyle w:val="32"/>
        <w:tblW w:w="8969"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490"/>
        <w:gridCol w:w="1600"/>
        <w:gridCol w:w="930"/>
        <w:gridCol w:w="1502"/>
        <w:gridCol w:w="344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490" w:type="dxa"/>
            <w:tcMar>
              <w:top w:w="16" w:type="dxa"/>
              <w:left w:w="16" w:type="dxa"/>
              <w:right w:w="16"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项目名称</w:t>
            </w:r>
          </w:p>
        </w:tc>
        <w:tc>
          <w:tcPr>
            <w:tcW w:w="7479" w:type="dxa"/>
            <w:gridSpan w:val="4"/>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福清水质检测中心实验室项目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490" w:type="dxa"/>
            <w:tcMar>
              <w:top w:w="16" w:type="dxa"/>
              <w:left w:w="16" w:type="dxa"/>
              <w:right w:w="16"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项目代码</w:t>
            </w:r>
          </w:p>
        </w:tc>
        <w:tc>
          <w:tcPr>
            <w:tcW w:w="7479" w:type="dxa"/>
            <w:gridSpan w:val="4"/>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2501-350181-04-01-946718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48" w:hRule="atLeast"/>
          <w:jc w:val="center"/>
        </w:trPr>
        <w:tc>
          <w:tcPr>
            <w:tcW w:w="1490" w:type="dxa"/>
            <w:tcMar>
              <w:top w:w="16" w:type="dxa"/>
              <w:left w:w="16" w:type="dxa"/>
              <w:right w:w="16"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建设单位</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联系人</w:t>
            </w:r>
          </w:p>
        </w:tc>
        <w:tc>
          <w:tcPr>
            <w:tcW w:w="253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颜超</w:t>
            </w:r>
          </w:p>
        </w:tc>
        <w:tc>
          <w:tcPr>
            <w:tcW w:w="15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联系方式</w:t>
            </w:r>
          </w:p>
        </w:tc>
        <w:tc>
          <w:tcPr>
            <w:tcW w:w="344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13959128955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490" w:type="dxa"/>
            <w:tcMar>
              <w:top w:w="16" w:type="dxa"/>
              <w:left w:w="16" w:type="dxa"/>
              <w:right w:w="16"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建设地点</w:t>
            </w:r>
          </w:p>
        </w:tc>
        <w:tc>
          <w:tcPr>
            <w:tcW w:w="7479" w:type="dxa"/>
            <w:gridSpan w:val="4"/>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u w:val="none"/>
                <w:lang w:eastAsia="zh-CN"/>
              </w:rPr>
              <w:t>福清市融侨经济技术开发洪宽工业村（租赁福清洪金机械有限公司办公楼4层、5层）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490" w:type="dxa"/>
            <w:tcMar>
              <w:top w:w="16" w:type="dxa"/>
              <w:left w:w="16" w:type="dxa"/>
              <w:right w:w="16"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eastAsia"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地理坐标</w:t>
            </w:r>
          </w:p>
        </w:tc>
        <w:tc>
          <w:tcPr>
            <w:tcW w:w="7479" w:type="dxa"/>
            <w:gridSpan w:val="4"/>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u w:val="single"/>
              </w:rPr>
              <w:t>1</w:t>
            </w:r>
            <w:r>
              <w:rPr>
                <w:rFonts w:hint="eastAsia" w:cs="Times New Roman"/>
                <w:color w:val="auto"/>
                <w:sz w:val="24"/>
                <w:szCs w:val="24"/>
                <w:highlight w:val="none"/>
                <w:u w:val="single"/>
                <w:lang w:val="en-US" w:eastAsia="zh-CN"/>
              </w:rPr>
              <w:t>19</w:t>
            </w:r>
            <w:r>
              <w:rPr>
                <w:rFonts w:hint="default" w:ascii="Times New Roman" w:hAnsi="Times New Roman" w:cs="Times New Roman"/>
                <w:color w:val="auto"/>
                <w:sz w:val="24"/>
                <w:szCs w:val="24"/>
                <w:highlight w:val="none"/>
              </w:rPr>
              <w:t>度</w:t>
            </w:r>
            <w:r>
              <w:rPr>
                <w:rFonts w:hint="eastAsia" w:cs="Times New Roman"/>
                <w:color w:val="auto"/>
                <w:sz w:val="24"/>
                <w:szCs w:val="24"/>
                <w:highlight w:val="none"/>
                <w:u w:val="single"/>
                <w:lang w:val="en-US" w:eastAsia="zh-CN"/>
              </w:rPr>
              <w:t>24</w:t>
            </w:r>
            <w:r>
              <w:rPr>
                <w:rFonts w:hint="default" w:ascii="Times New Roman" w:hAnsi="Times New Roman" w:cs="Times New Roman"/>
                <w:color w:val="auto"/>
                <w:sz w:val="24"/>
                <w:szCs w:val="24"/>
                <w:highlight w:val="none"/>
              </w:rPr>
              <w:t>分</w:t>
            </w:r>
            <w:r>
              <w:rPr>
                <w:rFonts w:hint="eastAsia" w:cs="Times New Roman"/>
                <w:color w:val="auto"/>
                <w:sz w:val="24"/>
                <w:szCs w:val="24"/>
                <w:highlight w:val="none"/>
                <w:u w:val="single"/>
                <w:lang w:val="en-US" w:eastAsia="zh-CN"/>
              </w:rPr>
              <w:t>20.408</w:t>
            </w:r>
            <w:r>
              <w:rPr>
                <w:rFonts w:hint="default" w:ascii="Times New Roman" w:hAnsi="Times New Roman" w:cs="Times New Roman"/>
                <w:color w:val="auto"/>
                <w:sz w:val="24"/>
                <w:szCs w:val="24"/>
                <w:highlight w:val="none"/>
              </w:rPr>
              <w:t>秒，</w:t>
            </w:r>
            <w:r>
              <w:rPr>
                <w:rFonts w:hint="default" w:ascii="Times New Roman" w:hAnsi="Times New Roman" w:cs="Times New Roman"/>
                <w:color w:val="auto"/>
                <w:sz w:val="24"/>
                <w:szCs w:val="24"/>
                <w:highlight w:val="none"/>
                <w:u w:val="single"/>
              </w:rPr>
              <w:t>2</w:t>
            </w:r>
            <w:r>
              <w:rPr>
                <w:rFonts w:hint="eastAsia" w:cs="Times New Roman"/>
                <w:color w:val="auto"/>
                <w:sz w:val="24"/>
                <w:szCs w:val="24"/>
                <w:highlight w:val="none"/>
                <w:u w:val="single"/>
                <w:lang w:val="en-US" w:eastAsia="zh-CN"/>
              </w:rPr>
              <w:t>5</w:t>
            </w:r>
            <w:r>
              <w:rPr>
                <w:rFonts w:hint="default" w:ascii="Times New Roman" w:hAnsi="Times New Roman" w:cs="Times New Roman"/>
                <w:color w:val="auto"/>
                <w:sz w:val="24"/>
                <w:szCs w:val="24"/>
                <w:highlight w:val="none"/>
              </w:rPr>
              <w:t>度</w:t>
            </w:r>
            <w:r>
              <w:rPr>
                <w:rFonts w:hint="eastAsia" w:cs="Times New Roman"/>
                <w:color w:val="auto"/>
                <w:sz w:val="24"/>
                <w:szCs w:val="24"/>
                <w:highlight w:val="none"/>
                <w:u w:val="single"/>
                <w:lang w:val="en-US" w:eastAsia="zh-CN"/>
              </w:rPr>
              <w:t>45</w:t>
            </w:r>
            <w:r>
              <w:rPr>
                <w:rFonts w:hint="default" w:ascii="Times New Roman" w:hAnsi="Times New Roman" w:cs="Times New Roman"/>
                <w:color w:val="auto"/>
                <w:sz w:val="24"/>
                <w:szCs w:val="24"/>
                <w:highlight w:val="none"/>
              </w:rPr>
              <w:t>分</w:t>
            </w:r>
            <w:r>
              <w:rPr>
                <w:rFonts w:hint="eastAsia" w:cs="Times New Roman"/>
                <w:color w:val="auto"/>
                <w:sz w:val="24"/>
                <w:szCs w:val="24"/>
                <w:highlight w:val="none"/>
                <w:u w:val="single"/>
                <w:lang w:val="en-US" w:eastAsia="zh-CN"/>
              </w:rPr>
              <w:t>39.012</w:t>
            </w:r>
            <w:r>
              <w:rPr>
                <w:rFonts w:hint="default" w:ascii="Times New Roman" w:hAnsi="Times New Roman" w:cs="Times New Roman"/>
                <w:color w:val="auto"/>
                <w:sz w:val="24"/>
                <w:szCs w:val="24"/>
                <w:highlight w:val="none"/>
              </w:rPr>
              <w:t>秒</w:t>
            </w:r>
            <w:r>
              <w:rPr>
                <w:rFonts w:hint="eastAsia" w:cs="Times New Roman"/>
                <w:color w:val="auto"/>
                <w:sz w:val="24"/>
                <w:szCs w:val="24"/>
                <w:highlight w:val="none"/>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490" w:type="dxa"/>
            <w:tcMar>
              <w:top w:w="16" w:type="dxa"/>
              <w:left w:w="16" w:type="dxa"/>
              <w:right w:w="16"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国民经济</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w:t>
            </w:r>
          </w:p>
        </w:tc>
        <w:tc>
          <w:tcPr>
            <w:tcW w:w="2530" w:type="dxa"/>
            <w:gridSpan w:val="2"/>
            <w:vAlign w:val="center"/>
          </w:tcPr>
          <w:p>
            <w:pPr>
              <w:pStyle w:val="36"/>
              <w:keepNext w:val="0"/>
              <w:keepLines w:val="0"/>
              <w:pageBreakBefore w:val="0"/>
              <w:widowControl w:val="0"/>
              <w:suppressLineNumbers w:val="0"/>
              <w:kinsoku/>
              <w:wordWrap/>
              <w:overflowPunct/>
              <w:topLinePunct w:val="0"/>
              <w:autoSpaceDE/>
              <w:autoSpaceDN/>
              <w:bidi w:val="0"/>
              <w:spacing w:before="0" w:beforeAutospacing="0" w:after="0" w:afterAutospacing="0" w:line="288" w:lineRule="auto"/>
              <w:ind w:left="42" w:leftChars="20" w:right="42" w:rightChars="2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M74</w:t>
            </w:r>
            <w:r>
              <w:rPr>
                <w:rFonts w:hint="eastAsia" w:cs="Times New Roman"/>
                <w:color w:val="auto"/>
                <w:sz w:val="24"/>
                <w:szCs w:val="24"/>
                <w:highlight w:val="none"/>
                <w:lang w:val="en-US" w:eastAsia="zh-CN"/>
              </w:rPr>
              <w:t>52</w:t>
            </w:r>
            <w:r>
              <w:rPr>
                <w:rFonts w:hint="default" w:ascii="Times New Roman" w:hAnsi="Times New Roman" w:cs="Times New Roman"/>
                <w:color w:val="auto"/>
                <w:sz w:val="24"/>
                <w:szCs w:val="24"/>
                <w:highlight w:val="none"/>
                <w:lang w:val="en-US" w:eastAsia="zh-CN"/>
              </w:rPr>
              <w:t>检测服务</w:t>
            </w:r>
          </w:p>
        </w:tc>
        <w:tc>
          <w:tcPr>
            <w:tcW w:w="15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w:t>
            </w:r>
          </w:p>
        </w:tc>
        <w:tc>
          <w:tcPr>
            <w:tcW w:w="3447" w:type="dxa"/>
            <w:vAlign w:val="center"/>
          </w:tcPr>
          <w:p>
            <w:pPr>
              <w:pStyle w:val="36"/>
              <w:keepNext w:val="0"/>
              <w:keepLines w:val="0"/>
              <w:pageBreakBefore w:val="0"/>
              <w:widowControl w:val="0"/>
              <w:suppressLineNumbers w:val="0"/>
              <w:kinsoku/>
              <w:wordWrap/>
              <w:overflowPunct/>
              <w:topLinePunct w:val="0"/>
              <w:autoSpaceDE/>
              <w:autoSpaceDN/>
              <w:bidi w:val="0"/>
              <w:spacing w:before="0" w:beforeAutospacing="0" w:after="0" w:afterAutospacing="0" w:line="288" w:lineRule="auto"/>
              <w:ind w:left="42" w:leftChars="20" w:right="42" w:rightChars="20" w:firstLine="0" w:firstLineChars="0"/>
              <w:jc w:val="center"/>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四十五</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研究和试验发展</w:t>
            </w:r>
          </w:p>
          <w:p>
            <w:pPr>
              <w:pStyle w:val="36"/>
              <w:keepNext w:val="0"/>
              <w:keepLines w:val="0"/>
              <w:pageBreakBefore w:val="0"/>
              <w:widowControl w:val="0"/>
              <w:suppressLineNumbers w:val="0"/>
              <w:kinsoku/>
              <w:wordWrap/>
              <w:overflowPunct/>
              <w:topLinePunct w:val="0"/>
              <w:autoSpaceDE/>
              <w:autoSpaceDN/>
              <w:bidi w:val="0"/>
              <w:spacing w:before="0" w:beforeAutospacing="0" w:after="0" w:afterAutospacing="0" w:line="288" w:lineRule="auto"/>
              <w:ind w:left="42" w:leftChars="20" w:right="42" w:rightChars="20" w:firstLine="0" w:firstLineChars="0"/>
              <w:jc w:val="center"/>
              <w:textAlignment w:val="auto"/>
              <w:rPr>
                <w:rFonts w:hint="default" w:ascii="Times New Roman" w:hAnsi="Times New Roman" w:cs="Times New Roman"/>
                <w:color w:val="auto"/>
                <w:sz w:val="24"/>
                <w:szCs w:val="24"/>
                <w:highlight w:val="none"/>
                <w:lang w:val="en-US"/>
              </w:rPr>
            </w:pPr>
            <w:r>
              <w:rPr>
                <w:rFonts w:hint="default" w:ascii="Times New Roman" w:hAnsi="Times New Roman" w:cs="Times New Roman"/>
                <w:color w:val="auto"/>
                <w:sz w:val="24"/>
                <w:szCs w:val="24"/>
                <w:highlight w:val="none"/>
                <w:lang w:val="en-US" w:eastAsia="zh-CN"/>
              </w:rPr>
              <w:t>98专业实验室、研发（实验）基地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490" w:type="dxa"/>
            <w:tcMar>
              <w:top w:w="16" w:type="dxa"/>
              <w:left w:w="16" w:type="dxa"/>
              <w:right w:w="16"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建设性质</w:t>
            </w:r>
          </w:p>
        </w:tc>
        <w:tc>
          <w:tcPr>
            <w:tcW w:w="2530" w:type="dxa"/>
            <w:gridSpan w:val="2"/>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88" w:lineRule="auto"/>
              <w:ind w:left="42" w:leftChars="20" w:right="42" w:rightChars="2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52"/>
            </w:r>
            <w:r>
              <w:rPr>
                <w:rFonts w:hint="default" w:ascii="Times New Roman" w:hAnsi="Times New Roman" w:cs="Times New Roman"/>
                <w:color w:val="auto"/>
                <w:sz w:val="24"/>
                <w:szCs w:val="24"/>
                <w:highlight w:val="none"/>
              </w:rPr>
              <w:t>新建（迁建）</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288" w:lineRule="auto"/>
              <w:ind w:left="42" w:leftChars="20" w:right="42" w:rightChars="2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A3"/>
            </w:r>
            <w:r>
              <w:rPr>
                <w:rFonts w:hint="default" w:ascii="Times New Roman" w:hAnsi="Times New Roman" w:cs="Times New Roman"/>
                <w:color w:val="auto"/>
                <w:sz w:val="24"/>
                <w:szCs w:val="24"/>
                <w:highlight w:val="none"/>
              </w:rPr>
              <w:t>改建</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288" w:lineRule="auto"/>
              <w:ind w:left="42" w:leftChars="20" w:right="42" w:rightChars="2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A3"/>
            </w:r>
            <w:r>
              <w:rPr>
                <w:rFonts w:hint="default" w:ascii="Times New Roman" w:hAnsi="Times New Roman" w:cs="Times New Roman"/>
                <w:color w:val="auto"/>
                <w:sz w:val="24"/>
                <w:szCs w:val="24"/>
                <w:highlight w:val="none"/>
              </w:rPr>
              <w:t>扩建</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288" w:lineRule="auto"/>
              <w:ind w:left="42" w:leftChars="20" w:right="42" w:rightChars="2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A3"/>
            </w:r>
            <w:r>
              <w:rPr>
                <w:rFonts w:hint="default" w:ascii="Times New Roman" w:hAnsi="Times New Roman" w:cs="Times New Roman"/>
                <w:color w:val="auto"/>
                <w:sz w:val="24"/>
                <w:szCs w:val="24"/>
                <w:highlight w:val="none"/>
              </w:rPr>
              <w:t>技术改造</w:t>
            </w:r>
          </w:p>
        </w:tc>
        <w:tc>
          <w:tcPr>
            <w:tcW w:w="15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申报情形</w:t>
            </w:r>
          </w:p>
        </w:tc>
        <w:tc>
          <w:tcPr>
            <w:tcW w:w="3447" w:type="dxa"/>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88" w:lineRule="auto"/>
              <w:ind w:left="42" w:leftChars="20" w:right="42" w:rightChars="2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52"/>
            </w:r>
            <w:r>
              <w:rPr>
                <w:rFonts w:hint="default" w:ascii="Times New Roman" w:hAnsi="Times New Roman" w:cs="Times New Roman"/>
                <w:color w:val="auto"/>
                <w:sz w:val="24"/>
                <w:szCs w:val="24"/>
                <w:highlight w:val="none"/>
              </w:rPr>
              <w:t>首次申报项目</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288" w:lineRule="auto"/>
              <w:ind w:left="42" w:leftChars="20" w:right="42" w:rightChars="2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A3"/>
            </w:r>
            <w:r>
              <w:rPr>
                <w:rFonts w:hint="default" w:ascii="Times New Roman" w:hAnsi="Times New Roman" w:cs="Times New Roman"/>
                <w:color w:val="auto"/>
                <w:sz w:val="24"/>
                <w:szCs w:val="24"/>
                <w:highlight w:val="none"/>
              </w:rPr>
              <w:t>不予批准后再次申报项目</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288" w:lineRule="auto"/>
              <w:ind w:left="42" w:leftChars="20" w:right="42" w:rightChars="2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A3"/>
            </w:r>
            <w:r>
              <w:rPr>
                <w:rFonts w:hint="default" w:ascii="Times New Roman" w:hAnsi="Times New Roman" w:cs="Times New Roman"/>
                <w:color w:val="auto"/>
                <w:sz w:val="24"/>
                <w:szCs w:val="24"/>
                <w:highlight w:val="none"/>
              </w:rPr>
              <w:t>超五年重新审核项目</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288" w:lineRule="auto"/>
              <w:ind w:left="42" w:leftChars="20" w:right="42" w:rightChars="2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A3"/>
            </w:r>
            <w:r>
              <w:rPr>
                <w:rFonts w:hint="default" w:ascii="Times New Roman" w:hAnsi="Times New Roman" w:cs="Times New Roman"/>
                <w:color w:val="auto"/>
                <w:sz w:val="24"/>
                <w:szCs w:val="24"/>
                <w:highlight w:val="none"/>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490" w:type="dxa"/>
            <w:tcMar>
              <w:top w:w="16" w:type="dxa"/>
              <w:left w:w="16" w:type="dxa"/>
              <w:right w:w="16"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项目审批（核准/备案）部门（选填）</w:t>
            </w:r>
          </w:p>
        </w:tc>
        <w:tc>
          <w:tcPr>
            <w:tcW w:w="2530" w:type="dxa"/>
            <w:gridSpan w:val="2"/>
            <w:vAlign w:val="center"/>
          </w:tcPr>
          <w:p>
            <w:pPr>
              <w:pStyle w:val="36"/>
              <w:keepNext w:val="0"/>
              <w:keepLines w:val="0"/>
              <w:pageBreakBefore w:val="0"/>
              <w:widowControl w:val="0"/>
              <w:suppressLineNumbers w:val="0"/>
              <w:kinsoku/>
              <w:wordWrap/>
              <w:overflowPunct/>
              <w:topLinePunct w:val="0"/>
              <w:autoSpaceDE/>
              <w:autoSpaceDN/>
              <w:bidi w:val="0"/>
              <w:spacing w:before="0" w:beforeAutospacing="0" w:after="0" w:afterAutospacing="0" w:line="288" w:lineRule="auto"/>
              <w:ind w:left="42" w:leftChars="20" w:right="42" w:rightChars="2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bidi="ar-SA"/>
              </w:rPr>
              <w:t>福清市发展和改革局</w:t>
            </w:r>
          </w:p>
        </w:tc>
        <w:tc>
          <w:tcPr>
            <w:tcW w:w="15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项目审批（核准/备案）文号（选填）</w:t>
            </w:r>
          </w:p>
        </w:tc>
        <w:tc>
          <w:tcPr>
            <w:tcW w:w="344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闽发改备[2025]A060073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490" w:type="dxa"/>
            <w:tcMar>
              <w:top w:w="16" w:type="dxa"/>
              <w:left w:w="16" w:type="dxa"/>
              <w:right w:w="16"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总投资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（万元）</w:t>
            </w:r>
          </w:p>
        </w:tc>
        <w:tc>
          <w:tcPr>
            <w:tcW w:w="253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21</w:t>
            </w:r>
            <w:r>
              <w:rPr>
                <w:rFonts w:hint="default" w:ascii="Times New Roman" w:hAnsi="Times New Roman" w:cs="Times New Roman"/>
                <w:color w:val="auto"/>
                <w:sz w:val="24"/>
                <w:szCs w:val="24"/>
                <w:highlight w:val="none"/>
                <w:lang w:val="en-US" w:eastAsia="zh-CN"/>
              </w:rPr>
              <w:t>00</w:t>
            </w:r>
          </w:p>
        </w:tc>
        <w:tc>
          <w:tcPr>
            <w:tcW w:w="1502" w:type="dxa"/>
            <w:tcMar>
              <w:top w:w="16" w:type="dxa"/>
              <w:left w:w="16" w:type="dxa"/>
              <w:right w:w="16"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环保投资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（万元）</w:t>
            </w:r>
          </w:p>
        </w:tc>
        <w:tc>
          <w:tcPr>
            <w:tcW w:w="344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42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490" w:type="dxa"/>
            <w:tcMar>
              <w:top w:w="16" w:type="dxa"/>
              <w:left w:w="16" w:type="dxa"/>
              <w:right w:w="16"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环保投资占比（%）</w:t>
            </w:r>
          </w:p>
        </w:tc>
        <w:tc>
          <w:tcPr>
            <w:tcW w:w="253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2</w:t>
            </w:r>
          </w:p>
        </w:tc>
        <w:tc>
          <w:tcPr>
            <w:tcW w:w="1502" w:type="dxa"/>
            <w:tcMar>
              <w:top w:w="16" w:type="dxa"/>
              <w:left w:w="16" w:type="dxa"/>
              <w:right w:w="16"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施工工期</w:t>
            </w:r>
          </w:p>
        </w:tc>
        <w:tc>
          <w:tcPr>
            <w:tcW w:w="344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6</w:t>
            </w:r>
            <w:r>
              <w:rPr>
                <w:rFonts w:hint="default" w:ascii="Times New Roman" w:hAnsi="Times New Roman" w:cs="Times New Roman"/>
                <w:color w:val="auto"/>
                <w:sz w:val="24"/>
                <w:szCs w:val="24"/>
                <w:highlight w:val="none"/>
                <w:lang w:val="en-US" w:eastAsia="zh-CN"/>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1490" w:type="dxa"/>
            <w:tcMar>
              <w:top w:w="16" w:type="dxa"/>
              <w:left w:w="16" w:type="dxa"/>
              <w:right w:w="16"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是否开工建设</w:t>
            </w:r>
          </w:p>
        </w:tc>
        <w:tc>
          <w:tcPr>
            <w:tcW w:w="253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52"/>
            </w:r>
            <w:r>
              <w:rPr>
                <w:rFonts w:hint="default" w:ascii="Times New Roman" w:hAnsi="Times New Roman" w:cs="Times New Roman"/>
                <w:color w:val="auto"/>
                <w:sz w:val="24"/>
                <w:szCs w:val="24"/>
                <w:highlight w:val="none"/>
              </w:rPr>
              <w:t>否</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A3"/>
            </w:r>
            <w:r>
              <w:rPr>
                <w:rFonts w:hint="default" w:ascii="Times New Roman" w:hAnsi="Times New Roman" w:cs="Times New Roman"/>
                <w:color w:val="auto"/>
                <w:sz w:val="24"/>
                <w:szCs w:val="24"/>
                <w:highlight w:val="none"/>
              </w:rPr>
              <w:t>是：</w:t>
            </w:r>
            <w:r>
              <w:rPr>
                <w:rFonts w:hint="default" w:ascii="Times New Roman" w:hAnsi="Times New Roman" w:cs="Times New Roman"/>
                <w:color w:val="auto"/>
                <w:sz w:val="24"/>
                <w:szCs w:val="24"/>
                <w:highlight w:val="none"/>
                <w:u w:val="single"/>
              </w:rPr>
              <w:t xml:space="preserve">               </w:t>
            </w:r>
          </w:p>
        </w:tc>
        <w:tc>
          <w:tcPr>
            <w:tcW w:w="1502" w:type="dxa"/>
            <w:tcMar>
              <w:top w:w="16" w:type="dxa"/>
              <w:left w:w="16" w:type="dxa"/>
              <w:right w:w="16"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pacing w:val="-6"/>
                <w:sz w:val="24"/>
                <w:szCs w:val="24"/>
                <w:highlight w:val="none"/>
              </w:rPr>
            </w:pPr>
            <w:r>
              <w:rPr>
                <w:rFonts w:hint="default" w:ascii="Times New Roman" w:hAnsi="Times New Roman" w:cs="Times New Roman"/>
                <w:color w:val="auto"/>
                <w:spacing w:val="-6"/>
                <w:sz w:val="24"/>
                <w:szCs w:val="24"/>
                <w:highlight w:val="none"/>
              </w:rPr>
              <w:t>用地（用海）</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pacing w:val="-6"/>
                <w:sz w:val="24"/>
                <w:szCs w:val="24"/>
                <w:highlight w:val="none"/>
              </w:rPr>
              <w:t>面积（m</w:t>
            </w:r>
            <w:r>
              <w:rPr>
                <w:rFonts w:hint="default" w:ascii="Times New Roman" w:hAnsi="Times New Roman" w:cs="Times New Roman"/>
                <w:color w:val="auto"/>
                <w:spacing w:val="-6"/>
                <w:sz w:val="24"/>
                <w:szCs w:val="24"/>
                <w:highlight w:val="none"/>
                <w:vertAlign w:val="superscript"/>
              </w:rPr>
              <w:t>2</w:t>
            </w:r>
            <w:r>
              <w:rPr>
                <w:rFonts w:hint="default" w:ascii="Times New Roman" w:hAnsi="Times New Roman" w:cs="Times New Roman"/>
                <w:color w:val="auto"/>
                <w:spacing w:val="-6"/>
                <w:sz w:val="24"/>
                <w:szCs w:val="24"/>
                <w:highlight w:val="none"/>
              </w:rPr>
              <w:t>）</w:t>
            </w:r>
          </w:p>
        </w:tc>
        <w:tc>
          <w:tcPr>
            <w:tcW w:w="344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42" w:leftChars="20" w:right="42" w:rightChars="20"/>
              <w:jc w:val="center"/>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2517.8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0" w:hRule="atLeast"/>
          <w:jc w:val="center"/>
        </w:trPr>
        <w:tc>
          <w:tcPr>
            <w:tcW w:w="1490" w:type="dxa"/>
            <w:vMerge w:val="restart"/>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专项评价设置情况</w:t>
            </w:r>
          </w:p>
        </w:tc>
        <w:tc>
          <w:tcPr>
            <w:tcW w:w="1600" w:type="dxa"/>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专项类别</w:t>
            </w:r>
          </w:p>
        </w:tc>
        <w:tc>
          <w:tcPr>
            <w:tcW w:w="930" w:type="dxa"/>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开展情况</w:t>
            </w:r>
          </w:p>
        </w:tc>
        <w:tc>
          <w:tcPr>
            <w:tcW w:w="4949" w:type="dxa"/>
            <w:gridSpan w:val="2"/>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设置说明</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717" w:hRule="atLeast"/>
          <w:jc w:val="center"/>
        </w:trPr>
        <w:tc>
          <w:tcPr>
            <w:tcW w:w="1490" w:type="dxa"/>
            <w:vMerge w:val="continue"/>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cs="Times New Roman"/>
                <w:color w:val="auto"/>
                <w:sz w:val="24"/>
                <w:szCs w:val="24"/>
                <w:highlight w:val="none"/>
              </w:rPr>
            </w:pPr>
          </w:p>
        </w:tc>
        <w:tc>
          <w:tcPr>
            <w:tcW w:w="1600" w:type="dxa"/>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大气</w:t>
            </w:r>
          </w:p>
        </w:tc>
        <w:tc>
          <w:tcPr>
            <w:tcW w:w="930" w:type="dxa"/>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无</w:t>
            </w:r>
          </w:p>
        </w:tc>
        <w:tc>
          <w:tcPr>
            <w:tcW w:w="4949" w:type="dxa"/>
            <w:gridSpan w:val="2"/>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cs="Times New Roman"/>
                <w:color w:val="auto"/>
                <w:kern w:val="0"/>
                <w:sz w:val="24"/>
                <w:szCs w:val="24"/>
                <w:highlight w:val="none"/>
                <w:lang w:val="en-US"/>
              </w:rPr>
            </w:pPr>
            <w:r>
              <w:rPr>
                <w:rFonts w:hint="default" w:ascii="Times New Roman" w:hAnsi="Times New Roman" w:cs="Times New Roman"/>
                <w:color w:val="auto"/>
                <w:kern w:val="0"/>
                <w:sz w:val="24"/>
                <w:szCs w:val="24"/>
                <w:highlight w:val="none"/>
                <w:lang w:val="en-US" w:eastAsia="zh-CN"/>
              </w:rPr>
              <w:t>本项目排放的废气</w:t>
            </w:r>
            <w:r>
              <w:rPr>
                <w:rFonts w:hint="eastAsia" w:cs="Times New Roman"/>
                <w:color w:val="auto"/>
                <w:kern w:val="0"/>
                <w:sz w:val="24"/>
                <w:szCs w:val="24"/>
                <w:highlight w:val="none"/>
                <w:lang w:val="en-US" w:eastAsia="zh-CN"/>
              </w:rPr>
              <w:t>不涉及</w:t>
            </w:r>
            <w:r>
              <w:rPr>
                <w:rFonts w:hint="default" w:ascii="Times New Roman" w:hAnsi="Times New Roman" w:cs="Times New Roman"/>
                <w:color w:val="auto"/>
                <w:kern w:val="0"/>
                <w:sz w:val="24"/>
                <w:szCs w:val="24"/>
                <w:highlight w:val="none"/>
                <w:lang w:val="en-US" w:eastAsia="zh-CN"/>
              </w:rPr>
              <w:t>二噁英、苯并[a]芘、氰化物、氯气。</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90" w:hRule="atLeast"/>
          <w:jc w:val="center"/>
        </w:trPr>
        <w:tc>
          <w:tcPr>
            <w:tcW w:w="1490" w:type="dxa"/>
            <w:vMerge w:val="continue"/>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cs="Times New Roman"/>
                <w:color w:val="auto"/>
                <w:kern w:val="0"/>
                <w:sz w:val="24"/>
                <w:szCs w:val="24"/>
                <w:highlight w:val="none"/>
              </w:rPr>
            </w:pPr>
          </w:p>
        </w:tc>
        <w:tc>
          <w:tcPr>
            <w:tcW w:w="1600" w:type="dxa"/>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地表水</w:t>
            </w:r>
          </w:p>
        </w:tc>
        <w:tc>
          <w:tcPr>
            <w:tcW w:w="930" w:type="dxa"/>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sz w:val="24"/>
                <w:szCs w:val="24"/>
                <w:highlight w:val="none"/>
              </w:rPr>
              <w:t>无</w:t>
            </w:r>
          </w:p>
        </w:tc>
        <w:tc>
          <w:tcPr>
            <w:tcW w:w="4949" w:type="dxa"/>
            <w:gridSpan w:val="2"/>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rPr>
              <w:t>本项目</w:t>
            </w:r>
            <w:r>
              <w:rPr>
                <w:rFonts w:hint="default" w:ascii="Times New Roman" w:hAnsi="Times New Roman" w:cs="Times New Roman"/>
                <w:color w:val="auto"/>
                <w:kern w:val="0"/>
                <w:sz w:val="24"/>
                <w:szCs w:val="24"/>
                <w:highlight w:val="none"/>
                <w:lang w:val="en-US" w:eastAsia="zh-CN"/>
              </w:rPr>
              <w:t>生产废水排入市政污水管网，最终纳入</w:t>
            </w:r>
            <w:r>
              <w:rPr>
                <w:rFonts w:hint="eastAsia" w:cs="Times New Roman"/>
                <w:color w:val="auto"/>
                <w:kern w:val="0"/>
                <w:sz w:val="24"/>
                <w:szCs w:val="24"/>
                <w:highlight w:val="none"/>
                <w:lang w:val="en-US" w:eastAsia="zh-CN"/>
              </w:rPr>
              <w:t>福清市融元污水处理厂</w:t>
            </w:r>
            <w:r>
              <w:rPr>
                <w:rFonts w:hint="default" w:ascii="Times New Roman" w:hAnsi="Times New Roman" w:cs="Times New Roman"/>
                <w:color w:val="auto"/>
                <w:kern w:val="0"/>
                <w:sz w:val="24"/>
                <w:szCs w:val="24"/>
                <w:highlight w:val="none"/>
                <w:lang w:val="en-US" w:eastAsia="zh-CN"/>
              </w:rPr>
              <w:t>，无生产废水直排。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702" w:hRule="atLeast"/>
          <w:jc w:val="center"/>
        </w:trPr>
        <w:tc>
          <w:tcPr>
            <w:tcW w:w="1490" w:type="dxa"/>
            <w:vMerge w:val="continue"/>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cs="Times New Roman"/>
                <w:color w:val="auto"/>
                <w:kern w:val="0"/>
                <w:sz w:val="24"/>
                <w:szCs w:val="24"/>
                <w:highlight w:val="none"/>
              </w:rPr>
            </w:pPr>
          </w:p>
        </w:tc>
        <w:tc>
          <w:tcPr>
            <w:tcW w:w="1600" w:type="dxa"/>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环境风险</w:t>
            </w:r>
          </w:p>
        </w:tc>
        <w:tc>
          <w:tcPr>
            <w:tcW w:w="930" w:type="dxa"/>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sz w:val="24"/>
                <w:szCs w:val="24"/>
                <w:highlight w:val="none"/>
              </w:rPr>
              <w:t>无</w:t>
            </w:r>
          </w:p>
        </w:tc>
        <w:tc>
          <w:tcPr>
            <w:tcW w:w="4949" w:type="dxa"/>
            <w:gridSpan w:val="2"/>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lang w:val="en-US" w:eastAsia="zh-CN"/>
              </w:rPr>
              <w:t>本项目各类风险物质存储量未超过其临界量。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747" w:hRule="atLeast"/>
          <w:jc w:val="center"/>
        </w:trPr>
        <w:tc>
          <w:tcPr>
            <w:tcW w:w="1490" w:type="dxa"/>
            <w:vMerge w:val="continue"/>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cs="Times New Roman"/>
                <w:color w:val="auto"/>
                <w:kern w:val="0"/>
                <w:sz w:val="24"/>
                <w:szCs w:val="24"/>
                <w:highlight w:val="none"/>
              </w:rPr>
            </w:pPr>
          </w:p>
        </w:tc>
        <w:tc>
          <w:tcPr>
            <w:tcW w:w="1600" w:type="dxa"/>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生态</w:t>
            </w:r>
          </w:p>
        </w:tc>
        <w:tc>
          <w:tcPr>
            <w:tcW w:w="930" w:type="dxa"/>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sz w:val="24"/>
                <w:szCs w:val="24"/>
                <w:highlight w:val="none"/>
              </w:rPr>
              <w:t>无</w:t>
            </w:r>
          </w:p>
        </w:tc>
        <w:tc>
          <w:tcPr>
            <w:tcW w:w="4949" w:type="dxa"/>
            <w:gridSpan w:val="2"/>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本项目用水来自市政自来水管网供水，不属于新增河道取水的项目。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732" w:hRule="atLeast"/>
          <w:jc w:val="center"/>
        </w:trPr>
        <w:tc>
          <w:tcPr>
            <w:tcW w:w="1490" w:type="dxa"/>
            <w:vMerge w:val="continue"/>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cs="Times New Roman"/>
                <w:color w:val="auto"/>
                <w:kern w:val="0"/>
                <w:sz w:val="24"/>
                <w:szCs w:val="24"/>
                <w:highlight w:val="none"/>
              </w:rPr>
            </w:pPr>
          </w:p>
        </w:tc>
        <w:tc>
          <w:tcPr>
            <w:tcW w:w="1600" w:type="dxa"/>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海洋</w:t>
            </w:r>
          </w:p>
        </w:tc>
        <w:tc>
          <w:tcPr>
            <w:tcW w:w="930" w:type="dxa"/>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sz w:val="24"/>
                <w:szCs w:val="24"/>
                <w:highlight w:val="none"/>
              </w:rPr>
              <w:t>无</w:t>
            </w:r>
          </w:p>
        </w:tc>
        <w:tc>
          <w:tcPr>
            <w:tcW w:w="4949" w:type="dxa"/>
            <w:gridSpan w:val="2"/>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42" w:leftChars="20" w:right="42" w:rightChars="20"/>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本项目不属于海洋工程建设项目</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val="en-US" w:eastAsia="zh-CN"/>
              </w:rPr>
              <w:t>不涉及直接向海排放污染物</w:t>
            </w:r>
            <w:r>
              <w:rPr>
                <w:rFonts w:hint="default" w:ascii="Times New Roman" w:hAnsi="Times New Roman" w:cs="Times New Roman"/>
                <w:color w:val="auto"/>
                <w:kern w:val="0"/>
                <w:sz w:val="24"/>
                <w:szCs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678" w:hRule="atLeast"/>
          <w:jc w:val="center"/>
        </w:trPr>
        <w:tc>
          <w:tcPr>
            <w:tcW w:w="1490"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sz w:val="24"/>
                <w:szCs w:val="24"/>
                <w:highlight w:val="none"/>
              </w:rPr>
              <w:t>规划情况</w:t>
            </w:r>
          </w:p>
        </w:tc>
        <w:tc>
          <w:tcPr>
            <w:tcW w:w="7479" w:type="dxa"/>
            <w:gridSpan w:val="4"/>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jc w:val="both"/>
              <w:textAlignment w:val="auto"/>
              <w:rPr>
                <w:rFonts w:hint="eastAsia" w:ascii="Times New Roman" w:hAnsi="Times New Roman" w:cs="宋体"/>
                <w:color w:val="auto"/>
                <w:spacing w:val="0"/>
                <w:kern w:val="21"/>
                <w:sz w:val="24"/>
                <w:szCs w:val="24"/>
              </w:rPr>
            </w:pPr>
            <w:r>
              <w:rPr>
                <w:rFonts w:hint="eastAsia" w:ascii="Times New Roman" w:hAnsi="Times New Roman" w:cs="宋体"/>
                <w:color w:val="auto"/>
                <w:spacing w:val="0"/>
                <w:kern w:val="21"/>
                <w:sz w:val="24"/>
                <w:szCs w:val="24"/>
              </w:rPr>
              <w:t>规划文件名称：《福清融侨经济技术开发区总体规划（2018-2035年）》</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jc w:val="both"/>
              <w:textAlignment w:val="auto"/>
              <w:rPr>
                <w:rFonts w:hint="eastAsia" w:ascii="Times New Roman" w:hAnsi="Times New Roman" w:cs="宋体"/>
                <w:color w:val="auto"/>
                <w:spacing w:val="0"/>
                <w:kern w:val="21"/>
                <w:sz w:val="24"/>
                <w:szCs w:val="24"/>
              </w:rPr>
            </w:pPr>
            <w:r>
              <w:rPr>
                <w:rFonts w:hint="eastAsia" w:ascii="Times New Roman" w:hAnsi="Times New Roman" w:cs="宋体"/>
                <w:color w:val="auto"/>
                <w:spacing w:val="0"/>
                <w:kern w:val="21"/>
                <w:sz w:val="24"/>
                <w:szCs w:val="24"/>
              </w:rPr>
              <w:t>审批机关：福清市人民政府</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jc w:val="both"/>
              <w:textAlignment w:val="auto"/>
              <w:rPr>
                <w:rFonts w:hint="default" w:ascii="Times New Roman" w:hAnsi="Times New Roman" w:cs="Times New Roman"/>
                <w:color w:val="auto"/>
                <w:kern w:val="0"/>
                <w:sz w:val="24"/>
                <w:szCs w:val="24"/>
                <w:highlight w:val="none"/>
              </w:rPr>
            </w:pPr>
            <w:r>
              <w:rPr>
                <w:rFonts w:hint="eastAsia" w:ascii="Times New Roman" w:hAnsi="Times New Roman" w:cs="宋体"/>
                <w:color w:val="auto"/>
                <w:spacing w:val="0"/>
                <w:kern w:val="21"/>
                <w:sz w:val="24"/>
                <w:szCs w:val="24"/>
              </w:rPr>
              <w:t>审批文件名称及文号：《福清市人民政府关于同意融侨经济技术开发区总体规划（2018-2035年）编制范围的批复》（融政综〔2019〕189号）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951" w:hRule="atLeast"/>
          <w:jc w:val="center"/>
        </w:trPr>
        <w:tc>
          <w:tcPr>
            <w:tcW w:w="1490"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sz w:val="24"/>
                <w:szCs w:val="24"/>
                <w:highlight w:val="none"/>
              </w:rPr>
              <w:t>规划环境影响评价情况</w:t>
            </w:r>
          </w:p>
        </w:tc>
        <w:tc>
          <w:tcPr>
            <w:tcW w:w="7479" w:type="dxa"/>
            <w:gridSpan w:val="4"/>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jc w:val="both"/>
              <w:textAlignment w:val="auto"/>
              <w:rPr>
                <w:rFonts w:hint="default" w:ascii="Times New Roman" w:hAnsi="Times New Roman" w:cs="宋体"/>
                <w:color w:val="auto"/>
                <w:spacing w:val="0"/>
                <w:kern w:val="21"/>
                <w:sz w:val="24"/>
                <w:szCs w:val="24"/>
              </w:rPr>
            </w:pPr>
            <w:r>
              <w:rPr>
                <w:rFonts w:hint="eastAsia" w:ascii="Times New Roman" w:hAnsi="Times New Roman" w:cs="宋体"/>
                <w:color w:val="auto"/>
                <w:spacing w:val="0"/>
                <w:kern w:val="21"/>
                <w:sz w:val="24"/>
                <w:szCs w:val="24"/>
              </w:rPr>
              <w:t>规划环评名称：</w:t>
            </w:r>
            <w:r>
              <w:rPr>
                <w:rFonts w:hint="default" w:ascii="Times New Roman" w:hAnsi="Times New Roman" w:cs="宋体"/>
                <w:color w:val="auto"/>
                <w:spacing w:val="0"/>
                <w:kern w:val="21"/>
                <w:sz w:val="24"/>
                <w:szCs w:val="24"/>
                <w:lang w:val="en-GB"/>
              </w:rPr>
              <w:t>《福清融侨经济技术开发区总体规划环境影响报告书</w:t>
            </w:r>
            <w:r>
              <w:rPr>
                <w:rFonts w:hint="eastAsia" w:cs="宋体"/>
                <w:color w:val="auto"/>
                <w:spacing w:val="0"/>
                <w:kern w:val="21"/>
                <w:sz w:val="24"/>
                <w:szCs w:val="24"/>
                <w:lang w:eastAsia="zh-CN"/>
              </w:rPr>
              <w:t>（</w:t>
            </w:r>
            <w:r>
              <w:rPr>
                <w:rFonts w:hint="default" w:ascii="Times New Roman" w:hAnsi="Times New Roman" w:cs="宋体"/>
                <w:color w:val="auto"/>
                <w:spacing w:val="0"/>
                <w:kern w:val="21"/>
                <w:sz w:val="24"/>
                <w:szCs w:val="24"/>
                <w:lang w:val="en-GB"/>
              </w:rPr>
              <w:t>2018</w:t>
            </w:r>
            <w:r>
              <w:rPr>
                <w:rFonts w:hint="eastAsia" w:ascii="Times New Roman" w:hAnsi="Times New Roman" w:cs="宋体"/>
                <w:color w:val="auto"/>
                <w:spacing w:val="0"/>
                <w:kern w:val="21"/>
                <w:sz w:val="24"/>
                <w:szCs w:val="24"/>
              </w:rPr>
              <w:t>-</w:t>
            </w:r>
            <w:r>
              <w:rPr>
                <w:rFonts w:hint="default" w:ascii="Times New Roman" w:hAnsi="Times New Roman" w:cs="宋体"/>
                <w:color w:val="auto"/>
                <w:spacing w:val="0"/>
                <w:kern w:val="21"/>
                <w:sz w:val="24"/>
                <w:szCs w:val="24"/>
                <w:lang w:val="en-GB"/>
              </w:rPr>
              <w:t>2035年</w:t>
            </w:r>
            <w:r>
              <w:rPr>
                <w:rFonts w:hint="eastAsia" w:cs="宋体"/>
                <w:color w:val="auto"/>
                <w:spacing w:val="0"/>
                <w:kern w:val="21"/>
                <w:sz w:val="24"/>
                <w:szCs w:val="24"/>
                <w:lang w:eastAsia="zh-CN"/>
              </w:rPr>
              <w:t>）</w:t>
            </w:r>
            <w:r>
              <w:rPr>
                <w:rFonts w:hint="default" w:ascii="Times New Roman" w:hAnsi="Times New Roman" w:cs="宋体"/>
                <w:color w:val="auto"/>
                <w:spacing w:val="0"/>
                <w:kern w:val="21"/>
                <w:sz w:val="24"/>
                <w:szCs w:val="24"/>
                <w:lang w:val="en-GB"/>
              </w:rPr>
              <w:t>》</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jc w:val="both"/>
              <w:textAlignment w:val="auto"/>
              <w:rPr>
                <w:rFonts w:hint="eastAsia" w:ascii="Times New Roman" w:hAnsi="Times New Roman" w:cs="宋体"/>
                <w:color w:val="auto"/>
                <w:spacing w:val="0"/>
                <w:kern w:val="21"/>
                <w:sz w:val="24"/>
                <w:szCs w:val="24"/>
              </w:rPr>
            </w:pPr>
            <w:r>
              <w:rPr>
                <w:rFonts w:hint="eastAsia" w:ascii="Times New Roman" w:hAnsi="Times New Roman" w:cs="宋体"/>
                <w:color w:val="auto"/>
                <w:spacing w:val="0"/>
                <w:kern w:val="21"/>
                <w:sz w:val="24"/>
                <w:szCs w:val="24"/>
              </w:rPr>
              <w:t>召集审查机关：中华人民共和国生态环境部</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jc w:val="both"/>
              <w:textAlignment w:val="auto"/>
              <w:rPr>
                <w:rFonts w:hint="default" w:ascii="Times New Roman" w:hAnsi="Times New Roman" w:cs="Times New Roman"/>
                <w:color w:val="auto"/>
                <w:highlight w:val="none"/>
              </w:rPr>
            </w:pPr>
            <w:r>
              <w:rPr>
                <w:rFonts w:hint="eastAsia" w:ascii="Times New Roman" w:hAnsi="Times New Roman" w:cs="宋体"/>
                <w:color w:val="auto"/>
                <w:spacing w:val="0"/>
                <w:kern w:val="21"/>
                <w:sz w:val="24"/>
                <w:szCs w:val="24"/>
              </w:rPr>
              <w:t>审批文件名称及文号：《福清融侨经济技术开发区总体规划环境影响报告书</w:t>
            </w:r>
            <w:r>
              <w:rPr>
                <w:rFonts w:hint="eastAsia" w:cs="宋体"/>
                <w:color w:val="auto"/>
                <w:spacing w:val="0"/>
                <w:kern w:val="21"/>
                <w:sz w:val="24"/>
                <w:szCs w:val="24"/>
                <w:lang w:eastAsia="zh-CN"/>
              </w:rPr>
              <w:t>（</w:t>
            </w:r>
            <w:r>
              <w:rPr>
                <w:rFonts w:hint="eastAsia" w:ascii="Times New Roman" w:hAnsi="Times New Roman" w:cs="宋体"/>
                <w:color w:val="auto"/>
                <w:spacing w:val="0"/>
                <w:kern w:val="21"/>
                <w:sz w:val="24"/>
                <w:szCs w:val="24"/>
              </w:rPr>
              <w:t>2018-2035年</w:t>
            </w:r>
            <w:r>
              <w:rPr>
                <w:rFonts w:hint="eastAsia" w:cs="宋体"/>
                <w:color w:val="auto"/>
                <w:spacing w:val="0"/>
                <w:kern w:val="21"/>
                <w:sz w:val="24"/>
                <w:szCs w:val="24"/>
                <w:lang w:eastAsia="zh-CN"/>
              </w:rPr>
              <w:t>）</w:t>
            </w:r>
            <w:r>
              <w:rPr>
                <w:rFonts w:hint="eastAsia" w:ascii="Times New Roman" w:hAnsi="Times New Roman" w:cs="宋体"/>
                <w:color w:val="auto"/>
                <w:spacing w:val="0"/>
                <w:kern w:val="21"/>
                <w:sz w:val="24"/>
                <w:szCs w:val="24"/>
              </w:rPr>
              <w:t>》</w:t>
            </w:r>
            <w:r>
              <w:rPr>
                <w:rFonts w:hint="eastAsia" w:cs="宋体"/>
                <w:color w:val="auto"/>
                <w:spacing w:val="0"/>
                <w:kern w:val="21"/>
                <w:sz w:val="24"/>
                <w:szCs w:val="24"/>
                <w:lang w:eastAsia="zh-CN"/>
              </w:rPr>
              <w:t>（</w:t>
            </w:r>
            <w:r>
              <w:rPr>
                <w:rFonts w:hint="eastAsia" w:ascii="Times New Roman" w:hAnsi="Times New Roman" w:cs="宋体"/>
                <w:color w:val="auto"/>
                <w:spacing w:val="0"/>
                <w:kern w:val="21"/>
                <w:sz w:val="24"/>
                <w:szCs w:val="24"/>
              </w:rPr>
              <w:t>环审〔2020〕80号</w:t>
            </w:r>
            <w:r>
              <w:rPr>
                <w:rFonts w:hint="eastAsia" w:cs="宋体"/>
                <w:color w:val="auto"/>
                <w:spacing w:val="0"/>
                <w:kern w:val="21"/>
                <w:sz w:val="24"/>
                <w:szCs w:val="24"/>
                <w:lang w:eastAsia="zh-CN"/>
              </w:rPr>
              <w:t>）</w:t>
            </w:r>
            <w:r>
              <w:rPr>
                <w:rFonts w:hint="eastAsia" w:ascii="Times New Roman" w:hAnsi="Times New Roman" w:cs="宋体"/>
                <w:color w:val="auto"/>
                <w:spacing w:val="0"/>
                <w:kern w:val="21"/>
                <w:sz w:val="24"/>
                <w:szCs w:val="24"/>
              </w:rPr>
              <w:t>及其审查意见</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3399" w:hRule="atLeast"/>
          <w:jc w:val="center"/>
        </w:trPr>
        <w:tc>
          <w:tcPr>
            <w:tcW w:w="1490"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rPr>
              <w:t>规划及规划环境影响评价符合性分析</w:t>
            </w:r>
          </w:p>
        </w:tc>
        <w:tc>
          <w:tcPr>
            <w:tcW w:w="7479" w:type="dxa"/>
            <w:gridSpan w:val="4"/>
            <w:vAlign w:val="center"/>
          </w:tcPr>
          <w:p>
            <w:pPr>
              <w:pStyle w:val="3"/>
              <w:keepNext/>
              <w:keepLines/>
              <w:suppressLineNumbers w:val="0"/>
              <w:bidi w:val="0"/>
              <w:spacing w:before="120" w:beforeAutospacing="0" w:after="120" w:afterAutospacing="0"/>
              <w:ind w:left="0" w:leftChars="0" w:right="0" w:firstLine="0" w:firstLineChars="0"/>
              <w:jc w:val="both"/>
              <w:rPr>
                <w:rFonts w:hint="default"/>
                <w:color w:val="auto"/>
                <w:szCs w:val="32"/>
                <w:lang w:val="en-US" w:eastAsia="zh-CN"/>
              </w:rPr>
            </w:pPr>
            <w:bookmarkStart w:id="3" w:name="_Toc16820"/>
            <w:r>
              <w:rPr>
                <w:rFonts w:hint="eastAsia"/>
                <w:color w:val="auto"/>
                <w:szCs w:val="32"/>
                <w:lang w:val="en-US" w:eastAsia="zh-CN"/>
              </w:rPr>
              <w:t>与《福清融侨经济技术开发区总体规划(2018-2035年)》及规划环境影响评价的符合性分析</w:t>
            </w:r>
            <w:bookmarkEnd w:id="3"/>
          </w:p>
          <w:p>
            <w:pPr>
              <w:pStyle w:val="75"/>
              <w:keepNext w:val="0"/>
              <w:keepLines w:val="0"/>
              <w:suppressLineNumbers w:val="0"/>
              <w:bidi w:val="0"/>
              <w:spacing w:before="0" w:beforeAutospacing="0" w:after="0" w:afterAutospacing="0"/>
              <w:ind w:left="0" w:right="0"/>
              <w:rPr>
                <w:rFonts w:hint="eastAsia" w:ascii="Times New Roman" w:hAnsi="Times New Roman" w:eastAsia="宋体" w:cs="Times New Roman"/>
                <w:color w:val="auto"/>
                <w:lang w:val="en-US" w:eastAsia="zh-CN"/>
              </w:rPr>
            </w:pPr>
            <w:r>
              <w:rPr>
                <w:rFonts w:hint="default"/>
                <w:color w:val="auto"/>
              </w:rPr>
              <w:t>本项目</w:t>
            </w:r>
            <w:r>
              <w:rPr>
                <w:rFonts w:hint="eastAsia"/>
                <w:color w:val="auto"/>
                <w:lang w:val="en-US" w:eastAsia="zh-CN"/>
              </w:rPr>
              <w:t>租赁</w:t>
            </w:r>
            <w:r>
              <w:rPr>
                <w:rFonts w:hint="eastAsia" w:cs="Times New Roman"/>
                <w:color w:val="auto"/>
                <w:sz w:val="24"/>
                <w:szCs w:val="24"/>
                <w:highlight w:val="none"/>
                <w:u w:val="none"/>
                <w:lang w:eastAsia="zh-CN"/>
              </w:rPr>
              <w:t>福清洪金机械有限公司</w:t>
            </w:r>
            <w:r>
              <w:rPr>
                <w:rFonts w:hint="default"/>
                <w:color w:val="auto"/>
              </w:rPr>
              <w:t>位于福清市福清融侨经济技术开发区（阳下街道新局村）</w:t>
            </w:r>
            <w:r>
              <w:rPr>
                <w:rFonts w:hint="eastAsia"/>
                <w:color w:val="auto"/>
                <w:lang w:eastAsia="zh-CN"/>
              </w:rPr>
              <w:t>已建设厂房，厂房</w:t>
            </w:r>
            <w:r>
              <w:rPr>
                <w:rFonts w:hint="eastAsia"/>
                <w:color w:val="auto"/>
                <w:lang w:val="en-US" w:eastAsia="zh-CN"/>
              </w:rPr>
              <w:t>租赁合同详见</w:t>
            </w:r>
            <w:r>
              <w:rPr>
                <w:rFonts w:hint="eastAsia"/>
                <w:b w:val="0"/>
                <w:bCs w:val="0"/>
                <w:color w:val="auto"/>
                <w:highlight w:val="none"/>
                <w:lang w:val="en-US" w:eastAsia="zh-CN"/>
              </w:rPr>
              <w:t>附件4</w:t>
            </w:r>
            <w:r>
              <w:rPr>
                <w:rFonts w:hint="eastAsia"/>
                <w:color w:val="auto"/>
                <w:highlight w:val="none"/>
                <w:lang w:val="en-US" w:eastAsia="zh-CN"/>
              </w:rPr>
              <w:t>。</w:t>
            </w:r>
            <w:r>
              <w:rPr>
                <w:rFonts w:hint="eastAsia"/>
                <w:color w:val="auto"/>
                <w:highlight w:val="none"/>
                <w:lang w:eastAsia="zh-CN"/>
              </w:rPr>
              <w:t>根据不动产权证可知，项目所在地用地性质为工业用地，符合用地规划需求，</w:t>
            </w:r>
            <w:r>
              <w:rPr>
                <w:rFonts w:hint="eastAsia"/>
                <w:color w:val="auto"/>
                <w:highlight w:val="none"/>
                <w:lang w:val="en-US" w:eastAsia="zh-CN"/>
              </w:rPr>
              <w:t>详见</w:t>
            </w:r>
            <w:r>
              <w:rPr>
                <w:rFonts w:hint="eastAsia" w:ascii="Times New Roman" w:hAnsi="Times New Roman" w:eastAsia="宋体" w:cs="Times New Roman"/>
                <w:b w:val="0"/>
                <w:bCs w:val="0"/>
                <w:color w:val="auto"/>
                <w:highlight w:val="none"/>
                <w:lang w:val="en-US" w:eastAsia="zh-CN"/>
              </w:rPr>
              <w:t>附件</w:t>
            </w:r>
            <w:r>
              <w:rPr>
                <w:rFonts w:hint="eastAsia" w:cs="Times New Roman"/>
                <w:b w:val="0"/>
                <w:bCs w:val="0"/>
                <w:color w:val="auto"/>
                <w:highlight w:val="none"/>
                <w:lang w:val="en-US" w:eastAsia="zh-CN"/>
              </w:rPr>
              <w:t>6</w:t>
            </w:r>
            <w:r>
              <w:rPr>
                <w:rFonts w:hint="eastAsia" w:ascii="Times New Roman" w:hAnsi="Times New Roman" w:eastAsia="宋体" w:cs="Times New Roman"/>
                <w:color w:val="auto"/>
                <w:highlight w:val="none"/>
                <w:lang w:val="en-US" w:eastAsia="zh-CN"/>
              </w:rPr>
              <w:t>。</w:t>
            </w:r>
          </w:p>
          <w:p>
            <w:pPr>
              <w:pStyle w:val="75"/>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GB"/>
              </w:rPr>
              <w:t>《福清融侨经济技术开发区总体规划环境影响报告书(2018-2035年)》及其审查意见(环审</w:t>
            </w:r>
            <w:r>
              <w:rPr>
                <w:rFonts w:hint="eastAsia" w:ascii="Times New Roman" w:hAnsi="Times New Roman" w:cs="宋体"/>
                <w:color w:val="auto"/>
                <w:spacing w:val="0"/>
                <w:kern w:val="21"/>
                <w:sz w:val="24"/>
                <w:szCs w:val="24"/>
              </w:rPr>
              <w:t>〔2020〕80号</w:t>
            </w:r>
            <w:r>
              <w:rPr>
                <w:rFonts w:hint="eastAsia"/>
                <w:color w:val="auto"/>
                <w:lang w:val="en-GB"/>
              </w:rPr>
              <w:t>)，</w:t>
            </w:r>
            <w:r>
              <w:rPr>
                <w:rFonts w:hint="eastAsia"/>
                <w:color w:val="auto"/>
                <w:lang w:val="en-US" w:eastAsia="zh-CN"/>
              </w:rPr>
              <w:t>“</w:t>
            </w:r>
            <w:r>
              <w:rPr>
                <w:rFonts w:hint="default"/>
                <w:color w:val="auto"/>
                <w:lang w:val="en-US" w:eastAsia="zh-CN"/>
              </w:rPr>
              <w:t>3+1</w:t>
            </w:r>
            <w:r>
              <w:rPr>
                <w:rFonts w:hint="eastAsia"/>
                <w:color w:val="auto"/>
                <w:lang w:val="en-US" w:eastAsia="zh-CN"/>
              </w:rPr>
              <w:t>”的产业体系具体如下：</w:t>
            </w:r>
          </w:p>
          <w:p>
            <w:pPr>
              <w:pStyle w:val="75"/>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（1）三大支柱产业</w:t>
            </w:r>
          </w:p>
          <w:p>
            <w:pPr>
              <w:pStyle w:val="75"/>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电子信息产业：显示科技、云计算、电子元器件、光电科技、计算机与智能终端设备等。</w:t>
            </w:r>
          </w:p>
          <w:p>
            <w:pPr>
              <w:pStyle w:val="75"/>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精密汽车部件产业：汽车电气电子装置、动力传动装置、汽车轴承、新能源动力电池等。</w:t>
            </w:r>
          </w:p>
          <w:p>
            <w:pPr>
              <w:pStyle w:val="75"/>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 xml:space="preserve">光学产业：光学部件、光通讯技术、电子光学、虚拟现实装置等。 </w:t>
            </w:r>
          </w:p>
          <w:p>
            <w:pPr>
              <w:pStyle w:val="75"/>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 xml:space="preserve">在三大支柱产业基础之上，完善与其相关的配套产业。 </w:t>
            </w:r>
          </w:p>
          <w:p>
            <w:pPr>
              <w:pStyle w:val="75"/>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 xml:space="preserve">（2）一项新兴产业 </w:t>
            </w:r>
          </w:p>
          <w:p>
            <w:pPr>
              <w:pStyle w:val="75"/>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现代服务业：金融商务、总部经济、科技研发、文化创意、物流展销都市型产业与服务型制造业。</w:t>
            </w:r>
          </w:p>
          <w:p>
            <w:pPr>
              <w:pStyle w:val="14"/>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jc w:val="left"/>
              <w:textAlignment w:val="auto"/>
              <w:rPr>
                <w:rFonts w:hint="eastAsia" w:ascii="Times New Roman" w:hAnsi="Times New Roman" w:cs="Times New Roman"/>
                <w:color w:val="auto"/>
                <w:kern w:val="2"/>
                <w:sz w:val="24"/>
                <w:szCs w:val="20"/>
                <w:lang w:val="en-GB" w:eastAsia="zh-CN" w:bidi="ar-SA"/>
              </w:rPr>
            </w:pPr>
            <w:r>
              <w:rPr>
                <w:rFonts w:hint="eastAsia" w:ascii="Times New Roman" w:hAnsi="Times New Roman" w:eastAsia="宋体" w:cs="Times New Roman"/>
                <w:color w:val="auto"/>
                <w:kern w:val="2"/>
                <w:sz w:val="24"/>
                <w:szCs w:val="20"/>
                <w:lang w:val="en-GB" w:eastAsia="zh-CN" w:bidi="ar-SA"/>
              </w:rPr>
              <w:t>本项目为M7452检测服务</w:t>
            </w:r>
            <w:r>
              <w:rPr>
                <w:rFonts w:hint="eastAsia"/>
                <w:color w:val="auto"/>
                <w:sz w:val="24"/>
                <w:szCs w:val="24"/>
                <w:lang w:eastAsia="zh-CN"/>
              </w:rPr>
              <w:t>，</w:t>
            </w:r>
            <w:r>
              <w:rPr>
                <w:rFonts w:hint="eastAsia" w:cs="Times New Roman"/>
                <w:color w:val="auto"/>
                <w:kern w:val="2"/>
                <w:sz w:val="24"/>
                <w:szCs w:val="20"/>
                <w:lang w:val="en-US" w:eastAsia="zh-CN" w:bidi="ar-SA"/>
              </w:rPr>
              <w:t>属于</w:t>
            </w:r>
            <w:r>
              <w:rPr>
                <w:rFonts w:hint="eastAsia" w:ascii="Times New Roman" w:hAnsi="Times New Roman" w:eastAsia="宋体" w:cs="Times New Roman"/>
                <w:color w:val="auto"/>
                <w:kern w:val="2"/>
                <w:sz w:val="24"/>
                <w:szCs w:val="20"/>
                <w:lang w:val="en-GB" w:eastAsia="zh-CN" w:bidi="ar-SA"/>
              </w:rPr>
              <w:t>规划区</w:t>
            </w:r>
            <w:r>
              <w:rPr>
                <w:rFonts w:hint="eastAsia" w:ascii="Times New Roman" w:hAnsi="Times New Roman" w:cs="Times New Roman"/>
                <w:color w:val="auto"/>
                <w:sz w:val="24"/>
                <w:szCs w:val="24"/>
                <w:highlight w:val="none"/>
                <w:lang w:val="en-GB"/>
              </w:rPr>
              <w:t>非</w:t>
            </w:r>
            <w:r>
              <w:rPr>
                <w:rFonts w:hint="eastAsia" w:ascii="Times New Roman" w:hAnsi="Times New Roman" w:eastAsia="宋体" w:cs="Times New Roman"/>
                <w:color w:val="auto"/>
                <w:kern w:val="2"/>
                <w:sz w:val="24"/>
                <w:szCs w:val="20"/>
                <w:lang w:val="en-GB" w:eastAsia="zh-CN" w:bidi="ar-SA"/>
              </w:rPr>
              <w:t>主导产业环境准入行业，</w:t>
            </w:r>
            <w:r>
              <w:rPr>
                <w:rFonts w:hint="eastAsia" w:ascii="Times New Roman" w:hAnsi="Times New Roman" w:cs="Times New Roman"/>
                <w:color w:val="auto"/>
                <w:kern w:val="2"/>
                <w:sz w:val="24"/>
                <w:szCs w:val="20"/>
                <w:lang w:val="en-US" w:eastAsia="zh-CN" w:bidi="ar-SA"/>
              </w:rPr>
              <w:t>不属于禁止准入行业。</w:t>
            </w:r>
            <w:r>
              <w:rPr>
                <w:rFonts w:hint="eastAsia" w:ascii="Times New Roman" w:hAnsi="Times New Roman" w:eastAsia="宋体" w:cs="Times New Roman"/>
                <w:color w:val="auto"/>
                <w:kern w:val="2"/>
                <w:sz w:val="24"/>
                <w:szCs w:val="20"/>
                <w:lang w:val="en-GB" w:eastAsia="zh-CN" w:bidi="ar-SA"/>
              </w:rPr>
              <w:t>对照《福清融侨经济技术开发区总体规划环境影响报告书</w:t>
            </w:r>
            <w:r>
              <w:rPr>
                <w:rFonts w:hint="eastAsia" w:ascii="Times New Roman" w:hAnsi="Times New Roman" w:cs="Times New Roman"/>
                <w:color w:val="auto"/>
                <w:kern w:val="2"/>
                <w:sz w:val="24"/>
                <w:szCs w:val="20"/>
                <w:lang w:val="en-GB" w:eastAsia="zh-CN" w:bidi="ar-SA"/>
              </w:rPr>
              <w:t>（</w:t>
            </w:r>
            <w:r>
              <w:rPr>
                <w:rFonts w:hint="eastAsia" w:ascii="Times New Roman" w:hAnsi="Times New Roman" w:eastAsia="宋体" w:cs="Times New Roman"/>
                <w:color w:val="auto"/>
                <w:kern w:val="2"/>
                <w:sz w:val="24"/>
                <w:szCs w:val="20"/>
                <w:lang w:val="en-GB" w:eastAsia="zh-CN" w:bidi="ar-SA"/>
              </w:rPr>
              <w:t>2018-2035年</w:t>
            </w:r>
            <w:r>
              <w:rPr>
                <w:rFonts w:hint="eastAsia" w:ascii="Times New Roman" w:hAnsi="Times New Roman" w:cs="Times New Roman"/>
                <w:color w:val="auto"/>
                <w:kern w:val="2"/>
                <w:sz w:val="24"/>
                <w:szCs w:val="20"/>
                <w:lang w:val="en-GB" w:eastAsia="zh-CN" w:bidi="ar-SA"/>
              </w:rPr>
              <w:t>）</w:t>
            </w:r>
            <w:r>
              <w:rPr>
                <w:rFonts w:hint="eastAsia" w:ascii="Times New Roman" w:hAnsi="Times New Roman" w:eastAsia="宋体" w:cs="Times New Roman"/>
                <w:color w:val="auto"/>
                <w:kern w:val="2"/>
                <w:sz w:val="24"/>
                <w:szCs w:val="20"/>
                <w:lang w:val="en-GB" w:eastAsia="zh-CN" w:bidi="ar-SA"/>
              </w:rPr>
              <w:t>》中配套及其他行业环境准入要求及其审查小组意见，项目与规划区</w:t>
            </w:r>
            <w:r>
              <w:rPr>
                <w:rFonts w:hint="eastAsia" w:ascii="Times New Roman" w:hAnsi="Times New Roman" w:cs="Times New Roman"/>
                <w:color w:val="auto"/>
                <w:highlight w:val="none"/>
                <w:lang w:val="en-GB"/>
              </w:rPr>
              <w:t>非</w:t>
            </w:r>
            <w:r>
              <w:rPr>
                <w:rFonts w:hint="eastAsia" w:ascii="Times New Roman" w:hAnsi="Times New Roman" w:eastAsia="宋体" w:cs="Times New Roman"/>
                <w:color w:val="auto"/>
                <w:kern w:val="2"/>
                <w:sz w:val="24"/>
                <w:szCs w:val="20"/>
                <w:lang w:val="en-GB" w:eastAsia="zh-CN" w:bidi="ar-SA"/>
              </w:rPr>
              <w:t>主导产业环境准入清单</w:t>
            </w:r>
            <w:r>
              <w:rPr>
                <w:rFonts w:hint="eastAsia" w:ascii="Times New Roman" w:hAnsi="Times New Roman" w:eastAsia="宋体" w:cs="Times New Roman"/>
                <w:color w:val="auto"/>
                <w:kern w:val="2"/>
                <w:sz w:val="24"/>
                <w:szCs w:val="20"/>
                <w:lang w:val="en-US" w:eastAsia="zh-CN" w:bidi="ar-SA"/>
              </w:rPr>
              <w:t>及环评审查意见</w:t>
            </w:r>
            <w:r>
              <w:rPr>
                <w:rFonts w:hint="eastAsia" w:ascii="Times New Roman" w:hAnsi="Times New Roman" w:eastAsia="宋体" w:cs="Times New Roman"/>
                <w:color w:val="auto"/>
                <w:kern w:val="2"/>
                <w:sz w:val="24"/>
                <w:szCs w:val="20"/>
                <w:lang w:val="en-GB" w:eastAsia="zh-CN" w:bidi="ar-SA"/>
              </w:rPr>
              <w:t>符合性分析详见下表</w:t>
            </w:r>
            <w:r>
              <w:rPr>
                <w:rFonts w:hint="eastAsia" w:ascii="Times New Roman" w:hAnsi="Times New Roman" w:cs="Times New Roman"/>
                <w:color w:val="auto"/>
                <w:kern w:val="2"/>
                <w:sz w:val="24"/>
                <w:szCs w:val="20"/>
                <w:lang w:val="en-GB" w:eastAsia="zh-CN" w:bidi="ar-SA"/>
              </w:rPr>
              <w:t>。</w:t>
            </w:r>
          </w:p>
          <w:p>
            <w:pPr>
              <w:pStyle w:val="35"/>
              <w:keepNext w:val="0"/>
              <w:keepLines w:val="0"/>
              <w:suppressLineNumbers w:val="0"/>
              <w:tabs>
                <w:tab w:val="left" w:pos="2126"/>
              </w:tabs>
              <w:spacing w:before="0" w:beforeAutospacing="0" w:after="0" w:afterAutospacing="0"/>
              <w:ind w:right="0"/>
              <w:jc w:val="right"/>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val="en-GB"/>
              </w:rPr>
              <w:t>规划区非主导产业环境准入清单</w:t>
            </w:r>
            <w:r>
              <w:rPr>
                <w:rFonts w:hint="eastAsia" w:ascii="Times New Roman" w:hAnsi="Times New Roman" w:cs="Times New Roman"/>
                <w:color w:val="auto"/>
                <w:highlight w:val="none"/>
                <w:lang w:val="en-GB" w:eastAsia="zh-CN"/>
              </w:rPr>
              <w:t>及环评审查意见对照一览表</w:t>
            </w:r>
          </w:p>
          <w:tbl>
            <w:tblPr>
              <w:tblStyle w:val="32"/>
              <w:tblW w:w="7259"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767"/>
              <w:gridCol w:w="2926"/>
              <w:gridCol w:w="2917"/>
              <w:gridCol w:w="649"/>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trPr>
              <w:tc>
                <w:tcPr>
                  <w:tcW w:w="767"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eastAsia="宋体"/>
                      <w:b w:val="0"/>
                      <w:bCs w:val="0"/>
                      <w:snapToGrid w:val="0"/>
                      <w:color w:val="auto"/>
                      <w:kern w:val="18"/>
                      <w:sz w:val="21"/>
                      <w:szCs w:val="21"/>
                      <w:highlight w:val="none"/>
                    </w:rPr>
                  </w:pPr>
                  <w:r>
                    <w:rPr>
                      <w:rFonts w:hint="eastAsia" w:ascii="Times New Roman" w:hAnsi="Times New Roman" w:eastAsia="宋体"/>
                      <w:b w:val="0"/>
                      <w:bCs w:val="0"/>
                      <w:snapToGrid w:val="0"/>
                      <w:color w:val="auto"/>
                      <w:kern w:val="18"/>
                      <w:sz w:val="21"/>
                      <w:szCs w:val="21"/>
                      <w:highlight w:val="none"/>
                    </w:rPr>
                    <w:t>类别名称</w:t>
                  </w:r>
                </w:p>
              </w:tc>
              <w:tc>
                <w:tcPr>
                  <w:tcW w:w="2926"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b w:val="0"/>
                      <w:bCs w:val="0"/>
                      <w:snapToGrid w:val="0"/>
                      <w:color w:val="auto"/>
                      <w:kern w:val="18"/>
                      <w:sz w:val="21"/>
                      <w:szCs w:val="21"/>
                      <w:highlight w:val="none"/>
                    </w:rPr>
                  </w:pPr>
                  <w:r>
                    <w:rPr>
                      <w:rFonts w:hint="default" w:ascii="Times New Roman" w:hAnsi="Times New Roman" w:eastAsia="宋体"/>
                      <w:b w:val="0"/>
                      <w:bCs w:val="0"/>
                      <w:snapToGrid w:val="0"/>
                      <w:color w:val="auto"/>
                      <w:kern w:val="18"/>
                      <w:sz w:val="21"/>
                      <w:szCs w:val="21"/>
                      <w:highlight w:val="none"/>
                    </w:rPr>
                    <w:t>空间布局约束</w:t>
                  </w:r>
                </w:p>
              </w:tc>
              <w:tc>
                <w:tcPr>
                  <w:tcW w:w="2917" w:type="dxa"/>
                  <w:vAlign w:val="center"/>
                </w:tcPr>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b w:val="0"/>
                      <w:bCs w:val="0"/>
                      <w:color w:val="auto"/>
                      <w:sz w:val="21"/>
                      <w:szCs w:val="21"/>
                      <w:highlight w:val="none"/>
                    </w:rPr>
                  </w:pPr>
                  <w:r>
                    <w:rPr>
                      <w:rFonts w:hint="default" w:ascii="Times New Roman" w:hAnsi="Times New Roman" w:eastAsia="宋体"/>
                      <w:b w:val="0"/>
                      <w:bCs w:val="0"/>
                      <w:color w:val="auto"/>
                      <w:sz w:val="21"/>
                      <w:szCs w:val="21"/>
                      <w:highlight w:val="none"/>
                    </w:rPr>
                    <w:t>本项目情况</w:t>
                  </w:r>
                </w:p>
              </w:tc>
              <w:tc>
                <w:tcPr>
                  <w:tcW w:w="649" w:type="dxa"/>
                  <w:vAlign w:val="center"/>
                </w:tcPr>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b w:val="0"/>
                      <w:bCs w:val="0"/>
                      <w:color w:val="auto"/>
                      <w:sz w:val="21"/>
                      <w:szCs w:val="21"/>
                      <w:highlight w:val="none"/>
                    </w:rPr>
                  </w:pPr>
                  <w:r>
                    <w:rPr>
                      <w:rFonts w:hint="default" w:ascii="Times New Roman" w:hAnsi="Times New Roman" w:eastAsia="宋体"/>
                      <w:b w:val="0"/>
                      <w:bCs w:val="0"/>
                      <w:color w:val="auto"/>
                      <w:sz w:val="21"/>
                      <w:szCs w:val="21"/>
                      <w:highlight w:val="none"/>
                    </w:rPr>
                    <w:t>符合性</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trPr>
              <w:tc>
                <w:tcPr>
                  <w:tcW w:w="767"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eastAsia="宋体"/>
                      <w:b w:val="0"/>
                      <w:bCs w:val="0"/>
                      <w:snapToGrid w:val="0"/>
                      <w:color w:val="auto"/>
                      <w:kern w:val="18"/>
                      <w:sz w:val="21"/>
                      <w:szCs w:val="21"/>
                      <w:highlight w:val="none"/>
                      <w:lang w:eastAsia="zh-CN"/>
                    </w:rPr>
                  </w:pPr>
                  <w:r>
                    <w:rPr>
                      <w:rFonts w:hint="eastAsia" w:ascii="Times New Roman" w:hAnsi="Times New Roman" w:eastAsia="宋体"/>
                      <w:b w:val="0"/>
                      <w:bCs w:val="0"/>
                      <w:snapToGrid w:val="0"/>
                      <w:color w:val="auto"/>
                      <w:kern w:val="18"/>
                      <w:sz w:val="21"/>
                      <w:szCs w:val="21"/>
                      <w:highlight w:val="none"/>
                      <w:lang w:eastAsia="zh-CN"/>
                    </w:rPr>
                    <w:t>产业导向</w:t>
                  </w:r>
                </w:p>
              </w:tc>
              <w:tc>
                <w:tcPr>
                  <w:tcW w:w="2926" w:type="dxa"/>
                  <w:vAlign w:val="center"/>
                </w:tcPr>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1、符合国家及地方产业政策；</w:t>
                  </w:r>
                </w:p>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2、符合所属行业有关发展规划</w:t>
                  </w:r>
                </w:p>
              </w:tc>
              <w:tc>
                <w:tcPr>
                  <w:tcW w:w="2917" w:type="dxa"/>
                  <w:vAlign w:val="center"/>
                </w:tcPr>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eastAsia" w:ascii="Times New Roman" w:hAnsi="Times New Roman" w:eastAsia="宋体" w:cs="Times New Roman"/>
                      <w:b w:val="0"/>
                      <w:bCs w:val="0"/>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lang w:eastAsia="zh-CN"/>
                    </w:rPr>
                    <w:t>本项目符合国家及地方产业政策、所属行业有关发展规划，已获得发改立项（</w:t>
                  </w:r>
                  <w:r>
                    <w:rPr>
                      <w:rFonts w:hint="eastAsia" w:cs="Times New Roman"/>
                      <w:b w:val="0"/>
                      <w:bCs w:val="0"/>
                      <w:color w:val="auto"/>
                      <w:sz w:val="21"/>
                      <w:szCs w:val="21"/>
                      <w:highlight w:val="none"/>
                      <w:lang w:eastAsia="zh-CN"/>
                    </w:rPr>
                    <w:t>闽发改备[2025]A060073号</w:t>
                  </w:r>
                  <w:r>
                    <w:rPr>
                      <w:rFonts w:hint="eastAsia" w:ascii="Times New Roman" w:hAnsi="Times New Roman" w:eastAsia="宋体" w:cs="Times New Roman"/>
                      <w:b w:val="0"/>
                      <w:bCs w:val="0"/>
                      <w:color w:val="auto"/>
                      <w:sz w:val="21"/>
                      <w:szCs w:val="21"/>
                      <w:highlight w:val="none"/>
                      <w:lang w:eastAsia="zh-CN"/>
                    </w:rPr>
                    <w:t>）</w:t>
                  </w:r>
                </w:p>
              </w:tc>
              <w:tc>
                <w:tcPr>
                  <w:tcW w:w="649" w:type="dxa"/>
                  <w:vAlign w:val="center"/>
                </w:tcPr>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eastAsia="宋体"/>
                      <w:b w:val="0"/>
                      <w:bCs w:val="0"/>
                      <w:color w:val="auto"/>
                      <w:sz w:val="21"/>
                      <w:szCs w:val="21"/>
                      <w:highlight w:val="none"/>
                      <w:lang w:eastAsia="zh-CN"/>
                    </w:rPr>
                  </w:pPr>
                  <w:r>
                    <w:rPr>
                      <w:rFonts w:hint="eastAsia" w:ascii="Times New Roman" w:hAnsi="Times New Roman" w:eastAsia="宋体"/>
                      <w:b w:val="0"/>
                      <w:bCs w:val="0"/>
                      <w:color w:val="auto"/>
                      <w:sz w:val="21"/>
                      <w:szCs w:val="21"/>
                      <w:highlight w:val="none"/>
                      <w:lang w:eastAsia="zh-CN"/>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506" w:hRule="atLeast"/>
              </w:trPr>
              <w:tc>
                <w:tcPr>
                  <w:tcW w:w="767"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eastAsia="宋体"/>
                      <w:b w:val="0"/>
                      <w:bCs w:val="0"/>
                      <w:snapToGrid w:val="0"/>
                      <w:color w:val="auto"/>
                      <w:kern w:val="18"/>
                      <w:sz w:val="21"/>
                      <w:szCs w:val="21"/>
                      <w:highlight w:val="none"/>
                      <w:lang w:eastAsia="zh-CN"/>
                    </w:rPr>
                  </w:pPr>
                  <w:r>
                    <w:rPr>
                      <w:rFonts w:hint="eastAsia" w:ascii="Times New Roman" w:hAnsi="Times New Roman" w:eastAsia="宋体"/>
                      <w:b w:val="0"/>
                      <w:bCs w:val="0"/>
                      <w:snapToGrid w:val="0"/>
                      <w:color w:val="auto"/>
                      <w:kern w:val="18"/>
                      <w:sz w:val="21"/>
                      <w:szCs w:val="21"/>
                      <w:highlight w:val="none"/>
                      <w:lang w:eastAsia="zh-CN"/>
                    </w:rPr>
                    <w:t>规划选址</w:t>
                  </w:r>
                </w:p>
              </w:tc>
              <w:tc>
                <w:tcPr>
                  <w:tcW w:w="2926" w:type="dxa"/>
                  <w:vAlign w:val="center"/>
                </w:tcPr>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选址符合规划区范围内各单元控制性详细规划</w:t>
                  </w:r>
                </w:p>
              </w:tc>
              <w:tc>
                <w:tcPr>
                  <w:tcW w:w="2917" w:type="dxa"/>
                  <w:vAlign w:val="center"/>
                </w:tcPr>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项目位于福清融侨经济技术开发区</w:t>
                  </w:r>
                  <w:r>
                    <w:rPr>
                      <w:rFonts w:hint="eastAsia" w:cs="Times New Roman"/>
                      <w:b w:val="0"/>
                      <w:bCs w:val="0"/>
                      <w:color w:val="auto"/>
                      <w:sz w:val="21"/>
                      <w:szCs w:val="21"/>
                      <w:highlight w:val="none"/>
                      <w:lang w:val="en-US" w:eastAsia="zh-CN"/>
                    </w:rPr>
                    <w:t>（租赁福清洪金机械有限公司办公楼4层、5层</w:t>
                  </w:r>
                  <w:r>
                    <w:rPr>
                      <w:rFonts w:hint="eastAsia" w:ascii="Times New Roman" w:hAnsi="Times New Roman" w:eastAsia="宋体" w:cs="Times New Roman"/>
                      <w:b w:val="0"/>
                      <w:bCs w:val="0"/>
                      <w:color w:val="auto"/>
                      <w:sz w:val="21"/>
                      <w:szCs w:val="21"/>
                      <w:highlight w:val="none"/>
                      <w:lang w:val="en-US" w:eastAsia="zh-CN"/>
                    </w:rPr>
                    <w:t>），</w:t>
                  </w:r>
                  <w:r>
                    <w:rPr>
                      <w:rFonts w:hint="eastAsia" w:cs="Times New Roman"/>
                      <w:b w:val="0"/>
                      <w:bCs w:val="0"/>
                      <w:color w:val="auto"/>
                      <w:sz w:val="21"/>
                      <w:szCs w:val="21"/>
                      <w:highlight w:val="none"/>
                      <w:lang w:val="en-US" w:eastAsia="zh-CN"/>
                    </w:rPr>
                    <w:t>租赁</w:t>
                  </w:r>
                  <w:r>
                    <w:rPr>
                      <w:rFonts w:hint="eastAsia" w:ascii="Times New Roman" w:hAnsi="Times New Roman" w:eastAsia="宋体" w:cs="Times New Roman"/>
                      <w:b w:val="0"/>
                      <w:bCs w:val="0"/>
                      <w:color w:val="auto"/>
                      <w:sz w:val="21"/>
                      <w:szCs w:val="21"/>
                      <w:highlight w:val="none"/>
                      <w:lang w:val="en-US" w:eastAsia="zh-CN"/>
                    </w:rPr>
                    <w:t>已建厂房，</w:t>
                  </w:r>
                  <w:r>
                    <w:rPr>
                      <w:rFonts w:hint="eastAsia" w:cs="Times New Roman"/>
                      <w:b w:val="0"/>
                      <w:bCs w:val="0"/>
                      <w:color w:val="auto"/>
                      <w:sz w:val="21"/>
                      <w:szCs w:val="21"/>
                      <w:highlight w:val="none"/>
                      <w:lang w:val="en-US" w:eastAsia="zh-CN"/>
                    </w:rPr>
                    <w:t>本项目从事专业检测技术服务，</w:t>
                  </w:r>
                  <w:r>
                    <w:rPr>
                      <w:rFonts w:hint="eastAsia" w:ascii="Times New Roman" w:hAnsi="Times New Roman" w:eastAsia="宋体" w:cs="Times New Roman"/>
                      <w:b w:val="0"/>
                      <w:bCs w:val="0"/>
                      <w:color w:val="auto"/>
                      <w:sz w:val="21"/>
                      <w:szCs w:val="21"/>
                      <w:highlight w:val="none"/>
                      <w:lang w:val="en-US" w:eastAsia="zh-CN"/>
                    </w:rPr>
                    <w:t>符合该单元区规划</w:t>
                  </w:r>
                  <w:r>
                    <w:rPr>
                      <w:rFonts w:hint="eastAsia" w:cs="Times New Roman"/>
                      <w:b w:val="0"/>
                      <w:bCs w:val="0"/>
                      <w:color w:val="auto"/>
                      <w:sz w:val="21"/>
                      <w:szCs w:val="21"/>
                      <w:highlight w:val="none"/>
                      <w:lang w:val="en-US" w:eastAsia="zh-CN"/>
                    </w:rPr>
                    <w:t>。</w:t>
                  </w:r>
                </w:p>
              </w:tc>
              <w:tc>
                <w:tcPr>
                  <w:tcW w:w="649" w:type="dxa"/>
                  <w:vAlign w:val="center"/>
                </w:tcPr>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eastAsia="宋体"/>
                      <w:b w:val="0"/>
                      <w:bCs w:val="0"/>
                      <w:color w:val="auto"/>
                      <w:sz w:val="21"/>
                      <w:szCs w:val="21"/>
                      <w:highlight w:val="none"/>
                      <w:lang w:eastAsia="zh-CN"/>
                    </w:rPr>
                  </w:pPr>
                  <w:r>
                    <w:rPr>
                      <w:rFonts w:hint="eastAsia" w:ascii="Times New Roman" w:hAnsi="Times New Roman" w:eastAsia="宋体"/>
                      <w:b w:val="0"/>
                      <w:bCs w:val="0"/>
                      <w:color w:val="auto"/>
                      <w:sz w:val="21"/>
                      <w:szCs w:val="21"/>
                      <w:highlight w:val="none"/>
                      <w:lang w:eastAsia="zh-CN"/>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982" w:hRule="atLeast"/>
              </w:trPr>
              <w:tc>
                <w:tcPr>
                  <w:tcW w:w="767"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eastAsia="宋体"/>
                      <w:b w:val="0"/>
                      <w:bCs w:val="0"/>
                      <w:snapToGrid w:val="0"/>
                      <w:color w:val="auto"/>
                      <w:kern w:val="18"/>
                      <w:sz w:val="21"/>
                      <w:szCs w:val="21"/>
                      <w:highlight w:val="none"/>
                      <w:lang w:eastAsia="zh-CN"/>
                    </w:rPr>
                  </w:pPr>
                  <w:r>
                    <w:rPr>
                      <w:rFonts w:hint="eastAsia" w:ascii="Times New Roman" w:hAnsi="Times New Roman" w:eastAsia="宋体"/>
                      <w:b w:val="0"/>
                      <w:bCs w:val="0"/>
                      <w:snapToGrid w:val="0"/>
                      <w:color w:val="auto"/>
                      <w:kern w:val="18"/>
                      <w:sz w:val="21"/>
                      <w:szCs w:val="21"/>
                      <w:highlight w:val="none"/>
                      <w:lang w:eastAsia="zh-CN"/>
                    </w:rPr>
                    <w:t>环境保护</w:t>
                  </w:r>
                </w:p>
              </w:tc>
              <w:tc>
                <w:tcPr>
                  <w:tcW w:w="2926" w:type="dxa"/>
                  <w:vAlign w:val="center"/>
                </w:tcPr>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eastAsia" w:ascii="Times New Roman" w:hAnsi="Times New Roman"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1、</w:t>
                  </w:r>
                  <w:r>
                    <w:rPr>
                      <w:rFonts w:hint="eastAsia" w:ascii="Times New Roman" w:hAnsi="Times New Roman" w:eastAsia="宋体"/>
                      <w:b w:val="0"/>
                      <w:bCs w:val="0"/>
                      <w:color w:val="auto"/>
                      <w:sz w:val="21"/>
                      <w:szCs w:val="21"/>
                      <w:highlight w:val="none"/>
                      <w:lang w:val="en-US" w:eastAsia="zh-CN"/>
                    </w:rPr>
                    <w:t>符合行业环境准入要求。</w:t>
                  </w:r>
                </w:p>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eastAsia" w:ascii="Times New Roman" w:hAnsi="Times New Roman"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2</w:t>
                  </w:r>
                  <w:r>
                    <w:rPr>
                      <w:rFonts w:hint="eastAsia" w:ascii="Times New Roman" w:hAnsi="Times New Roman" w:eastAsia="宋体"/>
                      <w:b w:val="0"/>
                      <w:bCs w:val="0"/>
                      <w:color w:val="auto"/>
                      <w:sz w:val="21"/>
                      <w:szCs w:val="21"/>
                      <w:highlight w:val="none"/>
                      <w:lang w:val="en-US" w:eastAsia="zh-CN"/>
                    </w:rPr>
                    <w:t>、建设项目排放污染物符合国家、省规定的污染物排放标准。</w:t>
                  </w:r>
                </w:p>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eastAsia" w:ascii="Times New Roman" w:hAnsi="Times New Roman" w:eastAsia="宋体"/>
                      <w:b w:val="0"/>
                      <w:bCs w:val="0"/>
                      <w:color w:val="auto"/>
                      <w:sz w:val="21"/>
                      <w:szCs w:val="21"/>
                      <w:highlight w:val="none"/>
                      <w:lang w:val="en-US" w:eastAsia="zh-CN"/>
                    </w:rPr>
                  </w:pPr>
                  <w:r>
                    <w:rPr>
                      <w:rFonts w:hint="eastAsia" w:ascii="Times New Roman" w:hAnsi="Times New Roman" w:eastAsia="宋体"/>
                      <w:b w:val="0"/>
                      <w:bCs w:val="0"/>
                      <w:color w:val="auto"/>
                      <w:sz w:val="21"/>
                      <w:szCs w:val="21"/>
                      <w:highlight w:val="none"/>
                      <w:lang w:val="en-US" w:eastAsia="zh-CN"/>
                    </w:rPr>
                    <w:t>3、建设项目新增主要污染物排放量符合总量控制和污染物减排要求。</w:t>
                  </w:r>
                </w:p>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eastAsia" w:ascii="Times New Roman" w:hAnsi="Times New Roman" w:eastAsia="宋体"/>
                      <w:b w:val="0"/>
                      <w:bCs w:val="0"/>
                      <w:color w:val="auto"/>
                      <w:sz w:val="21"/>
                      <w:szCs w:val="21"/>
                      <w:highlight w:val="none"/>
                      <w:lang w:val="en-US" w:eastAsia="zh-CN"/>
                    </w:rPr>
                  </w:pPr>
                  <w:r>
                    <w:rPr>
                      <w:rFonts w:hint="eastAsia" w:ascii="Times New Roman" w:hAnsi="Times New Roman" w:eastAsia="宋体"/>
                      <w:b w:val="0"/>
                      <w:bCs w:val="0"/>
                      <w:color w:val="auto"/>
                      <w:sz w:val="21"/>
                      <w:szCs w:val="21"/>
                      <w:highlight w:val="none"/>
                      <w:lang w:val="en-US" w:eastAsia="zh-CN"/>
                    </w:rPr>
                    <w:t>4、废水集中纳管排放。</w:t>
                  </w:r>
                </w:p>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b w:val="0"/>
                      <w:bCs w:val="0"/>
                      <w:color w:val="auto"/>
                      <w:sz w:val="21"/>
                      <w:szCs w:val="21"/>
                      <w:highlight w:val="none"/>
                      <w:lang w:val="en-US" w:eastAsia="zh-CN"/>
                    </w:rPr>
                  </w:pPr>
                  <w:r>
                    <w:rPr>
                      <w:rFonts w:hint="eastAsia" w:ascii="Times New Roman" w:hAnsi="Times New Roman" w:eastAsia="宋体"/>
                      <w:b w:val="0"/>
                      <w:bCs w:val="0"/>
                      <w:color w:val="auto"/>
                      <w:sz w:val="21"/>
                      <w:szCs w:val="21"/>
                      <w:highlight w:val="none"/>
                      <w:lang w:val="en-US" w:eastAsia="zh-CN"/>
                    </w:rPr>
                    <w:t>5、实施技改项目的企业近三年未发生重大污染事故，未发生因环境污染引起的群体事件</w:t>
                  </w:r>
                </w:p>
              </w:tc>
              <w:tc>
                <w:tcPr>
                  <w:tcW w:w="2917" w:type="dxa"/>
                  <w:vAlign w:val="center"/>
                </w:tcPr>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eastAsia" w:ascii="Times New Roman" w:hAnsi="Times New Roman" w:eastAsia="宋体"/>
                      <w:b w:val="0"/>
                      <w:bCs w:val="0"/>
                      <w:color w:val="auto"/>
                      <w:sz w:val="21"/>
                      <w:szCs w:val="21"/>
                      <w:highlight w:val="none"/>
                      <w:lang w:val="en-US" w:eastAsia="zh-CN"/>
                    </w:rPr>
                  </w:pPr>
                  <w:r>
                    <w:rPr>
                      <w:rFonts w:hint="eastAsia" w:ascii="Times New Roman" w:hAnsi="Times New Roman" w:eastAsia="宋体"/>
                      <w:b w:val="0"/>
                      <w:bCs w:val="0"/>
                      <w:color w:val="auto"/>
                      <w:sz w:val="21"/>
                      <w:szCs w:val="21"/>
                      <w:highlight w:val="none"/>
                      <w:lang w:val="en-US" w:eastAsia="zh-CN"/>
                    </w:rPr>
                    <w:t>1、</w:t>
                  </w:r>
                  <w:r>
                    <w:rPr>
                      <w:rFonts w:hint="eastAsia" w:ascii="Times New Roman" w:hAnsi="Times New Roman" w:eastAsia="宋体"/>
                      <w:b w:val="0"/>
                      <w:bCs w:val="0"/>
                      <w:color w:val="auto"/>
                      <w:sz w:val="21"/>
                      <w:szCs w:val="21"/>
                      <w:highlight w:val="none"/>
                      <w:lang w:val="en-GB" w:eastAsia="zh-CN"/>
                    </w:rPr>
                    <w:t>本项目</w:t>
                  </w:r>
                  <w:r>
                    <w:rPr>
                      <w:rFonts w:hint="eastAsia" w:ascii="Times New Roman" w:hAnsi="Times New Roman"/>
                      <w:b w:val="0"/>
                      <w:bCs w:val="0"/>
                      <w:color w:val="auto"/>
                      <w:sz w:val="21"/>
                      <w:szCs w:val="21"/>
                      <w:highlight w:val="none"/>
                      <w:lang w:val="en-US" w:eastAsia="zh-CN"/>
                    </w:rPr>
                    <w:t>为</w:t>
                  </w:r>
                  <w:r>
                    <w:rPr>
                      <w:rFonts w:hint="eastAsia" w:ascii="Times New Roman" w:hAnsi="Times New Roman" w:eastAsia="宋体"/>
                      <w:b w:val="0"/>
                      <w:bCs w:val="0"/>
                      <w:color w:val="auto"/>
                      <w:sz w:val="21"/>
                      <w:szCs w:val="21"/>
                      <w:highlight w:val="none"/>
                      <w:lang w:val="en-GB" w:eastAsia="zh-CN"/>
                    </w:rPr>
                    <w:t>水质检验检测服务</w:t>
                  </w:r>
                  <w:r>
                    <w:rPr>
                      <w:rFonts w:hint="eastAsia"/>
                      <w:b w:val="0"/>
                      <w:bCs w:val="0"/>
                      <w:color w:val="auto"/>
                      <w:sz w:val="21"/>
                      <w:szCs w:val="21"/>
                      <w:highlight w:val="none"/>
                      <w:lang w:val="en-GB" w:eastAsia="zh-CN"/>
                    </w:rPr>
                    <w:t>（M7452检测服务），</w:t>
                  </w:r>
                  <w:r>
                    <w:rPr>
                      <w:rFonts w:hint="eastAsia" w:ascii="Times New Roman" w:hAnsi="Times New Roman" w:eastAsia="宋体"/>
                      <w:b w:val="0"/>
                      <w:bCs w:val="0"/>
                      <w:color w:val="auto"/>
                      <w:sz w:val="21"/>
                      <w:szCs w:val="21"/>
                      <w:highlight w:val="none"/>
                      <w:lang w:val="en-GB" w:eastAsia="zh-CN"/>
                    </w:rPr>
                    <w:t>不在严禁引入的产业范围内</w:t>
                  </w:r>
                  <w:r>
                    <w:rPr>
                      <w:rFonts w:hint="eastAsia" w:ascii="Times New Roman" w:hAnsi="Times New Roman" w:eastAsia="宋体"/>
                      <w:b w:val="0"/>
                      <w:bCs w:val="0"/>
                      <w:color w:val="auto"/>
                      <w:sz w:val="21"/>
                      <w:szCs w:val="21"/>
                      <w:highlight w:val="none"/>
                      <w:lang w:val="en-US" w:eastAsia="zh-CN"/>
                    </w:rPr>
                    <w:t>，符合园区行业环境准入要求；</w:t>
                  </w:r>
                </w:p>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eastAsia" w:ascii="Times New Roman" w:hAnsi="Times New Roman" w:eastAsia="宋体"/>
                      <w:b w:val="0"/>
                      <w:bCs w:val="0"/>
                      <w:color w:val="auto"/>
                      <w:sz w:val="21"/>
                      <w:szCs w:val="21"/>
                      <w:highlight w:val="none"/>
                      <w:lang w:val="en-US" w:eastAsia="zh-CN"/>
                    </w:rPr>
                  </w:pPr>
                  <w:r>
                    <w:rPr>
                      <w:rFonts w:hint="eastAsia" w:ascii="Times New Roman" w:hAnsi="Times New Roman" w:eastAsia="宋体"/>
                      <w:b w:val="0"/>
                      <w:bCs w:val="0"/>
                      <w:color w:val="auto"/>
                      <w:sz w:val="21"/>
                      <w:szCs w:val="21"/>
                      <w:highlight w:val="none"/>
                      <w:lang w:val="en-US" w:eastAsia="zh-CN"/>
                    </w:rPr>
                    <w:t>2、经预测分析，项目各污染物经收集处理后可达标排放；</w:t>
                  </w:r>
                </w:p>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eastAsia" w:ascii="Times New Roman" w:hAnsi="Times New Roman" w:eastAsia="宋体"/>
                      <w:b w:val="0"/>
                      <w:bCs w:val="0"/>
                      <w:color w:val="auto"/>
                      <w:sz w:val="21"/>
                      <w:szCs w:val="21"/>
                      <w:highlight w:val="none"/>
                      <w:lang w:val="en-US" w:eastAsia="zh-CN"/>
                    </w:rPr>
                  </w:pPr>
                  <w:r>
                    <w:rPr>
                      <w:rFonts w:hint="eastAsia" w:ascii="Times New Roman" w:hAnsi="Times New Roman" w:eastAsia="宋体"/>
                      <w:b w:val="0"/>
                      <w:bCs w:val="0"/>
                      <w:color w:val="auto"/>
                      <w:sz w:val="21"/>
                      <w:szCs w:val="21"/>
                      <w:highlight w:val="none"/>
                      <w:lang w:val="en-US" w:eastAsia="zh-CN"/>
                    </w:rPr>
                    <w:t>3、项目主要新增污染物VOCs将按主管部门要求进行总量控制；</w:t>
                  </w:r>
                </w:p>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eastAsia" w:ascii="Times New Roman" w:hAnsi="Times New Roman" w:eastAsia="宋体"/>
                      <w:b w:val="0"/>
                      <w:bCs w:val="0"/>
                      <w:color w:val="auto"/>
                      <w:sz w:val="21"/>
                      <w:szCs w:val="21"/>
                      <w:highlight w:val="none"/>
                      <w:lang w:val="en-US" w:eastAsia="zh-CN"/>
                    </w:rPr>
                  </w:pPr>
                  <w:r>
                    <w:rPr>
                      <w:rFonts w:hint="eastAsia" w:ascii="Times New Roman" w:hAnsi="Times New Roman" w:eastAsia="宋体"/>
                      <w:b w:val="0"/>
                      <w:bCs w:val="0"/>
                      <w:color w:val="auto"/>
                      <w:sz w:val="21"/>
                      <w:szCs w:val="21"/>
                      <w:highlight w:val="none"/>
                      <w:lang w:val="en-US" w:eastAsia="zh-CN"/>
                    </w:rPr>
                    <w:t>4、项目</w:t>
                  </w:r>
                  <w:r>
                    <w:rPr>
                      <w:rFonts w:hint="eastAsia" w:ascii="Times New Roman" w:hAnsi="Times New Roman"/>
                      <w:b w:val="0"/>
                      <w:bCs w:val="0"/>
                      <w:color w:val="auto"/>
                      <w:sz w:val="21"/>
                      <w:szCs w:val="21"/>
                      <w:highlight w:val="none"/>
                      <w:lang w:val="en-US" w:eastAsia="zh-CN"/>
                    </w:rPr>
                    <w:t>清洗废水经过处理达标后与</w:t>
                  </w:r>
                  <w:r>
                    <w:rPr>
                      <w:rFonts w:hint="eastAsia" w:ascii="Times New Roman" w:hAnsi="Times New Roman" w:eastAsia="宋体"/>
                      <w:b w:val="0"/>
                      <w:bCs w:val="0"/>
                      <w:color w:val="auto"/>
                      <w:sz w:val="21"/>
                      <w:szCs w:val="21"/>
                      <w:highlight w:val="none"/>
                      <w:lang w:val="en-US" w:eastAsia="zh-CN"/>
                    </w:rPr>
                    <w:t>生活污水通过</w:t>
                  </w:r>
                  <w:r>
                    <w:rPr>
                      <w:rFonts w:hint="eastAsia" w:ascii="Times New Roman" w:hAnsi="Times New Roman"/>
                      <w:b w:val="0"/>
                      <w:bCs w:val="0"/>
                      <w:color w:val="auto"/>
                      <w:sz w:val="21"/>
                      <w:szCs w:val="21"/>
                      <w:highlight w:val="none"/>
                      <w:lang w:val="en-US" w:eastAsia="zh-CN"/>
                    </w:rPr>
                    <w:t>项目排水口</w:t>
                  </w:r>
                  <w:r>
                    <w:rPr>
                      <w:rFonts w:hint="eastAsia" w:ascii="Times New Roman" w:hAnsi="Times New Roman" w:eastAsia="宋体"/>
                      <w:b w:val="0"/>
                      <w:bCs w:val="0"/>
                      <w:color w:val="auto"/>
                      <w:sz w:val="21"/>
                      <w:szCs w:val="21"/>
                      <w:highlight w:val="none"/>
                      <w:lang w:val="en-US" w:eastAsia="zh-CN"/>
                    </w:rPr>
                    <w:t>纳入市政污水管网</w:t>
                  </w:r>
                  <w:r>
                    <w:rPr>
                      <w:rFonts w:hint="eastAsia" w:ascii="Times New Roman" w:hAnsi="Times New Roman"/>
                      <w:b w:val="0"/>
                      <w:bCs w:val="0"/>
                      <w:color w:val="auto"/>
                      <w:sz w:val="21"/>
                      <w:szCs w:val="21"/>
                      <w:highlight w:val="none"/>
                      <w:lang w:val="en-US" w:eastAsia="zh-CN"/>
                    </w:rPr>
                    <w:t>（城市排水许可见附件</w:t>
                  </w:r>
                  <w:r>
                    <w:rPr>
                      <w:rFonts w:hint="eastAsia"/>
                      <w:b w:val="0"/>
                      <w:bCs w:val="0"/>
                      <w:color w:val="auto"/>
                      <w:sz w:val="21"/>
                      <w:szCs w:val="21"/>
                      <w:highlight w:val="none"/>
                      <w:lang w:val="en-US" w:eastAsia="zh-CN"/>
                    </w:rPr>
                    <w:t>7</w:t>
                  </w:r>
                  <w:r>
                    <w:rPr>
                      <w:rFonts w:hint="eastAsia" w:ascii="Times New Roman" w:hAnsi="Times New Roman"/>
                      <w:b w:val="0"/>
                      <w:bCs w:val="0"/>
                      <w:color w:val="auto"/>
                      <w:sz w:val="21"/>
                      <w:szCs w:val="21"/>
                      <w:highlight w:val="none"/>
                      <w:lang w:val="en-US" w:eastAsia="zh-CN"/>
                    </w:rPr>
                    <w:t>）</w:t>
                  </w:r>
                  <w:r>
                    <w:rPr>
                      <w:rFonts w:hint="eastAsia" w:ascii="Times New Roman" w:hAnsi="Times New Roman" w:eastAsia="宋体"/>
                      <w:b w:val="0"/>
                      <w:bCs w:val="0"/>
                      <w:color w:val="auto"/>
                      <w:sz w:val="21"/>
                      <w:szCs w:val="21"/>
                      <w:highlight w:val="none"/>
                      <w:lang w:val="en-US" w:eastAsia="zh-CN"/>
                    </w:rPr>
                    <w:t>；</w:t>
                  </w:r>
                </w:p>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eastAsia" w:ascii="Times New Roman" w:hAnsi="Times New Roman" w:eastAsia="宋体"/>
                      <w:b w:val="0"/>
                      <w:bCs w:val="0"/>
                      <w:color w:val="auto"/>
                      <w:sz w:val="21"/>
                      <w:szCs w:val="21"/>
                      <w:highlight w:val="none"/>
                      <w:lang w:val="en-US" w:eastAsia="zh-CN"/>
                    </w:rPr>
                  </w:pPr>
                  <w:r>
                    <w:rPr>
                      <w:rFonts w:hint="eastAsia" w:ascii="Times New Roman" w:hAnsi="Times New Roman" w:eastAsia="宋体"/>
                      <w:b w:val="0"/>
                      <w:bCs w:val="0"/>
                      <w:color w:val="auto"/>
                      <w:sz w:val="21"/>
                      <w:szCs w:val="21"/>
                      <w:highlight w:val="none"/>
                      <w:lang w:val="en-US" w:eastAsia="zh-CN"/>
                    </w:rPr>
                    <w:t>5、项目为新建项目，配套的环保监测项目，专业技术服务企业</w:t>
                  </w:r>
                  <w:r>
                    <w:rPr>
                      <w:rFonts w:hint="eastAsia"/>
                      <w:b w:val="0"/>
                      <w:bCs w:val="0"/>
                      <w:color w:val="auto"/>
                      <w:sz w:val="21"/>
                      <w:szCs w:val="21"/>
                      <w:highlight w:val="none"/>
                      <w:lang w:val="en-US" w:eastAsia="zh-CN"/>
                    </w:rPr>
                    <w:t>，</w:t>
                  </w:r>
                  <w:r>
                    <w:rPr>
                      <w:rFonts w:hint="eastAsia" w:ascii="Times New Roman" w:hAnsi="Times New Roman" w:eastAsia="宋体"/>
                      <w:b w:val="0"/>
                      <w:bCs w:val="0"/>
                      <w:color w:val="auto"/>
                      <w:sz w:val="21"/>
                      <w:szCs w:val="21"/>
                      <w:highlight w:val="none"/>
                      <w:lang w:val="en-US" w:eastAsia="zh-CN"/>
                    </w:rPr>
                    <w:t>不属于技改项目</w:t>
                  </w:r>
                  <w:r>
                    <w:rPr>
                      <w:rFonts w:hint="eastAsia"/>
                      <w:b w:val="0"/>
                      <w:bCs w:val="0"/>
                      <w:color w:val="auto"/>
                      <w:sz w:val="21"/>
                      <w:szCs w:val="21"/>
                      <w:highlight w:val="none"/>
                      <w:lang w:val="en-US" w:eastAsia="zh-CN"/>
                    </w:rPr>
                    <w:t>。</w:t>
                  </w:r>
                </w:p>
              </w:tc>
              <w:tc>
                <w:tcPr>
                  <w:tcW w:w="649" w:type="dxa"/>
                  <w:vAlign w:val="center"/>
                </w:tcPr>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eastAsia="宋体"/>
                      <w:b w:val="0"/>
                      <w:bCs w:val="0"/>
                      <w:color w:val="auto"/>
                      <w:sz w:val="21"/>
                      <w:szCs w:val="21"/>
                      <w:highlight w:val="none"/>
                      <w:lang w:eastAsia="zh-CN"/>
                    </w:rPr>
                  </w:pPr>
                  <w:r>
                    <w:rPr>
                      <w:rFonts w:hint="eastAsia" w:ascii="Times New Roman" w:hAnsi="Times New Roman" w:eastAsia="宋体"/>
                      <w:b w:val="0"/>
                      <w:bCs w:val="0"/>
                      <w:color w:val="auto"/>
                      <w:sz w:val="21"/>
                      <w:szCs w:val="21"/>
                      <w:highlight w:val="none"/>
                      <w:lang w:eastAsia="zh-CN"/>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trPr>
              <w:tc>
                <w:tcPr>
                  <w:tcW w:w="767"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空间布局约束</w:t>
                  </w:r>
                </w:p>
              </w:tc>
              <w:tc>
                <w:tcPr>
                  <w:tcW w:w="2926" w:type="dxa"/>
                  <w:vAlign w:val="center"/>
                </w:tcPr>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b w:val="0"/>
                      <w:bCs w:val="0"/>
                      <w:color w:val="auto"/>
                      <w:sz w:val="21"/>
                      <w:szCs w:val="21"/>
                      <w:highlight w:val="none"/>
                      <w:lang w:val="en-US" w:eastAsia="zh-CN"/>
                    </w:rPr>
                  </w:pPr>
                  <w:r>
                    <w:rPr>
                      <w:rFonts w:hint="default" w:ascii="Times New Roman" w:hAnsi="Times New Roman" w:eastAsia="宋体"/>
                      <w:b w:val="0"/>
                      <w:bCs w:val="0"/>
                      <w:color w:val="auto"/>
                      <w:sz w:val="21"/>
                      <w:szCs w:val="21"/>
                      <w:highlight w:val="none"/>
                      <w:lang w:val="en-US" w:eastAsia="zh-CN"/>
                    </w:rPr>
                    <w:t>禁止新建：</w:t>
                  </w:r>
                </w:p>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b w:val="0"/>
                      <w:bCs w:val="0"/>
                      <w:color w:val="auto"/>
                      <w:sz w:val="21"/>
                      <w:szCs w:val="21"/>
                      <w:highlight w:val="none"/>
                      <w:lang w:val="en-US" w:eastAsia="zh-CN"/>
                    </w:rPr>
                  </w:pPr>
                  <w:r>
                    <w:rPr>
                      <w:rFonts w:hint="default" w:ascii="Times New Roman" w:hAnsi="Times New Roman" w:eastAsia="宋体"/>
                      <w:b w:val="0"/>
                      <w:bCs w:val="0"/>
                      <w:color w:val="auto"/>
                      <w:sz w:val="21"/>
                      <w:szCs w:val="21"/>
                      <w:highlight w:val="none"/>
                      <w:lang w:val="en-US" w:eastAsia="zh-CN"/>
                    </w:rPr>
                    <w:t>1、禁止新建，含电镀工艺、冶炼工艺、电解铝的项目，现有生产能力一定期限内搬迁；</w:t>
                  </w:r>
                </w:p>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b w:val="0"/>
                      <w:bCs w:val="0"/>
                      <w:color w:val="auto"/>
                      <w:sz w:val="21"/>
                      <w:szCs w:val="21"/>
                      <w:highlight w:val="none"/>
                      <w:lang w:val="en-US" w:eastAsia="zh-CN"/>
                    </w:rPr>
                  </w:pPr>
                  <w:r>
                    <w:rPr>
                      <w:rFonts w:hint="default" w:ascii="Times New Roman" w:hAnsi="Times New Roman" w:eastAsia="宋体"/>
                      <w:b w:val="0"/>
                      <w:bCs w:val="0"/>
                      <w:color w:val="auto"/>
                      <w:sz w:val="21"/>
                      <w:szCs w:val="21"/>
                      <w:highlight w:val="none"/>
                      <w:lang w:val="en-US" w:eastAsia="zh-CN"/>
                    </w:rPr>
                    <w:t>2、包装印刷业禁止使用不符合环保要求的油墨、胶黏剂。</w:t>
                  </w:r>
                </w:p>
              </w:tc>
              <w:tc>
                <w:tcPr>
                  <w:tcW w:w="2917" w:type="dxa"/>
                  <w:vAlign w:val="center"/>
                </w:tcPr>
                <w:p>
                  <w:pPr>
                    <w:keepNext w:val="0"/>
                    <w:keepLines w:val="0"/>
                    <w:pageBreakBefore w:val="0"/>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b w:val="0"/>
                      <w:bCs w:val="0"/>
                      <w:color w:val="auto"/>
                      <w:sz w:val="21"/>
                      <w:szCs w:val="21"/>
                      <w:highlight w:val="none"/>
                      <w:lang w:val="en-US" w:eastAsia="zh-CN"/>
                    </w:rPr>
                  </w:pPr>
                  <w:r>
                    <w:rPr>
                      <w:rFonts w:hint="eastAsia" w:ascii="Times New Roman" w:hAnsi="Times New Roman" w:eastAsia="宋体"/>
                      <w:b w:val="0"/>
                      <w:bCs w:val="0"/>
                      <w:color w:val="auto"/>
                      <w:sz w:val="21"/>
                      <w:szCs w:val="21"/>
                      <w:highlight w:val="none"/>
                      <w:lang w:val="en-GB" w:eastAsia="zh-CN"/>
                    </w:rPr>
                    <w:t>本项目为水质检验检测服务</w:t>
                  </w:r>
                  <w:r>
                    <w:rPr>
                      <w:rFonts w:hint="eastAsia"/>
                      <w:b w:val="0"/>
                      <w:bCs w:val="0"/>
                      <w:color w:val="auto"/>
                      <w:sz w:val="21"/>
                      <w:szCs w:val="21"/>
                      <w:highlight w:val="none"/>
                      <w:lang w:val="en-GB" w:eastAsia="zh-CN"/>
                    </w:rPr>
                    <w:t>（M7452检测服务）</w:t>
                  </w:r>
                  <w:r>
                    <w:rPr>
                      <w:rFonts w:hint="eastAsia" w:ascii="Times New Roman" w:hAnsi="Times New Roman" w:eastAsia="宋体"/>
                      <w:b w:val="0"/>
                      <w:bCs w:val="0"/>
                      <w:color w:val="auto"/>
                      <w:sz w:val="21"/>
                      <w:szCs w:val="21"/>
                      <w:highlight w:val="none"/>
                      <w:lang w:val="en-GB" w:eastAsia="zh-CN"/>
                    </w:rPr>
                    <w:t>，</w:t>
                  </w:r>
                  <w:r>
                    <w:rPr>
                      <w:rFonts w:hint="eastAsia"/>
                      <w:b w:val="0"/>
                      <w:bCs w:val="0"/>
                      <w:color w:val="auto"/>
                      <w:sz w:val="21"/>
                      <w:szCs w:val="21"/>
                      <w:highlight w:val="none"/>
                      <w:lang w:val="en-US" w:eastAsia="zh-CN"/>
                    </w:rPr>
                    <w:t>生产工艺</w:t>
                  </w:r>
                  <w:r>
                    <w:rPr>
                      <w:rFonts w:hint="eastAsia" w:ascii="Times New Roman" w:hAnsi="Times New Roman" w:eastAsia="宋体"/>
                      <w:b w:val="0"/>
                      <w:bCs w:val="0"/>
                      <w:color w:val="auto"/>
                      <w:sz w:val="21"/>
                      <w:szCs w:val="21"/>
                      <w:highlight w:val="none"/>
                      <w:lang w:val="en-US" w:eastAsia="zh-CN"/>
                    </w:rPr>
                    <w:t>不涉及</w:t>
                  </w:r>
                  <w:r>
                    <w:rPr>
                      <w:rFonts w:hint="default" w:ascii="Times New Roman" w:hAnsi="Times New Roman" w:eastAsia="宋体"/>
                      <w:b w:val="0"/>
                      <w:bCs w:val="0"/>
                      <w:color w:val="auto"/>
                      <w:sz w:val="21"/>
                      <w:szCs w:val="21"/>
                      <w:highlight w:val="none"/>
                      <w:lang w:val="en-US" w:eastAsia="zh-CN"/>
                    </w:rPr>
                    <w:t>电镀工艺、冶炼工艺、电解铝工艺</w:t>
                  </w:r>
                  <w:r>
                    <w:rPr>
                      <w:rFonts w:hint="eastAsia" w:ascii="Times New Roman" w:hAnsi="Times New Roman" w:eastAsia="宋体"/>
                      <w:b w:val="0"/>
                      <w:bCs w:val="0"/>
                      <w:color w:val="auto"/>
                      <w:sz w:val="21"/>
                      <w:szCs w:val="21"/>
                      <w:highlight w:val="none"/>
                      <w:lang w:val="en-US" w:eastAsia="zh-CN"/>
                    </w:rPr>
                    <w:t>；</w:t>
                  </w:r>
                  <w:r>
                    <w:rPr>
                      <w:rFonts w:hint="eastAsia" w:ascii="Times New Roman" w:hAnsi="Times New Roman"/>
                      <w:b w:val="0"/>
                      <w:bCs w:val="0"/>
                      <w:color w:val="auto"/>
                      <w:sz w:val="21"/>
                      <w:szCs w:val="21"/>
                      <w:highlight w:val="none"/>
                      <w:lang w:val="en-US" w:eastAsia="zh-CN"/>
                    </w:rPr>
                    <w:t>未使用</w:t>
                  </w:r>
                  <w:r>
                    <w:rPr>
                      <w:rFonts w:hint="default" w:ascii="Times New Roman" w:hAnsi="Times New Roman" w:eastAsia="宋体"/>
                      <w:b w:val="0"/>
                      <w:bCs w:val="0"/>
                      <w:color w:val="auto"/>
                      <w:sz w:val="21"/>
                      <w:szCs w:val="21"/>
                      <w:highlight w:val="none"/>
                      <w:lang w:val="en-US" w:eastAsia="zh-CN"/>
                    </w:rPr>
                    <w:t>油墨、胶黏剂</w:t>
                  </w:r>
                  <w:r>
                    <w:rPr>
                      <w:rFonts w:hint="eastAsia" w:ascii="Times New Roman" w:hAnsi="Times New Roman" w:eastAsia="宋体"/>
                      <w:b w:val="0"/>
                      <w:bCs w:val="0"/>
                      <w:color w:val="auto"/>
                      <w:sz w:val="21"/>
                      <w:szCs w:val="21"/>
                      <w:highlight w:val="none"/>
                      <w:lang w:val="en-US" w:eastAsia="zh-CN"/>
                    </w:rPr>
                    <w:t>。</w:t>
                  </w:r>
                </w:p>
              </w:tc>
              <w:tc>
                <w:tcPr>
                  <w:tcW w:w="649" w:type="dxa"/>
                  <w:vAlign w:val="center"/>
                </w:tcPr>
                <w:p>
                  <w:pPr>
                    <w:keepNext w:val="0"/>
                    <w:keepLines w:val="0"/>
                    <w:suppressLineNumbers w:val="0"/>
                    <w:pBdr>
                      <w:top w:val="none" w:color="auto" w:sz="0" w:space="1"/>
                      <w:left w:val="none" w:color="auto" w:sz="0" w:space="4"/>
                      <w:bottom w:val="none" w:color="auto" w:sz="0" w:space="1"/>
                      <w:right w:val="none" w:color="auto" w:sz="0" w:space="4"/>
                    </w:pBdr>
                    <w:spacing w:before="0" w:beforeAutospacing="0" w:after="0" w:afterAutospacing="0" w:line="340" w:lineRule="exact"/>
                    <w:ind w:left="0" w:right="0"/>
                    <w:jc w:val="both"/>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trPr>
              <w:tc>
                <w:tcPr>
                  <w:tcW w:w="767"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eastAsia="宋体"/>
                      <w:snapToGrid w:val="0"/>
                      <w:color w:val="auto"/>
                      <w:kern w:val="18"/>
                      <w:sz w:val="21"/>
                      <w:szCs w:val="21"/>
                      <w:highlight w:val="none"/>
                      <w:lang w:eastAsia="zh-CN"/>
                    </w:rPr>
                  </w:pPr>
                  <w:r>
                    <w:rPr>
                      <w:rFonts w:hint="eastAsia" w:ascii="Times New Roman" w:hAnsi="Times New Roman" w:eastAsia="宋体"/>
                      <w:snapToGrid w:val="0"/>
                      <w:color w:val="auto"/>
                      <w:kern w:val="18"/>
                      <w:sz w:val="21"/>
                      <w:szCs w:val="21"/>
                      <w:highlight w:val="none"/>
                      <w:lang w:eastAsia="zh-CN"/>
                    </w:rPr>
                    <w:t>环境风险防控</w:t>
                  </w:r>
                </w:p>
              </w:tc>
              <w:tc>
                <w:tcPr>
                  <w:tcW w:w="2926"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eastAsia" w:ascii="Times New Roman" w:hAnsi="Times New Roman" w:eastAsia="宋体"/>
                      <w:snapToGrid w:val="0"/>
                      <w:color w:val="auto"/>
                      <w:kern w:val="18"/>
                      <w:sz w:val="21"/>
                      <w:szCs w:val="21"/>
                      <w:highlight w:val="none"/>
                    </w:rPr>
                  </w:pPr>
                  <w:r>
                    <w:rPr>
                      <w:rFonts w:hint="eastAsia" w:ascii="Times New Roman" w:hAnsi="Times New Roman" w:eastAsia="宋体"/>
                      <w:snapToGrid w:val="0"/>
                      <w:color w:val="auto"/>
                      <w:kern w:val="18"/>
                      <w:sz w:val="21"/>
                      <w:szCs w:val="21"/>
                      <w:highlight w:val="none"/>
                    </w:rPr>
                    <w:t>1、必须规范配套应急池，建设企业、园区和周边水系三级环境风险防控工程，确保有效拦截、降污和倒流；受园区排污影响的周边水系应建设应急闸门，防止泄漏物和消防水等排入外环境。</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eastAsia" w:ascii="Times New Roman" w:hAnsi="Times New Roman" w:eastAsia="宋体"/>
                      <w:snapToGrid w:val="0"/>
                      <w:color w:val="auto"/>
                      <w:kern w:val="18"/>
                      <w:sz w:val="21"/>
                      <w:szCs w:val="21"/>
                      <w:highlight w:val="none"/>
                    </w:rPr>
                  </w:pPr>
                  <w:r>
                    <w:rPr>
                      <w:rFonts w:hint="eastAsia" w:ascii="Times New Roman" w:hAnsi="Times New Roman" w:eastAsia="宋体"/>
                      <w:snapToGrid w:val="0"/>
                      <w:color w:val="auto"/>
                      <w:kern w:val="18"/>
                      <w:sz w:val="21"/>
                      <w:szCs w:val="21"/>
                      <w:highlight w:val="none"/>
                    </w:rPr>
                    <w:t>2、开发区内污水处理设施应采取必要的防渗处理，不得污染地下水环境。</w:t>
                  </w:r>
                </w:p>
              </w:tc>
              <w:tc>
                <w:tcPr>
                  <w:tcW w:w="2917"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eastAsia" w:ascii="Times New Roman" w:hAnsi="Times New Roman" w:eastAsia="宋体"/>
                      <w:snapToGrid w:val="0"/>
                      <w:color w:val="auto"/>
                      <w:kern w:val="18"/>
                      <w:sz w:val="21"/>
                      <w:szCs w:val="21"/>
                      <w:highlight w:val="none"/>
                      <w:lang w:eastAsia="zh-CN"/>
                    </w:rPr>
                  </w:pPr>
                  <w:r>
                    <w:rPr>
                      <w:rFonts w:hint="eastAsia" w:ascii="Times New Roman" w:hAnsi="Times New Roman" w:eastAsia="宋体" w:cs="Times New Roman"/>
                      <w:color w:val="auto"/>
                      <w:highlight w:val="none"/>
                      <w:lang w:val="en-US" w:eastAsia="zh-CN"/>
                    </w:rPr>
                    <w:t>本项目</w:t>
                  </w:r>
                  <w:r>
                    <w:rPr>
                      <w:rFonts w:hint="eastAsia" w:ascii="Times New Roman" w:hAnsi="Times New Roman"/>
                      <w:b w:val="0"/>
                      <w:bCs w:val="0"/>
                      <w:color w:val="auto"/>
                      <w:sz w:val="21"/>
                      <w:szCs w:val="21"/>
                      <w:highlight w:val="none"/>
                      <w:lang w:val="en-US" w:eastAsia="zh-CN"/>
                    </w:rPr>
                    <w:t>清洗废水经过废水处理设施处理达标后与</w:t>
                  </w:r>
                  <w:r>
                    <w:rPr>
                      <w:rFonts w:hint="eastAsia" w:ascii="Times New Roman" w:hAnsi="Times New Roman" w:eastAsia="宋体"/>
                      <w:b w:val="0"/>
                      <w:bCs w:val="0"/>
                      <w:color w:val="auto"/>
                      <w:sz w:val="21"/>
                      <w:szCs w:val="21"/>
                      <w:highlight w:val="none"/>
                      <w:lang w:val="en-US" w:eastAsia="zh-CN"/>
                    </w:rPr>
                    <w:t>生活污水</w:t>
                  </w:r>
                  <w:r>
                    <w:rPr>
                      <w:rFonts w:hint="eastAsia" w:cs="Times New Roman"/>
                      <w:color w:val="auto"/>
                      <w:highlight w:val="none"/>
                      <w:lang w:val="en-US" w:eastAsia="zh-CN"/>
                    </w:rPr>
                    <w:t>接入市政污水管网</w:t>
                  </w:r>
                  <w:r>
                    <w:rPr>
                      <w:rFonts w:hint="eastAsia" w:ascii="Times New Roman" w:hAnsi="Times New Roman" w:eastAsia="宋体" w:cs="Times New Roman"/>
                      <w:color w:val="auto"/>
                      <w:highlight w:val="none"/>
                      <w:lang w:val="en-US" w:eastAsia="zh-CN"/>
                    </w:rPr>
                    <w:t>进入</w:t>
                  </w:r>
                  <w:r>
                    <w:rPr>
                      <w:rFonts w:hint="eastAsia" w:cs="Times New Roman"/>
                      <w:color w:val="auto"/>
                      <w:highlight w:val="none"/>
                      <w:lang w:val="en-US" w:eastAsia="zh-CN"/>
                    </w:rPr>
                    <w:t>福清市融元污水处理厂统</w:t>
                  </w:r>
                  <w:r>
                    <w:rPr>
                      <w:rFonts w:hint="eastAsia" w:ascii="Times New Roman" w:hAnsi="Times New Roman" w:eastAsia="宋体" w:cs="Times New Roman"/>
                      <w:color w:val="auto"/>
                      <w:highlight w:val="none"/>
                      <w:lang w:val="en-US" w:eastAsia="zh-CN"/>
                    </w:rPr>
                    <w:t>一处理，污水不外排入附近水体，且污水处理设施采取了一定的防渗措施，防止污染地下水环境。</w:t>
                  </w:r>
                </w:p>
              </w:tc>
              <w:tc>
                <w:tcPr>
                  <w:tcW w:w="649"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eastAsia="宋体"/>
                      <w:snapToGrid w:val="0"/>
                      <w:color w:val="auto"/>
                      <w:kern w:val="18"/>
                      <w:sz w:val="21"/>
                      <w:szCs w:val="21"/>
                      <w:highlight w:val="none"/>
                      <w:lang w:eastAsia="zh-CN"/>
                    </w:rPr>
                  </w:pPr>
                  <w:r>
                    <w:rPr>
                      <w:rFonts w:hint="eastAsia" w:ascii="Times New Roman" w:hAnsi="Times New Roman" w:eastAsia="宋体"/>
                      <w:snapToGrid w:val="0"/>
                      <w:color w:val="auto"/>
                      <w:kern w:val="18"/>
                      <w:sz w:val="21"/>
                      <w:szCs w:val="21"/>
                      <w:highlight w:val="none"/>
                      <w:lang w:eastAsia="zh-CN"/>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trPr>
              <w:tc>
                <w:tcPr>
                  <w:tcW w:w="767"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eastAsia="宋体"/>
                      <w:snapToGrid w:val="0"/>
                      <w:color w:val="auto"/>
                      <w:kern w:val="18"/>
                      <w:sz w:val="21"/>
                      <w:szCs w:val="21"/>
                      <w:highlight w:val="none"/>
                      <w:lang w:eastAsia="zh-CN"/>
                    </w:rPr>
                  </w:pPr>
                  <w:r>
                    <w:rPr>
                      <w:rFonts w:hint="eastAsia" w:ascii="Times New Roman" w:hAnsi="Times New Roman" w:eastAsia="宋体"/>
                      <w:snapToGrid w:val="0"/>
                      <w:color w:val="auto"/>
                      <w:kern w:val="18"/>
                      <w:sz w:val="21"/>
                      <w:szCs w:val="21"/>
                      <w:highlight w:val="none"/>
                      <w:lang w:eastAsia="zh-CN"/>
                    </w:rPr>
                    <w:t>污染物排放管控</w:t>
                  </w:r>
                </w:p>
              </w:tc>
              <w:tc>
                <w:tcPr>
                  <w:tcW w:w="2926"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eastAsia" w:ascii="Times New Roman" w:hAnsi="Times New Roman" w:eastAsia="宋体"/>
                      <w:snapToGrid w:val="0"/>
                      <w:color w:val="auto"/>
                      <w:kern w:val="18"/>
                      <w:sz w:val="21"/>
                      <w:szCs w:val="21"/>
                      <w:highlight w:val="none"/>
                    </w:rPr>
                  </w:pPr>
                  <w:r>
                    <w:rPr>
                      <w:rFonts w:hint="eastAsia" w:ascii="Times New Roman" w:hAnsi="Times New Roman" w:eastAsia="宋体"/>
                      <w:snapToGrid w:val="0"/>
                      <w:color w:val="auto"/>
                      <w:kern w:val="18"/>
                      <w:sz w:val="21"/>
                      <w:szCs w:val="21"/>
                      <w:highlight w:val="none"/>
                    </w:rPr>
                    <w:t>1、新、改、扩建项目新增大气污染物（现阶段指SO</w:t>
                  </w:r>
                  <w:r>
                    <w:rPr>
                      <w:rFonts w:hint="eastAsia" w:ascii="Times New Roman" w:hAnsi="Times New Roman" w:eastAsia="宋体"/>
                      <w:snapToGrid w:val="0"/>
                      <w:color w:val="auto"/>
                      <w:kern w:val="18"/>
                      <w:sz w:val="21"/>
                      <w:szCs w:val="21"/>
                      <w:highlight w:val="none"/>
                      <w:vertAlign w:val="subscript"/>
                    </w:rPr>
                    <w:t>2</w:t>
                  </w:r>
                  <w:r>
                    <w:rPr>
                      <w:rFonts w:hint="eastAsia" w:ascii="Times New Roman" w:hAnsi="Times New Roman" w:eastAsia="宋体"/>
                      <w:snapToGrid w:val="0"/>
                      <w:color w:val="auto"/>
                      <w:kern w:val="18"/>
                      <w:sz w:val="21"/>
                      <w:szCs w:val="21"/>
                      <w:highlight w:val="none"/>
                    </w:rPr>
                    <w:t>、NOx）排放量实行1.5倍削减替代（不含使用天然气、液化石油气等作为燃料的非火电锅炉和工业炉窑）。</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eastAsia" w:ascii="Times New Roman" w:hAnsi="Times New Roman" w:eastAsia="宋体"/>
                      <w:snapToGrid w:val="0"/>
                      <w:color w:val="auto"/>
                      <w:kern w:val="18"/>
                      <w:sz w:val="21"/>
                      <w:szCs w:val="21"/>
                      <w:highlight w:val="none"/>
                    </w:rPr>
                  </w:pPr>
                  <w:r>
                    <w:rPr>
                      <w:rFonts w:hint="eastAsia" w:ascii="Times New Roman" w:hAnsi="Times New Roman" w:eastAsia="宋体"/>
                      <w:snapToGrid w:val="0"/>
                      <w:color w:val="auto"/>
                      <w:kern w:val="18"/>
                      <w:sz w:val="21"/>
                      <w:szCs w:val="21"/>
                      <w:highlight w:val="none"/>
                    </w:rPr>
                    <w:t>2、新、改、扩建项目新增VOCs排放量实行倍量削减替代。</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eastAsia" w:ascii="Times New Roman" w:hAnsi="Times New Roman" w:eastAsia="宋体"/>
                      <w:snapToGrid w:val="0"/>
                      <w:color w:val="auto"/>
                      <w:kern w:val="18"/>
                      <w:sz w:val="21"/>
                      <w:szCs w:val="21"/>
                      <w:highlight w:val="none"/>
                    </w:rPr>
                  </w:pPr>
                  <w:r>
                    <w:rPr>
                      <w:rFonts w:hint="eastAsia" w:ascii="Times New Roman" w:hAnsi="Times New Roman" w:eastAsia="宋体"/>
                      <w:snapToGrid w:val="0"/>
                      <w:color w:val="auto"/>
                      <w:kern w:val="18"/>
                      <w:sz w:val="21"/>
                      <w:szCs w:val="21"/>
                      <w:highlight w:val="none"/>
                    </w:rPr>
                    <w:t>3、工业企业废水全部纳管进入污水厂集中处理后达标排放。</w:t>
                  </w:r>
                </w:p>
              </w:tc>
              <w:tc>
                <w:tcPr>
                  <w:tcW w:w="2917"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eastAsia" w:ascii="Times New Roman" w:hAnsi="Times New Roman" w:eastAsia="宋体"/>
                      <w:snapToGrid w:val="0"/>
                      <w:color w:val="auto"/>
                      <w:kern w:val="18"/>
                      <w:sz w:val="21"/>
                      <w:szCs w:val="21"/>
                      <w:highlight w:val="none"/>
                      <w:lang w:eastAsia="zh-CN"/>
                    </w:rPr>
                  </w:pPr>
                  <w:r>
                    <w:rPr>
                      <w:rFonts w:hint="eastAsia" w:ascii="Times New Roman" w:hAnsi="Times New Roman" w:eastAsia="宋体"/>
                      <w:snapToGrid w:val="0"/>
                      <w:color w:val="auto"/>
                      <w:kern w:val="18"/>
                      <w:sz w:val="21"/>
                      <w:szCs w:val="21"/>
                      <w:highlight w:val="none"/>
                      <w:lang w:val="en-US" w:eastAsia="zh-CN"/>
                    </w:rPr>
                    <w:t>1、项目不涉及</w:t>
                  </w:r>
                  <w:r>
                    <w:rPr>
                      <w:rFonts w:hint="eastAsia" w:ascii="Times New Roman" w:hAnsi="Times New Roman" w:eastAsia="宋体"/>
                      <w:snapToGrid w:val="0"/>
                      <w:color w:val="auto"/>
                      <w:kern w:val="18"/>
                      <w:sz w:val="21"/>
                      <w:szCs w:val="21"/>
                      <w:highlight w:val="none"/>
                    </w:rPr>
                    <w:t>SO</w:t>
                  </w:r>
                  <w:r>
                    <w:rPr>
                      <w:rFonts w:hint="eastAsia" w:ascii="Times New Roman" w:hAnsi="Times New Roman" w:eastAsia="宋体"/>
                      <w:snapToGrid w:val="0"/>
                      <w:color w:val="auto"/>
                      <w:kern w:val="18"/>
                      <w:sz w:val="21"/>
                      <w:szCs w:val="21"/>
                      <w:highlight w:val="none"/>
                      <w:vertAlign w:val="subscript"/>
                    </w:rPr>
                    <w:t>2</w:t>
                  </w:r>
                  <w:r>
                    <w:rPr>
                      <w:rFonts w:hint="eastAsia" w:ascii="Times New Roman" w:hAnsi="Times New Roman" w:eastAsia="宋体"/>
                      <w:snapToGrid w:val="0"/>
                      <w:color w:val="auto"/>
                      <w:kern w:val="18"/>
                      <w:sz w:val="21"/>
                      <w:szCs w:val="21"/>
                      <w:highlight w:val="none"/>
                    </w:rPr>
                    <w:t>、NOx</w:t>
                  </w:r>
                  <w:r>
                    <w:rPr>
                      <w:rFonts w:hint="eastAsia" w:ascii="Times New Roman" w:hAnsi="Times New Roman" w:eastAsia="宋体"/>
                      <w:snapToGrid w:val="0"/>
                      <w:color w:val="auto"/>
                      <w:kern w:val="18"/>
                      <w:sz w:val="21"/>
                      <w:szCs w:val="21"/>
                      <w:highlight w:val="none"/>
                      <w:lang w:eastAsia="zh-CN"/>
                    </w:rPr>
                    <w:t>排放；</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eastAsia" w:ascii="Times New Roman" w:hAnsi="Times New Roman" w:eastAsia="宋体"/>
                      <w:snapToGrid w:val="0"/>
                      <w:color w:val="auto"/>
                      <w:kern w:val="18"/>
                      <w:sz w:val="21"/>
                      <w:szCs w:val="21"/>
                      <w:highlight w:val="none"/>
                      <w:lang w:val="en-US" w:eastAsia="zh-CN"/>
                    </w:rPr>
                  </w:pPr>
                  <w:r>
                    <w:rPr>
                      <w:rFonts w:hint="eastAsia" w:ascii="Times New Roman" w:hAnsi="Times New Roman" w:eastAsia="宋体"/>
                      <w:snapToGrid w:val="0"/>
                      <w:color w:val="auto"/>
                      <w:kern w:val="18"/>
                      <w:sz w:val="21"/>
                      <w:szCs w:val="21"/>
                      <w:highlight w:val="none"/>
                      <w:lang w:val="en-US" w:eastAsia="zh-CN"/>
                    </w:rPr>
                    <w:t>2、</w:t>
                  </w:r>
                  <w:r>
                    <w:rPr>
                      <w:rFonts w:hint="eastAsia" w:ascii="Times New Roman" w:hAnsi="Times New Roman" w:eastAsia="宋体"/>
                      <w:snapToGrid w:val="0"/>
                      <w:color w:val="auto"/>
                      <w:kern w:val="18"/>
                      <w:sz w:val="21"/>
                      <w:szCs w:val="21"/>
                      <w:highlight w:val="none"/>
                      <w:lang w:eastAsia="zh-CN"/>
                    </w:rPr>
                    <w:t>新增</w:t>
                  </w:r>
                  <w:r>
                    <w:rPr>
                      <w:rFonts w:hint="eastAsia" w:ascii="Times New Roman" w:hAnsi="Times New Roman" w:eastAsia="宋体"/>
                      <w:snapToGrid w:val="0"/>
                      <w:color w:val="auto"/>
                      <w:kern w:val="18"/>
                      <w:sz w:val="21"/>
                      <w:szCs w:val="21"/>
                      <w:highlight w:val="none"/>
                      <w:lang w:val="en-US" w:eastAsia="zh-CN"/>
                    </w:rPr>
                    <w:t>VOCs指标将按照主管部门要求申请倍量削减替代；</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snapToGrid w:val="0"/>
                      <w:color w:val="auto"/>
                      <w:kern w:val="18"/>
                      <w:sz w:val="21"/>
                      <w:szCs w:val="21"/>
                      <w:highlight w:val="none"/>
                      <w:lang w:val="en-US" w:eastAsia="zh-CN"/>
                    </w:rPr>
                  </w:pPr>
                  <w:r>
                    <w:rPr>
                      <w:rFonts w:hint="eastAsia" w:ascii="Times New Roman" w:hAnsi="Times New Roman" w:eastAsia="宋体"/>
                      <w:snapToGrid w:val="0"/>
                      <w:color w:val="auto"/>
                      <w:kern w:val="18"/>
                      <w:sz w:val="21"/>
                      <w:szCs w:val="21"/>
                      <w:highlight w:val="none"/>
                      <w:lang w:val="en-US" w:eastAsia="zh-CN"/>
                    </w:rPr>
                    <w:t>3、</w:t>
                  </w:r>
                  <w:r>
                    <w:rPr>
                      <w:rFonts w:hint="eastAsia" w:ascii="Times New Roman" w:hAnsi="Times New Roman" w:eastAsia="宋体" w:cs="Times New Roman"/>
                      <w:color w:val="auto"/>
                      <w:highlight w:val="none"/>
                      <w:lang w:val="en-US" w:eastAsia="zh-CN"/>
                    </w:rPr>
                    <w:t>本项目</w:t>
                  </w:r>
                  <w:r>
                    <w:rPr>
                      <w:rFonts w:hint="eastAsia" w:ascii="Times New Roman" w:hAnsi="Times New Roman"/>
                      <w:b w:val="0"/>
                      <w:bCs w:val="0"/>
                      <w:color w:val="auto"/>
                      <w:sz w:val="21"/>
                      <w:szCs w:val="21"/>
                      <w:highlight w:val="none"/>
                      <w:lang w:val="en-US" w:eastAsia="zh-CN"/>
                    </w:rPr>
                    <w:t>为</w:t>
                  </w:r>
                  <w:r>
                    <w:rPr>
                      <w:rFonts w:hint="eastAsia" w:ascii="Times New Roman" w:hAnsi="Times New Roman" w:eastAsia="宋体"/>
                      <w:b w:val="0"/>
                      <w:bCs w:val="0"/>
                      <w:color w:val="auto"/>
                      <w:sz w:val="21"/>
                      <w:szCs w:val="21"/>
                      <w:highlight w:val="none"/>
                      <w:lang w:val="en-GB" w:eastAsia="zh-CN"/>
                    </w:rPr>
                    <w:t>水质检验检测服务</w:t>
                  </w:r>
                  <w:r>
                    <w:rPr>
                      <w:rFonts w:hint="eastAsia"/>
                      <w:b w:val="0"/>
                      <w:bCs w:val="0"/>
                      <w:color w:val="auto"/>
                      <w:sz w:val="21"/>
                      <w:szCs w:val="21"/>
                      <w:highlight w:val="none"/>
                      <w:lang w:val="en-GB" w:eastAsia="zh-CN"/>
                    </w:rPr>
                    <w:t>（M7452检测服务），</w:t>
                  </w:r>
                  <w:r>
                    <w:rPr>
                      <w:rFonts w:hint="eastAsia"/>
                      <w:b w:val="0"/>
                      <w:bCs w:val="0"/>
                      <w:color w:val="auto"/>
                      <w:sz w:val="21"/>
                      <w:szCs w:val="21"/>
                      <w:highlight w:val="none"/>
                      <w:lang w:val="en-US" w:eastAsia="zh-CN"/>
                    </w:rPr>
                    <w:t>非工业生产企业。</w:t>
                  </w:r>
                </w:p>
              </w:tc>
              <w:tc>
                <w:tcPr>
                  <w:tcW w:w="649"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eastAsia="宋体"/>
                      <w:snapToGrid w:val="0"/>
                      <w:color w:val="auto"/>
                      <w:kern w:val="18"/>
                      <w:sz w:val="21"/>
                      <w:szCs w:val="21"/>
                      <w:highlight w:val="none"/>
                      <w:lang w:eastAsia="zh-CN"/>
                    </w:rPr>
                  </w:pPr>
                  <w:r>
                    <w:rPr>
                      <w:rFonts w:hint="eastAsia" w:ascii="Times New Roman" w:hAnsi="Times New Roman" w:eastAsia="宋体"/>
                      <w:snapToGrid w:val="0"/>
                      <w:color w:val="auto"/>
                      <w:kern w:val="18"/>
                      <w:sz w:val="21"/>
                      <w:szCs w:val="21"/>
                      <w:highlight w:val="none"/>
                      <w:lang w:eastAsia="zh-CN"/>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869" w:hRule="atLeast"/>
              </w:trPr>
              <w:tc>
                <w:tcPr>
                  <w:tcW w:w="3693" w:type="dxa"/>
                  <w:gridSpan w:val="2"/>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eastAsia="宋体" w:cs="Times New Roman"/>
                      <w:b/>
                      <w:bCs/>
                      <w:snapToGrid w:val="0"/>
                      <w:color w:val="auto"/>
                      <w:kern w:val="18"/>
                      <w:sz w:val="21"/>
                      <w:szCs w:val="21"/>
                      <w:highlight w:val="none"/>
                      <w:lang w:val="en-US" w:eastAsia="zh-CN" w:bidi="ar-SA"/>
                    </w:rPr>
                  </w:pPr>
                  <w:r>
                    <w:rPr>
                      <w:rFonts w:hint="eastAsia" w:ascii="Times New Roman" w:hAnsi="Times New Roman" w:eastAsia="宋体"/>
                      <w:b/>
                      <w:bCs/>
                      <w:color w:val="auto"/>
                      <w:sz w:val="21"/>
                      <w:szCs w:val="21"/>
                      <w:highlight w:val="none"/>
                    </w:rPr>
                    <w:t>关于《福清融侨经济技术开发区总体规划（2018-2035 年）环境影响报告书》的审查意见(环审</w:t>
                  </w:r>
                  <w:r>
                    <w:rPr>
                      <w:rFonts w:hint="eastAsia"/>
                      <w:b/>
                      <w:bCs/>
                      <w:color w:val="auto"/>
                      <w:sz w:val="21"/>
                      <w:szCs w:val="21"/>
                      <w:highlight w:val="none"/>
                      <w:lang w:eastAsia="zh-CN"/>
                    </w:rPr>
                    <w:t>〔</w:t>
                  </w:r>
                  <w:r>
                    <w:rPr>
                      <w:rFonts w:hint="eastAsia" w:ascii="Times New Roman" w:hAnsi="Times New Roman" w:eastAsia="宋体"/>
                      <w:b/>
                      <w:bCs/>
                      <w:color w:val="auto"/>
                      <w:sz w:val="21"/>
                      <w:szCs w:val="21"/>
                      <w:highlight w:val="none"/>
                    </w:rPr>
                    <w:t>2020</w:t>
                  </w:r>
                  <w:r>
                    <w:rPr>
                      <w:rFonts w:hint="eastAsia"/>
                      <w:b/>
                      <w:bCs/>
                      <w:color w:val="auto"/>
                      <w:sz w:val="21"/>
                      <w:szCs w:val="21"/>
                      <w:highlight w:val="none"/>
                      <w:lang w:eastAsia="zh-CN"/>
                    </w:rPr>
                    <w:t>〕</w:t>
                  </w:r>
                  <w:r>
                    <w:rPr>
                      <w:rFonts w:hint="eastAsia" w:ascii="Times New Roman" w:hAnsi="Times New Roman" w:eastAsia="宋体"/>
                      <w:b/>
                      <w:bCs/>
                      <w:color w:val="auto"/>
                      <w:sz w:val="21"/>
                      <w:szCs w:val="21"/>
                      <w:highlight w:val="none"/>
                    </w:rPr>
                    <w:t>80号)摘录</w:t>
                  </w:r>
                </w:p>
              </w:tc>
              <w:tc>
                <w:tcPr>
                  <w:tcW w:w="2917" w:type="dxa"/>
                  <w:vAlign w:val="center"/>
                </w:tcPr>
                <w:p>
                  <w:pPr>
                    <w:keepNext w:val="0"/>
                    <w:keepLines w:val="0"/>
                    <w:pageBreakBefore w:val="0"/>
                    <w:widowControl/>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eastAsia="宋体" w:cs="Times New Roman"/>
                      <w:b/>
                      <w:bCs/>
                      <w:snapToGrid w:val="0"/>
                      <w:color w:val="auto"/>
                      <w:kern w:val="18"/>
                      <w:sz w:val="21"/>
                      <w:szCs w:val="21"/>
                      <w:highlight w:val="none"/>
                      <w:lang w:val="en-US" w:eastAsia="zh-CN" w:bidi="ar-SA"/>
                    </w:rPr>
                  </w:pPr>
                  <w:r>
                    <w:rPr>
                      <w:rFonts w:hint="eastAsia" w:ascii="Times New Roman" w:hAnsi="Times New Roman" w:eastAsia="宋体"/>
                      <w:b/>
                      <w:bCs/>
                      <w:color w:val="auto"/>
                      <w:sz w:val="21"/>
                      <w:szCs w:val="21"/>
                      <w:highlight w:val="none"/>
                    </w:rPr>
                    <w:t>本项目情况</w:t>
                  </w:r>
                </w:p>
              </w:tc>
              <w:tc>
                <w:tcPr>
                  <w:tcW w:w="649" w:type="dxa"/>
                  <w:vAlign w:val="center"/>
                </w:tcPr>
                <w:p>
                  <w:pPr>
                    <w:keepNext w:val="0"/>
                    <w:keepLines w:val="0"/>
                    <w:pageBreakBefore w:val="0"/>
                    <w:widowControl/>
                    <w:suppressLineNumbers w:val="0"/>
                    <w:tabs>
                      <w:tab w:val="left" w:pos="3420"/>
                    </w:tabs>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eastAsia="宋体" w:cs="Times New Roman"/>
                      <w:b/>
                      <w:bCs/>
                      <w:snapToGrid w:val="0"/>
                      <w:color w:val="auto"/>
                      <w:kern w:val="18"/>
                      <w:sz w:val="21"/>
                      <w:szCs w:val="21"/>
                      <w:highlight w:val="none"/>
                      <w:lang w:val="en-US" w:eastAsia="zh-CN" w:bidi="ar-SA"/>
                    </w:rPr>
                  </w:pPr>
                  <w:r>
                    <w:rPr>
                      <w:rFonts w:hint="eastAsia" w:ascii="Times New Roman" w:hAnsi="Times New Roman" w:eastAsia="宋体"/>
                      <w:b/>
                      <w:bCs/>
                      <w:color w:val="auto"/>
                      <w:sz w:val="21"/>
                      <w:szCs w:val="21"/>
                      <w:highlight w:val="none"/>
                    </w:rPr>
                    <w:t>符合性</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trPr>
              <w:tc>
                <w:tcPr>
                  <w:tcW w:w="767"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eastAsia="宋体"/>
                      <w:snapToGrid w:val="0"/>
                      <w:color w:val="auto"/>
                      <w:kern w:val="18"/>
                      <w:sz w:val="21"/>
                      <w:szCs w:val="21"/>
                      <w:highlight w:val="none"/>
                      <w:lang w:eastAsia="zh-CN"/>
                    </w:rPr>
                  </w:pPr>
                  <w:r>
                    <w:rPr>
                      <w:rFonts w:hint="default"/>
                      <w:color w:val="auto"/>
                      <w:kern w:val="0"/>
                      <w:sz w:val="21"/>
                      <w:szCs w:val="21"/>
                      <w:lang w:bidi="ar"/>
                    </w:rPr>
                    <w:t>审查意见</w:t>
                  </w:r>
                </w:p>
              </w:tc>
              <w:tc>
                <w:tcPr>
                  <w:tcW w:w="2926" w:type="dxa"/>
                  <w:vAlign w:val="center"/>
                </w:tcPr>
                <w:p>
                  <w:pPr>
                    <w:keepNext w:val="0"/>
                    <w:keepLines w:val="0"/>
                    <w:widowControl/>
                    <w:suppressLineNumbers w:val="0"/>
                    <w:spacing w:before="0" w:beforeAutospacing="0" w:after="0" w:afterAutospacing="0" w:line="340" w:lineRule="exact"/>
                    <w:ind w:left="0" w:right="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rPr>
                    <w:t>落实《报告书》生态环境准入要求，强化现有及入区企业挥发性有机物排放控制，禁止新增排放涉重污染物项目入区、禁止与主导产业不相关且污染物排放量大的项目入区；</w:t>
                  </w:r>
                </w:p>
              </w:tc>
              <w:tc>
                <w:tcPr>
                  <w:tcW w:w="2917" w:type="dxa"/>
                  <w:vAlign w:val="center"/>
                </w:tcPr>
                <w:p>
                  <w:pPr>
                    <w:keepNext w:val="0"/>
                    <w:keepLines w:val="0"/>
                    <w:widowControl/>
                    <w:suppressLineNumbers w:val="0"/>
                    <w:spacing w:before="0" w:beforeAutospacing="0" w:after="0" w:afterAutospacing="0" w:line="340" w:lineRule="exact"/>
                    <w:ind w:left="0" w:right="0"/>
                    <w:jc w:val="center"/>
                    <w:rPr>
                      <w:rFonts w:hint="eastAsia" w:ascii="Times New Roman" w:hAnsi="Times New Roman" w:eastAsia="宋体" w:cs="Times New Roman"/>
                      <w:snapToGrid w:val="0"/>
                      <w:color w:val="auto"/>
                      <w:kern w:val="18"/>
                      <w:sz w:val="21"/>
                      <w:szCs w:val="21"/>
                      <w:lang w:val="en-US" w:eastAsia="zh-CN" w:bidi="ar-SA"/>
                    </w:rPr>
                  </w:pPr>
                  <w:r>
                    <w:rPr>
                      <w:rFonts w:hint="default"/>
                      <w:color w:val="auto"/>
                      <w:sz w:val="21"/>
                      <w:szCs w:val="21"/>
                    </w:rPr>
                    <w:t>本项目</w:t>
                  </w:r>
                  <w:r>
                    <w:rPr>
                      <w:rFonts w:hint="eastAsia"/>
                      <w:color w:val="auto"/>
                      <w:sz w:val="21"/>
                      <w:szCs w:val="21"/>
                      <w:lang w:val="en-US" w:eastAsia="zh-CN"/>
                    </w:rPr>
                    <w:t>对含有挥发性有机物废气</w:t>
                  </w:r>
                  <w:r>
                    <w:rPr>
                      <w:rFonts w:hint="eastAsia"/>
                      <w:color w:val="auto"/>
                      <w:sz w:val="21"/>
                      <w:szCs w:val="21"/>
                    </w:rPr>
                    <w:t>采取</w:t>
                  </w:r>
                  <w:r>
                    <w:rPr>
                      <w:rFonts w:hint="eastAsia"/>
                      <w:color w:val="auto"/>
                      <w:sz w:val="21"/>
                      <w:szCs w:val="21"/>
                      <w:lang w:val="en-US" w:eastAsia="zh-CN"/>
                    </w:rPr>
                    <w:t>活性碳吸附措施</w:t>
                  </w:r>
                  <w:r>
                    <w:rPr>
                      <w:rFonts w:hint="eastAsia"/>
                      <w:color w:val="auto"/>
                      <w:sz w:val="21"/>
                      <w:szCs w:val="21"/>
                    </w:rPr>
                    <w:t>减少挥发性有机物的排放，且本项目</w:t>
                  </w:r>
                  <w:r>
                    <w:rPr>
                      <w:rFonts w:hint="eastAsia" w:ascii="Times New Roman" w:hAnsi="Times New Roman"/>
                      <w:b w:val="0"/>
                      <w:bCs w:val="0"/>
                      <w:color w:val="auto"/>
                      <w:sz w:val="21"/>
                      <w:szCs w:val="21"/>
                      <w:highlight w:val="none"/>
                      <w:lang w:val="en-US" w:eastAsia="zh-CN"/>
                    </w:rPr>
                    <w:t>为</w:t>
                  </w:r>
                  <w:r>
                    <w:rPr>
                      <w:rFonts w:hint="eastAsia" w:ascii="Times New Roman" w:hAnsi="Times New Roman" w:eastAsia="宋体"/>
                      <w:b w:val="0"/>
                      <w:bCs w:val="0"/>
                      <w:color w:val="auto"/>
                      <w:sz w:val="21"/>
                      <w:szCs w:val="21"/>
                      <w:highlight w:val="none"/>
                      <w:lang w:val="en-GB" w:eastAsia="zh-CN"/>
                    </w:rPr>
                    <w:t>水质检验检测服务</w:t>
                  </w:r>
                  <w:r>
                    <w:rPr>
                      <w:rFonts w:hint="eastAsia"/>
                      <w:b w:val="0"/>
                      <w:bCs w:val="0"/>
                      <w:color w:val="auto"/>
                      <w:sz w:val="21"/>
                      <w:szCs w:val="21"/>
                      <w:highlight w:val="none"/>
                      <w:lang w:val="en-GB" w:eastAsia="zh-CN"/>
                    </w:rPr>
                    <w:t>（M7452检测服务），</w:t>
                  </w:r>
                  <w:r>
                    <w:rPr>
                      <w:rFonts w:hint="eastAsia"/>
                      <w:b w:val="0"/>
                      <w:bCs w:val="0"/>
                      <w:color w:val="auto"/>
                      <w:sz w:val="21"/>
                      <w:szCs w:val="21"/>
                      <w:highlight w:val="none"/>
                      <w:lang w:val="en-US" w:eastAsia="zh-CN"/>
                    </w:rPr>
                    <w:t>实验废液委托资质单位进行处置，</w:t>
                  </w:r>
                  <w:r>
                    <w:rPr>
                      <w:rFonts w:hint="eastAsia"/>
                      <w:color w:val="auto"/>
                      <w:sz w:val="21"/>
                      <w:szCs w:val="21"/>
                    </w:rPr>
                    <w:t>不</w:t>
                  </w:r>
                  <w:r>
                    <w:rPr>
                      <w:rFonts w:hint="default"/>
                      <w:color w:val="auto"/>
                      <w:sz w:val="21"/>
                      <w:szCs w:val="21"/>
                    </w:rPr>
                    <w:t>涉及重</w:t>
                  </w:r>
                  <w:r>
                    <w:rPr>
                      <w:rFonts w:hint="eastAsia"/>
                      <w:color w:val="auto"/>
                      <w:sz w:val="21"/>
                      <w:szCs w:val="21"/>
                      <w:lang w:val="en-US" w:eastAsia="zh-CN"/>
                    </w:rPr>
                    <w:t>金属</w:t>
                  </w:r>
                  <w:r>
                    <w:rPr>
                      <w:rFonts w:hint="default"/>
                      <w:color w:val="auto"/>
                      <w:sz w:val="21"/>
                      <w:szCs w:val="21"/>
                    </w:rPr>
                    <w:t>污染物的排放</w:t>
                  </w:r>
                </w:p>
              </w:tc>
              <w:tc>
                <w:tcPr>
                  <w:tcW w:w="649" w:type="dxa"/>
                  <w:vAlign w:val="center"/>
                </w:tcPr>
                <w:p>
                  <w:pPr>
                    <w:keepNext w:val="0"/>
                    <w:keepLines w:val="0"/>
                    <w:widowControl/>
                    <w:suppressLineNumbers w:val="0"/>
                    <w:spacing w:before="0" w:beforeAutospacing="0" w:after="0" w:afterAutospacing="0" w:line="340" w:lineRule="exact"/>
                    <w:ind w:left="0" w:right="0"/>
                    <w:jc w:val="center"/>
                    <w:rPr>
                      <w:rFonts w:hint="eastAsia" w:ascii="Times New Roman" w:hAnsi="Times New Roman" w:eastAsia="宋体" w:cs="Times New Roman"/>
                      <w:snapToGrid w:val="0"/>
                      <w:color w:val="auto"/>
                      <w:kern w:val="18"/>
                      <w:sz w:val="21"/>
                      <w:szCs w:val="21"/>
                      <w:lang w:val="en-US" w:eastAsia="zh-CN" w:bidi="ar-SA"/>
                    </w:rPr>
                  </w:pPr>
                  <w:r>
                    <w:rPr>
                      <w:rFonts w:hint="default"/>
                      <w:snapToGrid w:val="0"/>
                      <w:color w:val="auto"/>
                      <w:kern w:val="18"/>
                      <w:sz w:val="21"/>
                      <w:szCs w:val="21"/>
                    </w:rPr>
                    <w:t>符合</w:t>
                  </w:r>
                </w:p>
              </w:tc>
            </w:tr>
          </w:tbl>
          <w:p>
            <w:pPr>
              <w:pStyle w:val="36"/>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eastAsia="宋体"/>
                <w:bCs w:val="0"/>
                <w:color w:val="auto"/>
                <w:kern w:val="2"/>
                <w:sz w:val="24"/>
                <w:szCs w:val="24"/>
              </w:rPr>
              <w:t>综上，项目符合《福清融侨经济技术开发区总体规划环境影响报告书(2018-2035年)》及其</w:t>
            </w:r>
            <w:r>
              <w:rPr>
                <w:rFonts w:hint="eastAsia"/>
                <w:bCs w:val="0"/>
                <w:color w:val="auto"/>
                <w:kern w:val="2"/>
                <w:sz w:val="24"/>
                <w:szCs w:val="24"/>
                <w:lang w:val="en-US" w:eastAsia="zh-CN"/>
              </w:rPr>
              <w:t>环境影响评价</w:t>
            </w:r>
            <w:r>
              <w:rPr>
                <w:rFonts w:hint="default" w:eastAsia="宋体"/>
                <w:bCs w:val="0"/>
                <w:color w:val="auto"/>
                <w:kern w:val="2"/>
                <w:sz w:val="24"/>
                <w:szCs w:val="24"/>
              </w:rPr>
              <w:t>中的相关要求。</w:t>
            </w:r>
          </w:p>
          <w:p>
            <w:pPr>
              <w:pStyle w:val="36"/>
              <w:keepNext w:val="0"/>
              <w:keepLines w:val="0"/>
              <w:suppressLineNumbers w:val="0"/>
              <w:bidi w:val="0"/>
              <w:spacing w:before="0" w:beforeAutospacing="0" w:after="0" w:afterAutospacing="0"/>
              <w:ind w:left="0" w:right="0"/>
              <w:rPr>
                <w:rFonts w:hint="default"/>
                <w:color w:val="auto"/>
              </w:rPr>
            </w:pPr>
          </w:p>
          <w:p>
            <w:pPr>
              <w:pStyle w:val="36"/>
              <w:keepNext w:val="0"/>
              <w:keepLines w:val="0"/>
              <w:suppressLineNumbers w:val="0"/>
              <w:bidi w:val="0"/>
              <w:spacing w:before="0" w:beforeAutospacing="0" w:after="0" w:afterAutospacing="0"/>
              <w:ind w:left="0" w:right="0"/>
              <w:rPr>
                <w:rFonts w:hint="default"/>
                <w:color w:val="auto"/>
              </w:rPr>
            </w:pPr>
          </w:p>
          <w:p>
            <w:pPr>
              <w:pStyle w:val="36"/>
              <w:keepNext w:val="0"/>
              <w:keepLines w:val="0"/>
              <w:suppressLineNumbers w:val="0"/>
              <w:bidi w:val="0"/>
              <w:spacing w:before="0" w:beforeAutospacing="0" w:after="0" w:afterAutospacing="0"/>
              <w:ind w:left="0" w:right="0"/>
              <w:rPr>
                <w:rFonts w:hint="default"/>
                <w:color w:val="auto"/>
              </w:rPr>
            </w:pPr>
          </w:p>
          <w:p>
            <w:pPr>
              <w:pStyle w:val="36"/>
              <w:keepNext w:val="0"/>
              <w:keepLines w:val="0"/>
              <w:suppressLineNumbers w:val="0"/>
              <w:bidi w:val="0"/>
              <w:spacing w:before="0" w:beforeAutospacing="0" w:after="0" w:afterAutospacing="0"/>
              <w:ind w:left="0" w:right="0"/>
              <w:rPr>
                <w:rFonts w:hint="default"/>
                <w:color w:val="auto"/>
              </w:rPr>
            </w:pPr>
          </w:p>
          <w:p>
            <w:pPr>
              <w:pStyle w:val="36"/>
              <w:keepNext w:val="0"/>
              <w:keepLines w:val="0"/>
              <w:suppressLineNumbers w:val="0"/>
              <w:bidi w:val="0"/>
              <w:spacing w:before="0" w:beforeAutospacing="0" w:after="0" w:afterAutospacing="0"/>
              <w:ind w:left="0" w:right="0"/>
              <w:rPr>
                <w:rFonts w:hint="default"/>
                <w:color w:val="auto"/>
              </w:rPr>
            </w:pPr>
          </w:p>
          <w:p>
            <w:pPr>
              <w:pStyle w:val="36"/>
              <w:keepNext w:val="0"/>
              <w:keepLines w:val="0"/>
              <w:suppressLineNumbers w:val="0"/>
              <w:bidi w:val="0"/>
              <w:spacing w:before="0" w:beforeAutospacing="0" w:after="0" w:afterAutospacing="0"/>
              <w:ind w:left="0" w:right="0"/>
              <w:rPr>
                <w:rFonts w:hint="default"/>
                <w:color w:val="auto"/>
              </w:rPr>
            </w:pPr>
          </w:p>
          <w:p>
            <w:pPr>
              <w:pStyle w:val="36"/>
              <w:keepNext w:val="0"/>
              <w:keepLines w:val="0"/>
              <w:suppressLineNumbers w:val="0"/>
              <w:bidi w:val="0"/>
              <w:spacing w:before="0" w:beforeAutospacing="0" w:after="0" w:afterAutospacing="0"/>
              <w:ind w:left="0" w:right="0"/>
              <w:rPr>
                <w:rFonts w:hint="default"/>
                <w:color w:val="auto"/>
              </w:rPr>
            </w:pPr>
          </w:p>
          <w:p>
            <w:pPr>
              <w:pStyle w:val="36"/>
              <w:keepNext w:val="0"/>
              <w:keepLines w:val="0"/>
              <w:suppressLineNumbers w:val="0"/>
              <w:bidi w:val="0"/>
              <w:spacing w:before="0" w:beforeAutospacing="0" w:after="0" w:afterAutospacing="0"/>
              <w:ind w:left="0" w:right="0"/>
              <w:rPr>
                <w:rFonts w:hint="default"/>
                <w:color w:val="auto"/>
              </w:rPr>
            </w:pPr>
          </w:p>
          <w:p>
            <w:pPr>
              <w:pStyle w:val="36"/>
              <w:keepNext w:val="0"/>
              <w:keepLines w:val="0"/>
              <w:suppressLineNumbers w:val="0"/>
              <w:bidi w:val="0"/>
              <w:spacing w:before="0" w:beforeAutospacing="0" w:after="0" w:afterAutospacing="0"/>
              <w:ind w:left="0" w:right="0"/>
              <w:rPr>
                <w:rFonts w:hint="default"/>
                <w:color w:val="auto"/>
              </w:rPr>
            </w:pPr>
          </w:p>
          <w:p>
            <w:pPr>
              <w:pStyle w:val="36"/>
              <w:keepNext w:val="0"/>
              <w:keepLines w:val="0"/>
              <w:suppressLineNumbers w:val="0"/>
              <w:bidi w:val="0"/>
              <w:spacing w:before="0" w:beforeAutospacing="0" w:after="0" w:afterAutospacing="0"/>
              <w:ind w:left="0" w:right="0"/>
              <w:rPr>
                <w:rFonts w:hint="default"/>
                <w:color w:val="auto"/>
              </w:rPr>
            </w:pPr>
          </w:p>
          <w:p>
            <w:pPr>
              <w:pStyle w:val="36"/>
              <w:keepNext w:val="0"/>
              <w:keepLines w:val="0"/>
              <w:suppressLineNumbers w:val="0"/>
              <w:bidi w:val="0"/>
              <w:spacing w:before="0" w:beforeAutospacing="0" w:after="0" w:afterAutospacing="0"/>
              <w:ind w:left="0" w:right="0"/>
              <w:rPr>
                <w:rFonts w:hint="default"/>
                <w:color w:val="auto"/>
              </w:rPr>
            </w:pPr>
          </w:p>
          <w:p>
            <w:pPr>
              <w:pStyle w:val="36"/>
              <w:keepNext w:val="0"/>
              <w:keepLines w:val="0"/>
              <w:suppressLineNumbers w:val="0"/>
              <w:bidi w:val="0"/>
              <w:spacing w:before="0" w:beforeAutospacing="0" w:after="0" w:afterAutospacing="0"/>
              <w:ind w:left="0" w:right="0"/>
              <w:rPr>
                <w:rFonts w:hint="default"/>
                <w:color w:val="auto"/>
              </w:rPr>
            </w:pPr>
          </w:p>
          <w:p>
            <w:pPr>
              <w:pStyle w:val="36"/>
              <w:keepNext w:val="0"/>
              <w:keepLines w:val="0"/>
              <w:suppressLineNumbers w:val="0"/>
              <w:bidi w:val="0"/>
              <w:spacing w:before="0" w:beforeAutospacing="0" w:after="0" w:afterAutospacing="0"/>
              <w:ind w:left="0" w:right="0"/>
              <w:rPr>
                <w:rFonts w:hint="default"/>
                <w:color w:val="auto"/>
              </w:rPr>
            </w:pPr>
          </w:p>
          <w:p>
            <w:pPr>
              <w:pStyle w:val="36"/>
              <w:keepNext w:val="0"/>
              <w:keepLines w:val="0"/>
              <w:suppressLineNumbers w:val="0"/>
              <w:bidi w:val="0"/>
              <w:spacing w:before="0" w:beforeAutospacing="0" w:after="0" w:afterAutospacing="0"/>
              <w:ind w:left="0" w:right="0"/>
              <w:rPr>
                <w:rFonts w:hint="default"/>
                <w:color w:val="auto"/>
              </w:rPr>
            </w:pPr>
          </w:p>
          <w:p>
            <w:pPr>
              <w:pStyle w:val="36"/>
              <w:keepNext w:val="0"/>
              <w:keepLines w:val="0"/>
              <w:suppressLineNumbers w:val="0"/>
              <w:bidi w:val="0"/>
              <w:spacing w:before="0" w:beforeAutospacing="0" w:after="0" w:afterAutospacing="0"/>
              <w:ind w:left="0" w:right="0"/>
              <w:rPr>
                <w:rFonts w:hint="default"/>
                <w:color w:val="auto"/>
              </w:rPr>
            </w:pPr>
          </w:p>
          <w:p>
            <w:pPr>
              <w:pStyle w:val="36"/>
              <w:keepNext w:val="0"/>
              <w:keepLines w:val="0"/>
              <w:suppressLineNumbers w:val="0"/>
              <w:bidi w:val="0"/>
              <w:spacing w:before="0" w:beforeAutospacing="0" w:after="0" w:afterAutospacing="0"/>
              <w:ind w:left="0" w:right="0"/>
              <w:rPr>
                <w:rFonts w:hint="default"/>
                <w:color w:val="auto"/>
              </w:rPr>
            </w:pPr>
          </w:p>
          <w:p>
            <w:pPr>
              <w:pStyle w:val="36"/>
              <w:keepNext w:val="0"/>
              <w:keepLines w:val="0"/>
              <w:suppressLineNumbers w:val="0"/>
              <w:bidi w:val="0"/>
              <w:spacing w:before="0" w:beforeAutospacing="0" w:after="0" w:afterAutospacing="0"/>
              <w:ind w:left="0" w:right="0"/>
              <w:rPr>
                <w:rFonts w:hint="default"/>
                <w:color w:val="auto"/>
              </w:rPr>
            </w:pPr>
          </w:p>
          <w:p>
            <w:pPr>
              <w:pStyle w:val="36"/>
              <w:keepNext w:val="0"/>
              <w:keepLines w:val="0"/>
              <w:suppressLineNumbers w:val="0"/>
              <w:bidi w:val="0"/>
              <w:spacing w:before="0" w:beforeAutospacing="0" w:after="0" w:afterAutospacing="0"/>
              <w:ind w:left="0" w:right="0"/>
              <w:rPr>
                <w:rFonts w:hint="default"/>
                <w:color w:val="auto"/>
              </w:rPr>
            </w:pPr>
          </w:p>
          <w:p>
            <w:pPr>
              <w:pStyle w:val="36"/>
              <w:keepNext w:val="0"/>
              <w:keepLines w:val="0"/>
              <w:suppressLineNumbers w:val="0"/>
              <w:bidi w:val="0"/>
              <w:spacing w:before="0" w:beforeAutospacing="0" w:after="0" w:afterAutospacing="0"/>
              <w:ind w:left="0" w:right="0"/>
              <w:rPr>
                <w:rFonts w:hint="default"/>
                <w:color w:val="auto"/>
              </w:rPr>
            </w:pPr>
          </w:p>
          <w:p>
            <w:pPr>
              <w:pStyle w:val="36"/>
              <w:keepNext w:val="0"/>
              <w:keepLines w:val="0"/>
              <w:suppressLineNumbers w:val="0"/>
              <w:bidi w:val="0"/>
              <w:spacing w:before="0" w:beforeAutospacing="0" w:after="0" w:afterAutospacing="0"/>
              <w:ind w:left="0" w:right="0"/>
              <w:rPr>
                <w:rFonts w:hint="default"/>
                <w:color w:val="auto"/>
              </w:rPr>
            </w:pPr>
          </w:p>
          <w:p>
            <w:pPr>
              <w:pStyle w:val="36"/>
              <w:keepNext w:val="0"/>
              <w:keepLines w:val="0"/>
              <w:suppressLineNumbers w:val="0"/>
              <w:spacing w:before="0" w:beforeAutospacing="0" w:after="0" w:afterAutospacing="0"/>
              <w:ind w:left="0" w:right="0" w:firstLine="0" w:firstLineChars="0"/>
              <w:rPr>
                <w:rFonts w:hint="default" w:ascii="Times New Roman" w:hAnsi="Times New Roman" w:cs="Times New Roman"/>
                <w:color w:val="auto"/>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0640" w:hRule="atLeast"/>
          <w:jc w:val="center"/>
        </w:trPr>
        <w:tc>
          <w:tcPr>
            <w:tcW w:w="1490"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szCs w:val="24"/>
                <w:highlight w:val="none"/>
              </w:rPr>
              <w:t>其他符合性分析</w:t>
            </w:r>
          </w:p>
        </w:tc>
        <w:tc>
          <w:tcPr>
            <w:tcW w:w="7479" w:type="dxa"/>
            <w:gridSpan w:val="4"/>
            <w:vAlign w:val="center"/>
          </w:tcPr>
          <w:p>
            <w:pPr>
              <w:pStyle w:val="3"/>
              <w:keepNext w:val="0"/>
              <w:keepLines w:val="0"/>
              <w:suppressLineNumbers w:val="0"/>
              <w:tabs>
                <w:tab w:val="left" w:pos="0"/>
              </w:tabs>
              <w:spacing w:before="0" w:beforeAutospacing="0" w:after="0" w:afterAutospacing="0"/>
              <w:ind w:left="0" w:right="0"/>
              <w:rPr>
                <w:rFonts w:hint="default" w:ascii="Times New Roman" w:hAnsi="Times New Roman" w:cs="Times New Roman"/>
                <w:color w:val="auto"/>
                <w:sz w:val="24"/>
                <w:szCs w:val="20"/>
                <w:highlight w:val="none"/>
              </w:rPr>
            </w:pPr>
            <w:bookmarkStart w:id="4" w:name="_Toc7548"/>
            <w:r>
              <w:rPr>
                <w:rFonts w:hint="default" w:ascii="Times New Roman" w:hAnsi="Times New Roman" w:cs="Times New Roman"/>
                <w:color w:val="auto"/>
                <w:highlight w:val="none"/>
              </w:rPr>
              <w:t>产业政策符合性分析</w:t>
            </w:r>
            <w:bookmarkEnd w:id="4"/>
          </w:p>
          <w:p>
            <w:pPr>
              <w:pStyle w:val="36"/>
              <w:keepNext w:val="0"/>
              <w:keepLines w:val="0"/>
              <w:suppressLineNumbers w:val="0"/>
              <w:bidi w:val="0"/>
              <w:spacing w:before="0" w:beforeAutospacing="0" w:after="0" w:afterAutospacing="0"/>
              <w:ind w:left="0" w:right="0"/>
              <w:rPr>
                <w:rFonts w:hint="eastAsia"/>
                <w:color w:val="auto"/>
              </w:rPr>
            </w:pPr>
            <w:r>
              <w:rPr>
                <w:rFonts w:hint="default" w:ascii="Times New Roman" w:hAnsi="Times New Roman" w:cs="Times New Roman"/>
                <w:color w:val="auto"/>
                <w:highlight w:val="none"/>
                <w:lang w:val="en-US" w:eastAsia="zh-CN"/>
              </w:rPr>
              <w:t>本项目为</w:t>
            </w:r>
            <w:r>
              <w:rPr>
                <w:rFonts w:hint="eastAsia" w:cs="Times New Roman"/>
                <w:color w:val="auto"/>
                <w:highlight w:val="none"/>
                <w:lang w:val="en-US" w:eastAsia="zh-CN"/>
              </w:rPr>
              <w:t>水质</w:t>
            </w:r>
            <w:r>
              <w:rPr>
                <w:rFonts w:hint="default" w:ascii="Times New Roman" w:hAnsi="Times New Roman" w:cs="Times New Roman"/>
                <w:color w:val="auto"/>
                <w:highlight w:val="none"/>
                <w:lang w:val="en-US" w:eastAsia="zh-CN"/>
              </w:rPr>
              <w:t>检测专业实验室，属于专业技术服务业，</w:t>
            </w:r>
            <w:r>
              <w:rPr>
                <w:rFonts w:hint="eastAsia" w:cs="Times New Roman"/>
                <w:color w:val="auto"/>
                <w:highlight w:val="none"/>
                <w:lang w:val="en-US" w:eastAsia="zh-CN"/>
              </w:rPr>
              <w:t>对照</w:t>
            </w:r>
            <w:r>
              <w:rPr>
                <w:rFonts w:hint="default" w:ascii="Times New Roman" w:hAnsi="Times New Roman" w:cs="Times New Roman"/>
                <w:color w:val="auto"/>
                <w:highlight w:val="none"/>
                <w:lang w:val="en-US" w:eastAsia="zh-CN"/>
              </w:rPr>
              <w:t>《产业结构调整指导目录（</w:t>
            </w:r>
            <w:r>
              <w:rPr>
                <w:rFonts w:hint="eastAsia" w:cs="Times New Roman"/>
                <w:color w:val="auto"/>
                <w:highlight w:val="none"/>
                <w:lang w:val="en-US" w:eastAsia="zh-CN"/>
              </w:rPr>
              <w:t>2024</w:t>
            </w:r>
            <w:r>
              <w:rPr>
                <w:rFonts w:hint="default" w:ascii="Times New Roman" w:hAnsi="Times New Roman" w:cs="Times New Roman"/>
                <w:color w:val="auto"/>
                <w:highlight w:val="none"/>
                <w:lang w:val="en-US" w:eastAsia="zh-CN"/>
              </w:rPr>
              <w:t>年本）》等，</w:t>
            </w:r>
            <w:r>
              <w:rPr>
                <w:rFonts w:hint="eastAsia" w:cs="Times New Roman"/>
                <w:color w:val="auto"/>
                <w:highlight w:val="none"/>
                <w:lang w:val="en-US" w:eastAsia="zh-CN"/>
              </w:rPr>
              <w:t>本</w:t>
            </w:r>
            <w:r>
              <w:rPr>
                <w:rFonts w:hint="default" w:ascii="Times New Roman" w:hAnsi="Times New Roman" w:cs="Times New Roman"/>
                <w:color w:val="auto"/>
                <w:highlight w:val="none"/>
                <w:lang w:val="en-US" w:eastAsia="zh-CN"/>
              </w:rPr>
              <w:t>项目属于鼓励类</w:t>
            </w:r>
            <w:r>
              <w:rPr>
                <w:rFonts w:hint="eastAsia" w:ascii="宋体" w:hAnsi="宋体" w:eastAsia="宋体" w:cs="宋体"/>
                <w:color w:val="auto"/>
                <w:highlight w:val="none"/>
                <w:lang w:val="en-US" w:eastAsia="zh-CN"/>
              </w:rPr>
              <w:t>中“</w:t>
            </w:r>
            <w:r>
              <w:rPr>
                <w:rFonts w:hint="default" w:ascii="Times New Roman" w:hAnsi="Times New Roman" w:eastAsia="宋体" w:cs="Times New Roman"/>
                <w:color w:val="auto"/>
                <w:highlight w:val="none"/>
                <w:lang w:val="en-US" w:eastAsia="zh-CN"/>
              </w:rPr>
              <w:t>三</w:t>
            </w:r>
            <w:r>
              <w:rPr>
                <w:rFonts w:hint="default" w:ascii="Times New Roman" w:hAnsi="Times New Roman" w:cs="Times New Roman"/>
                <w:color w:val="auto"/>
                <w:highlight w:val="none"/>
                <w:lang w:val="en-US" w:eastAsia="zh-CN"/>
              </w:rPr>
              <w:t>十</w:t>
            </w:r>
            <w:r>
              <w:rPr>
                <w:rFonts w:hint="eastAsia" w:cs="Times New Roman"/>
                <w:color w:val="auto"/>
                <w:highlight w:val="none"/>
                <w:lang w:val="en-US" w:eastAsia="zh-CN"/>
              </w:rPr>
              <w:t>一</w:t>
            </w:r>
            <w:r>
              <w:rPr>
                <w:rFonts w:hint="default" w:ascii="Times New Roman" w:hAnsi="Times New Roman" w:cs="Times New Roman"/>
                <w:color w:val="auto"/>
                <w:highlight w:val="none"/>
                <w:lang w:val="en-US" w:eastAsia="zh-CN"/>
              </w:rPr>
              <w:t>、科技服务业：1、工业设计、气象、生物及医药、新材料、新能源、节能、环保、测绘、海洋等专业科技服务，标准化服务、计量测试、质量认证和检验检测服务，科技普</w:t>
            </w:r>
            <w:r>
              <w:rPr>
                <w:rFonts w:hint="eastAsia" w:ascii="宋体" w:hAnsi="宋体" w:eastAsia="宋体" w:cs="宋体"/>
                <w:color w:val="auto"/>
                <w:highlight w:val="none"/>
                <w:lang w:val="en-US" w:eastAsia="zh-CN"/>
              </w:rPr>
              <w:t>及”，</w:t>
            </w:r>
            <w:r>
              <w:rPr>
                <w:rFonts w:hint="eastAsia"/>
                <w:color w:val="auto"/>
                <w:lang w:val="en-US" w:eastAsia="zh-CN"/>
              </w:rPr>
              <w:t>且该项目于</w:t>
            </w:r>
            <w:r>
              <w:rPr>
                <w:rFonts w:hint="eastAsia"/>
                <w:color w:val="auto"/>
                <w:highlight w:val="none"/>
                <w:lang w:val="en-US" w:eastAsia="zh-CN"/>
              </w:rPr>
              <w:t>2025年1月24日取得福清市发展和改革局的备案（</w:t>
            </w:r>
            <w:r>
              <w:rPr>
                <w:rFonts w:hint="default" w:ascii="Times New Roman" w:hAnsi="Times New Roman" w:cs="Times New Roman"/>
                <w:color w:val="auto"/>
                <w:sz w:val="24"/>
                <w:szCs w:val="24"/>
                <w:highlight w:val="none"/>
                <w:lang w:val="en-US" w:eastAsia="zh-CN"/>
              </w:rPr>
              <w:t>闽发改备[2025]A060073</w:t>
            </w:r>
            <w:r>
              <w:rPr>
                <w:rFonts w:hint="eastAsia"/>
                <w:color w:val="auto"/>
                <w:highlight w:val="none"/>
                <w:lang w:val="en-US" w:eastAsia="zh-CN"/>
              </w:rPr>
              <w:t>号，详见附件2）。</w:t>
            </w:r>
            <w:r>
              <w:rPr>
                <w:rFonts w:hint="eastAsia" w:ascii="宋体" w:hAnsi="宋体" w:eastAsia="宋体" w:cs="宋体"/>
                <w:color w:val="auto"/>
                <w:highlight w:val="none"/>
                <w:lang w:val="en-US" w:eastAsia="zh-CN"/>
              </w:rPr>
              <w:t>因此</w:t>
            </w:r>
            <w:r>
              <w:rPr>
                <w:rFonts w:hint="default" w:ascii="Times New Roman" w:hAnsi="Times New Roman" w:cs="Times New Roman"/>
                <w:color w:val="auto"/>
                <w:highlight w:val="none"/>
                <w:lang w:val="en-US" w:eastAsia="zh-CN"/>
              </w:rPr>
              <w:t>符合国家</w:t>
            </w:r>
            <w:r>
              <w:rPr>
                <w:rFonts w:hint="eastAsia" w:cs="Times New Roman"/>
                <w:color w:val="auto"/>
                <w:highlight w:val="none"/>
                <w:lang w:val="en-US" w:eastAsia="zh-CN"/>
              </w:rPr>
              <w:t>和地方</w:t>
            </w:r>
            <w:r>
              <w:rPr>
                <w:rFonts w:hint="default" w:ascii="Times New Roman" w:hAnsi="Times New Roman" w:cs="Times New Roman"/>
                <w:color w:val="auto"/>
                <w:highlight w:val="none"/>
                <w:lang w:val="en-US" w:eastAsia="zh-CN"/>
              </w:rPr>
              <w:t>当前产业政策。</w:t>
            </w:r>
          </w:p>
          <w:p>
            <w:pPr>
              <w:pStyle w:val="3"/>
              <w:keepNext w:val="0"/>
              <w:keepLines w:val="0"/>
              <w:suppressLineNumbers w:val="0"/>
              <w:tabs>
                <w:tab w:val="left" w:pos="0"/>
              </w:tabs>
              <w:spacing w:before="0" w:beforeAutospacing="0" w:after="0" w:afterAutospacing="0"/>
              <w:ind w:left="0" w:right="0"/>
              <w:rPr>
                <w:rFonts w:hint="default" w:ascii="Times New Roman" w:hAnsi="Times New Roman" w:cs="Times New Roman"/>
                <w:color w:val="auto"/>
                <w:highlight w:val="none"/>
              </w:rPr>
            </w:pPr>
            <w:bookmarkStart w:id="5" w:name="_Toc21660"/>
            <w:r>
              <w:rPr>
                <w:rFonts w:hint="eastAsia" w:ascii="Times New Roman" w:hAnsi="Times New Roman" w:cs="Times New Roman"/>
                <w:color w:val="auto"/>
                <w:highlight w:val="none"/>
                <w:lang w:val="en-US" w:eastAsia="zh-CN"/>
              </w:rPr>
              <w:t>项目选址合理</w:t>
            </w:r>
            <w:r>
              <w:rPr>
                <w:rFonts w:hint="default" w:ascii="Times New Roman" w:hAnsi="Times New Roman" w:cs="Times New Roman"/>
                <w:color w:val="auto"/>
                <w:highlight w:val="none"/>
              </w:rPr>
              <w:t>性分析</w:t>
            </w:r>
            <w:bookmarkEnd w:id="5"/>
          </w:p>
          <w:p>
            <w:pPr>
              <w:pStyle w:val="18"/>
              <w:keepNext w:val="0"/>
              <w:keepLines w:val="0"/>
              <w:suppressLineNumbers w:val="0"/>
              <w:bidi w:val="0"/>
              <w:spacing w:before="0" w:beforeAutospacing="0" w:after="0" w:afterAutospacing="0"/>
              <w:ind w:left="0" w:right="0" w:firstLine="480" w:firstLineChars="200"/>
              <w:jc w:val="both"/>
              <w:rPr>
                <w:rFonts w:hint="default"/>
                <w:color w:val="auto"/>
              </w:rPr>
            </w:pPr>
            <w:r>
              <w:rPr>
                <w:rFonts w:hint="default"/>
                <w:color w:val="auto"/>
                <w:highlight w:val="none"/>
              </w:rPr>
              <w:t>本项目位于</w:t>
            </w:r>
            <w:r>
              <w:rPr>
                <w:rFonts w:hint="eastAsia"/>
                <w:color w:val="auto"/>
                <w:highlight w:val="none"/>
                <w:lang w:eastAsia="zh-CN"/>
              </w:rPr>
              <w:t>福清融侨经济技术开发区（</w:t>
            </w:r>
            <w:r>
              <w:rPr>
                <w:rFonts w:hint="eastAsia" w:cs="Times New Roman"/>
                <w:color w:val="auto"/>
                <w:sz w:val="24"/>
                <w:szCs w:val="24"/>
                <w:highlight w:val="none"/>
                <w:u w:val="none"/>
                <w:lang w:eastAsia="zh-CN"/>
              </w:rPr>
              <w:t>福清洪金机械有限公司办公楼4层、5层</w:t>
            </w:r>
            <w:r>
              <w:rPr>
                <w:rFonts w:hint="eastAsia"/>
                <w:color w:val="auto"/>
                <w:highlight w:val="none"/>
                <w:lang w:eastAsia="zh-CN"/>
              </w:rPr>
              <w:t>）（</w:t>
            </w:r>
            <w:r>
              <w:rPr>
                <w:rFonts w:hint="eastAsia"/>
                <w:color w:val="auto"/>
                <w:highlight w:val="none"/>
                <w:lang w:val="en-US" w:eastAsia="zh-CN"/>
              </w:rPr>
              <w:t>租赁合同详见附件4</w:t>
            </w:r>
            <w:r>
              <w:rPr>
                <w:rFonts w:hint="eastAsia"/>
                <w:color w:val="auto"/>
                <w:highlight w:val="none"/>
                <w:lang w:eastAsia="zh-CN"/>
              </w:rPr>
              <w:t>）</w:t>
            </w:r>
            <w:r>
              <w:rPr>
                <w:rFonts w:hint="default"/>
                <w:color w:val="auto"/>
                <w:highlight w:val="none"/>
              </w:rPr>
              <w:t>，</w:t>
            </w:r>
            <w:r>
              <w:rPr>
                <w:rFonts w:hint="eastAsia"/>
                <w:color w:val="auto"/>
              </w:rPr>
              <w:t>根据业主提</w:t>
            </w:r>
            <w:r>
              <w:rPr>
                <w:rFonts w:hint="eastAsia"/>
                <w:color w:val="auto"/>
                <w:lang w:eastAsia="zh-CN"/>
              </w:rPr>
              <w:t>供的</w:t>
            </w:r>
            <w:r>
              <w:rPr>
                <w:rFonts w:hint="eastAsia"/>
                <w:color w:val="auto"/>
                <w:lang w:val="en-US" w:eastAsia="zh-CN"/>
              </w:rPr>
              <w:t>不动产</w:t>
            </w:r>
            <w:r>
              <w:rPr>
                <w:rFonts w:hint="eastAsia"/>
                <w:color w:val="auto"/>
              </w:rPr>
              <w:t>权证</w:t>
            </w:r>
            <w:r>
              <w:rPr>
                <w:rFonts w:hint="eastAsia"/>
                <w:color w:val="auto"/>
                <w:lang w:eastAsia="zh-CN"/>
              </w:rPr>
              <w:t>“</w:t>
            </w:r>
            <w:r>
              <w:rPr>
                <w:rFonts w:hint="eastAsia"/>
                <w:color w:val="auto"/>
                <w:lang w:val="en-US" w:eastAsia="zh-CN"/>
              </w:rPr>
              <w:t>闽（2020）福清市不动产权第0013762号</w:t>
            </w:r>
            <w:r>
              <w:rPr>
                <w:rFonts w:hint="eastAsia"/>
                <w:color w:val="auto"/>
                <w:lang w:eastAsia="zh-CN"/>
              </w:rPr>
              <w:t>”</w:t>
            </w:r>
            <w:r>
              <w:rPr>
                <w:rFonts w:hint="eastAsia"/>
                <w:color w:val="auto"/>
              </w:rPr>
              <w:t>项目</w:t>
            </w:r>
            <w:r>
              <w:rPr>
                <w:rFonts w:hint="eastAsia"/>
                <w:color w:val="auto"/>
                <w:lang w:val="en-US" w:eastAsia="zh-CN"/>
              </w:rPr>
              <w:t>用地</w:t>
            </w:r>
            <w:r>
              <w:rPr>
                <w:rFonts w:hint="eastAsia"/>
                <w:color w:val="auto"/>
              </w:rPr>
              <w:t>用途属于</w:t>
            </w:r>
            <w:r>
              <w:rPr>
                <w:rFonts w:hint="eastAsia"/>
                <w:color w:val="auto"/>
                <w:lang w:val="en-US" w:eastAsia="zh-CN"/>
              </w:rPr>
              <w:t>工业用地</w:t>
            </w:r>
            <w:r>
              <w:rPr>
                <w:rFonts w:hint="eastAsia"/>
                <w:color w:val="auto"/>
              </w:rPr>
              <w:t>，</w:t>
            </w:r>
            <w:r>
              <w:rPr>
                <w:rFonts w:hint="eastAsia"/>
                <w:color w:val="auto"/>
                <w:lang w:val="en-US" w:eastAsia="zh-CN"/>
              </w:rPr>
              <w:t>企业</w:t>
            </w:r>
            <w:r>
              <w:rPr>
                <w:rFonts w:hint="default"/>
                <w:color w:val="auto"/>
              </w:rPr>
              <w:t>主要</w:t>
            </w:r>
            <w:r>
              <w:rPr>
                <w:rFonts w:hint="eastAsia"/>
                <w:color w:val="auto"/>
                <w:lang w:val="en-US" w:eastAsia="zh-CN"/>
              </w:rPr>
              <w:t>从事</w:t>
            </w:r>
            <w:r>
              <w:rPr>
                <w:rFonts w:hint="eastAsia" w:cs="Times New Roman"/>
                <w:color w:val="auto"/>
                <w:highlight w:val="none"/>
                <w:lang w:val="en-US" w:eastAsia="zh-CN"/>
              </w:rPr>
              <w:t>水质</w:t>
            </w:r>
            <w:r>
              <w:rPr>
                <w:rFonts w:hint="default" w:ascii="Times New Roman" w:hAnsi="Times New Roman" w:cs="Times New Roman"/>
                <w:color w:val="auto"/>
                <w:highlight w:val="none"/>
                <w:lang w:val="en-US" w:eastAsia="zh-CN"/>
              </w:rPr>
              <w:t>检测</w:t>
            </w:r>
            <w:r>
              <w:rPr>
                <w:rFonts w:hint="default"/>
                <w:color w:val="auto"/>
              </w:rPr>
              <w:t>，属于</w:t>
            </w:r>
            <w:r>
              <w:rPr>
                <w:rFonts w:hint="default" w:ascii="Times New Roman" w:hAnsi="Times New Roman" w:cs="Times New Roman"/>
                <w:color w:val="auto"/>
                <w:highlight w:val="none"/>
                <w:lang w:val="en-US" w:eastAsia="zh-CN"/>
              </w:rPr>
              <w:t>专业技术服务</w:t>
            </w:r>
            <w:r>
              <w:rPr>
                <w:rFonts w:hint="default"/>
                <w:color w:val="auto"/>
              </w:rPr>
              <w:t>企业，因此，项目选址符合</w:t>
            </w:r>
            <w:r>
              <w:rPr>
                <w:rFonts w:hint="eastAsia"/>
                <w:color w:val="auto"/>
              </w:rPr>
              <w:t>《福清融侨经济技术开发区总体规划（2018-2035年）》</w:t>
            </w:r>
            <w:r>
              <w:rPr>
                <w:rFonts w:hint="default"/>
                <w:color w:val="auto"/>
              </w:rPr>
              <w:t>要求，故项目选址合理。</w:t>
            </w:r>
          </w:p>
          <w:p>
            <w:pPr>
              <w:pStyle w:val="3"/>
              <w:keepNext w:val="0"/>
              <w:keepLines w:val="0"/>
              <w:suppressLineNumbers w:val="0"/>
              <w:tabs>
                <w:tab w:val="left" w:pos="0"/>
              </w:tabs>
              <w:spacing w:before="0" w:beforeAutospacing="0" w:after="0" w:afterAutospacing="0"/>
              <w:ind w:left="0" w:right="0"/>
              <w:rPr>
                <w:rFonts w:hint="eastAsia" w:ascii="Times New Roman" w:hAnsi="Times New Roman" w:cs="Times New Roman"/>
                <w:color w:val="auto"/>
                <w:highlight w:val="none"/>
                <w:lang w:val="en-US" w:eastAsia="zh-CN"/>
              </w:rPr>
            </w:pPr>
            <w:bookmarkStart w:id="6" w:name="_Toc8899"/>
            <w:r>
              <w:rPr>
                <w:rFonts w:hint="eastAsia" w:ascii="Times New Roman" w:hAnsi="Times New Roman" w:cs="Times New Roman"/>
                <w:color w:val="auto"/>
                <w:highlight w:val="none"/>
                <w:lang w:val="en-US" w:eastAsia="zh-CN"/>
              </w:rPr>
              <w:t>环境功能区划符合性分析</w:t>
            </w:r>
            <w:bookmarkEnd w:id="6"/>
          </w:p>
          <w:p>
            <w:pPr>
              <w:pStyle w:val="18"/>
              <w:keepNext w:val="0"/>
              <w:keepLines w:val="0"/>
              <w:suppressLineNumbers w:val="0"/>
              <w:bidi w:val="0"/>
              <w:spacing w:before="0" w:beforeAutospacing="0" w:after="0" w:afterAutospacing="0"/>
              <w:ind w:left="0" w:right="0" w:firstLine="480" w:firstLineChars="200"/>
              <w:jc w:val="both"/>
              <w:rPr>
                <w:rFonts w:hint="default"/>
                <w:color w:val="auto"/>
              </w:rPr>
            </w:pPr>
            <w:r>
              <w:rPr>
                <w:rFonts w:hint="default"/>
                <w:color w:val="auto"/>
              </w:rPr>
              <w:t>项目位于</w:t>
            </w:r>
            <w:r>
              <w:rPr>
                <w:rFonts w:hint="eastAsia" w:cs="宋体"/>
                <w:color w:val="auto"/>
                <w:spacing w:val="0"/>
                <w:kern w:val="21"/>
                <w:sz w:val="24"/>
                <w:szCs w:val="24"/>
                <w:lang w:val="en-US" w:eastAsia="zh-CN"/>
              </w:rPr>
              <w:t>福清融侨经济技术开发区</w:t>
            </w:r>
            <w:r>
              <w:rPr>
                <w:rFonts w:hint="eastAsia"/>
                <w:color w:val="auto"/>
                <w:highlight w:val="none"/>
                <w:lang w:eastAsia="zh-CN"/>
              </w:rPr>
              <w:t>（</w:t>
            </w:r>
            <w:r>
              <w:rPr>
                <w:rFonts w:hint="eastAsia" w:cs="Times New Roman"/>
                <w:color w:val="auto"/>
                <w:sz w:val="24"/>
                <w:szCs w:val="24"/>
                <w:highlight w:val="none"/>
                <w:u w:val="none"/>
                <w:lang w:eastAsia="zh-CN"/>
              </w:rPr>
              <w:t>福清洪金机械有限公司办公楼4层、5层</w:t>
            </w:r>
            <w:r>
              <w:rPr>
                <w:rFonts w:hint="eastAsia"/>
                <w:color w:val="auto"/>
                <w:highlight w:val="none"/>
                <w:lang w:eastAsia="zh-CN"/>
              </w:rPr>
              <w:t>）</w:t>
            </w:r>
            <w:r>
              <w:rPr>
                <w:rFonts w:hint="default"/>
                <w:color w:val="auto"/>
              </w:rPr>
              <w:t>，根据现场勘查，周边以工业企业为主，项目</w:t>
            </w:r>
            <w:r>
              <w:rPr>
                <w:rFonts w:hint="eastAsia"/>
                <w:color w:val="auto"/>
                <w:lang w:eastAsia="zh-CN"/>
              </w:rPr>
              <w:t>周边环境</w:t>
            </w:r>
            <w:r>
              <w:rPr>
                <w:rFonts w:hint="default"/>
                <w:color w:val="auto"/>
              </w:rPr>
              <w:t>示意图</w:t>
            </w:r>
            <w:r>
              <w:rPr>
                <w:rFonts w:hint="eastAsia"/>
                <w:color w:val="auto"/>
                <w:lang w:val="en-US" w:eastAsia="zh-CN"/>
              </w:rPr>
              <w:t>与</w:t>
            </w:r>
            <w:r>
              <w:rPr>
                <w:rFonts w:hint="default"/>
                <w:color w:val="auto"/>
                <w:highlight w:val="none"/>
              </w:rPr>
              <w:t>项目周边环境现状图</w:t>
            </w:r>
            <w:r>
              <w:rPr>
                <w:rFonts w:hint="default"/>
                <w:color w:val="auto"/>
              </w:rPr>
              <w:t>详见</w:t>
            </w:r>
            <w:r>
              <w:rPr>
                <w:rFonts w:hint="default"/>
                <w:color w:val="auto"/>
                <w:highlight w:val="none"/>
              </w:rPr>
              <w:t>附图</w:t>
            </w:r>
            <w:r>
              <w:rPr>
                <w:rFonts w:hint="eastAsia"/>
                <w:color w:val="auto"/>
                <w:highlight w:val="none"/>
                <w:lang w:val="en-US" w:eastAsia="zh-CN"/>
              </w:rPr>
              <w:t>2</w:t>
            </w:r>
            <w:r>
              <w:rPr>
                <w:rFonts w:hint="default"/>
                <w:color w:val="auto"/>
                <w:highlight w:val="none"/>
              </w:rPr>
              <w:t>；</w:t>
            </w:r>
            <w:r>
              <w:rPr>
                <w:rFonts w:hint="default"/>
                <w:color w:val="auto"/>
              </w:rPr>
              <w:t>建设单位在落实本评价提出的各项污染治理措施的前提下，可实现污染物达标排放，且各污染物排放源强较低，运营期产生的</w:t>
            </w:r>
            <w:r>
              <w:rPr>
                <w:rFonts w:hint="eastAsia"/>
                <w:color w:val="auto"/>
                <w:lang w:eastAsia="zh-CN"/>
              </w:rPr>
              <w:t>“</w:t>
            </w:r>
            <w:r>
              <w:rPr>
                <w:rFonts w:hint="default"/>
                <w:color w:val="auto"/>
              </w:rPr>
              <w:t>三废</w:t>
            </w:r>
            <w:r>
              <w:rPr>
                <w:rFonts w:hint="eastAsia"/>
                <w:color w:val="auto"/>
                <w:lang w:eastAsia="zh-CN"/>
              </w:rPr>
              <w:t>”</w:t>
            </w:r>
            <w:r>
              <w:rPr>
                <w:rFonts w:hint="default"/>
                <w:color w:val="auto"/>
              </w:rPr>
              <w:t>及噪声对周边环境影响</w:t>
            </w:r>
            <w:r>
              <w:rPr>
                <w:rFonts w:hint="eastAsia"/>
                <w:color w:val="auto"/>
                <w:lang w:val="en-US" w:eastAsia="zh-CN"/>
              </w:rPr>
              <w:t>较小</w:t>
            </w:r>
            <w:r>
              <w:rPr>
                <w:rFonts w:hint="default"/>
                <w:color w:val="auto"/>
              </w:rPr>
              <w:t>，因此，项目建设与周边环境基本相容。</w:t>
            </w:r>
          </w:p>
          <w:p>
            <w:pPr>
              <w:pStyle w:val="18"/>
              <w:keepNext w:val="0"/>
              <w:keepLines w:val="0"/>
              <w:suppressLineNumbers w:val="0"/>
              <w:bidi w:val="0"/>
              <w:spacing w:before="0" w:beforeAutospacing="0" w:after="0" w:afterAutospacing="0"/>
              <w:ind w:left="0" w:right="0" w:firstLine="480" w:firstLineChars="200"/>
              <w:jc w:val="both"/>
              <w:rPr>
                <w:rFonts w:hint="default" w:ascii="Times New Roman" w:hAnsi="Times New Roman" w:cs="宋体"/>
                <w:color w:val="auto"/>
                <w:spacing w:val="0"/>
                <w:kern w:val="21"/>
                <w:szCs w:val="24"/>
              </w:rPr>
            </w:pPr>
            <w:r>
              <w:rPr>
                <w:rFonts w:hint="default"/>
                <w:color w:val="auto"/>
              </w:rPr>
              <w:t>本评价要求建设单位合理设计厂区平面布置，完善废水、废气、噪声及</w:t>
            </w:r>
            <w:r>
              <w:rPr>
                <w:rFonts w:hint="eastAsia"/>
                <w:color w:val="auto"/>
                <w:lang w:eastAsia="zh-CN"/>
              </w:rPr>
              <w:t>固体废物</w:t>
            </w:r>
            <w:r>
              <w:rPr>
                <w:rFonts w:hint="default"/>
                <w:color w:val="auto"/>
              </w:rPr>
              <w:t>治理的环保措施，保证项目产生的废水、废气、噪声及</w:t>
            </w:r>
            <w:r>
              <w:rPr>
                <w:rFonts w:hint="eastAsia"/>
                <w:color w:val="auto"/>
                <w:lang w:eastAsia="zh-CN"/>
              </w:rPr>
              <w:t>固体废物</w:t>
            </w:r>
            <w:r>
              <w:rPr>
                <w:rFonts w:hint="default"/>
                <w:color w:val="auto"/>
              </w:rPr>
              <w:t>都能实现达标排放，最大程度降低项目对</w:t>
            </w:r>
            <w:r>
              <w:rPr>
                <w:rFonts w:hint="eastAsia"/>
                <w:color w:val="auto"/>
                <w:lang w:val="en-US" w:eastAsia="zh-CN"/>
              </w:rPr>
              <w:t>所在区域环境</w:t>
            </w:r>
            <w:r>
              <w:rPr>
                <w:rFonts w:hint="default"/>
                <w:color w:val="auto"/>
              </w:rPr>
              <w:t>的影响。</w:t>
            </w:r>
          </w:p>
          <w:p>
            <w:pPr>
              <w:pStyle w:val="3"/>
              <w:keepNext w:val="0"/>
              <w:keepLines w:val="0"/>
              <w:suppressLineNumbers w:val="0"/>
              <w:tabs>
                <w:tab w:val="left" w:pos="0"/>
              </w:tabs>
              <w:spacing w:before="0" w:beforeAutospacing="0" w:after="0" w:afterAutospacing="0"/>
              <w:ind w:left="0" w:right="0"/>
              <w:rPr>
                <w:rFonts w:hint="eastAsia" w:ascii="Times New Roman" w:hAnsi="Times New Roman" w:cs="Times New Roman"/>
                <w:color w:val="auto"/>
                <w:highlight w:val="none"/>
                <w:lang w:val="en-US" w:eastAsia="zh-CN"/>
              </w:rPr>
            </w:pPr>
            <w:bookmarkStart w:id="7" w:name="_Toc9446"/>
            <w:r>
              <w:rPr>
                <w:rFonts w:hint="eastAsia" w:ascii="Times New Roman" w:hAnsi="Times New Roman" w:cs="Times New Roman"/>
                <w:color w:val="auto"/>
                <w:highlight w:val="none"/>
                <w:lang w:val="en-US" w:eastAsia="zh-CN"/>
              </w:rPr>
              <w:t>“三线一单”控制要求的符合性分析</w:t>
            </w:r>
            <w:bookmarkEnd w:id="7"/>
          </w:p>
          <w:p>
            <w:pPr>
              <w:pStyle w:val="18"/>
              <w:keepNext w:val="0"/>
              <w:keepLines w:val="0"/>
              <w:suppressLineNumbers w:val="0"/>
              <w:bidi w:val="0"/>
              <w:spacing w:before="0" w:beforeAutospacing="0" w:after="0" w:afterAutospacing="0"/>
              <w:ind w:left="0" w:right="0" w:firstLine="480" w:firstLineChars="200"/>
              <w:jc w:val="both"/>
              <w:rPr>
                <w:rFonts w:hint="eastAsia"/>
                <w:color w:val="auto"/>
                <w:lang w:eastAsia="zh-CN"/>
              </w:rPr>
            </w:pPr>
            <w:bookmarkStart w:id="8" w:name="_Toc7228"/>
            <w:bookmarkStart w:id="9" w:name="_Toc27236"/>
            <w:bookmarkStart w:id="10" w:name="_Toc3746"/>
            <w:bookmarkStart w:id="11" w:name="_Toc16029"/>
            <w:bookmarkStart w:id="12" w:name="_Toc3067"/>
            <w:r>
              <w:rPr>
                <w:rFonts w:hint="eastAsia"/>
                <w:color w:val="auto"/>
                <w:lang w:eastAsia="zh-CN"/>
              </w:rPr>
              <w:t>（</w:t>
            </w:r>
            <w:r>
              <w:rPr>
                <w:rFonts w:hint="eastAsia"/>
                <w:color w:val="auto"/>
              </w:rPr>
              <w:t>1</w:t>
            </w:r>
            <w:r>
              <w:rPr>
                <w:rFonts w:hint="eastAsia"/>
                <w:color w:val="auto"/>
                <w:lang w:eastAsia="zh-CN"/>
              </w:rPr>
              <w:t>）</w:t>
            </w:r>
            <w:r>
              <w:rPr>
                <w:rFonts w:hint="default"/>
                <w:color w:val="auto"/>
              </w:rPr>
              <w:t>与</w:t>
            </w:r>
            <w:r>
              <w:rPr>
                <w:rFonts w:hint="default"/>
                <w:color w:val="auto"/>
                <w:lang w:val="en-GB"/>
              </w:rPr>
              <w:t>《福建省人民政府关于实施</w:t>
            </w:r>
            <w:r>
              <w:rPr>
                <w:rFonts w:hint="eastAsia"/>
                <w:color w:val="auto"/>
                <w:lang w:val="en-GB" w:eastAsia="zh-CN"/>
              </w:rPr>
              <w:t>“</w:t>
            </w:r>
            <w:r>
              <w:rPr>
                <w:rFonts w:hint="default"/>
                <w:color w:val="auto"/>
                <w:lang w:val="en-GB"/>
              </w:rPr>
              <w:t>三线一单</w:t>
            </w:r>
            <w:r>
              <w:rPr>
                <w:rFonts w:hint="eastAsia"/>
                <w:color w:val="auto"/>
                <w:lang w:val="en-GB" w:eastAsia="zh-CN"/>
              </w:rPr>
              <w:t>”</w:t>
            </w:r>
            <w:r>
              <w:rPr>
                <w:rFonts w:hint="default"/>
                <w:color w:val="auto"/>
                <w:lang w:val="en-GB"/>
              </w:rPr>
              <w:t>生态环境分区管控的通知》</w:t>
            </w:r>
            <w:r>
              <w:rPr>
                <w:rFonts w:hint="default"/>
                <w:color w:val="auto"/>
              </w:rPr>
              <w:t>符合性分析</w:t>
            </w:r>
            <w:r>
              <w:rPr>
                <w:rFonts w:hint="eastAsia"/>
                <w:color w:val="auto"/>
                <w:lang w:eastAsia="zh-CN"/>
              </w:rPr>
              <w:t>。</w:t>
            </w:r>
          </w:p>
          <w:p>
            <w:pPr>
              <w:pStyle w:val="18"/>
              <w:keepNext w:val="0"/>
              <w:keepLines w:val="0"/>
              <w:suppressLineNumbers w:val="0"/>
              <w:bidi w:val="0"/>
              <w:spacing w:before="0" w:beforeAutospacing="0" w:after="0" w:afterAutospacing="0"/>
              <w:ind w:left="0" w:right="0" w:firstLine="480" w:firstLineChars="200"/>
              <w:jc w:val="both"/>
              <w:rPr>
                <w:rFonts w:hint="eastAsia"/>
                <w:color w:val="auto"/>
                <w:lang w:val="en-US" w:eastAsia="zh-CN"/>
              </w:rPr>
            </w:pPr>
            <w:r>
              <w:rPr>
                <w:rFonts w:hint="eastAsia"/>
                <w:color w:val="auto"/>
              </w:rPr>
              <w:t>项目与</w:t>
            </w:r>
            <w:r>
              <w:rPr>
                <w:rFonts w:hint="default"/>
                <w:color w:val="auto"/>
              </w:rPr>
              <w:t>《福建省人民政府关于实施</w:t>
            </w:r>
            <w:r>
              <w:rPr>
                <w:rFonts w:hint="eastAsia"/>
                <w:color w:val="auto"/>
                <w:lang w:eastAsia="zh-CN"/>
              </w:rPr>
              <w:t>“</w:t>
            </w:r>
            <w:r>
              <w:rPr>
                <w:rFonts w:hint="default"/>
                <w:color w:val="auto"/>
              </w:rPr>
              <w:t>三线一单</w:t>
            </w:r>
            <w:r>
              <w:rPr>
                <w:rFonts w:hint="eastAsia"/>
                <w:color w:val="auto"/>
                <w:lang w:eastAsia="zh-CN"/>
              </w:rPr>
              <w:t>”</w:t>
            </w:r>
            <w:r>
              <w:rPr>
                <w:rFonts w:hint="default"/>
                <w:color w:val="auto"/>
              </w:rPr>
              <w:t>生态环境分区管控的通知》</w:t>
            </w:r>
            <w:r>
              <w:rPr>
                <w:rFonts w:hint="eastAsia"/>
                <w:color w:val="auto"/>
                <w:lang w:eastAsia="zh-CN"/>
              </w:rPr>
              <w:t>（</w:t>
            </w:r>
            <w:r>
              <w:rPr>
                <w:rFonts w:hint="default"/>
                <w:color w:val="auto"/>
              </w:rPr>
              <w:t>闽政</w:t>
            </w:r>
            <w:r>
              <w:rPr>
                <w:rFonts w:hint="eastAsia"/>
                <w:color w:val="auto"/>
                <w:lang w:eastAsia="zh-CN"/>
              </w:rPr>
              <w:t>〔</w:t>
            </w:r>
            <w:r>
              <w:rPr>
                <w:rFonts w:hint="default"/>
                <w:color w:val="auto"/>
              </w:rPr>
              <w:t>2020</w:t>
            </w:r>
            <w:r>
              <w:rPr>
                <w:rFonts w:hint="eastAsia"/>
                <w:color w:val="auto"/>
                <w:lang w:eastAsia="zh-CN"/>
              </w:rPr>
              <w:t>〕</w:t>
            </w:r>
            <w:r>
              <w:rPr>
                <w:rFonts w:hint="default"/>
                <w:color w:val="auto"/>
              </w:rPr>
              <w:t>12号</w:t>
            </w:r>
            <w:r>
              <w:rPr>
                <w:rFonts w:hint="eastAsia"/>
                <w:color w:val="auto"/>
                <w:lang w:eastAsia="zh-CN"/>
              </w:rPr>
              <w:t>）</w:t>
            </w:r>
            <w:r>
              <w:rPr>
                <w:rFonts w:hint="default"/>
                <w:color w:val="auto"/>
              </w:rPr>
              <w:t>相关要求分析见</w:t>
            </w:r>
            <w:r>
              <w:rPr>
                <w:rFonts w:hint="eastAsia"/>
                <w:color w:val="auto"/>
                <w:lang w:val="en-US" w:eastAsia="zh-CN"/>
              </w:rPr>
              <w:t>下</w:t>
            </w:r>
            <w:r>
              <w:rPr>
                <w:rFonts w:hint="default"/>
                <w:color w:val="auto"/>
              </w:rPr>
              <w:t>表</w:t>
            </w:r>
            <w:r>
              <w:rPr>
                <w:rFonts w:hint="eastAsia"/>
                <w:color w:val="auto"/>
                <w:lang w:val="en-US" w:eastAsia="zh-CN"/>
              </w:rPr>
              <w:t>。</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jc w:val="center"/>
              <w:textAlignment w:val="auto"/>
              <w:rPr>
                <w:rFonts w:hint="eastAsia" w:ascii="Times New Roman" w:hAnsi="Times New Roman" w:cs="Times New Roman"/>
                <w:color w:val="auto"/>
                <w:highlight w:val="none"/>
                <w:lang w:val="en-GB"/>
              </w:rPr>
            </w:pPr>
            <w:r>
              <w:rPr>
                <w:rFonts w:hint="eastAsia" w:ascii="Times New Roman" w:hAnsi="Times New Roman" w:cs="Times New Roman"/>
                <w:color w:val="auto"/>
                <w:highlight w:val="none"/>
                <w:lang w:val="en-GB"/>
              </w:rPr>
              <w:t>与全省生态环境总体准入要求的符合性分析</w:t>
            </w:r>
          </w:p>
          <w:tbl>
            <w:tblPr>
              <w:tblStyle w:val="32"/>
              <w:tblW w:w="7259"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636"/>
              <w:gridCol w:w="464"/>
              <w:gridCol w:w="3467"/>
              <w:gridCol w:w="2121"/>
              <w:gridCol w:w="57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Ex>
              <w:trPr>
                <w:trHeight w:val="670" w:hRule="atLeast"/>
                <w:jc w:val="center"/>
              </w:trPr>
              <w:tc>
                <w:tcPr>
                  <w:tcW w:w="636" w:type="dxa"/>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适用范围</w:t>
                  </w:r>
                </w:p>
              </w:tc>
              <w:tc>
                <w:tcPr>
                  <w:tcW w:w="3931" w:type="dxa"/>
                  <w:gridSpan w:val="2"/>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准入要求</w:t>
                  </w:r>
                </w:p>
              </w:tc>
              <w:tc>
                <w:tcPr>
                  <w:tcW w:w="2121" w:type="dxa"/>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本项目情况</w:t>
                  </w:r>
                </w:p>
              </w:tc>
              <w:tc>
                <w:tcPr>
                  <w:tcW w:w="571" w:type="dxa"/>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Ex>
              <w:trPr>
                <w:trHeight w:val="5769" w:hRule="atLeast"/>
                <w:jc w:val="center"/>
              </w:trPr>
              <w:tc>
                <w:tcPr>
                  <w:tcW w:w="636" w:type="dxa"/>
                  <w:vMerge w:val="restart"/>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全省陆域</w:t>
                  </w:r>
                </w:p>
              </w:tc>
              <w:tc>
                <w:tcPr>
                  <w:tcW w:w="464" w:type="dxa"/>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空间布局约束</w:t>
                  </w:r>
                </w:p>
              </w:tc>
              <w:tc>
                <w:tcPr>
                  <w:tcW w:w="3467" w:type="dxa"/>
                  <w:vAlign w:val="center"/>
                </w:tcPr>
                <w:p>
                  <w:pPr>
                    <w:pStyle w:val="78"/>
                    <w:keepNext w:val="0"/>
                    <w:keepLines w:val="0"/>
                    <w:suppressLineNumbers w:val="0"/>
                    <w:bidi w:val="0"/>
                    <w:spacing w:before="0" w:beforeAutospacing="0" w:after="0" w:afterAutospacing="0"/>
                    <w:ind w:left="0" w:right="0"/>
                    <w:jc w:val="both"/>
                    <w:rPr>
                      <w:rFonts w:hint="default"/>
                      <w:color w:val="auto"/>
                    </w:rPr>
                  </w:pPr>
                  <w:r>
                    <w:rPr>
                      <w:rFonts w:hint="default"/>
                      <w:color w:val="auto"/>
                    </w:rPr>
                    <w:t>1、石化、汽车、船舶、冶金、水泥、制浆造纸、印染等重点产业，要符合全省规划布局要求。</w:t>
                  </w:r>
                </w:p>
                <w:p>
                  <w:pPr>
                    <w:pStyle w:val="78"/>
                    <w:keepNext w:val="0"/>
                    <w:keepLines w:val="0"/>
                    <w:suppressLineNumbers w:val="0"/>
                    <w:bidi w:val="0"/>
                    <w:spacing w:before="0" w:beforeAutospacing="0" w:after="0" w:afterAutospacing="0"/>
                    <w:ind w:left="0" w:right="0"/>
                    <w:jc w:val="both"/>
                    <w:rPr>
                      <w:rFonts w:hint="default"/>
                      <w:color w:val="auto"/>
                    </w:rPr>
                  </w:pPr>
                  <w:r>
                    <w:rPr>
                      <w:rFonts w:hint="default"/>
                      <w:color w:val="auto"/>
                    </w:rPr>
                    <w:t>2、严控钢铁、水泥、平板玻璃等产能过剩行业新增产能，新增产能应实施产能等量或减量置换。</w:t>
                  </w:r>
                </w:p>
                <w:p>
                  <w:pPr>
                    <w:pStyle w:val="78"/>
                    <w:keepNext w:val="0"/>
                    <w:keepLines w:val="0"/>
                    <w:suppressLineNumbers w:val="0"/>
                    <w:bidi w:val="0"/>
                    <w:spacing w:before="0" w:beforeAutospacing="0" w:after="0" w:afterAutospacing="0"/>
                    <w:ind w:left="0" w:right="0"/>
                    <w:jc w:val="both"/>
                    <w:rPr>
                      <w:rFonts w:hint="default"/>
                      <w:color w:val="auto"/>
                    </w:rPr>
                  </w:pPr>
                  <w:r>
                    <w:rPr>
                      <w:rFonts w:hint="default"/>
                      <w:color w:val="auto"/>
                    </w:rPr>
                    <w:t>3、除列入国家规划的大型煤电和符合相关要求的等容量替代项目，以及以供热为主的热电联产项目外，原则上不再建设新的煤电项目。</w:t>
                  </w:r>
                </w:p>
                <w:p>
                  <w:pPr>
                    <w:pStyle w:val="78"/>
                    <w:keepNext w:val="0"/>
                    <w:keepLines w:val="0"/>
                    <w:suppressLineNumbers w:val="0"/>
                    <w:bidi w:val="0"/>
                    <w:spacing w:before="0" w:beforeAutospacing="0" w:after="0" w:afterAutospacing="0"/>
                    <w:ind w:left="0" w:right="0"/>
                    <w:jc w:val="both"/>
                    <w:rPr>
                      <w:rFonts w:hint="default"/>
                      <w:color w:val="auto"/>
                    </w:rPr>
                  </w:pPr>
                  <w:r>
                    <w:rPr>
                      <w:rFonts w:hint="default"/>
                      <w:color w:val="auto"/>
                    </w:rPr>
                    <w:t>4、氟化工产业应集中布局在《关于促进我省氟化工产业绿色高效发展的若干意见》中确定的园区，在上述园区之外不再新建氟化工项目，园区之外现有氟化工项目不再扩大规模。</w:t>
                  </w:r>
                </w:p>
                <w:p>
                  <w:pPr>
                    <w:pStyle w:val="78"/>
                    <w:keepNext w:val="0"/>
                    <w:keepLines w:val="0"/>
                    <w:suppressLineNumbers w:val="0"/>
                    <w:bidi w:val="0"/>
                    <w:spacing w:before="0" w:beforeAutospacing="0" w:after="0" w:afterAutospacing="0"/>
                    <w:ind w:left="0" w:right="0"/>
                    <w:jc w:val="both"/>
                    <w:rPr>
                      <w:rFonts w:hint="default"/>
                      <w:color w:val="auto"/>
                    </w:rPr>
                  </w:pPr>
                  <w:r>
                    <w:rPr>
                      <w:rFonts w:hint="default"/>
                      <w:color w:val="auto"/>
                    </w:rPr>
                    <w:t>5、禁止在水环境质量不能稳定达标的区域内，建设新增相应不达标污染物指标排放量的工业项目。</w:t>
                  </w:r>
                </w:p>
              </w:tc>
              <w:tc>
                <w:tcPr>
                  <w:tcW w:w="2121" w:type="dxa"/>
                  <w:vAlign w:val="center"/>
                </w:tcPr>
                <w:p>
                  <w:pPr>
                    <w:pStyle w:val="78"/>
                    <w:keepNext w:val="0"/>
                    <w:keepLines w:val="0"/>
                    <w:suppressLineNumbers w:val="0"/>
                    <w:bidi w:val="0"/>
                    <w:spacing w:before="0" w:beforeAutospacing="0" w:after="0" w:afterAutospacing="0"/>
                    <w:ind w:left="0" w:right="0"/>
                    <w:jc w:val="both"/>
                    <w:rPr>
                      <w:rFonts w:hint="eastAsia" w:eastAsia="宋体"/>
                      <w:color w:val="auto"/>
                      <w:lang w:eastAsia="zh-CN"/>
                    </w:rPr>
                  </w:pPr>
                  <w:r>
                    <w:rPr>
                      <w:rFonts w:hint="default"/>
                      <w:color w:val="auto"/>
                    </w:rPr>
                    <w:t>本项目主要</w:t>
                  </w:r>
                  <w:r>
                    <w:rPr>
                      <w:rFonts w:hint="eastAsia"/>
                      <w:color w:val="auto"/>
                      <w:lang w:val="en-US" w:eastAsia="zh-CN"/>
                    </w:rPr>
                    <w:t>从事水质检验检测服务</w:t>
                  </w:r>
                  <w:r>
                    <w:rPr>
                      <w:rFonts w:hint="default"/>
                      <w:color w:val="auto"/>
                    </w:rPr>
                    <w:t>，</w:t>
                  </w:r>
                  <w:r>
                    <w:rPr>
                      <w:rFonts w:hint="eastAsia"/>
                      <w:color w:val="auto"/>
                    </w:rPr>
                    <w:t>项目所在区域</w:t>
                  </w:r>
                  <w:r>
                    <w:rPr>
                      <w:rFonts w:hint="default"/>
                      <w:color w:val="auto"/>
                    </w:rPr>
                    <w:t>水环境质量能稳定达标</w:t>
                  </w:r>
                  <w:r>
                    <w:rPr>
                      <w:rFonts w:hint="eastAsia"/>
                      <w:color w:val="auto"/>
                    </w:rPr>
                    <w:t>，</w:t>
                  </w:r>
                  <w:r>
                    <w:rPr>
                      <w:rFonts w:hint="default"/>
                      <w:color w:val="auto"/>
                    </w:rPr>
                    <w:t>项目建设与空间布局约束要求不相冲突</w:t>
                  </w:r>
                  <w:r>
                    <w:rPr>
                      <w:rFonts w:hint="eastAsia"/>
                      <w:color w:val="auto"/>
                      <w:lang w:eastAsia="zh-CN"/>
                    </w:rPr>
                    <w:t>。</w:t>
                  </w:r>
                </w:p>
              </w:tc>
              <w:tc>
                <w:tcPr>
                  <w:tcW w:w="571" w:type="dxa"/>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Ex>
              <w:trPr>
                <w:trHeight w:val="6207" w:hRule="atLeast"/>
                <w:jc w:val="center"/>
              </w:trPr>
              <w:tc>
                <w:tcPr>
                  <w:tcW w:w="636" w:type="dxa"/>
                  <w:vMerge w:val="continue"/>
                  <w:vAlign w:val="center"/>
                </w:tcPr>
                <w:p>
                  <w:pPr>
                    <w:pStyle w:val="78"/>
                    <w:keepNext w:val="0"/>
                    <w:keepLines w:val="0"/>
                    <w:suppressLineNumbers w:val="0"/>
                    <w:bidi w:val="0"/>
                    <w:spacing w:before="0" w:beforeAutospacing="0" w:after="0" w:afterAutospacing="0"/>
                    <w:ind w:left="0" w:right="0"/>
                    <w:jc w:val="center"/>
                    <w:rPr>
                      <w:rFonts w:hint="default"/>
                      <w:color w:val="auto"/>
                    </w:rPr>
                  </w:pPr>
                </w:p>
              </w:tc>
              <w:tc>
                <w:tcPr>
                  <w:tcW w:w="464" w:type="dxa"/>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污染物排放管控</w:t>
                  </w:r>
                </w:p>
              </w:tc>
              <w:tc>
                <w:tcPr>
                  <w:tcW w:w="3467" w:type="dxa"/>
                  <w:vAlign w:val="center"/>
                </w:tcPr>
                <w:p>
                  <w:pPr>
                    <w:pStyle w:val="78"/>
                    <w:keepNext w:val="0"/>
                    <w:keepLines w:val="0"/>
                    <w:suppressLineNumbers w:val="0"/>
                    <w:bidi w:val="0"/>
                    <w:spacing w:before="0" w:beforeAutospacing="0" w:after="0" w:afterAutospacing="0"/>
                    <w:ind w:left="0" w:right="0"/>
                    <w:jc w:val="both"/>
                    <w:rPr>
                      <w:rFonts w:hint="default"/>
                      <w:color w:val="auto"/>
                    </w:rPr>
                  </w:pPr>
                  <w:r>
                    <w:rPr>
                      <w:rFonts w:hint="default"/>
                      <w:color w:val="auto"/>
                    </w:rPr>
                    <w:t>1、建设项目新增的主要污染物排放量应按要求实行等量或倍量替代。涉及总磷排放的建设项目应按照要求实行总磷排放量倍量或等量削减替代。涉及重金属重点行业建设项目新增的重点重金属污染物应按要求实行</w:t>
                  </w:r>
                  <w:r>
                    <w:rPr>
                      <w:rFonts w:hint="eastAsia"/>
                      <w:color w:val="auto"/>
                      <w:lang w:eastAsia="zh-CN"/>
                    </w:rPr>
                    <w:t>“</w:t>
                  </w:r>
                  <w:r>
                    <w:rPr>
                      <w:rFonts w:hint="default"/>
                      <w:color w:val="auto"/>
                    </w:rPr>
                    <w:t>减量置换</w:t>
                  </w:r>
                  <w:r>
                    <w:rPr>
                      <w:rFonts w:hint="eastAsia"/>
                      <w:color w:val="auto"/>
                      <w:lang w:eastAsia="zh-CN"/>
                    </w:rPr>
                    <w:t>”</w:t>
                  </w:r>
                  <w:r>
                    <w:rPr>
                      <w:rFonts w:hint="default"/>
                      <w:color w:val="auto"/>
                    </w:rPr>
                    <w:t>或等量替换"。涉新增VOC</w:t>
                  </w:r>
                  <w:r>
                    <w:rPr>
                      <w:rFonts w:hint="eastAsia"/>
                      <w:color w:val="auto"/>
                      <w:lang w:val="en-US" w:eastAsia="zh-CN"/>
                    </w:rPr>
                    <w:t>s</w:t>
                  </w:r>
                  <w:r>
                    <w:rPr>
                      <w:rFonts w:hint="default"/>
                      <w:color w:val="auto"/>
                    </w:rPr>
                    <w:t>排放项目，VOCS排放实行区域内等量替代。福州、厦门、漳州、泉州、莆田、宁德等6个重点控制区可实施倍量替代。</w:t>
                  </w:r>
                </w:p>
                <w:p>
                  <w:pPr>
                    <w:pStyle w:val="78"/>
                    <w:keepNext w:val="0"/>
                    <w:keepLines w:val="0"/>
                    <w:suppressLineNumbers w:val="0"/>
                    <w:bidi w:val="0"/>
                    <w:spacing w:before="0" w:beforeAutospacing="0" w:after="0" w:afterAutospacing="0"/>
                    <w:ind w:left="0" w:right="0"/>
                    <w:jc w:val="both"/>
                    <w:rPr>
                      <w:rFonts w:hint="default"/>
                      <w:color w:val="auto"/>
                    </w:rPr>
                  </w:pPr>
                  <w:r>
                    <w:rPr>
                      <w:rFonts w:hint="default"/>
                      <w:color w:val="auto"/>
                    </w:rPr>
                    <w:t>2、新建水泥、有色金属项目应执行大气污染物特别排放限值，钢铁项目应执行超低排放指标要求，火电项目应达到超低排放限值。</w:t>
                  </w:r>
                </w:p>
                <w:p>
                  <w:pPr>
                    <w:pStyle w:val="78"/>
                    <w:keepNext w:val="0"/>
                    <w:keepLines w:val="0"/>
                    <w:suppressLineNumbers w:val="0"/>
                    <w:bidi w:val="0"/>
                    <w:spacing w:before="0" w:beforeAutospacing="0" w:after="0" w:afterAutospacing="0"/>
                    <w:ind w:left="0" w:right="0"/>
                    <w:jc w:val="both"/>
                    <w:rPr>
                      <w:rFonts w:hint="default"/>
                      <w:color w:val="auto"/>
                    </w:rPr>
                  </w:pPr>
                  <w:r>
                    <w:rPr>
                      <w:rFonts w:hint="default"/>
                      <w:color w:val="auto"/>
                    </w:rPr>
                    <w:t>3、尾水排入近岸海域汇水区域、</w:t>
                  </w:r>
                  <w:r>
                    <w:rPr>
                      <w:rFonts w:hint="eastAsia"/>
                      <w:color w:val="auto"/>
                      <w:lang w:eastAsia="zh-CN"/>
                    </w:rPr>
                    <w:t>“</w:t>
                  </w:r>
                  <w:r>
                    <w:rPr>
                      <w:rFonts w:hint="default"/>
                      <w:color w:val="auto"/>
                    </w:rPr>
                    <w:t>六江两溪</w:t>
                  </w:r>
                  <w:r>
                    <w:rPr>
                      <w:rFonts w:hint="eastAsia"/>
                      <w:color w:val="auto"/>
                      <w:lang w:eastAsia="zh-CN"/>
                    </w:rPr>
                    <w:t>”</w:t>
                  </w:r>
                  <w:r>
                    <w:rPr>
                      <w:rFonts w:hint="default"/>
                      <w:color w:val="auto"/>
                    </w:rPr>
                    <w:t>流域以及湖泊、水库等封闭、半封闭水域的城镇污水处理设施执行不低于一级 A 排放标准。</w:t>
                  </w:r>
                </w:p>
              </w:tc>
              <w:tc>
                <w:tcPr>
                  <w:tcW w:w="2121" w:type="dxa"/>
                  <w:vAlign w:val="center"/>
                </w:tcPr>
                <w:p>
                  <w:pPr>
                    <w:pStyle w:val="78"/>
                    <w:keepNext w:val="0"/>
                    <w:keepLines w:val="0"/>
                    <w:suppressLineNumbers w:val="0"/>
                    <w:bidi w:val="0"/>
                    <w:spacing w:before="0" w:beforeAutospacing="0" w:after="0" w:afterAutospacing="0"/>
                    <w:ind w:left="0" w:right="0"/>
                    <w:jc w:val="both"/>
                    <w:rPr>
                      <w:rFonts w:hint="eastAsia"/>
                      <w:color w:val="auto"/>
                      <w:sz w:val="21"/>
                      <w:szCs w:val="21"/>
                    </w:rPr>
                  </w:pPr>
                  <w:r>
                    <w:rPr>
                      <w:rFonts w:hint="default"/>
                      <w:color w:val="auto"/>
                      <w:sz w:val="21"/>
                      <w:szCs w:val="21"/>
                    </w:rPr>
                    <w:t>1、项目位于</w:t>
                  </w:r>
                  <w:r>
                    <w:rPr>
                      <w:rFonts w:hint="eastAsia" w:cs="宋体"/>
                      <w:color w:val="auto"/>
                      <w:spacing w:val="0"/>
                      <w:kern w:val="21"/>
                      <w:sz w:val="21"/>
                      <w:szCs w:val="21"/>
                      <w:lang w:val="en-US" w:eastAsia="zh-CN"/>
                    </w:rPr>
                    <w:t>福清融侨经济技术开发区(福清洪金机械有限公司办公楼4层、5层)</w:t>
                  </w:r>
                  <w:r>
                    <w:rPr>
                      <w:rFonts w:hint="default"/>
                      <w:color w:val="auto"/>
                      <w:sz w:val="21"/>
                      <w:szCs w:val="21"/>
                    </w:rPr>
                    <w:t>，属于其规定的污染物管控区域。项目</w:t>
                  </w:r>
                  <w:r>
                    <w:rPr>
                      <w:rFonts w:hint="eastAsia"/>
                      <w:color w:val="auto"/>
                      <w:sz w:val="21"/>
                      <w:szCs w:val="21"/>
                    </w:rPr>
                    <w:t>涉及</w:t>
                  </w:r>
                  <w:r>
                    <w:rPr>
                      <w:rFonts w:hint="default"/>
                      <w:color w:val="auto"/>
                      <w:sz w:val="21"/>
                      <w:szCs w:val="21"/>
                    </w:rPr>
                    <w:t>VOC</w:t>
                  </w:r>
                  <w:r>
                    <w:rPr>
                      <w:rFonts w:hint="eastAsia"/>
                      <w:color w:val="auto"/>
                      <w:sz w:val="21"/>
                      <w:szCs w:val="21"/>
                      <w:lang w:val="en-US" w:eastAsia="zh-CN"/>
                    </w:rPr>
                    <w:t>s</w:t>
                  </w:r>
                  <w:r>
                    <w:rPr>
                      <w:rFonts w:hint="default"/>
                      <w:color w:val="auto"/>
                      <w:sz w:val="21"/>
                      <w:szCs w:val="21"/>
                    </w:rPr>
                    <w:t>排放</w:t>
                  </w:r>
                  <w:r>
                    <w:rPr>
                      <w:rFonts w:hint="eastAsia"/>
                      <w:color w:val="auto"/>
                      <w:sz w:val="21"/>
                      <w:szCs w:val="21"/>
                    </w:rPr>
                    <w:t>，需</w:t>
                  </w:r>
                  <w:r>
                    <w:rPr>
                      <w:rFonts w:hint="default"/>
                      <w:color w:val="auto"/>
                      <w:sz w:val="21"/>
                      <w:szCs w:val="21"/>
                    </w:rPr>
                    <w:t>实施倍量替代</w:t>
                  </w:r>
                  <w:r>
                    <w:rPr>
                      <w:rFonts w:hint="eastAsia"/>
                      <w:color w:val="auto"/>
                      <w:sz w:val="21"/>
                      <w:szCs w:val="21"/>
                    </w:rPr>
                    <w:t>。</w:t>
                  </w:r>
                </w:p>
                <w:p>
                  <w:pPr>
                    <w:pStyle w:val="78"/>
                    <w:keepNext w:val="0"/>
                    <w:keepLines w:val="0"/>
                    <w:suppressLineNumbers w:val="0"/>
                    <w:bidi w:val="0"/>
                    <w:spacing w:before="0" w:beforeAutospacing="0" w:after="0" w:afterAutospacing="0"/>
                    <w:ind w:left="0" w:right="0"/>
                    <w:jc w:val="both"/>
                    <w:rPr>
                      <w:rFonts w:hint="default"/>
                      <w:color w:val="auto"/>
                      <w:sz w:val="21"/>
                      <w:szCs w:val="21"/>
                    </w:rPr>
                  </w:pPr>
                  <w:r>
                    <w:rPr>
                      <w:rFonts w:hint="default"/>
                      <w:color w:val="auto"/>
                      <w:sz w:val="21"/>
                      <w:szCs w:val="21"/>
                    </w:rPr>
                    <w:t>2、项目主要</w:t>
                  </w:r>
                  <w:r>
                    <w:rPr>
                      <w:rFonts w:hint="eastAsia"/>
                      <w:color w:val="auto"/>
                      <w:sz w:val="21"/>
                      <w:szCs w:val="21"/>
                      <w:lang w:val="en-US" w:eastAsia="zh-CN"/>
                    </w:rPr>
                    <w:t>从事</w:t>
                  </w:r>
                  <w:r>
                    <w:rPr>
                      <w:rFonts w:hint="eastAsia"/>
                      <w:color w:val="auto"/>
                      <w:lang w:val="en-US" w:eastAsia="zh-CN"/>
                    </w:rPr>
                    <w:t>水质检验检测服务</w:t>
                  </w:r>
                  <w:r>
                    <w:rPr>
                      <w:rFonts w:hint="default"/>
                      <w:color w:val="auto"/>
                      <w:sz w:val="21"/>
                      <w:szCs w:val="21"/>
                    </w:rPr>
                    <w:t>，不涉及水泥、有色金属、钢铁、火电项目。</w:t>
                  </w:r>
                </w:p>
                <w:p>
                  <w:pPr>
                    <w:pStyle w:val="78"/>
                    <w:keepNext w:val="0"/>
                    <w:keepLines w:val="0"/>
                    <w:suppressLineNumbers w:val="0"/>
                    <w:bidi w:val="0"/>
                    <w:spacing w:before="0" w:beforeAutospacing="0" w:after="0" w:afterAutospacing="0"/>
                    <w:ind w:left="0" w:right="0"/>
                    <w:jc w:val="both"/>
                    <w:rPr>
                      <w:rFonts w:hint="eastAsia" w:eastAsia="宋体"/>
                      <w:color w:val="auto"/>
                      <w:lang w:eastAsia="zh-CN"/>
                    </w:rPr>
                  </w:pPr>
                  <w:r>
                    <w:rPr>
                      <w:rFonts w:hint="default"/>
                      <w:color w:val="auto"/>
                      <w:sz w:val="21"/>
                      <w:szCs w:val="21"/>
                    </w:rPr>
                    <w:t>3、项目</w:t>
                  </w:r>
                  <w:r>
                    <w:rPr>
                      <w:rFonts w:hint="eastAsia"/>
                      <w:color w:val="auto"/>
                      <w:sz w:val="21"/>
                      <w:szCs w:val="21"/>
                      <w:lang w:val="en-US" w:eastAsia="zh-CN"/>
                    </w:rPr>
                    <w:t>清洗废水经过废水处理设施处理达标后与生活污水</w:t>
                  </w:r>
                  <w:r>
                    <w:rPr>
                      <w:rFonts w:hint="default"/>
                      <w:color w:val="auto"/>
                      <w:sz w:val="21"/>
                      <w:szCs w:val="21"/>
                    </w:rPr>
                    <w:t>排入市政污水管网，尾水排放达一级A排放标准</w:t>
                  </w:r>
                  <w:r>
                    <w:rPr>
                      <w:rFonts w:hint="eastAsia"/>
                      <w:color w:val="auto"/>
                      <w:sz w:val="21"/>
                      <w:szCs w:val="21"/>
                      <w:lang w:eastAsia="zh-CN"/>
                    </w:rPr>
                    <w:t>。</w:t>
                  </w:r>
                </w:p>
              </w:tc>
              <w:tc>
                <w:tcPr>
                  <w:tcW w:w="571" w:type="dxa"/>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符合</w:t>
                  </w:r>
                </w:p>
              </w:tc>
            </w:tr>
          </w:tbl>
          <w:p>
            <w:pPr>
              <w:pStyle w:val="18"/>
              <w:keepNext w:val="0"/>
              <w:keepLines w:val="0"/>
              <w:suppressLineNumbers w:val="0"/>
              <w:bidi w:val="0"/>
              <w:spacing w:before="0" w:beforeAutospacing="0" w:after="0" w:afterAutospacing="0"/>
              <w:ind w:left="0" w:right="0" w:firstLine="480" w:firstLineChars="200"/>
              <w:jc w:val="both"/>
              <w:rPr>
                <w:rFonts w:hint="default"/>
                <w:color w:val="auto"/>
              </w:rPr>
            </w:pPr>
            <w:r>
              <w:rPr>
                <w:rFonts w:hint="eastAsia"/>
                <w:color w:val="auto"/>
                <w:lang w:eastAsia="zh-CN"/>
              </w:rPr>
              <w:t>（</w:t>
            </w:r>
            <w:r>
              <w:rPr>
                <w:rFonts w:hint="eastAsia"/>
                <w:color w:val="auto"/>
              </w:rPr>
              <w:t>2</w:t>
            </w:r>
            <w:r>
              <w:rPr>
                <w:rFonts w:hint="eastAsia"/>
                <w:color w:val="auto"/>
                <w:lang w:eastAsia="zh-CN"/>
              </w:rPr>
              <w:t>）</w:t>
            </w:r>
            <w:r>
              <w:rPr>
                <w:rFonts w:hint="default"/>
                <w:color w:val="auto"/>
              </w:rPr>
              <w:t>与</w:t>
            </w:r>
            <w:r>
              <w:rPr>
                <w:rFonts w:hint="default"/>
                <w:color w:val="auto"/>
                <w:lang w:val="en-GB"/>
              </w:rPr>
              <w:t>《福州市人民政府关于实施</w:t>
            </w:r>
            <w:r>
              <w:rPr>
                <w:rFonts w:hint="eastAsia"/>
                <w:color w:val="auto"/>
                <w:lang w:val="en-GB" w:eastAsia="zh-CN"/>
              </w:rPr>
              <w:t>“</w:t>
            </w:r>
            <w:r>
              <w:rPr>
                <w:rFonts w:hint="default"/>
                <w:color w:val="auto"/>
                <w:lang w:val="en-GB"/>
              </w:rPr>
              <w:t>三线一单</w:t>
            </w:r>
            <w:r>
              <w:rPr>
                <w:rFonts w:hint="eastAsia"/>
                <w:color w:val="auto"/>
                <w:lang w:val="en-GB" w:eastAsia="zh-CN"/>
              </w:rPr>
              <w:t>”</w:t>
            </w:r>
            <w:r>
              <w:rPr>
                <w:rFonts w:hint="default"/>
                <w:color w:val="auto"/>
                <w:lang w:val="en-GB"/>
              </w:rPr>
              <w:t>生态分区管控的通知》</w:t>
            </w:r>
            <w:r>
              <w:rPr>
                <w:rFonts w:hint="default"/>
                <w:color w:val="auto"/>
              </w:rPr>
              <w:t>符合性分析</w:t>
            </w:r>
          </w:p>
          <w:p>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szCs w:val="24"/>
                <w:highlight w:val="none"/>
              </w:rPr>
            </w:pPr>
            <w:r>
              <w:rPr>
                <w:rFonts w:hint="eastAsia"/>
                <w:b/>
                <w:bCs/>
                <w:color w:val="auto"/>
                <w:sz w:val="24"/>
                <w:highlight w:val="none"/>
              </w:rPr>
              <w:t>1.</w:t>
            </w:r>
            <w:r>
              <w:rPr>
                <w:rFonts w:hint="default" w:ascii="Times New Roman" w:hAnsi="Times New Roman" w:eastAsia="宋体" w:cs="Times New Roman"/>
                <w:b/>
                <w:bCs/>
                <w:color w:val="auto"/>
                <w:sz w:val="24"/>
                <w:szCs w:val="24"/>
                <w:highlight w:val="none"/>
              </w:rPr>
              <w:t>生态保护红线符合性分析</w:t>
            </w:r>
          </w:p>
          <w:p>
            <w:pPr>
              <w:pStyle w:val="18"/>
              <w:keepNext w:val="0"/>
              <w:keepLines w:val="0"/>
              <w:suppressLineNumbers w:val="0"/>
              <w:bidi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z w:val="24"/>
                <w:szCs w:val="20"/>
              </w:rPr>
            </w:pPr>
            <w:r>
              <w:rPr>
                <w:rFonts w:hint="default" w:ascii="Times New Roman" w:hAnsi="Times New Roman" w:eastAsia="宋体" w:cs="Times New Roman"/>
                <w:color w:val="auto"/>
                <w:sz w:val="24"/>
                <w:szCs w:val="20"/>
              </w:rPr>
              <w:t>对照</w:t>
            </w:r>
            <w:r>
              <w:rPr>
                <w:rFonts w:hint="default" w:ascii="Times New Roman" w:hAnsi="Times New Roman" w:eastAsia="宋体" w:cs="Times New Roman"/>
                <w:color w:val="auto"/>
                <w:sz w:val="24"/>
                <w:szCs w:val="20"/>
                <w:lang w:val="en-US" w:eastAsia="zh-CN"/>
              </w:rPr>
              <w:t>福州市人民政府办公厅关于印发《福州市生态环境分区管控方案（2023年更新）》的通知</w:t>
            </w:r>
            <w:r>
              <w:rPr>
                <w:rFonts w:hint="eastAsia" w:ascii="Times New Roman" w:hAnsi="Times New Roman" w:eastAsia="宋体" w:cs="Times New Roman"/>
                <w:color w:val="auto"/>
                <w:sz w:val="24"/>
                <w:szCs w:val="20"/>
                <w:lang w:val="en-US" w:eastAsia="zh-CN"/>
              </w:rPr>
              <w:t>（榕政办规〔2024〕20号）</w:t>
            </w:r>
            <w:r>
              <w:rPr>
                <w:rFonts w:hint="default" w:ascii="Times New Roman" w:hAnsi="Times New Roman" w:eastAsia="宋体" w:cs="Times New Roman"/>
                <w:color w:val="auto"/>
                <w:sz w:val="24"/>
                <w:szCs w:val="20"/>
              </w:rPr>
              <w:t>，本项目位于</w:t>
            </w:r>
            <w:r>
              <w:rPr>
                <w:rFonts w:hint="eastAsia" w:ascii="Times New Roman" w:hAnsi="Times New Roman" w:eastAsia="宋体" w:cs="Times New Roman"/>
                <w:color w:val="auto"/>
                <w:sz w:val="24"/>
                <w:szCs w:val="20"/>
                <w:lang w:val="en-US" w:eastAsia="zh-CN"/>
              </w:rPr>
              <w:t>福清融侨经济技术开发区</w:t>
            </w:r>
            <w:r>
              <w:rPr>
                <w:rFonts w:hint="eastAsia" w:ascii="Times New Roman" w:hAnsi="Times New Roman" w:eastAsia="宋体" w:cs="Times New Roman"/>
                <w:color w:val="auto"/>
                <w:sz w:val="24"/>
                <w:szCs w:val="20"/>
                <w:lang w:eastAsia="zh-CN"/>
              </w:rPr>
              <w:t>，</w:t>
            </w:r>
            <w:r>
              <w:rPr>
                <w:rFonts w:hint="eastAsia" w:ascii="Times New Roman" w:hAnsi="Times New Roman" w:eastAsia="宋体" w:cs="Times New Roman"/>
                <w:color w:val="auto"/>
                <w:sz w:val="24"/>
                <w:szCs w:val="20"/>
              </w:rPr>
              <w:t>根据本项目</w:t>
            </w:r>
            <w:r>
              <w:rPr>
                <w:rFonts w:hint="eastAsia" w:ascii="Times New Roman" w:hAnsi="Times New Roman" w:eastAsia="宋体" w:cs="Times New Roman"/>
                <w:color w:val="auto"/>
                <w:sz w:val="24"/>
                <w:szCs w:val="20"/>
                <w:lang w:val="en-US" w:eastAsia="zh-CN"/>
              </w:rPr>
              <w:t>三线一</w:t>
            </w:r>
            <w:r>
              <w:rPr>
                <w:rFonts w:hint="eastAsia" w:ascii="Times New Roman" w:hAnsi="Times New Roman" w:eastAsia="宋体" w:cs="Times New Roman"/>
                <w:color w:val="auto"/>
                <w:sz w:val="24"/>
                <w:lang w:val="en-US" w:eastAsia="zh-CN"/>
              </w:rPr>
              <w:t>单综合查询报告（附件</w:t>
            </w:r>
            <w:r>
              <w:rPr>
                <w:rFonts w:hint="eastAsia" w:ascii="Times New Roman" w:hAnsi="Times New Roman" w:cs="Times New Roman"/>
                <w:color w:val="auto"/>
                <w:sz w:val="24"/>
                <w:lang w:val="en-US" w:eastAsia="zh-CN"/>
              </w:rPr>
              <w:t>5</w:t>
            </w:r>
            <w:r>
              <w:rPr>
                <w:rFonts w:hint="eastAsia"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szCs w:val="20"/>
              </w:rPr>
              <w:t>，本项目占地范围不涉及生态保护红线，</w:t>
            </w:r>
            <w:r>
              <w:rPr>
                <w:rFonts w:hint="default" w:ascii="Times New Roman" w:hAnsi="Times New Roman" w:eastAsia="宋体" w:cs="Times New Roman"/>
                <w:color w:val="auto"/>
                <w:sz w:val="24"/>
                <w:szCs w:val="20"/>
              </w:rPr>
              <w:t>项目建设符合生态红线控制的要求</w:t>
            </w:r>
            <w:r>
              <w:rPr>
                <w:rFonts w:hint="eastAsia" w:ascii="Times New Roman" w:hAnsi="Times New Roman" w:eastAsia="宋体" w:cs="Times New Roman"/>
                <w:color w:val="auto"/>
                <w:sz w:val="24"/>
                <w:szCs w:val="20"/>
              </w:rPr>
              <w:t>。</w:t>
            </w:r>
          </w:p>
          <w:p>
            <w:pPr>
              <w:pStyle w:val="14"/>
              <w:keepNext w:val="0"/>
              <w:keepLines w:val="0"/>
              <w:widowControl w:val="0"/>
              <w:suppressLineNumbers w:val="0"/>
              <w:shd w:val="clear" w:color="auto" w:fill="auto"/>
              <w:topLinePunct/>
              <w:spacing w:before="0" w:beforeAutospacing="0" w:after="0" w:afterAutospacing="0" w:line="360" w:lineRule="auto"/>
              <w:ind w:left="0" w:right="0" w:firstLine="480"/>
              <w:jc w:val="both"/>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环境质量底线符合性分析</w:t>
            </w:r>
          </w:p>
          <w:p>
            <w:pPr>
              <w:pStyle w:val="18"/>
              <w:keepNext w:val="0"/>
              <w:keepLines w:val="0"/>
              <w:suppressLineNumbers w:val="0"/>
              <w:bidi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sz w:val="24"/>
                <w:szCs w:val="20"/>
                <w:lang w:val="en-US" w:eastAsia="zh-CN"/>
              </w:rPr>
            </w:pPr>
            <w:r>
              <w:rPr>
                <w:rFonts w:hint="default" w:ascii="Times New Roman" w:hAnsi="Times New Roman" w:eastAsia="宋体" w:cs="Times New Roman"/>
                <w:color w:val="auto"/>
                <w:sz w:val="24"/>
                <w:szCs w:val="20"/>
                <w:lang w:val="en-US" w:eastAsia="zh-CN"/>
              </w:rPr>
              <w:t>①水环境质量底线</w:t>
            </w:r>
          </w:p>
          <w:p>
            <w:pPr>
              <w:pStyle w:val="18"/>
              <w:keepNext w:val="0"/>
              <w:keepLines w:val="0"/>
              <w:suppressLineNumbers w:val="0"/>
              <w:bidi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sz w:val="24"/>
                <w:szCs w:val="20"/>
                <w:lang w:val="en-US" w:eastAsia="zh-CN"/>
              </w:rPr>
            </w:pPr>
            <w:r>
              <w:rPr>
                <w:rFonts w:hint="default" w:ascii="Times New Roman" w:hAnsi="Times New Roman" w:eastAsia="宋体" w:cs="Times New Roman"/>
                <w:color w:val="auto"/>
                <w:sz w:val="24"/>
                <w:szCs w:val="20"/>
                <w:lang w:val="en-US" w:eastAsia="zh-CN"/>
              </w:rPr>
              <w:t>项目所在区域属于《福州市人民政府关于实施“三线一单”生态分区管控的通知》中划定的水环境</w:t>
            </w:r>
            <w:r>
              <w:rPr>
                <w:rFonts w:hint="eastAsia" w:ascii="Times New Roman" w:hAnsi="Times New Roman" w:eastAsia="宋体" w:cs="Times New Roman"/>
                <w:color w:val="auto"/>
                <w:sz w:val="24"/>
                <w:szCs w:val="20"/>
                <w:lang w:val="en-US" w:eastAsia="zh-CN"/>
              </w:rPr>
              <w:t>工业污染重点</w:t>
            </w:r>
            <w:r>
              <w:rPr>
                <w:rFonts w:hint="default" w:ascii="Times New Roman" w:hAnsi="Times New Roman" w:eastAsia="宋体" w:cs="Times New Roman"/>
                <w:color w:val="auto"/>
                <w:sz w:val="24"/>
                <w:szCs w:val="20"/>
                <w:lang w:val="en-US" w:eastAsia="zh-CN"/>
              </w:rPr>
              <w:t>管控区。水环境质量底线目标为：到2025年，国省控断面水质优良</w:t>
            </w:r>
            <w:r>
              <w:rPr>
                <w:rFonts w:hint="eastAsia" w:ascii="Times New Roman" w:hAnsi="Times New Roman" w:eastAsia="宋体" w:cs="Times New Roman"/>
                <w:color w:val="auto"/>
                <w:sz w:val="24"/>
                <w:szCs w:val="20"/>
                <w:lang w:val="en-US" w:eastAsia="zh-CN"/>
              </w:rPr>
              <w:t>(</w:t>
            </w:r>
            <w:r>
              <w:rPr>
                <w:rFonts w:hint="default" w:ascii="Times New Roman" w:hAnsi="Times New Roman" w:eastAsia="宋体" w:cs="Times New Roman"/>
                <w:color w:val="auto"/>
                <w:sz w:val="24"/>
                <w:szCs w:val="20"/>
                <w:lang w:val="en-US" w:eastAsia="zh-CN"/>
              </w:rPr>
              <w:t>达到或优于Ⅲ类</w:t>
            </w:r>
            <w:r>
              <w:rPr>
                <w:rFonts w:hint="eastAsia" w:ascii="Times New Roman" w:hAnsi="Times New Roman" w:eastAsia="宋体" w:cs="Times New Roman"/>
                <w:color w:val="auto"/>
                <w:sz w:val="24"/>
                <w:szCs w:val="20"/>
                <w:lang w:val="en-US" w:eastAsia="zh-CN"/>
              </w:rPr>
              <w:t>)</w:t>
            </w:r>
            <w:r>
              <w:rPr>
                <w:rFonts w:hint="default" w:ascii="Times New Roman" w:hAnsi="Times New Roman" w:eastAsia="宋体" w:cs="Times New Roman"/>
                <w:color w:val="auto"/>
                <w:sz w:val="24"/>
                <w:szCs w:val="20"/>
                <w:lang w:val="en-US" w:eastAsia="zh-CN"/>
              </w:rPr>
              <w:t>比例总体达到90.0%，福清海口桥断面水质稳定达到Ⅳ类；县级以上集中式饮用水水源水质达标率达100%。到2030年，国省控断面水质优良</w:t>
            </w:r>
            <w:r>
              <w:rPr>
                <w:rFonts w:hint="eastAsia" w:ascii="Times New Roman" w:hAnsi="Times New Roman" w:eastAsia="宋体" w:cs="Times New Roman"/>
                <w:color w:val="auto"/>
                <w:sz w:val="24"/>
                <w:szCs w:val="20"/>
                <w:lang w:val="en-US" w:eastAsia="zh-CN"/>
              </w:rPr>
              <w:t>(</w:t>
            </w:r>
            <w:r>
              <w:rPr>
                <w:rFonts w:hint="default" w:ascii="Times New Roman" w:hAnsi="Times New Roman" w:eastAsia="宋体" w:cs="Times New Roman"/>
                <w:color w:val="auto"/>
                <w:sz w:val="24"/>
                <w:szCs w:val="20"/>
                <w:lang w:val="en-US" w:eastAsia="zh-CN"/>
              </w:rPr>
              <w:t>达到或优于Ⅲ类</w:t>
            </w:r>
            <w:r>
              <w:rPr>
                <w:rFonts w:hint="eastAsia" w:ascii="Times New Roman" w:hAnsi="Times New Roman" w:eastAsia="宋体" w:cs="Times New Roman"/>
                <w:color w:val="auto"/>
                <w:sz w:val="24"/>
                <w:szCs w:val="20"/>
                <w:lang w:val="en-US" w:eastAsia="zh-CN"/>
              </w:rPr>
              <w:t>)</w:t>
            </w:r>
            <w:r>
              <w:rPr>
                <w:rFonts w:hint="default" w:ascii="Times New Roman" w:hAnsi="Times New Roman" w:eastAsia="宋体" w:cs="Times New Roman"/>
                <w:color w:val="auto"/>
                <w:sz w:val="24"/>
                <w:szCs w:val="20"/>
                <w:lang w:val="en-US" w:eastAsia="zh-CN"/>
              </w:rPr>
              <w:t>比例总体达到90.0%；县级以上城市建成区黑臭水体总体得到消除；县级以上集中式饮用水水源水质达标率达100%。到2035年，国省考断面水质优良</w:t>
            </w:r>
            <w:r>
              <w:rPr>
                <w:rFonts w:hint="eastAsia" w:ascii="Times New Roman" w:hAnsi="Times New Roman" w:eastAsia="宋体" w:cs="Times New Roman"/>
                <w:color w:val="auto"/>
                <w:sz w:val="24"/>
                <w:szCs w:val="20"/>
                <w:lang w:val="en-US" w:eastAsia="zh-CN"/>
              </w:rPr>
              <w:t>(</w:t>
            </w:r>
            <w:r>
              <w:rPr>
                <w:rFonts w:hint="default" w:ascii="Times New Roman" w:hAnsi="Times New Roman" w:eastAsia="宋体" w:cs="Times New Roman"/>
                <w:color w:val="auto"/>
                <w:sz w:val="24"/>
                <w:szCs w:val="20"/>
                <w:lang w:val="en-US" w:eastAsia="zh-CN"/>
              </w:rPr>
              <w:t>达到或优于Ⅲ类</w:t>
            </w:r>
            <w:r>
              <w:rPr>
                <w:rFonts w:hint="eastAsia" w:ascii="Times New Roman" w:hAnsi="Times New Roman" w:eastAsia="宋体" w:cs="Times New Roman"/>
                <w:color w:val="auto"/>
                <w:sz w:val="24"/>
                <w:szCs w:val="20"/>
                <w:lang w:val="en-US" w:eastAsia="zh-CN"/>
              </w:rPr>
              <w:t>)</w:t>
            </w:r>
            <w:r>
              <w:rPr>
                <w:rFonts w:hint="default" w:ascii="Times New Roman" w:hAnsi="Times New Roman" w:eastAsia="宋体" w:cs="Times New Roman"/>
                <w:color w:val="auto"/>
                <w:sz w:val="24"/>
                <w:szCs w:val="20"/>
                <w:lang w:val="en-US" w:eastAsia="zh-CN"/>
              </w:rPr>
              <w:t>比例总体达到95.0%；生态系统实现良性循环。</w:t>
            </w:r>
          </w:p>
          <w:p>
            <w:pPr>
              <w:pStyle w:val="18"/>
              <w:keepNext w:val="0"/>
              <w:keepLines w:val="0"/>
              <w:suppressLineNumbers w:val="0"/>
              <w:bidi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z w:val="24"/>
                <w:szCs w:val="20"/>
                <w:lang w:val="en-US" w:eastAsia="zh-CN"/>
              </w:rPr>
            </w:pPr>
            <w:r>
              <w:rPr>
                <w:rFonts w:hint="default" w:ascii="Times New Roman" w:hAnsi="Times New Roman" w:eastAsia="宋体" w:cs="Times New Roman"/>
                <w:color w:val="auto"/>
                <w:sz w:val="24"/>
                <w:szCs w:val="20"/>
                <w:lang w:val="en-US" w:eastAsia="zh-CN"/>
              </w:rPr>
              <w:t>本项目</w:t>
            </w:r>
            <w:r>
              <w:rPr>
                <w:rFonts w:hint="eastAsia"/>
                <w:color w:val="auto"/>
                <w:lang w:eastAsia="zh-CN"/>
              </w:rPr>
              <w:t>实验器具清洗废水</w:t>
            </w:r>
            <w:r>
              <w:rPr>
                <w:rFonts w:hint="eastAsia" w:ascii="Times New Roman" w:hAnsi="Times New Roman" w:eastAsia="宋体" w:cs="Times New Roman"/>
                <w:color w:val="auto"/>
                <w:lang w:val="en-US" w:eastAsia="zh-CN"/>
              </w:rPr>
              <w:t>处理后与仪器排水、剩余水样、制纯浓水及</w:t>
            </w:r>
            <w:r>
              <w:rPr>
                <w:rFonts w:hint="default" w:ascii="Times New Roman" w:hAnsi="Times New Roman" w:eastAsia="宋体" w:cs="Times New Roman"/>
                <w:color w:val="auto"/>
                <w:lang w:val="en-US" w:eastAsia="zh-CN"/>
              </w:rPr>
              <w:t>职工</w:t>
            </w:r>
            <w:r>
              <w:rPr>
                <w:rFonts w:hint="eastAsia" w:ascii="Times New Roman" w:hAnsi="Times New Roman" w:eastAsia="宋体" w:cs="Times New Roman"/>
                <w:color w:val="auto"/>
                <w:lang w:val="en-US" w:eastAsia="zh-CN"/>
              </w:rPr>
              <w:t>生活污水经厂区现有的化粪池处理达标后</w:t>
            </w:r>
            <w:r>
              <w:rPr>
                <w:rFonts w:hint="default" w:ascii="Times New Roman" w:hAnsi="Times New Roman" w:eastAsia="宋体" w:cs="Times New Roman"/>
                <w:color w:val="auto"/>
                <w:lang w:val="en-US" w:eastAsia="zh-CN"/>
              </w:rPr>
              <w:t>排入市政污水管网</w:t>
            </w:r>
            <w:r>
              <w:rPr>
                <w:rFonts w:hint="default" w:ascii="Times New Roman" w:hAnsi="Times New Roman" w:eastAsia="宋体" w:cs="Times New Roman"/>
                <w:color w:val="auto"/>
                <w:sz w:val="24"/>
                <w:szCs w:val="20"/>
                <w:lang w:val="en-US" w:eastAsia="zh-CN"/>
              </w:rPr>
              <w:t>接入</w:t>
            </w:r>
            <w:r>
              <w:rPr>
                <w:rFonts w:hint="eastAsia" w:ascii="Times New Roman" w:hAnsi="Times New Roman" w:eastAsia="宋体" w:cs="Times New Roman"/>
                <w:color w:val="auto"/>
                <w:sz w:val="24"/>
                <w:szCs w:val="20"/>
                <w:lang w:val="en-US" w:eastAsia="zh-CN"/>
              </w:rPr>
              <w:t>福清市融元污水处理厂</w:t>
            </w:r>
            <w:r>
              <w:rPr>
                <w:rFonts w:hint="default" w:ascii="Times New Roman" w:hAnsi="Times New Roman" w:eastAsia="宋体" w:cs="Times New Roman"/>
                <w:color w:val="auto"/>
                <w:sz w:val="24"/>
                <w:szCs w:val="20"/>
                <w:lang w:val="en-US" w:eastAsia="zh-CN"/>
              </w:rPr>
              <w:t>集中处理，</w:t>
            </w:r>
            <w:r>
              <w:rPr>
                <w:rFonts w:hint="eastAsia" w:ascii="Times New Roman" w:hAnsi="Times New Roman" w:eastAsia="宋体" w:cs="Times New Roman"/>
                <w:color w:val="auto"/>
                <w:sz w:val="24"/>
                <w:szCs w:val="20"/>
                <w:lang w:val="en-US" w:eastAsia="zh-CN"/>
              </w:rPr>
              <w:t>项目废水不直接排入周边地表水体，不会改变区域水环境质量现状，因此，</w:t>
            </w:r>
            <w:r>
              <w:rPr>
                <w:rFonts w:hint="default" w:ascii="Times New Roman" w:hAnsi="Times New Roman" w:eastAsia="宋体" w:cs="Times New Roman"/>
                <w:color w:val="auto"/>
                <w:sz w:val="24"/>
                <w:szCs w:val="20"/>
                <w:lang w:val="en-US" w:eastAsia="zh-CN"/>
              </w:rPr>
              <w:t>项目建设不会突破区域水环境质量底线。</w:t>
            </w:r>
          </w:p>
          <w:p>
            <w:pPr>
              <w:pStyle w:val="18"/>
              <w:keepNext w:val="0"/>
              <w:keepLines w:val="0"/>
              <w:suppressLineNumbers w:val="0"/>
              <w:bidi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sz w:val="24"/>
                <w:szCs w:val="20"/>
                <w:lang w:val="en-US" w:eastAsia="zh-CN"/>
              </w:rPr>
            </w:pPr>
            <w:r>
              <w:rPr>
                <w:rFonts w:hint="default" w:ascii="Times New Roman" w:hAnsi="Times New Roman" w:eastAsia="宋体" w:cs="Times New Roman"/>
                <w:color w:val="auto"/>
                <w:sz w:val="24"/>
                <w:szCs w:val="20"/>
                <w:lang w:val="en-US" w:eastAsia="zh-CN"/>
              </w:rPr>
              <w:t>②大气环境质量底线</w:t>
            </w:r>
          </w:p>
          <w:p>
            <w:pPr>
              <w:pStyle w:val="18"/>
              <w:keepNext w:val="0"/>
              <w:keepLines w:val="0"/>
              <w:suppressLineNumbers w:val="0"/>
              <w:bidi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sz w:val="24"/>
                <w:szCs w:val="20"/>
                <w:lang w:val="en-US" w:eastAsia="zh-CN"/>
              </w:rPr>
            </w:pPr>
            <w:r>
              <w:rPr>
                <w:rFonts w:hint="default" w:ascii="Times New Roman" w:hAnsi="Times New Roman" w:eastAsia="宋体" w:cs="Times New Roman"/>
                <w:color w:val="auto"/>
                <w:sz w:val="24"/>
                <w:szCs w:val="20"/>
                <w:lang w:val="en-US" w:eastAsia="zh-CN"/>
              </w:rPr>
              <w:t>根据《福州市人民政府关于实施</w:t>
            </w:r>
            <w:r>
              <w:rPr>
                <w:rFonts w:hint="eastAsia" w:ascii="Times New Roman" w:hAnsi="Times New Roman" w:eastAsia="宋体" w:cs="Times New Roman"/>
                <w:color w:val="auto"/>
                <w:sz w:val="24"/>
                <w:szCs w:val="20"/>
                <w:lang w:val="en-US" w:eastAsia="zh-CN"/>
              </w:rPr>
              <w:t>“</w:t>
            </w:r>
            <w:r>
              <w:rPr>
                <w:rFonts w:hint="default" w:ascii="Times New Roman" w:hAnsi="Times New Roman" w:eastAsia="宋体" w:cs="Times New Roman"/>
                <w:color w:val="auto"/>
                <w:sz w:val="24"/>
                <w:szCs w:val="20"/>
                <w:lang w:val="en-US" w:eastAsia="zh-CN"/>
              </w:rPr>
              <w:t>三线一单</w:t>
            </w:r>
            <w:r>
              <w:rPr>
                <w:rFonts w:hint="eastAsia" w:ascii="Times New Roman" w:hAnsi="Times New Roman" w:eastAsia="宋体" w:cs="Times New Roman"/>
                <w:color w:val="auto"/>
                <w:sz w:val="24"/>
                <w:szCs w:val="20"/>
                <w:lang w:val="en-US" w:eastAsia="zh-CN"/>
              </w:rPr>
              <w:t>”</w:t>
            </w:r>
            <w:r>
              <w:rPr>
                <w:rFonts w:hint="default" w:ascii="Times New Roman" w:hAnsi="Times New Roman" w:eastAsia="宋体" w:cs="Times New Roman"/>
                <w:color w:val="auto"/>
                <w:sz w:val="24"/>
                <w:szCs w:val="20"/>
                <w:lang w:val="en-US" w:eastAsia="zh-CN"/>
              </w:rPr>
              <w:t>生态分区管控的通知》，项目所在地为大气环境管控分区中的高排放重点管控区。大气环境质量底线目标为：到2025年，地级以上城市空气质量PM2.5年平均浓度不高于23μg/m</w:t>
            </w:r>
            <w:r>
              <w:rPr>
                <w:rFonts w:hint="default" w:ascii="Times New Roman" w:hAnsi="Times New Roman" w:eastAsia="宋体" w:cs="Times New Roman"/>
                <w:color w:val="auto"/>
                <w:sz w:val="24"/>
                <w:szCs w:val="20"/>
                <w:vertAlign w:val="superscript"/>
                <w:lang w:val="en-US" w:eastAsia="zh-CN"/>
              </w:rPr>
              <w:t>3</w:t>
            </w:r>
            <w:r>
              <w:rPr>
                <w:rFonts w:hint="default" w:ascii="Times New Roman" w:hAnsi="Times New Roman" w:eastAsia="宋体" w:cs="Times New Roman"/>
                <w:color w:val="auto"/>
                <w:sz w:val="24"/>
                <w:szCs w:val="20"/>
                <w:lang w:val="en-US" w:eastAsia="zh-CN"/>
              </w:rPr>
              <w:t>。到2035年，县级以上地区空气质量PM2.5年平均浓度不高于18μg/m</w:t>
            </w:r>
            <w:r>
              <w:rPr>
                <w:rFonts w:hint="default" w:ascii="Times New Roman" w:hAnsi="Times New Roman" w:eastAsia="宋体" w:cs="Times New Roman"/>
                <w:color w:val="auto"/>
                <w:sz w:val="24"/>
                <w:szCs w:val="20"/>
                <w:vertAlign w:val="superscript"/>
                <w:lang w:val="en-US" w:eastAsia="zh-CN"/>
              </w:rPr>
              <w:t>3</w:t>
            </w:r>
            <w:r>
              <w:rPr>
                <w:rFonts w:hint="default" w:ascii="Times New Roman" w:hAnsi="Times New Roman" w:eastAsia="宋体" w:cs="Times New Roman"/>
                <w:color w:val="auto"/>
                <w:sz w:val="24"/>
                <w:szCs w:val="20"/>
                <w:lang w:val="en-US" w:eastAsia="zh-CN"/>
              </w:rPr>
              <w:t>。</w:t>
            </w:r>
          </w:p>
          <w:p>
            <w:pPr>
              <w:pStyle w:val="18"/>
              <w:keepNext w:val="0"/>
              <w:keepLines w:val="0"/>
              <w:suppressLineNumbers w:val="0"/>
              <w:bidi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z w:val="24"/>
                <w:szCs w:val="20"/>
                <w:lang w:val="en-US" w:eastAsia="zh-CN"/>
              </w:rPr>
            </w:pPr>
            <w:r>
              <w:rPr>
                <w:rFonts w:hint="default" w:ascii="Times New Roman" w:hAnsi="Times New Roman" w:eastAsia="宋体" w:cs="Times New Roman"/>
                <w:color w:val="auto"/>
                <w:sz w:val="24"/>
                <w:szCs w:val="20"/>
                <w:lang w:val="en-US" w:eastAsia="zh-CN"/>
              </w:rPr>
              <w:t>项目</w:t>
            </w:r>
            <w:r>
              <w:rPr>
                <w:rFonts w:hint="eastAsia" w:ascii="Times New Roman" w:hAnsi="Times New Roman" w:eastAsia="宋体" w:cs="Times New Roman"/>
                <w:color w:val="auto"/>
                <w:sz w:val="24"/>
                <w:szCs w:val="20"/>
                <w:lang w:val="en-US" w:eastAsia="zh-CN"/>
              </w:rPr>
              <w:t>水样检测过程产生的有机废气经活性炭吸附处理，酸性废气经碱液喷淋塔处理</w:t>
            </w:r>
            <w:r>
              <w:rPr>
                <w:rFonts w:hint="default" w:ascii="Times New Roman" w:hAnsi="Times New Roman" w:eastAsia="宋体" w:cs="Times New Roman"/>
                <w:color w:val="auto"/>
                <w:sz w:val="24"/>
                <w:szCs w:val="20"/>
                <w:lang w:val="en-US" w:eastAsia="zh-CN"/>
              </w:rPr>
              <w:t>达标后</w:t>
            </w:r>
            <w:r>
              <w:rPr>
                <w:rFonts w:hint="eastAsia" w:ascii="Times New Roman" w:hAnsi="Times New Roman" w:eastAsia="宋体" w:cs="Times New Roman"/>
                <w:color w:val="auto"/>
                <w:sz w:val="24"/>
                <w:szCs w:val="20"/>
                <w:lang w:val="en-US" w:eastAsia="zh-CN"/>
              </w:rPr>
              <w:t>排放，</w:t>
            </w:r>
            <w:r>
              <w:rPr>
                <w:rFonts w:hint="default" w:ascii="Times New Roman" w:hAnsi="Times New Roman" w:eastAsia="宋体" w:cs="Times New Roman"/>
                <w:color w:val="auto"/>
                <w:sz w:val="24"/>
                <w:szCs w:val="20"/>
                <w:lang w:val="en-US" w:eastAsia="zh-CN"/>
              </w:rPr>
              <w:t>对周围大气环境影响较小</w:t>
            </w:r>
            <w:r>
              <w:rPr>
                <w:rFonts w:hint="eastAsia" w:ascii="Times New Roman" w:hAnsi="Times New Roman" w:eastAsia="宋体" w:cs="Times New Roman"/>
                <w:color w:val="auto"/>
                <w:sz w:val="24"/>
                <w:szCs w:val="20"/>
                <w:lang w:val="en-US" w:eastAsia="zh-CN"/>
              </w:rPr>
              <w:t>，</w:t>
            </w:r>
            <w:r>
              <w:rPr>
                <w:rFonts w:hint="default" w:ascii="Times New Roman" w:hAnsi="Times New Roman" w:eastAsia="宋体" w:cs="Times New Roman"/>
                <w:color w:val="auto"/>
                <w:sz w:val="24"/>
                <w:szCs w:val="20"/>
                <w:lang w:val="en-US" w:eastAsia="zh-CN"/>
              </w:rPr>
              <w:t>不会突破区域大气环境质量底线。</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③土壤环境风险防控底线</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根据《福州市人民政府关于实施“三线一单”生态分区管控的通知》，项目所在地为</w:t>
            </w:r>
            <w:r>
              <w:rPr>
                <w:rFonts w:hint="eastAsia" w:ascii="Times New Roman" w:hAnsi="Times New Roman" w:eastAsia="宋体" w:cs="Times New Roman"/>
                <w:color w:val="auto"/>
                <w:sz w:val="24"/>
                <w:szCs w:val="24"/>
                <w:lang w:val="en-US" w:eastAsia="zh-CN"/>
              </w:rPr>
              <w:t>土壤污染风险管控分区</w:t>
            </w:r>
            <w:r>
              <w:rPr>
                <w:rFonts w:hint="default" w:ascii="Times New Roman" w:hAnsi="Times New Roman" w:eastAsia="宋体" w:cs="Times New Roman"/>
                <w:color w:val="auto"/>
                <w:sz w:val="24"/>
                <w:szCs w:val="24"/>
                <w:lang w:val="en-US" w:eastAsia="zh-CN"/>
              </w:rPr>
              <w:t>中的建设用地污染风险重点管控区。</w:t>
            </w:r>
            <w:r>
              <w:rPr>
                <w:rFonts w:hint="eastAsia" w:ascii="Times New Roman" w:hAnsi="Times New Roman" w:eastAsia="宋体" w:cs="Times New Roman"/>
                <w:color w:val="auto"/>
                <w:sz w:val="24"/>
                <w:szCs w:val="24"/>
                <w:lang w:val="en-US" w:eastAsia="zh-CN"/>
              </w:rPr>
              <w:t>土壤</w:t>
            </w:r>
            <w:r>
              <w:rPr>
                <w:rFonts w:hint="default" w:ascii="Times New Roman" w:hAnsi="Times New Roman" w:eastAsia="宋体" w:cs="Times New Roman"/>
                <w:color w:val="auto"/>
                <w:sz w:val="24"/>
                <w:szCs w:val="24"/>
                <w:lang w:val="en-US" w:eastAsia="zh-CN"/>
              </w:rPr>
              <w:t>环境质量底线目标为：</w:t>
            </w:r>
            <w:r>
              <w:rPr>
                <w:rFonts w:hint="eastAsia" w:ascii="Times New Roman" w:hAnsi="Times New Roman" w:eastAsia="宋体" w:cs="Times New Roman"/>
                <w:color w:val="auto"/>
                <w:sz w:val="24"/>
                <w:szCs w:val="24"/>
                <w:lang w:val="en-US" w:eastAsia="zh-CN"/>
              </w:rPr>
              <w:t>到2025年，全省土壤环境质量保持稳定，土壤环境风险得到管控，受污染耕地安全利用率达到93％，污染地块安全利用率达到93％。到2035年，全省土壤环境质量稳中向好，土壤环境风险得到全面管控，受污染耕地安全利用率达95％以上，污染地块安全利用率达95％以上。</w:t>
            </w:r>
          </w:p>
          <w:p>
            <w:pPr>
              <w:pStyle w:val="18"/>
              <w:keepNext w:val="0"/>
              <w:keepLines w:val="0"/>
              <w:suppressLineNumbers w:val="0"/>
              <w:bidi w:val="0"/>
              <w:spacing w:before="0" w:beforeAutospacing="0" w:after="0" w:afterAutospacing="0"/>
              <w:ind w:left="0" w:right="0" w:firstLine="480" w:firstLineChars="200"/>
              <w:jc w:val="both"/>
              <w:rPr>
                <w:rFonts w:hint="default"/>
                <w:color w:val="auto"/>
              </w:rPr>
            </w:pPr>
            <w:r>
              <w:rPr>
                <w:rFonts w:hint="eastAsia" w:ascii="Times New Roman" w:hAnsi="Times New Roman" w:eastAsia="宋体" w:cs="Times New Roman"/>
                <w:color w:val="auto"/>
                <w:sz w:val="24"/>
                <w:szCs w:val="24"/>
                <w:lang w:val="en-US" w:eastAsia="zh-CN"/>
              </w:rPr>
              <w:t>项目位于福清融侨经济技术开发区，租赁福清洪金机械有限公司办公楼4层、5层</w:t>
            </w:r>
            <w:r>
              <w:rPr>
                <w:rFonts w:hint="eastAsia" w:ascii="Times New Roman" w:hAnsi="Times New Roman" w:cs="Times New Roman"/>
                <w:color w:val="auto"/>
                <w:sz w:val="24"/>
                <w:szCs w:val="24"/>
                <w:lang w:val="en-US" w:eastAsia="zh-CN"/>
              </w:rPr>
              <w:t>从事水样检测。</w:t>
            </w:r>
            <w:r>
              <w:rPr>
                <w:rFonts w:hint="eastAsia" w:ascii="Times New Roman" w:hAnsi="Times New Roman" w:eastAsia="宋体" w:cs="Times New Roman"/>
                <w:color w:val="auto"/>
                <w:sz w:val="24"/>
                <w:szCs w:val="24"/>
                <w:lang w:val="en-US" w:eastAsia="zh-CN"/>
              </w:rPr>
              <w:t>项目</w:t>
            </w:r>
            <w:r>
              <w:rPr>
                <w:rFonts w:hint="eastAsia" w:ascii="Times New Roman" w:hAnsi="Times New Roman" w:cs="Times New Roman"/>
                <w:color w:val="auto"/>
                <w:sz w:val="24"/>
                <w:szCs w:val="24"/>
                <w:lang w:val="en-US" w:eastAsia="zh-CN"/>
              </w:rPr>
              <w:t>厂房未与土壤直接接触且</w:t>
            </w:r>
            <w:r>
              <w:rPr>
                <w:rFonts w:hint="eastAsia" w:ascii="Times New Roman" w:hAnsi="Times New Roman" w:eastAsia="宋体" w:cs="Times New Roman"/>
                <w:color w:val="auto"/>
                <w:sz w:val="24"/>
                <w:szCs w:val="24"/>
                <w:lang w:val="en-US" w:eastAsia="zh-CN"/>
              </w:rPr>
              <w:t>地面全部硬化，危险暂存间、废水处理设施等严格按照要求进行分区防渗防控，不存在土壤环境风险，符合土壤环境风险防控底线要求。</w:t>
            </w:r>
          </w:p>
          <w:p>
            <w:pPr>
              <w:pStyle w:val="14"/>
              <w:keepNext w:val="0"/>
              <w:keepLines w:val="0"/>
              <w:widowControl w:val="0"/>
              <w:suppressLineNumbers w:val="0"/>
              <w:shd w:val="clear" w:color="auto" w:fill="auto"/>
              <w:topLinePunct/>
              <w:spacing w:before="0" w:beforeAutospacing="0" w:after="0" w:afterAutospacing="0" w:line="360" w:lineRule="auto"/>
              <w:ind w:left="0" w:right="0" w:firstLine="480"/>
              <w:jc w:val="both"/>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资源利用上线符合性分析</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sz w:val="24"/>
                <w:szCs w:val="20"/>
                <w:lang w:val="en-US" w:eastAsia="zh-CN"/>
              </w:rPr>
              <w:t>①</w:t>
            </w:r>
            <w:r>
              <w:rPr>
                <w:rFonts w:hint="eastAsia" w:ascii="Times New Roman" w:hAnsi="Times New Roman" w:eastAsia="宋体" w:cs="Times New Roman"/>
                <w:color w:val="auto"/>
                <w:kern w:val="0"/>
                <w:sz w:val="24"/>
                <w:szCs w:val="24"/>
                <w:highlight w:val="none"/>
                <w:lang w:val="en-US" w:eastAsia="zh-CN"/>
              </w:rPr>
              <w:t>水资源利用上线</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根据《福州市人民政府关于实施“三线一单”生态分区管控的通知》，水资源利用上线要求为：衔接水资源管理</w:t>
            </w:r>
            <w:r>
              <w:rPr>
                <w:rFonts w:hint="eastAsia" w:ascii="Times New Roman" w:hAnsi="Times New Roman" w:cs="Times New Roman"/>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rPr>
              <w:t>三条红线</w:t>
            </w:r>
            <w:r>
              <w:rPr>
                <w:rFonts w:hint="eastAsia" w:ascii="Times New Roman" w:hAnsi="Times New Roman" w:cs="Times New Roman"/>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rPr>
              <w:t>，控制目标以省政府下达为准。</w:t>
            </w:r>
            <w:r>
              <w:rPr>
                <w:rFonts w:hint="eastAsia" w:ascii="Times New Roman" w:hAnsi="Times New Roman" w:eastAsia="宋体" w:cs="Times New Roman"/>
                <w:color w:val="auto"/>
                <w:kern w:val="0"/>
                <w:sz w:val="24"/>
                <w:szCs w:val="24"/>
                <w:highlight w:val="none"/>
                <w:lang w:val="en-US" w:eastAsia="zh-CN"/>
              </w:rPr>
              <w:t>项目水资源上线现状评价从水资源承载能力、水资源利用效率和生态需水量保障程度三方面综合分析，确定全省地市层面范围均为一般管控区，即全市水资源利用不会突破水资源利用上线。</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项目运营期用水均来自市政供水，项目用水量不大，与福州市水资源利用上线管控要求相符，因此项目建设不会突破水资源利用上线。</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②土地资源利用上线</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根据《福州市人民政府关于实施“三线一单”生态分区管控的通知》，土地资源利用上线要求为：衔接土地利用总体规划等文件要求，控制目标以省政府下达为准。</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本项目利用已建厂房进行生产，未新增占地，且用地符合《福清融侨经济技术开发区总体规划（2018-2035年）》要求，符合土地资源利用上线管控要求，因此项目建设不会突破土地资源利用上线。</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③能源资源利用上线</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根据《福州市人民政府关于实施“三线一单”生态分区管控的通知》，能源资源利用上线要求为：衔接碳达峰方案、节能减排、能源规划等文件要求，控制目标以省政府下达为准。</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项目设备使用电能作为能源，不涉及高污染燃料，项目与福州市能源资源利用上线要求相符。</w:t>
            </w:r>
          </w:p>
          <w:p>
            <w:pPr>
              <w:pStyle w:val="14"/>
              <w:keepNext w:val="0"/>
              <w:keepLines w:val="0"/>
              <w:widowControl w:val="0"/>
              <w:suppressLineNumbers w:val="0"/>
              <w:shd w:val="clear" w:color="auto" w:fill="auto"/>
              <w:topLinePunct/>
              <w:spacing w:before="0" w:beforeAutospacing="0" w:after="0" w:afterAutospacing="0" w:line="360" w:lineRule="auto"/>
              <w:ind w:left="0" w:right="0" w:firstLine="480"/>
              <w:jc w:val="both"/>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val="en-US" w:eastAsia="zh-CN"/>
              </w:rPr>
              <w:t>4.生态环境准入清单</w:t>
            </w:r>
          </w:p>
          <w:p>
            <w:pPr>
              <w:pStyle w:val="18"/>
              <w:keepNext w:val="0"/>
              <w:keepLines w:val="0"/>
              <w:suppressLineNumbers w:val="0"/>
              <w:bidi w:val="0"/>
              <w:spacing w:before="0" w:beforeAutospacing="0" w:after="0" w:afterAutospacing="0"/>
              <w:ind w:left="0" w:right="0" w:firstLine="480" w:firstLineChars="200"/>
              <w:jc w:val="both"/>
              <w:rPr>
                <w:rFonts w:hint="eastAsia"/>
                <w:color w:val="auto"/>
                <w:lang w:eastAsia="zh-CN"/>
              </w:rPr>
            </w:pPr>
            <w:r>
              <w:rPr>
                <w:rFonts w:hint="eastAsia" w:ascii="Times New Roman" w:hAnsi="Times New Roman" w:eastAsia="宋体" w:cs="Times New Roman"/>
                <w:color w:val="auto"/>
                <w:kern w:val="0"/>
                <w:sz w:val="24"/>
                <w:highlight w:val="none"/>
                <w:lang w:eastAsia="zh-CN"/>
              </w:rPr>
              <w:t>查询福建省生态环境分区管控数据应用平台</w:t>
            </w:r>
            <w:r>
              <w:rPr>
                <w:rFonts w:hint="eastAsia"/>
                <w:color w:val="auto"/>
                <w:kern w:val="0"/>
                <w:sz w:val="24"/>
                <w:highlight w:val="none"/>
              </w:rPr>
              <w:t>，</w:t>
            </w:r>
            <w:r>
              <w:rPr>
                <w:rFonts w:hint="default" w:ascii="Times New Roman" w:hAnsi="Times New Roman" w:eastAsia="宋体" w:cs="Times New Roman"/>
                <w:color w:val="auto"/>
                <w:sz w:val="24"/>
                <w:szCs w:val="20"/>
              </w:rPr>
              <w:t>项目所在</w:t>
            </w:r>
            <w:r>
              <w:rPr>
                <w:rFonts w:hint="eastAsia" w:ascii="Times New Roman" w:hAnsi="Times New Roman" w:eastAsia="宋体" w:cs="Times New Roman"/>
                <w:color w:val="auto"/>
                <w:sz w:val="24"/>
                <w:szCs w:val="20"/>
              </w:rPr>
              <w:t>环境管控单元</w:t>
            </w:r>
            <w:r>
              <w:rPr>
                <w:rFonts w:hint="default" w:ascii="Times New Roman" w:hAnsi="Times New Roman" w:eastAsia="宋体" w:cs="Times New Roman"/>
                <w:color w:val="auto"/>
                <w:sz w:val="24"/>
                <w:szCs w:val="20"/>
              </w:rPr>
              <w:t>为福州市陆域环境管控单元—福清市生态环境准入清单—福清融侨经济技术开发区</w:t>
            </w:r>
            <w:r>
              <w:rPr>
                <w:rFonts w:hint="eastAsia" w:ascii="Times New Roman" w:hAnsi="Times New Roman" w:eastAsia="宋体" w:cs="Times New Roman"/>
                <w:color w:val="auto"/>
                <w:sz w:val="24"/>
                <w:szCs w:val="20"/>
                <w:lang w:val="en-US" w:eastAsia="zh-CN"/>
              </w:rPr>
              <w:t>（单元编号</w:t>
            </w:r>
            <w:r>
              <w:rPr>
                <w:rFonts w:hint="default" w:ascii="Times New Roman" w:hAnsi="Times New Roman" w:eastAsia="宋体" w:cs="Times New Roman"/>
                <w:color w:val="auto"/>
                <w:sz w:val="24"/>
                <w:szCs w:val="20"/>
              </w:rPr>
              <w:t>ZH3501812000</w:t>
            </w:r>
            <w:r>
              <w:rPr>
                <w:rFonts w:hint="eastAsia" w:ascii="Times New Roman" w:hAnsi="Times New Roman" w:eastAsia="宋体" w:cs="Times New Roman"/>
                <w:color w:val="auto"/>
                <w:sz w:val="24"/>
                <w:szCs w:val="20"/>
                <w:lang w:val="en-US" w:eastAsia="zh-CN"/>
              </w:rPr>
              <w:t>8</w:t>
            </w:r>
            <w:r>
              <w:rPr>
                <w:rFonts w:hint="eastAsia" w:ascii="Times New Roman" w:hAnsi="Times New Roman" w:eastAsia="宋体" w:cs="Times New Roman"/>
                <w:color w:val="auto"/>
                <w:sz w:val="24"/>
                <w:szCs w:val="20"/>
                <w:lang w:eastAsia="zh-CN"/>
              </w:rPr>
              <w:t>，</w:t>
            </w:r>
            <w:r>
              <w:rPr>
                <w:rFonts w:hint="eastAsia" w:ascii="Times New Roman" w:hAnsi="Times New Roman" w:eastAsia="宋体" w:cs="Times New Roman"/>
                <w:color w:val="auto"/>
                <w:sz w:val="24"/>
                <w:szCs w:val="20"/>
                <w:lang w:val="en-US" w:eastAsia="zh-CN"/>
              </w:rPr>
              <w:t>三线一</w:t>
            </w:r>
            <w:r>
              <w:rPr>
                <w:rFonts w:hint="eastAsia" w:ascii="Times New Roman" w:hAnsi="Times New Roman" w:eastAsia="宋体" w:cs="Times New Roman"/>
                <w:color w:val="auto"/>
                <w:sz w:val="24"/>
                <w:lang w:val="en-US" w:eastAsia="zh-CN"/>
              </w:rPr>
              <w:t>单综合查询报告见附件</w:t>
            </w:r>
            <w:r>
              <w:rPr>
                <w:rFonts w:hint="eastAsia" w:ascii="Times New Roman" w:hAnsi="Times New Roman" w:cs="Times New Roman"/>
                <w:color w:val="auto"/>
                <w:sz w:val="24"/>
                <w:lang w:val="en-US" w:eastAsia="zh-CN"/>
              </w:rPr>
              <w:t>5</w:t>
            </w:r>
            <w:r>
              <w:rPr>
                <w:rFonts w:hint="eastAsia" w:ascii="Times New Roman" w:hAnsi="Times New Roman" w:eastAsia="宋体" w:cs="Times New Roman"/>
                <w:color w:val="auto"/>
                <w:sz w:val="24"/>
                <w:lang w:val="en-US" w:eastAsia="zh-CN"/>
              </w:rPr>
              <w:t>），</w:t>
            </w:r>
            <w:r>
              <w:rPr>
                <w:rFonts w:hint="default"/>
                <w:color w:val="auto"/>
                <w:kern w:val="0"/>
                <w:sz w:val="24"/>
                <w:highlight w:val="none"/>
              </w:rPr>
              <w:t>项目与环境管控单元准入要求符合性</w:t>
            </w:r>
            <w:r>
              <w:rPr>
                <w:rFonts w:hint="eastAsia"/>
                <w:color w:val="auto"/>
                <w:kern w:val="0"/>
                <w:sz w:val="24"/>
                <w:highlight w:val="none"/>
              </w:rPr>
              <w:t>分析</w:t>
            </w:r>
            <w:r>
              <w:rPr>
                <w:rFonts w:hint="default"/>
                <w:color w:val="auto"/>
                <w:kern w:val="0"/>
                <w:sz w:val="24"/>
                <w:highlight w:val="none"/>
              </w:rPr>
              <w:t>详见</w:t>
            </w:r>
            <w:r>
              <w:rPr>
                <w:rFonts w:hint="eastAsia"/>
                <w:color w:val="auto"/>
                <w:lang w:val="en-US" w:eastAsia="zh-CN"/>
              </w:rPr>
              <w:t>下</w:t>
            </w:r>
            <w:r>
              <w:rPr>
                <w:rFonts w:hint="default"/>
                <w:color w:val="auto"/>
              </w:rPr>
              <w:t>表</w:t>
            </w:r>
            <w:r>
              <w:rPr>
                <w:rFonts w:hint="eastAsia"/>
                <w:color w:val="auto"/>
                <w:lang w:eastAsia="zh-CN"/>
              </w:rPr>
              <w:t>。</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4"/>
                <w:highlight w:val="none"/>
                <w:lang w:val="en-US" w:eastAsia="zh-CN"/>
              </w:rPr>
            </w:pP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4"/>
                <w:highlight w:val="none"/>
                <w:lang w:val="en-US" w:eastAsia="zh-CN"/>
              </w:rPr>
            </w:pP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jc w:val="center"/>
              <w:textAlignment w:val="auto"/>
              <w:rPr>
                <w:rFonts w:hint="eastAsia" w:ascii="Times New Roman" w:hAnsi="Times New Roman" w:cs="Times New Roman"/>
                <w:color w:val="auto"/>
                <w:highlight w:val="none"/>
                <w:lang w:val="en-GB"/>
              </w:rPr>
            </w:pPr>
            <w:r>
              <w:rPr>
                <w:rFonts w:hint="eastAsia" w:ascii="Times New Roman" w:hAnsi="Times New Roman" w:cs="Times New Roman"/>
                <w:color w:val="auto"/>
                <w:highlight w:val="none"/>
                <w:lang w:val="en-GB" w:eastAsia="zh-CN"/>
              </w:rPr>
              <w:t>与福州市生态环境总体准入要求的符合性分析</w:t>
            </w:r>
          </w:p>
          <w:tbl>
            <w:tblPr>
              <w:tblStyle w:val="32"/>
              <w:tblW w:w="725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8"/>
              <w:gridCol w:w="646"/>
              <w:gridCol w:w="690"/>
              <w:gridCol w:w="2710"/>
              <w:gridCol w:w="1948"/>
              <w:gridCol w:w="5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blHeader/>
                <w:jc w:val="center"/>
              </w:trPr>
              <w:tc>
                <w:tcPr>
                  <w:tcW w:w="728" w:type="dxa"/>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环境管控单元</w:t>
                  </w:r>
                </w:p>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编码</w:t>
                  </w:r>
                </w:p>
              </w:tc>
              <w:tc>
                <w:tcPr>
                  <w:tcW w:w="646" w:type="dxa"/>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环境管控单元名称</w:t>
                  </w:r>
                </w:p>
              </w:tc>
              <w:tc>
                <w:tcPr>
                  <w:tcW w:w="3400" w:type="dxa"/>
                  <w:gridSpan w:val="2"/>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管控要求</w:t>
                  </w:r>
                </w:p>
              </w:tc>
              <w:tc>
                <w:tcPr>
                  <w:tcW w:w="1948" w:type="dxa"/>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本项目情况</w:t>
                  </w:r>
                </w:p>
              </w:tc>
              <w:tc>
                <w:tcPr>
                  <w:tcW w:w="536" w:type="dxa"/>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978" w:hRule="atLeast"/>
                <w:jc w:val="center"/>
              </w:trPr>
              <w:tc>
                <w:tcPr>
                  <w:tcW w:w="728" w:type="dxa"/>
                  <w:vMerge w:val="restart"/>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eastAsia"/>
                      <w:color w:val="auto"/>
                    </w:rPr>
                    <w:t>ZH35018120008</w:t>
                  </w:r>
                </w:p>
              </w:tc>
              <w:tc>
                <w:tcPr>
                  <w:tcW w:w="646" w:type="dxa"/>
                  <w:vMerge w:val="restart"/>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eastAsia"/>
                      <w:color w:val="auto"/>
                    </w:rPr>
                    <w:t>福清市重点管控单元1</w:t>
                  </w:r>
                </w:p>
              </w:tc>
              <w:tc>
                <w:tcPr>
                  <w:tcW w:w="690" w:type="dxa"/>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空间布局约束</w:t>
                  </w:r>
                </w:p>
              </w:tc>
              <w:tc>
                <w:tcPr>
                  <w:tcW w:w="2710" w:type="dxa"/>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eastAsia"/>
                      <w:color w:val="auto"/>
                    </w:rPr>
                    <w:t>1.严禁在城镇人口密集区新建危险化学品生产企业；现有不符合安全和卫生防护距离要求的危险化学品生产企业2025年底前完成就地改造达标、搬迁进入规范化工园区或关闭退出。城市建成区内现有有色金属、印染、原料药制造、化工等污染较重的企业应有序搬迁改造或依法关闭。2.严格控制包装印刷、工业涂装、制鞋等高VOCs排放的项目建设，相关新建项目必须进入工业园区。3.禁止开发利用未经评估和无害化处理的列入建设用地污染地块名录及开发利用负面清单的土地。</w:t>
                  </w:r>
                </w:p>
              </w:tc>
              <w:tc>
                <w:tcPr>
                  <w:tcW w:w="1948" w:type="dxa"/>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本项目</w:t>
                  </w:r>
                  <w:r>
                    <w:rPr>
                      <w:rFonts w:hint="eastAsia" w:ascii="Times New Roman" w:hAnsi="Times New Roman" w:eastAsia="宋体"/>
                      <w:b w:val="0"/>
                      <w:bCs w:val="0"/>
                      <w:color w:val="auto"/>
                      <w:sz w:val="21"/>
                      <w:szCs w:val="21"/>
                      <w:highlight w:val="none"/>
                      <w:lang w:val="en-US" w:eastAsia="zh-CN"/>
                    </w:rPr>
                    <w:t>属于M7452检测服务</w:t>
                  </w:r>
                  <w:r>
                    <w:rPr>
                      <w:rFonts w:hint="default"/>
                      <w:color w:val="auto"/>
                    </w:rPr>
                    <w:t>，主要</w:t>
                  </w:r>
                  <w:r>
                    <w:rPr>
                      <w:rFonts w:hint="eastAsia"/>
                      <w:color w:val="auto"/>
                      <w:lang w:val="en-GB"/>
                    </w:rPr>
                    <w:t>从事</w:t>
                  </w:r>
                  <w:r>
                    <w:rPr>
                      <w:rFonts w:hint="eastAsia"/>
                      <w:color w:val="auto"/>
                      <w:lang w:val="en-US" w:eastAsia="zh-CN"/>
                    </w:rPr>
                    <w:t>水质检验检测服务</w:t>
                  </w:r>
                  <w:r>
                    <w:rPr>
                      <w:rFonts w:hint="default"/>
                      <w:color w:val="auto"/>
                    </w:rPr>
                    <w:t>，</w:t>
                  </w:r>
                  <w:r>
                    <w:rPr>
                      <w:rFonts w:hint="eastAsia"/>
                      <w:color w:val="auto"/>
                    </w:rPr>
                    <w:t>不涉及禁止引入行业。项目位于</w:t>
                  </w:r>
                  <w:r>
                    <w:rPr>
                      <w:rFonts w:hint="eastAsia" w:cs="宋体"/>
                      <w:color w:val="auto"/>
                      <w:spacing w:val="0"/>
                      <w:kern w:val="21"/>
                      <w:sz w:val="21"/>
                      <w:szCs w:val="21"/>
                      <w:lang w:val="en-US" w:eastAsia="zh-CN"/>
                    </w:rPr>
                    <w:t>福清融侨经济技术开发区（福清洪金机械有限公司办公楼4层、5层）</w:t>
                  </w:r>
                  <w:r>
                    <w:rPr>
                      <w:rFonts w:hint="default"/>
                      <w:color w:val="auto"/>
                      <w:sz w:val="21"/>
                      <w:szCs w:val="21"/>
                    </w:rPr>
                    <w:t>，</w:t>
                  </w:r>
                  <w:r>
                    <w:rPr>
                      <w:rFonts w:hint="eastAsia"/>
                      <w:color w:val="auto"/>
                      <w:sz w:val="21"/>
                      <w:szCs w:val="21"/>
                      <w:lang w:val="en-US" w:eastAsia="zh-CN"/>
                    </w:rPr>
                    <w:t>不涉及</w:t>
                  </w:r>
                  <w:r>
                    <w:rPr>
                      <w:rFonts w:hint="default"/>
                      <w:color w:val="auto"/>
                      <w:sz w:val="21"/>
                      <w:szCs w:val="21"/>
                    </w:rPr>
                    <w:t>禁止开发利用未经评估和无害化处理的列入建设用地污染地块名录及开发利用负面清单的土地</w:t>
                  </w:r>
                  <w:r>
                    <w:rPr>
                      <w:rFonts w:hint="eastAsia"/>
                      <w:color w:val="auto"/>
                      <w:sz w:val="21"/>
                      <w:szCs w:val="21"/>
                    </w:rPr>
                    <w:t>。</w:t>
                  </w:r>
                </w:p>
              </w:tc>
              <w:tc>
                <w:tcPr>
                  <w:tcW w:w="536" w:type="dxa"/>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eastAsia"/>
                      <w:color w:val="auto"/>
                    </w:rPr>
                  </w:pPr>
                  <w:r>
                    <w:rPr>
                      <w:rFonts w:hint="eastAsia"/>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05" w:hRule="atLeast"/>
                <w:jc w:val="center"/>
              </w:trPr>
              <w:tc>
                <w:tcPr>
                  <w:tcW w:w="728" w:type="dxa"/>
                  <w:vMerge w:val="continue"/>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default"/>
                      <w:color w:val="auto"/>
                    </w:rPr>
                  </w:pPr>
                </w:p>
              </w:tc>
              <w:tc>
                <w:tcPr>
                  <w:tcW w:w="646" w:type="dxa"/>
                  <w:vMerge w:val="continue"/>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default"/>
                      <w:color w:val="auto"/>
                    </w:rPr>
                  </w:pPr>
                </w:p>
              </w:tc>
              <w:tc>
                <w:tcPr>
                  <w:tcW w:w="690" w:type="dxa"/>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污染物排放管控</w:t>
                  </w:r>
                </w:p>
              </w:tc>
              <w:tc>
                <w:tcPr>
                  <w:tcW w:w="2710" w:type="dxa"/>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eastAsia"/>
                      <w:color w:val="auto"/>
                    </w:rPr>
                    <w:t>落实新增二氧化硫、氮氧化物和VOCs排放总量控制要求。</w:t>
                  </w:r>
                </w:p>
              </w:tc>
              <w:tc>
                <w:tcPr>
                  <w:tcW w:w="1948" w:type="dxa"/>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eastAsia"/>
                      <w:color w:val="auto"/>
                    </w:rPr>
                  </w:pPr>
                  <w:r>
                    <w:rPr>
                      <w:rFonts w:hint="default"/>
                      <w:color w:val="auto"/>
                    </w:rPr>
                    <w:t>项目VOCs采取</w:t>
                  </w:r>
                  <w:r>
                    <w:rPr>
                      <w:rFonts w:hint="eastAsia"/>
                      <w:color w:val="auto"/>
                      <w:lang w:eastAsia="zh-CN"/>
                    </w:rPr>
                    <w:t>活性炭吸附装置处理</w:t>
                  </w:r>
                  <w:r>
                    <w:rPr>
                      <w:rFonts w:hint="default"/>
                      <w:color w:val="auto"/>
                    </w:rPr>
                    <w:t>后，可以得到有效的控制，项目涉VOC</w:t>
                  </w:r>
                  <w:r>
                    <w:rPr>
                      <w:rFonts w:hint="eastAsia"/>
                      <w:color w:val="auto"/>
                      <w:lang w:val="en-US" w:eastAsia="zh-CN"/>
                    </w:rPr>
                    <w:t>s</w:t>
                  </w:r>
                  <w:r>
                    <w:rPr>
                      <w:rFonts w:hint="default"/>
                      <w:color w:val="auto"/>
                    </w:rPr>
                    <w:t>排放，建设单位将严格按照文件规定要求对VOC</w:t>
                  </w:r>
                  <w:r>
                    <w:rPr>
                      <w:rFonts w:hint="eastAsia"/>
                      <w:color w:val="auto"/>
                      <w:lang w:val="en-US" w:eastAsia="zh-CN"/>
                    </w:rPr>
                    <w:t>s</w:t>
                  </w:r>
                  <w:r>
                    <w:rPr>
                      <w:rFonts w:hint="default"/>
                      <w:color w:val="auto"/>
                    </w:rPr>
                    <w:t>排放实行倍量替代。</w:t>
                  </w:r>
                </w:p>
              </w:tc>
              <w:tc>
                <w:tcPr>
                  <w:tcW w:w="536" w:type="dxa"/>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eastAsia"/>
                      <w:color w:val="auto"/>
                    </w:rPr>
                  </w:pPr>
                  <w:r>
                    <w:rPr>
                      <w:rFonts w:hint="eastAsia"/>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72" w:hRule="atLeast"/>
                <w:jc w:val="center"/>
              </w:trPr>
              <w:tc>
                <w:tcPr>
                  <w:tcW w:w="728" w:type="dxa"/>
                  <w:vMerge w:val="continue"/>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default"/>
                      <w:color w:val="auto"/>
                    </w:rPr>
                  </w:pPr>
                </w:p>
              </w:tc>
              <w:tc>
                <w:tcPr>
                  <w:tcW w:w="646" w:type="dxa"/>
                  <w:vMerge w:val="continue"/>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default"/>
                      <w:color w:val="auto"/>
                    </w:rPr>
                  </w:pPr>
                </w:p>
              </w:tc>
              <w:tc>
                <w:tcPr>
                  <w:tcW w:w="690" w:type="dxa"/>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环境风险防控</w:t>
                  </w:r>
                </w:p>
              </w:tc>
              <w:tc>
                <w:tcPr>
                  <w:tcW w:w="2710" w:type="dxa"/>
                  <w:tcMar>
                    <w:top w:w="0" w:type="dxa"/>
                    <w:left w:w="51" w:type="dxa"/>
                    <w:bottom w:w="0" w:type="dxa"/>
                    <w:right w:w="51" w:type="dxa"/>
                  </w:tcMar>
                  <w:vAlign w:val="center"/>
                </w:tcPr>
                <w:p>
                  <w:pPr>
                    <w:pStyle w:val="78"/>
                    <w:keepNext w:val="0"/>
                    <w:keepLines w:val="0"/>
                    <w:numPr>
                      <w:ilvl w:val="0"/>
                      <w:numId w:val="0"/>
                    </w:numPr>
                    <w:suppressLineNumbers w:val="0"/>
                    <w:bidi w:val="0"/>
                    <w:spacing w:before="0" w:beforeAutospacing="0" w:after="0" w:afterAutospacing="0"/>
                    <w:ind w:left="0" w:right="0"/>
                    <w:jc w:val="center"/>
                    <w:rPr>
                      <w:rFonts w:hint="eastAsia" w:eastAsia="宋体"/>
                      <w:color w:val="auto"/>
                      <w:lang w:eastAsia="zh-CN"/>
                    </w:rPr>
                  </w:pPr>
                  <w:r>
                    <w:rPr>
                      <w:rFonts w:hint="eastAsia" w:ascii="Times New Roman" w:hAnsi="Times New Roman" w:eastAsia="宋体" w:cs="Times New Roman"/>
                      <w:color w:val="auto"/>
                      <w:kern w:val="0"/>
                      <w:sz w:val="21"/>
                      <w:szCs w:val="20"/>
                      <w:lang w:val="en-US" w:eastAsia="zh-CN" w:bidi="ar-SA"/>
                    </w:rPr>
                    <w:t>单元内现有化学原料和化学制品制造业、有色金属冶炼和压延加工业等具有潜在土壤污染环境风险的企业退役后，应开展土壤环境状况评估，经评估认为污染地块可能损害人体健康和环境，应当进行修复的，由造成污染的单位和个人负责被污染土壤的修复。</w:t>
                  </w:r>
                </w:p>
              </w:tc>
              <w:tc>
                <w:tcPr>
                  <w:tcW w:w="1948" w:type="dxa"/>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本项目</w:t>
                  </w:r>
                  <w:r>
                    <w:rPr>
                      <w:rFonts w:hint="eastAsia"/>
                      <w:color w:val="auto"/>
                      <w:sz w:val="21"/>
                      <w:szCs w:val="21"/>
                      <w:lang w:val="en-US" w:eastAsia="zh-CN"/>
                    </w:rPr>
                    <w:t>属于新建项目，同时不涉及土壤污染途径。</w:t>
                  </w:r>
                </w:p>
              </w:tc>
              <w:tc>
                <w:tcPr>
                  <w:tcW w:w="536" w:type="dxa"/>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eastAsia" w:eastAsia="宋体"/>
                      <w:color w:val="auto"/>
                      <w:lang w:val="en-US" w:eastAsia="zh-CN"/>
                    </w:rPr>
                  </w:pPr>
                  <w:r>
                    <w:rPr>
                      <w:rFonts w:hint="eastAsia"/>
                      <w:color w:val="auto"/>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40" w:hRule="atLeast"/>
                <w:jc w:val="center"/>
              </w:trPr>
              <w:tc>
                <w:tcPr>
                  <w:tcW w:w="728" w:type="dxa"/>
                  <w:vMerge w:val="continue"/>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default"/>
                      <w:color w:val="auto"/>
                    </w:rPr>
                  </w:pPr>
                </w:p>
              </w:tc>
              <w:tc>
                <w:tcPr>
                  <w:tcW w:w="646" w:type="dxa"/>
                  <w:vMerge w:val="continue"/>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default"/>
                      <w:color w:val="auto"/>
                    </w:rPr>
                  </w:pPr>
                </w:p>
              </w:tc>
              <w:tc>
                <w:tcPr>
                  <w:tcW w:w="690" w:type="dxa"/>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资源开发效率要求</w:t>
                  </w:r>
                </w:p>
              </w:tc>
              <w:tc>
                <w:tcPr>
                  <w:tcW w:w="2710" w:type="dxa"/>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高污染燃料禁燃区内禁止燃用高污染燃料，禁止新建、扩建燃用高污染燃料的设施。已建的燃用高污染燃料设施，限期改用电、天然气、液化石油气等清洁能源。</w:t>
                  </w:r>
                </w:p>
              </w:tc>
              <w:tc>
                <w:tcPr>
                  <w:tcW w:w="1948" w:type="dxa"/>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eastAsia"/>
                      <w:color w:val="auto"/>
                    </w:rPr>
                  </w:pPr>
                  <w:r>
                    <w:rPr>
                      <w:rFonts w:hint="eastAsia"/>
                      <w:color w:val="auto"/>
                    </w:rPr>
                    <w:t>本项目设备均采用电能，不涉及使用</w:t>
                  </w:r>
                  <w:r>
                    <w:rPr>
                      <w:rFonts w:hint="default"/>
                      <w:color w:val="auto"/>
                    </w:rPr>
                    <w:t>高污染燃料</w:t>
                  </w:r>
                  <w:r>
                    <w:rPr>
                      <w:rFonts w:hint="eastAsia"/>
                      <w:color w:val="auto"/>
                    </w:rPr>
                    <w:t>。</w:t>
                  </w:r>
                </w:p>
              </w:tc>
              <w:tc>
                <w:tcPr>
                  <w:tcW w:w="536" w:type="dxa"/>
                  <w:tcMar>
                    <w:top w:w="0" w:type="dxa"/>
                    <w:left w:w="51" w:type="dxa"/>
                    <w:bottom w:w="0" w:type="dxa"/>
                    <w:right w:w="51" w:type="dxa"/>
                  </w:tcMar>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eastAsia"/>
                      <w:color w:val="auto"/>
                    </w:rPr>
                    <w:t>符合</w:t>
                  </w:r>
                </w:p>
              </w:tc>
            </w:tr>
          </w:tbl>
          <w:p>
            <w:pPr>
              <w:pStyle w:val="18"/>
              <w:keepNext w:val="0"/>
              <w:keepLines w:val="0"/>
              <w:suppressLineNumbers w:val="0"/>
              <w:bidi w:val="0"/>
              <w:spacing w:before="0" w:beforeAutospacing="0" w:after="0" w:afterAutospacing="0"/>
              <w:ind w:left="0" w:right="0" w:firstLine="480" w:firstLineChars="200"/>
              <w:jc w:val="both"/>
              <w:rPr>
                <w:rFonts w:hint="default"/>
                <w:color w:val="auto"/>
              </w:rPr>
            </w:pPr>
            <w:r>
              <w:rPr>
                <w:rFonts w:hint="eastAsia"/>
                <w:color w:val="auto"/>
                <w:lang w:val="en-US" w:eastAsia="zh-CN"/>
              </w:rPr>
              <w:t>综上所述，本项目建设符合“三线一单”相关管控要求。</w:t>
            </w:r>
          </w:p>
          <w:bookmarkEnd w:id="8"/>
          <w:bookmarkEnd w:id="9"/>
          <w:bookmarkEnd w:id="10"/>
          <w:bookmarkEnd w:id="11"/>
          <w:bookmarkEnd w:id="12"/>
          <w:p>
            <w:pPr>
              <w:pStyle w:val="3"/>
              <w:keepNext w:val="0"/>
              <w:keepLines w:val="0"/>
              <w:suppressLineNumbers w:val="0"/>
              <w:tabs>
                <w:tab w:val="left" w:pos="0"/>
              </w:tabs>
              <w:spacing w:before="0" w:beforeAutospacing="0" w:after="0" w:afterAutospacing="0"/>
              <w:ind w:left="0" w:right="0"/>
              <w:rPr>
                <w:rFonts w:hint="eastAsia" w:ascii="Times New Roman" w:hAnsi="Times New Roman" w:cs="Times New Roman"/>
                <w:color w:val="auto"/>
                <w:highlight w:val="none"/>
                <w:lang w:val="en-US" w:eastAsia="zh-CN"/>
              </w:rPr>
            </w:pPr>
            <w:bookmarkStart w:id="13" w:name="_Toc17191"/>
            <w:r>
              <w:rPr>
                <w:rFonts w:hint="eastAsia" w:ascii="Times New Roman" w:hAnsi="Times New Roman" w:cs="Times New Roman"/>
                <w:color w:val="auto"/>
                <w:highlight w:val="none"/>
                <w:lang w:val="en-US" w:eastAsia="zh-CN"/>
              </w:rPr>
              <w:t>与挥发性有机物污染防治相关政策符合性分析</w:t>
            </w:r>
            <w:bookmarkEnd w:id="13"/>
          </w:p>
          <w:p>
            <w:pPr>
              <w:pStyle w:val="18"/>
              <w:keepNext w:val="0"/>
              <w:keepLines w:val="0"/>
              <w:suppressLineNumbers w:val="0"/>
              <w:bidi w:val="0"/>
              <w:spacing w:before="0" w:beforeAutospacing="0" w:after="0" w:afterAutospacing="0"/>
              <w:ind w:left="0" w:right="0" w:firstLine="480" w:firstLineChars="200"/>
              <w:jc w:val="both"/>
              <w:rPr>
                <w:rFonts w:hint="default"/>
                <w:color w:val="auto"/>
              </w:rPr>
            </w:pPr>
            <w:r>
              <w:rPr>
                <w:rFonts w:hint="eastAsia"/>
                <w:color w:val="auto"/>
              </w:rPr>
              <w:t>本项目与</w:t>
            </w:r>
            <w:r>
              <w:rPr>
                <w:rFonts w:hint="default"/>
                <w:color w:val="auto"/>
              </w:rPr>
              <w:t>《</w:t>
            </w:r>
            <w:r>
              <w:rPr>
                <w:rFonts w:hint="eastAsia"/>
                <w:color w:val="auto"/>
                <w:lang w:eastAsia="zh-CN"/>
              </w:rPr>
              <w:t>“</w:t>
            </w:r>
            <w:r>
              <w:rPr>
                <w:rFonts w:hint="default"/>
                <w:color w:val="auto"/>
              </w:rPr>
              <w:t>十三五</w:t>
            </w:r>
            <w:r>
              <w:rPr>
                <w:rFonts w:hint="eastAsia"/>
                <w:color w:val="auto"/>
                <w:lang w:eastAsia="zh-CN"/>
              </w:rPr>
              <w:t>”</w:t>
            </w:r>
            <w:r>
              <w:rPr>
                <w:rFonts w:hint="default"/>
                <w:color w:val="auto"/>
              </w:rPr>
              <w:t>挥发性有机物污染防治工作方案》</w:t>
            </w:r>
            <w:r>
              <w:rPr>
                <w:rFonts w:hint="eastAsia"/>
                <w:color w:val="auto"/>
              </w:rPr>
              <w:t>、</w:t>
            </w:r>
            <w:r>
              <w:rPr>
                <w:rFonts w:hint="default"/>
                <w:color w:val="auto"/>
              </w:rPr>
              <w:t>《福建省重点行业挥发性有机物污染防治工作方案》</w:t>
            </w:r>
            <w:r>
              <w:rPr>
                <w:rFonts w:hint="eastAsia"/>
                <w:color w:val="auto"/>
                <w:lang w:eastAsia="zh-CN"/>
              </w:rPr>
              <w:t>（</w:t>
            </w:r>
            <w:r>
              <w:rPr>
                <w:rFonts w:hint="default"/>
                <w:color w:val="auto"/>
              </w:rPr>
              <w:t>闽环保大气〔2017〕6号</w:t>
            </w:r>
            <w:r>
              <w:rPr>
                <w:rFonts w:hint="eastAsia"/>
                <w:color w:val="auto"/>
                <w:lang w:eastAsia="zh-CN"/>
              </w:rPr>
              <w:t>）</w:t>
            </w:r>
            <w:r>
              <w:rPr>
                <w:rFonts w:hint="eastAsia"/>
                <w:color w:val="auto"/>
              </w:rPr>
              <w:t>、</w:t>
            </w:r>
            <w:r>
              <w:rPr>
                <w:rFonts w:hint="default"/>
                <w:color w:val="auto"/>
              </w:rPr>
              <w:t>《福州市挥发性有机物污染整治工作方案》</w:t>
            </w:r>
            <w:r>
              <w:rPr>
                <w:rFonts w:hint="eastAsia"/>
                <w:color w:val="auto"/>
                <w:lang w:eastAsia="zh-CN"/>
              </w:rPr>
              <w:t>（</w:t>
            </w:r>
            <w:r>
              <w:rPr>
                <w:rFonts w:hint="default"/>
                <w:color w:val="auto"/>
              </w:rPr>
              <w:t>榕政办〔2017〕169号</w:t>
            </w:r>
            <w:r>
              <w:rPr>
                <w:rFonts w:hint="eastAsia"/>
                <w:color w:val="auto"/>
                <w:lang w:eastAsia="zh-CN"/>
              </w:rPr>
              <w:t>）</w:t>
            </w:r>
            <w:r>
              <w:rPr>
                <w:rFonts w:hint="eastAsia"/>
                <w:color w:val="auto"/>
              </w:rPr>
              <w:t>及《2021年福州市提升空气质量行动计划》的通知</w:t>
            </w:r>
            <w:r>
              <w:rPr>
                <w:rFonts w:hint="eastAsia"/>
                <w:color w:val="auto"/>
                <w:lang w:eastAsia="zh-CN"/>
              </w:rPr>
              <w:t>（</w:t>
            </w:r>
            <w:r>
              <w:rPr>
                <w:rFonts w:hint="default"/>
                <w:color w:val="auto"/>
              </w:rPr>
              <w:t>榕</w:t>
            </w:r>
            <w:r>
              <w:rPr>
                <w:rFonts w:hint="eastAsia"/>
                <w:color w:val="auto"/>
              </w:rPr>
              <w:t>环委</w:t>
            </w:r>
            <w:r>
              <w:rPr>
                <w:rFonts w:hint="default"/>
                <w:color w:val="auto"/>
              </w:rPr>
              <w:t>办〔20</w:t>
            </w:r>
            <w:r>
              <w:rPr>
                <w:rFonts w:hint="eastAsia"/>
                <w:color w:val="auto"/>
              </w:rPr>
              <w:t>21</w:t>
            </w:r>
            <w:r>
              <w:rPr>
                <w:rFonts w:hint="default"/>
                <w:color w:val="auto"/>
              </w:rPr>
              <w:t>〕</w:t>
            </w:r>
            <w:r>
              <w:rPr>
                <w:rFonts w:hint="eastAsia"/>
                <w:color w:val="auto"/>
              </w:rPr>
              <w:t>23</w:t>
            </w:r>
            <w:r>
              <w:rPr>
                <w:rFonts w:hint="default"/>
                <w:color w:val="auto"/>
              </w:rPr>
              <w:t>号</w:t>
            </w:r>
            <w:r>
              <w:rPr>
                <w:rFonts w:hint="eastAsia"/>
                <w:color w:val="auto"/>
                <w:lang w:eastAsia="zh-CN"/>
              </w:rPr>
              <w:t>）</w:t>
            </w:r>
            <w:r>
              <w:rPr>
                <w:rFonts w:hint="eastAsia"/>
                <w:color w:val="auto"/>
              </w:rPr>
              <w:t>符合性分析详见</w:t>
            </w:r>
            <w:r>
              <w:rPr>
                <w:rFonts w:hint="eastAsia"/>
                <w:color w:val="auto"/>
                <w:lang w:val="en-US" w:eastAsia="zh-CN"/>
              </w:rPr>
              <w:t>下</w:t>
            </w:r>
            <w:r>
              <w:rPr>
                <w:rFonts w:hint="eastAsia"/>
                <w:color w:val="auto"/>
              </w:rPr>
              <w:t>表。</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jc w:val="center"/>
              <w:textAlignment w:val="auto"/>
              <w:rPr>
                <w:rFonts w:hint="eastAsia" w:ascii="Times New Roman" w:hAnsi="Times New Roman" w:cs="Times New Roman"/>
                <w:color w:val="auto"/>
                <w:highlight w:val="none"/>
                <w:lang w:val="en-GB" w:eastAsia="zh-CN"/>
              </w:rPr>
            </w:pPr>
            <w:r>
              <w:rPr>
                <w:rFonts w:hint="eastAsia" w:ascii="Times New Roman" w:hAnsi="Times New Roman" w:cs="Times New Roman"/>
                <w:color w:val="auto"/>
                <w:highlight w:val="none"/>
                <w:lang w:val="en-GB" w:eastAsia="zh-CN"/>
              </w:rPr>
              <w:t>挥发性有机物污染防治政策相关内容</w:t>
            </w:r>
          </w:p>
          <w:tbl>
            <w:tblPr>
              <w:tblStyle w:val="32"/>
              <w:tblW w:w="7260"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349"/>
              <w:gridCol w:w="1555"/>
              <w:gridCol w:w="2930"/>
              <w:gridCol w:w="1835"/>
              <w:gridCol w:w="59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center"/>
              </w:trPr>
              <w:tc>
                <w:tcPr>
                  <w:tcW w:w="349" w:type="dxa"/>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序号</w:t>
                  </w:r>
                </w:p>
              </w:tc>
              <w:tc>
                <w:tcPr>
                  <w:tcW w:w="1555" w:type="dxa"/>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相关文件名称</w:t>
                  </w:r>
                </w:p>
              </w:tc>
              <w:tc>
                <w:tcPr>
                  <w:tcW w:w="2930" w:type="dxa"/>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相关内容</w:t>
                  </w:r>
                </w:p>
              </w:tc>
              <w:tc>
                <w:tcPr>
                  <w:tcW w:w="1835" w:type="dxa"/>
                  <w:vAlign w:val="center"/>
                </w:tcPr>
                <w:p>
                  <w:pPr>
                    <w:pStyle w:val="78"/>
                    <w:keepNext w:val="0"/>
                    <w:keepLines w:val="0"/>
                    <w:suppressLineNumbers w:val="0"/>
                    <w:bidi w:val="0"/>
                    <w:spacing w:before="0" w:beforeAutospacing="0" w:after="0" w:afterAutospacing="0"/>
                    <w:ind w:left="0" w:right="0"/>
                    <w:jc w:val="center"/>
                    <w:rPr>
                      <w:rFonts w:hint="eastAsia"/>
                      <w:color w:val="auto"/>
                      <w:lang w:eastAsia="zh-CN"/>
                    </w:rPr>
                  </w:pPr>
                  <w:r>
                    <w:rPr>
                      <w:rFonts w:hint="eastAsia"/>
                      <w:color w:val="auto"/>
                      <w:lang w:eastAsia="zh-CN"/>
                    </w:rPr>
                    <w:t>本项目内容</w:t>
                  </w:r>
                </w:p>
              </w:tc>
              <w:tc>
                <w:tcPr>
                  <w:tcW w:w="591" w:type="dxa"/>
                  <w:vAlign w:val="center"/>
                </w:tcPr>
                <w:p>
                  <w:pPr>
                    <w:pStyle w:val="78"/>
                    <w:keepNext w:val="0"/>
                    <w:keepLines w:val="0"/>
                    <w:suppressLineNumbers w:val="0"/>
                    <w:bidi w:val="0"/>
                    <w:spacing w:before="0" w:beforeAutospacing="0" w:after="0" w:afterAutospacing="0"/>
                    <w:ind w:left="0" w:right="0"/>
                    <w:jc w:val="center"/>
                    <w:rPr>
                      <w:rFonts w:hint="eastAsia"/>
                      <w:color w:val="auto"/>
                      <w:lang w:eastAsia="zh-CN"/>
                    </w:rPr>
                  </w:pPr>
                  <w:r>
                    <w:rPr>
                      <w:rFonts w:hint="eastAsia"/>
                      <w:color w:val="auto"/>
                      <w:lang w:eastAsia="zh-CN"/>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1642" w:hRule="atLeast"/>
                <w:jc w:val="center"/>
              </w:trPr>
              <w:tc>
                <w:tcPr>
                  <w:tcW w:w="349" w:type="dxa"/>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1</w:t>
                  </w:r>
                </w:p>
              </w:tc>
              <w:tc>
                <w:tcPr>
                  <w:tcW w:w="1555" w:type="dxa"/>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eastAsia"/>
                      <w:color w:val="auto"/>
                      <w:lang w:eastAsia="zh-CN"/>
                    </w:rPr>
                    <w:t>“</w:t>
                  </w:r>
                  <w:r>
                    <w:rPr>
                      <w:rFonts w:hint="default"/>
                      <w:color w:val="auto"/>
                    </w:rPr>
                    <w:t>十三五</w:t>
                  </w:r>
                  <w:r>
                    <w:rPr>
                      <w:rFonts w:hint="eastAsia"/>
                      <w:color w:val="auto"/>
                      <w:lang w:eastAsia="zh-CN"/>
                    </w:rPr>
                    <w:t>”</w:t>
                  </w:r>
                  <w:r>
                    <w:rPr>
                      <w:rFonts w:hint="default"/>
                      <w:color w:val="auto"/>
                    </w:rPr>
                    <w:t>挥发性有机物污染防治工作方案</w:t>
                  </w:r>
                  <w:r>
                    <w:rPr>
                      <w:rFonts w:hint="eastAsia"/>
                      <w:color w:val="auto"/>
                      <w:lang w:val="en-US" w:eastAsia="zh-CN"/>
                    </w:rPr>
                    <w:t>(环大气〔2017〕121号)</w:t>
                  </w:r>
                </w:p>
              </w:tc>
              <w:tc>
                <w:tcPr>
                  <w:tcW w:w="2930" w:type="dxa"/>
                  <w:vAlign w:val="center"/>
                </w:tcPr>
                <w:p>
                  <w:pPr>
                    <w:pStyle w:val="78"/>
                    <w:keepNext w:val="0"/>
                    <w:keepLines w:val="0"/>
                    <w:suppressLineNumbers w:val="0"/>
                    <w:bidi w:val="0"/>
                    <w:spacing w:before="0" w:beforeAutospacing="0" w:after="0" w:afterAutospacing="0"/>
                    <w:ind w:left="0" w:right="0"/>
                    <w:jc w:val="both"/>
                    <w:rPr>
                      <w:rFonts w:hint="eastAsia"/>
                      <w:color w:val="auto"/>
                      <w:lang w:eastAsia="zh-CN"/>
                    </w:rPr>
                  </w:pPr>
                  <w:r>
                    <w:rPr>
                      <w:rFonts w:hint="default"/>
                      <w:color w:val="auto"/>
                    </w:rPr>
                    <w:t>严格建设项目环境准入。提高VOCs排放重点行业环保准入门槛，严格控制新增污染物排放量。重点地区要严格限制石化、化工、包装印刷、工业涂装等高VOCs排放建设项目。新建涉VOCs排放的工业企业要入园区。严格涉VOCs建设项目环境影响评价，实行区域内VOCs排放等量或倍量削减替代，并将替代方案落实到企业排污许可证中，纳入环境执法管理。新、改、扩建涉VOCs排放项目，应从源头加强控制，使用低</w:t>
                  </w:r>
                  <w:r>
                    <w:rPr>
                      <w:rFonts w:hint="eastAsia"/>
                      <w:color w:val="auto"/>
                      <w:lang w:eastAsia="zh-CN"/>
                    </w:rPr>
                    <w:t>（</w:t>
                  </w:r>
                  <w:r>
                    <w:rPr>
                      <w:rFonts w:hint="default"/>
                      <w:color w:val="auto"/>
                    </w:rPr>
                    <w:t>无</w:t>
                  </w:r>
                  <w:r>
                    <w:rPr>
                      <w:rFonts w:hint="eastAsia"/>
                      <w:color w:val="auto"/>
                      <w:lang w:eastAsia="zh-CN"/>
                    </w:rPr>
                    <w:t>）</w:t>
                  </w:r>
                  <w:r>
                    <w:rPr>
                      <w:rFonts w:hint="default"/>
                      <w:color w:val="auto"/>
                    </w:rPr>
                    <w:t>VOCs含量的原辅材料，加强废气收集，安装高效治理设施</w:t>
                  </w:r>
                  <w:r>
                    <w:rPr>
                      <w:rFonts w:hint="eastAsia"/>
                      <w:color w:val="auto"/>
                      <w:lang w:eastAsia="zh-CN"/>
                    </w:rPr>
                    <w:t>。</w:t>
                  </w:r>
                </w:p>
              </w:tc>
              <w:tc>
                <w:tcPr>
                  <w:tcW w:w="1835" w:type="dxa"/>
                  <w:vAlign w:val="center"/>
                </w:tcPr>
                <w:p>
                  <w:pPr>
                    <w:pStyle w:val="78"/>
                    <w:keepNext w:val="0"/>
                    <w:keepLines w:val="0"/>
                    <w:suppressLineNumbers w:val="0"/>
                    <w:bidi w:val="0"/>
                    <w:spacing w:before="0" w:beforeAutospacing="0" w:after="0" w:afterAutospacing="0"/>
                    <w:ind w:left="0" w:right="0"/>
                    <w:jc w:val="both"/>
                    <w:rPr>
                      <w:rFonts w:hint="eastAsia"/>
                      <w:color w:val="auto"/>
                    </w:rPr>
                  </w:pPr>
                  <w:r>
                    <w:rPr>
                      <w:rFonts w:hint="default"/>
                      <w:color w:val="auto"/>
                    </w:rPr>
                    <w:t>本项目位于</w:t>
                  </w:r>
                  <w:r>
                    <w:rPr>
                      <w:rFonts w:hint="eastAsia"/>
                      <w:color w:val="auto"/>
                    </w:rPr>
                    <w:t>福清市</w:t>
                  </w:r>
                  <w:r>
                    <w:rPr>
                      <w:rFonts w:hint="default"/>
                      <w:color w:val="auto"/>
                    </w:rPr>
                    <w:t>，不属于重点地区，不属于重点行业，本项目建设过程中将严格执行环保</w:t>
                  </w:r>
                  <w:r>
                    <w:rPr>
                      <w:rFonts w:hint="eastAsia"/>
                      <w:color w:val="auto"/>
                      <w:lang w:eastAsia="zh-CN"/>
                    </w:rPr>
                    <w:t>“</w:t>
                  </w:r>
                  <w:r>
                    <w:rPr>
                      <w:rFonts w:hint="default"/>
                      <w:color w:val="auto"/>
                    </w:rPr>
                    <w:t>三同时</w:t>
                  </w:r>
                  <w:r>
                    <w:rPr>
                      <w:rFonts w:hint="eastAsia"/>
                      <w:color w:val="auto"/>
                      <w:lang w:eastAsia="zh-CN"/>
                    </w:rPr>
                    <w:t>”</w:t>
                  </w:r>
                  <w:r>
                    <w:rPr>
                      <w:rFonts w:hint="default"/>
                      <w:color w:val="auto"/>
                    </w:rPr>
                    <w:t>制度，严格废气收集、治理，确保满足有机废气收集、治理、管理的要求，实现达标排放，VOC</w:t>
                  </w:r>
                  <w:r>
                    <w:rPr>
                      <w:rFonts w:hint="eastAsia"/>
                      <w:color w:val="auto"/>
                      <w:lang w:val="en-US" w:eastAsia="zh-CN"/>
                    </w:rPr>
                    <w:t>s</w:t>
                  </w:r>
                  <w:r>
                    <w:rPr>
                      <w:rFonts w:hint="default"/>
                      <w:color w:val="auto"/>
                    </w:rPr>
                    <w:t>排放量严格执行允许排放量控制</w:t>
                  </w:r>
                </w:p>
              </w:tc>
              <w:tc>
                <w:tcPr>
                  <w:tcW w:w="591" w:type="dxa"/>
                  <w:vAlign w:val="center"/>
                </w:tcPr>
                <w:p>
                  <w:pPr>
                    <w:pStyle w:val="78"/>
                    <w:keepNext w:val="0"/>
                    <w:keepLines w:val="0"/>
                    <w:suppressLineNumbers w:val="0"/>
                    <w:bidi w:val="0"/>
                    <w:spacing w:before="0" w:beforeAutospacing="0" w:after="0" w:afterAutospacing="0"/>
                    <w:ind w:left="0" w:right="0"/>
                    <w:jc w:val="center"/>
                    <w:rPr>
                      <w:rFonts w:hint="eastAsia"/>
                      <w:color w:val="auto"/>
                      <w:lang w:eastAsia="zh-CN"/>
                    </w:rPr>
                  </w:pPr>
                  <w:r>
                    <w:rPr>
                      <w:rFonts w:hint="eastAsia"/>
                      <w:color w:val="auto"/>
                      <w:lang w:eastAsia="zh-CN"/>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center"/>
              </w:trPr>
              <w:tc>
                <w:tcPr>
                  <w:tcW w:w="349" w:type="dxa"/>
                  <w:vAlign w:val="center"/>
                </w:tcPr>
                <w:p>
                  <w:pPr>
                    <w:pStyle w:val="78"/>
                    <w:keepNext w:val="0"/>
                    <w:keepLines w:val="0"/>
                    <w:suppressLineNumbers w:val="0"/>
                    <w:bidi w:val="0"/>
                    <w:spacing w:before="0" w:beforeAutospacing="0" w:after="0" w:afterAutospacing="0"/>
                    <w:ind w:left="0" w:right="0"/>
                    <w:jc w:val="center"/>
                    <w:rPr>
                      <w:rFonts w:hint="eastAsia" w:eastAsia="宋体"/>
                      <w:color w:val="auto"/>
                      <w:lang w:eastAsia="zh-CN"/>
                    </w:rPr>
                  </w:pPr>
                  <w:r>
                    <w:rPr>
                      <w:rFonts w:hint="eastAsia"/>
                      <w:color w:val="auto"/>
                      <w:lang w:val="en-US" w:eastAsia="zh-CN"/>
                    </w:rPr>
                    <w:t>2</w:t>
                  </w:r>
                </w:p>
              </w:tc>
              <w:tc>
                <w:tcPr>
                  <w:tcW w:w="1555" w:type="dxa"/>
                  <w:vAlign w:val="center"/>
                </w:tcPr>
                <w:p>
                  <w:pPr>
                    <w:pStyle w:val="78"/>
                    <w:keepNext w:val="0"/>
                    <w:keepLines w:val="0"/>
                    <w:suppressLineNumbers w:val="0"/>
                    <w:bidi w:val="0"/>
                    <w:spacing w:before="0" w:beforeAutospacing="0" w:after="0" w:afterAutospacing="0"/>
                    <w:ind w:left="0" w:right="0"/>
                    <w:jc w:val="center"/>
                    <w:rPr>
                      <w:rFonts w:hint="default"/>
                      <w:color w:val="auto"/>
                    </w:rPr>
                  </w:pPr>
                  <w:r>
                    <w:rPr>
                      <w:rFonts w:hint="default"/>
                      <w:color w:val="auto"/>
                    </w:rPr>
                    <w:t>福州市挥发性有机物污染整治工作方案</w:t>
                  </w:r>
                </w:p>
              </w:tc>
              <w:tc>
                <w:tcPr>
                  <w:tcW w:w="2930" w:type="dxa"/>
                  <w:vAlign w:val="center"/>
                </w:tcPr>
                <w:p>
                  <w:pPr>
                    <w:pStyle w:val="78"/>
                    <w:keepNext w:val="0"/>
                    <w:keepLines w:val="0"/>
                    <w:suppressLineNumbers w:val="0"/>
                    <w:bidi w:val="0"/>
                    <w:spacing w:before="0" w:beforeAutospacing="0" w:after="0" w:afterAutospacing="0"/>
                    <w:ind w:left="0" w:right="0"/>
                    <w:jc w:val="both"/>
                    <w:rPr>
                      <w:rFonts w:hint="default"/>
                      <w:color w:val="auto"/>
                    </w:rPr>
                  </w:pPr>
                  <w:r>
                    <w:rPr>
                      <w:rFonts w:hint="default"/>
                      <w:color w:val="auto"/>
                    </w:rPr>
                    <w:t>（二）严格VOCs项目环境准入</w:t>
                  </w:r>
                </w:p>
                <w:p>
                  <w:pPr>
                    <w:pStyle w:val="78"/>
                    <w:keepNext w:val="0"/>
                    <w:keepLines w:val="0"/>
                    <w:suppressLineNumbers w:val="0"/>
                    <w:bidi w:val="0"/>
                    <w:spacing w:before="0" w:beforeAutospacing="0" w:after="0" w:afterAutospacing="0"/>
                    <w:ind w:left="0" w:right="0"/>
                    <w:jc w:val="both"/>
                    <w:rPr>
                      <w:rFonts w:hint="default"/>
                      <w:color w:val="auto"/>
                    </w:rPr>
                  </w:pPr>
                  <w:r>
                    <w:rPr>
                      <w:rFonts w:hint="default"/>
                      <w:color w:val="auto"/>
                    </w:rPr>
                    <w:t>提高行业准入门槛，鼓励支持企业通过技改减少挥发性有机物排放，严格控制新增污染物排放量，对挥发性有机物新增排放量实行现役源2倍削减量替代。</w:t>
                  </w:r>
                </w:p>
              </w:tc>
              <w:tc>
                <w:tcPr>
                  <w:tcW w:w="1835" w:type="dxa"/>
                  <w:vAlign w:val="center"/>
                </w:tcPr>
                <w:p>
                  <w:pPr>
                    <w:pStyle w:val="78"/>
                    <w:keepNext w:val="0"/>
                    <w:keepLines w:val="0"/>
                    <w:suppressLineNumbers w:val="0"/>
                    <w:bidi w:val="0"/>
                    <w:spacing w:before="0" w:beforeAutospacing="0" w:after="0" w:afterAutospacing="0"/>
                    <w:ind w:left="0" w:right="0"/>
                    <w:jc w:val="both"/>
                    <w:rPr>
                      <w:rFonts w:hint="default"/>
                      <w:color w:val="auto"/>
                    </w:rPr>
                  </w:pPr>
                  <w:r>
                    <w:rPr>
                      <w:rFonts w:hint="eastAsia"/>
                      <w:color w:val="auto"/>
                      <w:lang w:eastAsia="zh-CN"/>
                    </w:rPr>
                    <w:t>本项目VOCs排放实行区域内倍量替代，新、改扩建涉VOCs排放项目，</w:t>
                  </w:r>
                  <w:r>
                    <w:rPr>
                      <w:rFonts w:hint="default"/>
                      <w:color w:val="auto"/>
                    </w:rPr>
                    <w:t>项目VOCs通过采取</w:t>
                  </w:r>
                  <w:r>
                    <w:rPr>
                      <w:rFonts w:hint="eastAsia"/>
                      <w:color w:val="auto"/>
                      <w:lang w:eastAsia="zh-CN"/>
                    </w:rPr>
                    <w:t>活性炭吸附装置处理，</w:t>
                  </w:r>
                  <w:r>
                    <w:rPr>
                      <w:rFonts w:hint="default"/>
                      <w:color w:val="auto"/>
                    </w:rPr>
                    <w:t>建设单位将严格按照文件规定要求对VOC</w:t>
                  </w:r>
                  <w:r>
                    <w:rPr>
                      <w:rFonts w:hint="eastAsia"/>
                      <w:color w:val="auto"/>
                      <w:lang w:val="en-US" w:eastAsia="zh-CN"/>
                    </w:rPr>
                    <w:t>s</w:t>
                  </w:r>
                  <w:r>
                    <w:rPr>
                      <w:rFonts w:hint="default"/>
                      <w:color w:val="auto"/>
                    </w:rPr>
                    <w:t>排放实行倍量替代。</w:t>
                  </w:r>
                </w:p>
              </w:tc>
              <w:tc>
                <w:tcPr>
                  <w:tcW w:w="591" w:type="dxa"/>
                  <w:vAlign w:val="center"/>
                </w:tcPr>
                <w:p>
                  <w:pPr>
                    <w:pStyle w:val="78"/>
                    <w:keepNext w:val="0"/>
                    <w:keepLines w:val="0"/>
                    <w:suppressLineNumbers w:val="0"/>
                    <w:bidi w:val="0"/>
                    <w:spacing w:before="0" w:beforeAutospacing="0" w:after="0" w:afterAutospacing="0"/>
                    <w:ind w:left="0" w:right="0"/>
                    <w:jc w:val="center"/>
                    <w:rPr>
                      <w:rFonts w:hint="eastAsia"/>
                      <w:color w:val="auto"/>
                      <w:lang w:eastAsia="zh-CN"/>
                    </w:rPr>
                  </w:pPr>
                  <w:r>
                    <w:rPr>
                      <w:rFonts w:hint="eastAsia"/>
                      <w:color w:val="auto"/>
                      <w:lang w:eastAsia="zh-CN"/>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center"/>
              </w:trPr>
              <w:tc>
                <w:tcPr>
                  <w:tcW w:w="349" w:type="dxa"/>
                  <w:vAlign w:val="center"/>
                </w:tcPr>
                <w:p>
                  <w:pPr>
                    <w:pStyle w:val="78"/>
                    <w:keepNext w:val="0"/>
                    <w:keepLines w:val="0"/>
                    <w:suppressLineNumbers w:val="0"/>
                    <w:bidi w:val="0"/>
                    <w:spacing w:before="0" w:beforeAutospacing="0" w:after="0" w:afterAutospacing="0"/>
                    <w:ind w:left="0" w:right="0"/>
                    <w:jc w:val="center"/>
                    <w:rPr>
                      <w:rFonts w:hint="eastAsia" w:eastAsia="宋体"/>
                      <w:color w:val="auto"/>
                      <w:lang w:eastAsia="zh-CN"/>
                    </w:rPr>
                  </w:pPr>
                  <w:r>
                    <w:rPr>
                      <w:rFonts w:hint="eastAsia"/>
                      <w:color w:val="auto"/>
                      <w:lang w:val="en-US" w:eastAsia="zh-CN"/>
                    </w:rPr>
                    <w:t>3</w:t>
                  </w:r>
                </w:p>
              </w:tc>
              <w:tc>
                <w:tcPr>
                  <w:tcW w:w="1555" w:type="dxa"/>
                  <w:vAlign w:val="center"/>
                </w:tcPr>
                <w:p>
                  <w:pPr>
                    <w:pStyle w:val="78"/>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color w:val="auto"/>
                    </w:rPr>
                  </w:pPr>
                  <w:r>
                    <w:rPr>
                      <w:rFonts w:hint="default" w:ascii="Times New Roman" w:hAnsi="Times New Roman" w:eastAsia="宋体" w:cs="Times New Roman"/>
                      <w:color w:val="auto"/>
                    </w:rPr>
                    <w:t>《</w:t>
                  </w:r>
                  <w:r>
                    <w:rPr>
                      <w:rFonts w:hint="default" w:ascii="Times New Roman" w:hAnsi="Times New Roman" w:eastAsia="宋体" w:cs="Times New Roman"/>
                      <w:color w:val="auto"/>
                      <w:lang w:eastAsia="zh-CN"/>
                    </w:rPr>
                    <w:t>福州市生态环境保护委员会办公室关于印发</w:t>
                  </w:r>
                  <w:r>
                    <w:rPr>
                      <w:rFonts w:hint="default" w:ascii="Times New Roman" w:hAnsi="Times New Roman" w:eastAsia="宋体" w:cs="Times New Roman"/>
                      <w:color w:val="auto"/>
                      <w:lang w:val="en-US" w:eastAsia="zh-CN"/>
                    </w:rPr>
                    <w:t>2022年度福州市蓝天碧海净土保卫战行动计划通知</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lang w:eastAsia="zh-CN"/>
                    </w:rPr>
                    <w:t>榕环委办</w:t>
                  </w:r>
                  <w:r>
                    <w:rPr>
                      <w:rFonts w:hint="eastAsia" w:cs="Times New Roman"/>
                      <w:color w:val="auto"/>
                      <w:lang w:val="en-US" w:eastAsia="zh-CN"/>
                    </w:rPr>
                    <w:t>〔</w:t>
                  </w:r>
                  <w:r>
                    <w:rPr>
                      <w:rFonts w:hint="default" w:ascii="Times New Roman" w:hAnsi="Times New Roman" w:eastAsia="宋体" w:cs="Times New Roman"/>
                      <w:color w:val="auto"/>
                      <w:lang w:val="en-US" w:eastAsia="zh-CN"/>
                    </w:rPr>
                    <w:t>2022</w:t>
                  </w:r>
                  <w:r>
                    <w:rPr>
                      <w:rFonts w:hint="eastAsia" w:cs="Times New Roman"/>
                      <w:color w:val="auto"/>
                      <w:lang w:val="en-US" w:eastAsia="zh-CN"/>
                    </w:rPr>
                    <w:t>〕</w:t>
                  </w:r>
                  <w:r>
                    <w:rPr>
                      <w:rFonts w:hint="default" w:ascii="Times New Roman" w:hAnsi="Times New Roman" w:eastAsia="宋体" w:cs="Times New Roman"/>
                      <w:color w:val="auto"/>
                      <w:lang w:val="en-US" w:eastAsia="zh-CN"/>
                    </w:rPr>
                    <w:t>49号)</w:t>
                  </w:r>
                </w:p>
              </w:tc>
              <w:tc>
                <w:tcPr>
                  <w:tcW w:w="2930" w:type="dxa"/>
                  <w:vAlign w:val="center"/>
                </w:tcPr>
                <w:p>
                  <w:pPr>
                    <w:pStyle w:val="78"/>
                    <w:keepNext w:val="0"/>
                    <w:keepLines w:val="0"/>
                    <w:suppressLineNumbers w:val="0"/>
                    <w:bidi w:val="0"/>
                    <w:spacing w:before="0" w:beforeAutospacing="0" w:after="0" w:afterAutospacing="0"/>
                    <w:ind w:left="0" w:right="0"/>
                    <w:jc w:val="both"/>
                    <w:rPr>
                      <w:rFonts w:hint="default" w:ascii="Times New Roman" w:hAnsi="Times New Roman" w:eastAsia="宋体" w:cs="Times New Roman"/>
                      <w:color w:val="auto"/>
                    </w:rPr>
                  </w:pPr>
                  <w:r>
                    <w:rPr>
                      <w:rFonts w:hint="default" w:ascii="Times New Roman" w:hAnsi="Times New Roman" w:eastAsia="宋体" w:cs="Times New Roman"/>
                      <w:color w:val="auto"/>
                    </w:rPr>
                    <w:t>四是严格涉VOCs建设项目环境影响评价审批。新、改、扩建涉VOCs排放项目，应使用低</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rPr>
                    <w:t>无)VOCs涂料、粘胶剂等，实施新建项目VOCs排放区域内1.2及以上倍量替代。VOCs年排放量大于5吨的新建项目投运前应安装VOCs在线监控设备，并接入市生态云平台。</w:t>
                  </w:r>
                </w:p>
              </w:tc>
              <w:tc>
                <w:tcPr>
                  <w:tcW w:w="1835" w:type="dxa"/>
                  <w:vAlign w:val="center"/>
                </w:tcPr>
                <w:p>
                  <w:pPr>
                    <w:pStyle w:val="78"/>
                    <w:keepNext w:val="0"/>
                    <w:keepLines w:val="0"/>
                    <w:suppressLineNumbers w:val="0"/>
                    <w:bidi w:val="0"/>
                    <w:spacing w:before="0" w:beforeAutospacing="0" w:after="0" w:afterAutospacing="0"/>
                    <w:ind w:left="0" w:right="0"/>
                    <w:jc w:val="both"/>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根据</w:t>
                  </w:r>
                  <w:r>
                    <w:rPr>
                      <w:rFonts w:hint="eastAsia" w:cs="Times New Roman"/>
                      <w:color w:val="auto"/>
                      <w:lang w:val="en-US" w:eastAsia="zh-CN"/>
                    </w:rPr>
                    <w:t>源强</w:t>
                  </w:r>
                  <w:r>
                    <w:rPr>
                      <w:rFonts w:hint="eastAsia" w:ascii="Times New Roman" w:hAnsi="Times New Roman" w:eastAsia="宋体" w:cs="Times New Roman"/>
                      <w:color w:val="auto"/>
                      <w:lang w:val="en-US" w:eastAsia="zh-CN"/>
                    </w:rPr>
                    <w:t>核算，</w:t>
                  </w:r>
                  <w:r>
                    <w:rPr>
                      <w:rFonts w:hint="eastAsia" w:ascii="Times New Roman" w:hAnsi="Times New Roman" w:eastAsia="宋体" w:cs="Times New Roman"/>
                      <w:color w:val="auto"/>
                      <w:lang w:eastAsia="zh-CN"/>
                    </w:rPr>
                    <w:t>本项目VOCs排放实行区域内倍量替代，项目</w:t>
                  </w:r>
                  <w:r>
                    <w:rPr>
                      <w:rFonts w:hint="eastAsia" w:ascii="Times New Roman" w:hAnsi="Times New Roman" w:eastAsia="宋体" w:cs="Times New Roman"/>
                      <w:color w:val="auto"/>
                    </w:rPr>
                    <w:t>VOCs年排放量</w:t>
                  </w:r>
                  <w:r>
                    <w:rPr>
                      <w:rFonts w:hint="eastAsia" w:ascii="Times New Roman" w:hAnsi="Times New Roman" w:eastAsia="宋体" w:cs="Times New Roman"/>
                      <w:color w:val="auto"/>
                      <w:lang w:eastAsia="zh-CN"/>
                    </w:rPr>
                    <w:t>小于</w:t>
                  </w:r>
                  <w:r>
                    <w:rPr>
                      <w:rFonts w:hint="eastAsia" w:cs="Times New Roman"/>
                      <w:color w:val="auto"/>
                      <w:lang w:val="en-US" w:eastAsia="zh-CN"/>
                    </w:rPr>
                    <w:t>5</w:t>
                  </w:r>
                  <w:r>
                    <w:rPr>
                      <w:rFonts w:hint="eastAsia" w:ascii="Times New Roman" w:hAnsi="Times New Roman" w:eastAsia="宋体" w:cs="Times New Roman"/>
                      <w:color w:val="auto"/>
                    </w:rPr>
                    <w:t>吨</w:t>
                  </w:r>
                  <w:r>
                    <w:rPr>
                      <w:rFonts w:hint="eastAsia" w:ascii="Times New Roman" w:hAnsi="Times New Roman" w:eastAsia="宋体" w:cs="Times New Roman"/>
                      <w:color w:val="auto"/>
                      <w:lang w:eastAsia="zh-CN"/>
                    </w:rPr>
                    <w:t>，无需安装</w:t>
                  </w:r>
                  <w:r>
                    <w:rPr>
                      <w:rFonts w:hint="eastAsia" w:ascii="Times New Roman" w:hAnsi="Times New Roman" w:eastAsia="宋体" w:cs="Times New Roman"/>
                      <w:color w:val="auto"/>
                    </w:rPr>
                    <w:t>VOCs在线监控设备</w:t>
                  </w:r>
                  <w:r>
                    <w:rPr>
                      <w:rFonts w:hint="eastAsia" w:ascii="Times New Roman" w:hAnsi="Times New Roman" w:eastAsia="宋体" w:cs="Times New Roman"/>
                      <w:color w:val="auto"/>
                      <w:lang w:eastAsia="zh-CN"/>
                    </w:rPr>
                    <w:t>。</w:t>
                  </w:r>
                </w:p>
              </w:tc>
              <w:tc>
                <w:tcPr>
                  <w:tcW w:w="591" w:type="dxa"/>
                  <w:vAlign w:val="center"/>
                </w:tcPr>
                <w:p>
                  <w:pPr>
                    <w:pStyle w:val="78"/>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center"/>
              </w:trPr>
              <w:tc>
                <w:tcPr>
                  <w:tcW w:w="349" w:type="dxa"/>
                  <w:vAlign w:val="center"/>
                </w:tcPr>
                <w:p>
                  <w:pPr>
                    <w:pStyle w:val="79"/>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40" w:lineRule="exact"/>
                    <w:ind w:left="0" w:right="0"/>
                    <w:textAlignment w:val="auto"/>
                    <w:rPr>
                      <w:rFonts w:hint="eastAsia"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sz w:val="21"/>
                      <w:szCs w:val="21"/>
                      <w:lang w:val="en-US" w:eastAsia="zh-CN"/>
                    </w:rPr>
                    <w:t>4</w:t>
                  </w:r>
                </w:p>
              </w:tc>
              <w:tc>
                <w:tcPr>
                  <w:tcW w:w="1555" w:type="dxa"/>
                  <w:vAlign w:val="center"/>
                </w:tcPr>
                <w:p>
                  <w:pPr>
                    <w:pStyle w:val="78"/>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rPr>
                    <w:t>福州市生态环境局关于开展福州市重点行业挥发性有机物综合治理工作(VOCs2.0)的通知》</w:t>
                  </w:r>
                </w:p>
              </w:tc>
              <w:tc>
                <w:tcPr>
                  <w:tcW w:w="2930" w:type="dxa"/>
                  <w:vAlign w:val="center"/>
                </w:tcPr>
                <w:p>
                  <w:pPr>
                    <w:pStyle w:val="78"/>
                    <w:keepNext w:val="0"/>
                    <w:keepLines w:val="0"/>
                    <w:suppressLineNumbers w:val="0"/>
                    <w:bidi w:val="0"/>
                    <w:spacing w:before="0" w:beforeAutospacing="0" w:after="0" w:afterAutospacing="0"/>
                    <w:ind w:left="0" w:right="0"/>
                    <w:jc w:val="both"/>
                    <w:rPr>
                      <w:rFonts w:hint="default" w:ascii="Times New Roman" w:hAnsi="Times New Roman" w:eastAsia="宋体" w:cs="Times New Roman"/>
                      <w:color w:val="auto"/>
                    </w:rPr>
                  </w:pP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三</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严格审批，加强管控</w:t>
                  </w:r>
                </w:p>
                <w:p>
                  <w:pPr>
                    <w:pStyle w:val="78"/>
                    <w:keepNext w:val="0"/>
                    <w:keepLines w:val="0"/>
                    <w:suppressLineNumbers w:val="0"/>
                    <w:bidi w:val="0"/>
                    <w:spacing w:before="0" w:beforeAutospacing="0" w:after="0" w:afterAutospacing="0"/>
                    <w:ind w:left="0" w:right="0"/>
                    <w:jc w:val="both"/>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rPr>
                    <w:t>1.严格涉挥发性有机物建设项目环境影响评价审批。新、改、扩建排放挥发性有机物的建设项目实行倍量替代。鼓励使用低</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无</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挥发性有机物含量的原辅材料</w:t>
                  </w:r>
                </w:p>
              </w:tc>
              <w:tc>
                <w:tcPr>
                  <w:tcW w:w="1835" w:type="dxa"/>
                  <w:vAlign w:val="center"/>
                </w:tcPr>
                <w:p>
                  <w:pPr>
                    <w:pStyle w:val="78"/>
                    <w:keepNext w:val="0"/>
                    <w:keepLines w:val="0"/>
                    <w:suppressLineNumbers w:val="0"/>
                    <w:bidi w:val="0"/>
                    <w:spacing w:before="0" w:beforeAutospacing="0" w:after="0" w:afterAutospacing="0"/>
                    <w:ind w:left="0" w:right="0"/>
                    <w:jc w:val="both"/>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1、项目挥发性有机物的排放实行倍量替代</w:t>
                  </w:r>
                </w:p>
                <w:p>
                  <w:pPr>
                    <w:pStyle w:val="78"/>
                    <w:keepNext w:val="0"/>
                    <w:keepLines w:val="0"/>
                    <w:suppressLineNumbers w:val="0"/>
                    <w:bidi w:val="0"/>
                    <w:spacing w:before="0" w:beforeAutospacing="0" w:after="0" w:afterAutospacing="0"/>
                    <w:ind w:left="0" w:right="0"/>
                    <w:jc w:val="both"/>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2、项目使用的</w:t>
                  </w:r>
                  <w:r>
                    <w:rPr>
                      <w:rFonts w:hint="eastAsia" w:cs="Times New Roman"/>
                      <w:color w:val="auto"/>
                      <w:lang w:val="en-US" w:eastAsia="zh-CN"/>
                    </w:rPr>
                    <w:t>试验药剂</w:t>
                  </w:r>
                  <w:r>
                    <w:rPr>
                      <w:rFonts w:hint="default" w:ascii="Times New Roman" w:hAnsi="Times New Roman" w:eastAsia="宋体" w:cs="Times New Roman"/>
                      <w:color w:val="auto"/>
                      <w:lang w:val="en-US" w:eastAsia="zh-CN"/>
                    </w:rPr>
                    <w:t>涉及VOCs</w:t>
                  </w:r>
                  <w:r>
                    <w:rPr>
                      <w:rFonts w:hint="eastAsia" w:cs="Times New Roman"/>
                      <w:color w:val="auto"/>
                      <w:lang w:val="en-US" w:eastAsia="zh-CN"/>
                    </w:rPr>
                    <w:t>用量少，且采用</w:t>
                  </w:r>
                  <w:r>
                    <w:rPr>
                      <w:rFonts w:hint="eastAsia"/>
                      <w:color w:val="auto"/>
                    </w:rPr>
                    <w:t>有效的治理措施</w:t>
                  </w:r>
                  <w:r>
                    <w:rPr>
                      <w:rFonts w:hint="eastAsia"/>
                      <w:color w:val="auto"/>
                      <w:lang w:eastAsia="zh-CN"/>
                    </w:rPr>
                    <w:t>。</w:t>
                  </w:r>
                </w:p>
              </w:tc>
              <w:tc>
                <w:tcPr>
                  <w:tcW w:w="591" w:type="dxa"/>
                  <w:vAlign w:val="center"/>
                </w:tcPr>
                <w:p>
                  <w:pPr>
                    <w:pStyle w:val="78"/>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符合</w:t>
                  </w:r>
                </w:p>
              </w:tc>
            </w:tr>
          </w:tbl>
          <w:p>
            <w:pPr>
              <w:pStyle w:val="18"/>
              <w:keepNext w:val="0"/>
              <w:keepLines w:val="0"/>
              <w:suppressLineNumbers w:val="0"/>
              <w:bidi w:val="0"/>
              <w:spacing w:before="0" w:beforeAutospacing="0" w:after="0" w:afterAutospacing="0"/>
              <w:ind w:left="0" w:right="0" w:firstLine="480" w:firstLineChars="200"/>
              <w:jc w:val="both"/>
              <w:rPr>
                <w:rFonts w:hint="eastAsia"/>
                <w:color w:val="auto"/>
              </w:rPr>
            </w:pPr>
            <w:r>
              <w:rPr>
                <w:rFonts w:hint="default"/>
                <w:color w:val="auto"/>
              </w:rPr>
              <w:t>本项目</w:t>
            </w:r>
            <w:r>
              <w:rPr>
                <w:rFonts w:hint="eastAsia"/>
                <w:color w:val="auto"/>
                <w:lang w:val="en-US" w:eastAsia="zh-CN"/>
              </w:rPr>
              <w:t>行业</w:t>
            </w:r>
            <w:r>
              <w:rPr>
                <w:rFonts w:hint="eastAsia" w:cs="Times New Roman"/>
                <w:color w:val="auto"/>
                <w:kern w:val="2"/>
                <w:sz w:val="24"/>
                <w:szCs w:val="20"/>
                <w:lang w:val="en-US" w:eastAsia="zh-CN" w:bidi="ar-SA"/>
              </w:rPr>
              <w:t>属于M7452检测服务类别，项目</w:t>
            </w:r>
            <w:r>
              <w:rPr>
                <w:rFonts w:hint="default" w:ascii="Times New Roman" w:hAnsi="Times New Roman" w:eastAsia="宋体" w:cs="Times New Roman"/>
                <w:color w:val="auto"/>
                <w:lang w:val="en-US" w:eastAsia="zh-CN"/>
              </w:rPr>
              <w:t>使用涉及VOCs</w:t>
            </w:r>
            <w:r>
              <w:rPr>
                <w:rFonts w:hint="eastAsia" w:cs="Times New Roman"/>
                <w:color w:val="auto"/>
                <w:lang w:val="en-US" w:eastAsia="zh-CN"/>
              </w:rPr>
              <w:t>的实验药剂用量少</w:t>
            </w:r>
            <w:r>
              <w:rPr>
                <w:rFonts w:hint="eastAsia"/>
                <w:color w:val="auto"/>
              </w:rPr>
              <w:t>，</w:t>
            </w:r>
            <w:r>
              <w:rPr>
                <w:rFonts w:hint="eastAsia"/>
                <w:color w:val="auto"/>
                <w:lang w:eastAsia="zh-CN"/>
              </w:rPr>
              <w:t>根据</w:t>
            </w:r>
            <w:r>
              <w:rPr>
                <w:rFonts w:hint="eastAsia"/>
                <w:color w:val="auto"/>
                <w:lang w:val="en-US" w:eastAsia="zh-CN"/>
              </w:rPr>
              <w:t>源强核算，</w:t>
            </w:r>
            <w:r>
              <w:rPr>
                <w:rFonts w:hint="eastAsia"/>
                <w:color w:val="auto"/>
              </w:rPr>
              <w:t>项目通过采取</w:t>
            </w:r>
            <w:r>
              <w:rPr>
                <w:rFonts w:hint="eastAsia"/>
                <w:color w:val="auto"/>
                <w:lang w:val="en-US" w:eastAsia="zh-CN"/>
              </w:rPr>
              <w:t>活性炭吸附</w:t>
            </w:r>
            <w:r>
              <w:rPr>
                <w:rFonts w:hint="eastAsia"/>
                <w:color w:val="auto"/>
              </w:rPr>
              <w:t>治理措施后，挥发性有机物可以得到有效的控制，符合挥发性有机物污染防治相关政策的要求。</w:t>
            </w:r>
          </w:p>
          <w:p>
            <w:pPr>
              <w:pStyle w:val="36"/>
              <w:keepNext w:val="0"/>
              <w:keepLines w:val="0"/>
              <w:suppressLineNumbers w:val="0"/>
              <w:bidi w:val="0"/>
              <w:spacing w:before="0" w:beforeAutospacing="0" w:after="0" w:afterAutospacing="0"/>
              <w:ind w:left="0" w:right="0"/>
              <w:rPr>
                <w:rFonts w:hint="default"/>
                <w:color w:val="auto"/>
              </w:rPr>
            </w:pPr>
          </w:p>
        </w:tc>
      </w:tr>
    </w:tbl>
    <w:p>
      <w:pPr>
        <w:spacing w:line="360" w:lineRule="auto"/>
        <w:outlineLvl w:val="9"/>
        <w:rPr>
          <w:rFonts w:hint="default" w:ascii="Times New Roman" w:hAnsi="Times New Roman" w:eastAsia="黑体" w:cs="Times New Roman"/>
          <w:color w:val="auto"/>
          <w:sz w:val="30"/>
          <w:highlight w:val="none"/>
        </w:rPr>
        <w:sectPr>
          <w:headerReference r:id="rId5" w:type="default"/>
          <w:footerReference r:id="rId6" w:type="default"/>
          <w:pgSz w:w="11906" w:h="16838"/>
          <w:pgMar w:top="1417" w:right="1417" w:bottom="1417" w:left="1417"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pPr>
        <w:pStyle w:val="2"/>
        <w:bidi w:val="0"/>
        <w:rPr>
          <w:rFonts w:hint="default"/>
          <w:color w:val="auto"/>
        </w:rPr>
      </w:pPr>
      <w:bookmarkStart w:id="14" w:name="_Toc7251"/>
      <w:bookmarkStart w:id="15" w:name="_Toc31514"/>
      <w:r>
        <w:rPr>
          <w:rFonts w:hint="default"/>
          <w:color w:val="auto"/>
        </w:rPr>
        <w:t>建设项目工程分析</w:t>
      </w:r>
      <w:bookmarkEnd w:id="14"/>
      <w:bookmarkEnd w:id="15"/>
    </w:p>
    <w:tbl>
      <w:tblPr>
        <w:tblStyle w:val="32"/>
        <w:tblW w:w="9060"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89"/>
        <w:gridCol w:w="847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197" w:hRule="atLeast"/>
          <w:jc w:val="center"/>
        </w:trPr>
        <w:tc>
          <w:tcPr>
            <w:tcW w:w="589"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建设内容</w:t>
            </w:r>
          </w:p>
        </w:tc>
        <w:tc>
          <w:tcPr>
            <w:tcW w:w="8471" w:type="dxa"/>
          </w:tcPr>
          <w:p>
            <w:pPr>
              <w:pStyle w:val="3"/>
              <w:suppressLineNumbers w:val="0"/>
              <w:bidi w:val="0"/>
              <w:spacing w:beforeAutospacing="0" w:afterAutospacing="0"/>
              <w:ind w:right="0"/>
              <w:rPr>
                <w:rFonts w:hint="default" w:ascii="Times New Roman" w:hAnsi="Times New Roman" w:cs="Times New Roman"/>
                <w:color w:val="auto"/>
                <w:highlight w:val="none"/>
              </w:rPr>
            </w:pPr>
            <w:bookmarkStart w:id="16" w:name="_Toc22798"/>
            <w:bookmarkStart w:id="17" w:name="_Toc28977"/>
            <w:bookmarkStart w:id="18" w:name="_Toc22117"/>
            <w:bookmarkStart w:id="19" w:name="_Toc31896"/>
            <w:bookmarkStart w:id="20" w:name="_Toc1503"/>
            <w:r>
              <w:rPr>
                <w:rFonts w:hint="default" w:ascii="Times New Roman" w:hAnsi="Times New Roman" w:cs="Times New Roman"/>
                <w:color w:val="auto"/>
                <w:highlight w:val="none"/>
              </w:rPr>
              <w:t>项目由来</w:t>
            </w:r>
            <w:bookmarkEnd w:id="16"/>
          </w:p>
          <w:p>
            <w:pPr>
              <w:pStyle w:val="36"/>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因福建水投集团系统内暂不具备全指标分析能力，大部分水厂的水质检测业务均委托系统外的第三方检测单位完成。为进一步保障福建水投集团权属的34个县城乡供水区域内超170座（万吨级规模以上约90座）供水厂全指标水质检测能力，补齐集团系统内全指标水质检测能力短板，增强应对水污染应急检测及处置能力，提高供水安全保障水平。福建水投集团检测科技有限公司计划投资建设《生活饮用水卫生标准》（GB 5749-2022）</w:t>
            </w:r>
            <w:r>
              <w:rPr>
                <w:rFonts w:hint="eastAsia" w:cs="Times New Roman"/>
                <w:color w:val="auto"/>
                <w:highlight w:val="none"/>
                <w:lang w:val="en-US" w:eastAsia="zh-CN"/>
              </w:rPr>
              <w:t>及</w:t>
            </w:r>
            <w:r>
              <w:rPr>
                <w:rFonts w:hint="default" w:ascii="Times New Roman" w:hAnsi="Times New Roman" w:cs="Times New Roman"/>
                <w:color w:val="auto"/>
                <w:highlight w:val="none"/>
                <w:lang w:val="en-US" w:eastAsia="zh-CN"/>
              </w:rPr>
              <w:t>《城市供水水质标准》（CJ/T 206-2005）</w:t>
            </w:r>
            <w:r>
              <w:rPr>
                <w:rFonts w:hint="eastAsia" w:cs="Times New Roman"/>
                <w:color w:val="auto"/>
                <w:highlight w:val="none"/>
                <w:lang w:val="en-US" w:eastAsia="zh-CN"/>
              </w:rPr>
              <w:t>共106</w:t>
            </w:r>
            <w:r>
              <w:rPr>
                <w:rFonts w:hint="default" w:ascii="Times New Roman" w:hAnsi="Times New Roman" w:cs="Times New Roman"/>
                <w:color w:val="auto"/>
                <w:highlight w:val="none"/>
                <w:lang w:val="en-US" w:eastAsia="zh-CN"/>
              </w:rPr>
              <w:t>项指标检测项目并取得CMA资质认定，以满足集团公司系统水质检测的需求。同时承接第三方水质检测的业务。</w:t>
            </w:r>
          </w:p>
          <w:p>
            <w:pPr>
              <w:pStyle w:val="36"/>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建设单位拟投资2100万元，租赁</w:t>
            </w:r>
            <w:r>
              <w:rPr>
                <w:rFonts w:hint="default" w:ascii="Times New Roman" w:hAnsi="Times New Roman" w:cs="Times New Roman"/>
                <w:color w:val="auto"/>
                <w:sz w:val="24"/>
                <w:szCs w:val="24"/>
                <w:highlight w:val="none"/>
                <w:u w:val="none"/>
                <w:lang w:eastAsia="zh-CN"/>
              </w:rPr>
              <w:t>福清洪金机械有限公司办公楼4层、5层</w:t>
            </w:r>
            <w:r>
              <w:rPr>
                <w:rFonts w:hint="default" w:ascii="Times New Roman" w:hAnsi="Times New Roman" w:cs="Times New Roman"/>
                <w:color w:val="auto"/>
                <w:sz w:val="24"/>
                <w:szCs w:val="24"/>
                <w:highlight w:val="none"/>
                <w:u w:val="none"/>
                <w:lang w:val="en-US" w:eastAsia="zh-CN"/>
              </w:rPr>
              <w:t>（</w:t>
            </w:r>
            <w:r>
              <w:rPr>
                <w:rFonts w:hint="default" w:ascii="Times New Roman" w:hAnsi="Times New Roman" w:cs="Times New Roman"/>
                <w:color w:val="auto"/>
                <w:sz w:val="24"/>
                <w:szCs w:val="24"/>
                <w:highlight w:val="none"/>
                <w:u w:val="none"/>
                <w:lang w:eastAsia="zh-CN"/>
              </w:rPr>
              <w:t>福清市融侨经济技术开发区洪宽工业村</w:t>
            </w:r>
            <w:r>
              <w:rPr>
                <w:rFonts w:hint="eastAsia" w:cs="Times New Roman"/>
                <w:color w:val="auto"/>
                <w:sz w:val="24"/>
                <w:szCs w:val="24"/>
                <w:highlight w:val="none"/>
                <w:u w:val="none"/>
                <w:lang w:eastAsia="zh-CN"/>
              </w:rPr>
              <w:t>，</w:t>
            </w:r>
            <w:r>
              <w:rPr>
                <w:rFonts w:hint="default" w:ascii="Times New Roman" w:hAnsi="Times New Roman" w:cs="Times New Roman"/>
                <w:color w:val="auto"/>
                <w:sz w:val="24"/>
                <w:szCs w:val="24"/>
                <w:highlight w:val="none"/>
                <w:u w:val="none"/>
                <w:lang w:val="en-US" w:eastAsia="zh-CN"/>
              </w:rPr>
              <w:t>租赁合同详见附件</w:t>
            </w:r>
            <w:r>
              <w:rPr>
                <w:rFonts w:hint="eastAsia" w:cs="Times New Roman"/>
                <w:color w:val="auto"/>
                <w:sz w:val="24"/>
                <w:szCs w:val="24"/>
                <w:highlight w:val="none"/>
                <w:u w:val="none"/>
                <w:lang w:val="en-US" w:eastAsia="zh-CN"/>
              </w:rPr>
              <w:t>4</w:t>
            </w:r>
            <w:r>
              <w:rPr>
                <w:rFonts w:hint="default" w:ascii="Times New Roman" w:hAnsi="Times New Roman" w:cs="Times New Roman"/>
                <w:color w:val="auto"/>
                <w:sz w:val="24"/>
                <w:szCs w:val="24"/>
                <w:highlight w:val="none"/>
                <w:u w:val="none"/>
                <w:lang w:val="en-US" w:eastAsia="zh-CN"/>
              </w:rPr>
              <w:t>）</w:t>
            </w:r>
            <w:r>
              <w:rPr>
                <w:rFonts w:hint="default" w:ascii="Times New Roman" w:hAnsi="Times New Roman" w:cs="Times New Roman"/>
                <w:color w:val="auto"/>
                <w:highlight w:val="none"/>
                <w:lang w:val="en-US" w:eastAsia="zh-CN"/>
              </w:rPr>
              <w:t>作为其检测实验室经营场所。主要建筑面积2517.8m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，员工人数30人，实验室建成后涉及检测指标为《生活饮用水卫生标准》（GB 5749-2022）全指标水质检测能力。</w:t>
            </w:r>
          </w:p>
          <w:p>
            <w:pPr>
              <w:pStyle w:val="36"/>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根据《中华人民共和国环境影响评价法》（2018年12月29日修订）、《建设项目环境影响评价分类管理名录》（2021年），该建设项目属于</w:t>
            </w:r>
            <w:r>
              <w:rPr>
                <w:rFonts w:hint="default" w:ascii="Times New Roman" w:hAnsi="Times New Roman" w:eastAsia="宋体" w:cs="Times New Roman"/>
                <w:color w:val="auto"/>
                <w:highlight w:val="none"/>
                <w:lang w:val="en-US" w:eastAsia="zh-CN"/>
              </w:rPr>
              <w:t>“四</w:t>
            </w:r>
            <w:r>
              <w:rPr>
                <w:rFonts w:hint="default" w:ascii="Times New Roman" w:hAnsi="Times New Roman" w:cs="Times New Roman"/>
                <w:color w:val="auto"/>
                <w:highlight w:val="none"/>
                <w:lang w:val="en-US" w:eastAsia="zh-CN"/>
              </w:rPr>
              <w:t>十五、研究和试验发展，98专业实验室、研发（实验）基地</w:t>
            </w:r>
            <w:r>
              <w:rPr>
                <w:rFonts w:hint="default" w:ascii="Times New Roman" w:hAnsi="Times New Roman" w:eastAsia="宋体" w:cs="Times New Roman"/>
                <w:color w:val="auto"/>
                <w:highlight w:val="none"/>
                <w:lang w:val="en-US" w:eastAsia="zh-CN"/>
              </w:rPr>
              <w:t>”项</w:t>
            </w:r>
            <w:r>
              <w:rPr>
                <w:rFonts w:hint="default" w:ascii="Times New Roman" w:hAnsi="Times New Roman" w:cs="Times New Roman"/>
                <w:color w:val="auto"/>
                <w:highlight w:val="none"/>
                <w:lang w:val="en-US" w:eastAsia="zh-CN"/>
              </w:rPr>
              <w:t>目，本项目不属于 P3、P4 生物安全实验室和转基因实验室，应编制环境影响报告表。福建水投集团检测科技有限公司委托福建省闽创环保科技有限公司对本项目进行环境影响评价（委托书详见附件1）。</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jc w:val="center"/>
              <w:textAlignment w:val="auto"/>
              <w:rPr>
                <w:rFonts w:hint="default" w:ascii="Times New Roman" w:hAnsi="Times New Roman" w:cs="Times New Roman"/>
                <w:color w:val="auto"/>
                <w:highlight w:val="none"/>
                <w:lang w:val="en-GB" w:eastAsia="zh-CN"/>
              </w:rPr>
            </w:pPr>
            <w:r>
              <w:rPr>
                <w:rFonts w:hint="default" w:ascii="Times New Roman" w:hAnsi="Times New Roman" w:cs="Times New Roman"/>
                <w:color w:val="auto"/>
                <w:highlight w:val="none"/>
                <w:lang w:val="en-GB" w:eastAsia="zh-CN"/>
              </w:rPr>
              <w:t>建设项目环境影响评价分类管理目录</w:t>
            </w:r>
          </w:p>
          <w:tbl>
            <w:tblPr>
              <w:tblStyle w:val="33"/>
              <w:tblW w:w="825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2"/>
              <w:gridCol w:w="1832"/>
              <w:gridCol w:w="2345"/>
              <w:gridCol w:w="2164"/>
              <w:gridCol w:w="11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604" w:type="dxa"/>
                  <w:gridSpan w:val="2"/>
                  <w:tcBorders>
                    <w:tl2br w:val="single" w:color="auto" w:sz="4" w:space="0"/>
                  </w:tcBorders>
                  <w:shd w:val="clear" w:color="auto" w:fill="auto"/>
                  <w:vAlign w:val="center"/>
                </w:tcPr>
                <w:p>
                  <w:pPr>
                    <w:pStyle w:val="59"/>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right"/>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环评类别</w:t>
                  </w:r>
                </w:p>
                <w:p>
                  <w:pPr>
                    <w:pStyle w:val="59"/>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项目类别</w:t>
                  </w:r>
                </w:p>
              </w:tc>
              <w:tc>
                <w:tcPr>
                  <w:tcW w:w="2345" w:type="dxa"/>
                  <w:tcBorders>
                    <w:tl2br w:val="nil"/>
                    <w:tr2bl w:val="nil"/>
                  </w:tcBorders>
                  <w:shd w:val="clear" w:color="auto" w:fill="auto"/>
                  <w:vAlign w:val="center"/>
                </w:tcPr>
                <w:p>
                  <w:pPr>
                    <w:pStyle w:val="59"/>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报告书</w:t>
                  </w:r>
                </w:p>
              </w:tc>
              <w:tc>
                <w:tcPr>
                  <w:tcW w:w="2164" w:type="dxa"/>
                  <w:tcBorders>
                    <w:tl2br w:val="nil"/>
                    <w:tr2bl w:val="nil"/>
                  </w:tcBorders>
                  <w:shd w:val="clear" w:color="auto" w:fill="D7D7D7" w:themeFill="background1" w:themeFillShade="D8"/>
                  <w:vAlign w:val="center"/>
                </w:tcPr>
                <w:p>
                  <w:pPr>
                    <w:pStyle w:val="59"/>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报告表</w:t>
                  </w:r>
                </w:p>
              </w:tc>
              <w:tc>
                <w:tcPr>
                  <w:tcW w:w="1139" w:type="dxa"/>
                  <w:tcBorders>
                    <w:tl2br w:val="nil"/>
                    <w:tr2bl w:val="nil"/>
                  </w:tcBorders>
                  <w:vAlign w:val="center"/>
                </w:tcPr>
                <w:p>
                  <w:pPr>
                    <w:pStyle w:val="59"/>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登记表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jc w:val="center"/>
              </w:trPr>
              <w:tc>
                <w:tcPr>
                  <w:tcW w:w="8252" w:type="dxa"/>
                  <w:gridSpan w:val="5"/>
                  <w:tcBorders>
                    <w:tl2br w:val="nil"/>
                    <w:tr2bl w:val="nil"/>
                  </w:tcBorders>
                  <w:shd w:val="clear" w:color="auto" w:fill="D7D7D7" w:themeFill="background1" w:themeFillShade="D8"/>
                  <w:vAlign w:val="center"/>
                </w:tcPr>
                <w:p>
                  <w:pPr>
                    <w:pStyle w:val="59"/>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四十五、研究和试验发展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72" w:type="dxa"/>
                  <w:tcBorders>
                    <w:tl2br w:val="nil"/>
                    <w:tr2bl w:val="nil"/>
                  </w:tcBorders>
                  <w:shd w:val="clear" w:color="auto" w:fill="auto"/>
                  <w:vAlign w:val="center"/>
                </w:tcPr>
                <w:p>
                  <w:pPr>
                    <w:pStyle w:val="59"/>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98</w:t>
                  </w:r>
                </w:p>
              </w:tc>
              <w:tc>
                <w:tcPr>
                  <w:tcW w:w="1832" w:type="dxa"/>
                  <w:tcBorders>
                    <w:tl2br w:val="nil"/>
                    <w:tr2bl w:val="nil"/>
                  </w:tcBorders>
                  <w:shd w:val="clear" w:color="auto" w:fill="auto"/>
                  <w:vAlign w:val="center"/>
                </w:tcPr>
                <w:p>
                  <w:pPr>
                    <w:pStyle w:val="59"/>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专业实验室、研发（试验）基地</w:t>
                  </w:r>
                </w:p>
              </w:tc>
              <w:tc>
                <w:tcPr>
                  <w:tcW w:w="2345" w:type="dxa"/>
                  <w:tcBorders>
                    <w:tl2br w:val="nil"/>
                    <w:tr2bl w:val="nil"/>
                  </w:tcBorders>
                  <w:shd w:val="clear" w:color="auto" w:fill="auto"/>
                  <w:vAlign w:val="center"/>
                </w:tcPr>
                <w:p>
                  <w:pPr>
                    <w:pStyle w:val="59"/>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P3、P4生物安全实验室；转基因实验室</w:t>
                  </w:r>
                </w:p>
              </w:tc>
              <w:tc>
                <w:tcPr>
                  <w:tcW w:w="2164" w:type="dxa"/>
                  <w:tcBorders>
                    <w:tl2br w:val="nil"/>
                    <w:tr2bl w:val="nil"/>
                  </w:tcBorders>
                  <w:shd w:val="clear" w:color="auto" w:fill="D7D7D7" w:themeFill="background1" w:themeFillShade="D8"/>
                  <w:vAlign w:val="center"/>
                </w:tcPr>
                <w:p>
                  <w:pPr>
                    <w:pStyle w:val="59"/>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其他（不产生实验废气、废水、危险废物的除外）</w:t>
                  </w:r>
                </w:p>
              </w:tc>
              <w:tc>
                <w:tcPr>
                  <w:tcW w:w="1139" w:type="dxa"/>
                  <w:tcBorders>
                    <w:tl2br w:val="nil"/>
                    <w:tr2bl w:val="nil"/>
                  </w:tcBorders>
                  <w:vAlign w:val="center"/>
                </w:tcPr>
                <w:p>
                  <w:pPr>
                    <w:pStyle w:val="59"/>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w:t>
                  </w:r>
                </w:p>
              </w:tc>
            </w:tr>
          </w:tbl>
          <w:p>
            <w:pPr>
              <w:pStyle w:val="3"/>
              <w:suppressLineNumbers w:val="0"/>
              <w:bidi w:val="0"/>
              <w:spacing w:beforeAutospacing="0" w:afterAutospacing="0"/>
              <w:ind w:right="0"/>
              <w:rPr>
                <w:rFonts w:hint="default" w:ascii="Times New Roman" w:hAnsi="Times New Roman" w:cs="Times New Roman"/>
                <w:color w:val="auto"/>
                <w:highlight w:val="none"/>
              </w:rPr>
            </w:pPr>
            <w:bookmarkStart w:id="21" w:name="_Toc6121"/>
            <w:bookmarkStart w:id="22" w:name="_Toc217"/>
            <w:bookmarkStart w:id="23" w:name="_Toc4381"/>
            <w:bookmarkStart w:id="24" w:name="_Toc13310"/>
            <w:bookmarkStart w:id="25" w:name="_Toc22115"/>
            <w:bookmarkStart w:id="26" w:name="_Toc495406266"/>
            <w:r>
              <w:rPr>
                <w:rFonts w:hint="default" w:ascii="Times New Roman" w:hAnsi="Times New Roman" w:cs="Times New Roman"/>
                <w:color w:val="auto"/>
                <w:highlight w:val="none"/>
              </w:rPr>
              <w:t>项目概况</w:t>
            </w:r>
            <w:bookmarkEnd w:id="21"/>
            <w:bookmarkEnd w:id="22"/>
            <w:bookmarkEnd w:id="23"/>
            <w:bookmarkEnd w:id="24"/>
            <w:bookmarkEnd w:id="25"/>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项目名称：</w:t>
            </w:r>
            <w:r>
              <w:rPr>
                <w:rFonts w:hint="default" w:ascii="Times New Roman" w:hAnsi="Times New Roman" w:cs="Times New Roman"/>
                <w:color w:val="auto"/>
                <w:highlight w:val="none"/>
                <w:lang w:eastAsia="zh-CN"/>
              </w:rPr>
              <w:t>福清水质检测中心实验室项目</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建设单位：</w:t>
            </w:r>
            <w:r>
              <w:rPr>
                <w:rFonts w:hint="default" w:ascii="Times New Roman" w:hAnsi="Times New Roman" w:cs="Times New Roman"/>
                <w:color w:val="auto"/>
                <w:highlight w:val="none"/>
                <w:lang w:eastAsia="zh-CN"/>
              </w:rPr>
              <w:t>福建水投集团检测科技有限公司</w:t>
            </w:r>
          </w:p>
          <w:p>
            <w:pPr>
              <w:pStyle w:val="36"/>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建设地点：</w:t>
            </w:r>
            <w:r>
              <w:rPr>
                <w:rFonts w:hint="default" w:ascii="Times New Roman" w:hAnsi="Times New Roman" w:cs="Times New Roman"/>
                <w:color w:val="auto"/>
                <w:sz w:val="24"/>
                <w:szCs w:val="24"/>
                <w:highlight w:val="none"/>
                <w:u w:val="none"/>
              </w:rPr>
              <w:t>福建省</w:t>
            </w:r>
            <w:r>
              <w:rPr>
                <w:rFonts w:hint="default" w:ascii="Times New Roman" w:hAnsi="Times New Roman" w:cs="Times New Roman"/>
                <w:color w:val="auto"/>
                <w:sz w:val="24"/>
                <w:szCs w:val="24"/>
                <w:highlight w:val="none"/>
                <w:u w:val="none"/>
                <w:lang w:eastAsia="zh-CN"/>
              </w:rPr>
              <w:t>福州市福清市融侨经济技术开发区洪宽工业村</w:t>
            </w:r>
            <w:r>
              <w:rPr>
                <w:rFonts w:hint="default" w:ascii="Times New Roman" w:hAnsi="Times New Roman" w:cs="Times New Roman"/>
                <w:color w:val="auto"/>
                <w:sz w:val="24"/>
                <w:szCs w:val="24"/>
                <w:highlight w:val="none"/>
                <w:u w:val="none"/>
              </w:rPr>
              <w:t>（租赁</w:t>
            </w:r>
            <w:r>
              <w:rPr>
                <w:rFonts w:hint="default" w:ascii="Times New Roman" w:hAnsi="Times New Roman" w:cs="Times New Roman"/>
                <w:color w:val="auto"/>
                <w:sz w:val="24"/>
                <w:szCs w:val="24"/>
                <w:highlight w:val="none"/>
                <w:u w:val="none"/>
                <w:lang w:eastAsia="zh-CN"/>
              </w:rPr>
              <w:t>福清洪金机械有限公司办公楼4层、5层</w:t>
            </w:r>
            <w:r>
              <w:rPr>
                <w:rFonts w:hint="default" w:ascii="Times New Roman" w:hAnsi="Times New Roman" w:cs="Times New Roman"/>
                <w:color w:val="auto"/>
                <w:sz w:val="24"/>
                <w:szCs w:val="24"/>
                <w:highlight w:val="none"/>
                <w:u w:val="none"/>
              </w:rPr>
              <w:t>）</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建设性质：新建</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建设规模：建筑面</w:t>
            </w:r>
            <w:r>
              <w:rPr>
                <w:rFonts w:hint="default" w:ascii="Times New Roman" w:hAnsi="Times New Roman" w:cs="Times New Roman"/>
                <w:color w:val="auto"/>
                <w:highlight w:val="none"/>
                <w:lang w:val="en-US" w:eastAsia="zh-CN"/>
              </w:rPr>
              <w:t>积2517.8</w:t>
            </w:r>
            <w:r>
              <w:rPr>
                <w:rFonts w:hint="default" w:ascii="Times New Roman" w:hAnsi="Times New Roman" w:cs="Times New Roman"/>
                <w:color w:val="auto"/>
                <w:highlight w:val="none"/>
              </w:rPr>
              <w:t>m²</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项目投资：总投资</w:t>
            </w:r>
            <w:r>
              <w:rPr>
                <w:rFonts w:hint="default" w:ascii="Times New Roman" w:hAnsi="Times New Roman" w:cs="Times New Roman"/>
                <w:color w:val="auto"/>
                <w:highlight w:val="none"/>
                <w:lang w:val="en-US" w:eastAsia="zh-CN"/>
              </w:rPr>
              <w:t>21</w:t>
            </w:r>
            <w:r>
              <w:rPr>
                <w:rFonts w:hint="default" w:ascii="Times New Roman" w:hAnsi="Times New Roman" w:cs="Times New Roman"/>
                <w:color w:val="auto"/>
                <w:highlight w:val="none"/>
              </w:rPr>
              <w:t>00万元</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职工人数：管理人员和职工人数共</w:t>
            </w:r>
            <w:r>
              <w:rPr>
                <w:rFonts w:hint="default" w:ascii="Times New Roman" w:hAnsi="Times New Roman" w:cs="Times New Roman"/>
                <w:color w:val="auto"/>
                <w:highlight w:val="none"/>
                <w:lang w:val="en-US" w:eastAsia="zh-CN"/>
              </w:rPr>
              <w:t>30</w:t>
            </w:r>
            <w:r>
              <w:rPr>
                <w:rFonts w:hint="default" w:ascii="Times New Roman" w:hAnsi="Times New Roman" w:cs="Times New Roman"/>
                <w:color w:val="auto"/>
                <w:highlight w:val="none"/>
              </w:rPr>
              <w:t>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均不提供食宿</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工作制度：年生产</w:t>
            </w:r>
            <w:r>
              <w:rPr>
                <w:rFonts w:hint="default" w:ascii="Times New Roman" w:hAnsi="Times New Roman" w:cs="Times New Roman"/>
                <w:color w:val="auto"/>
                <w:highlight w:val="none"/>
                <w:lang w:val="en-US" w:eastAsia="zh-CN"/>
              </w:rPr>
              <w:t>300</w:t>
            </w:r>
            <w:r>
              <w:rPr>
                <w:rFonts w:hint="default" w:ascii="Times New Roman" w:hAnsi="Times New Roman" w:cs="Times New Roman"/>
                <w:color w:val="auto"/>
                <w:highlight w:val="none"/>
              </w:rPr>
              <w:t>天，</w:t>
            </w:r>
            <w:r>
              <w:rPr>
                <w:rFonts w:hint="default" w:ascii="Times New Roman" w:hAnsi="Times New Roman" w:cs="Times New Roman"/>
                <w:color w:val="auto"/>
                <w:highlight w:val="none"/>
                <w:lang w:val="en-US" w:eastAsia="zh-CN"/>
              </w:rPr>
              <w:t>单</w:t>
            </w:r>
            <w:r>
              <w:rPr>
                <w:rFonts w:hint="default" w:ascii="Times New Roman" w:hAnsi="Times New Roman" w:cs="Times New Roman"/>
                <w:color w:val="auto"/>
                <w:highlight w:val="none"/>
              </w:rPr>
              <w:t>班制，</w:t>
            </w:r>
            <w:r>
              <w:rPr>
                <w:rFonts w:hint="default" w:ascii="Times New Roman" w:hAnsi="Times New Roman" w:cs="Times New Roman"/>
                <w:color w:val="auto"/>
                <w:highlight w:val="none"/>
                <w:lang w:val="en-US" w:eastAsia="zh-CN"/>
              </w:rPr>
              <w:t>每班8</w:t>
            </w:r>
            <w:r>
              <w:rPr>
                <w:rFonts w:hint="default" w:ascii="Times New Roman" w:hAnsi="Times New Roman" w:cs="Times New Roman"/>
                <w:color w:val="auto"/>
                <w:highlight w:val="none"/>
              </w:rPr>
              <w:t>h</w:t>
            </w:r>
          </w:p>
          <w:bookmarkEnd w:id="26"/>
          <w:p>
            <w:pPr>
              <w:pStyle w:val="3"/>
              <w:suppressLineNumbers w:val="0"/>
              <w:bidi w:val="0"/>
              <w:spacing w:beforeAutospacing="0" w:afterAutospacing="0"/>
              <w:ind w:right="0"/>
              <w:rPr>
                <w:rFonts w:hint="default" w:ascii="Times New Roman" w:hAnsi="Times New Roman" w:cs="Times New Roman"/>
                <w:color w:val="auto"/>
                <w:highlight w:val="none"/>
              </w:rPr>
            </w:pPr>
            <w:bookmarkStart w:id="27" w:name="_Toc29240"/>
            <w:r>
              <w:rPr>
                <w:rFonts w:hint="default" w:ascii="Times New Roman" w:hAnsi="Times New Roman" w:cs="Times New Roman"/>
                <w:color w:val="auto"/>
                <w:highlight w:val="none"/>
              </w:rPr>
              <w:t>项目建设内容</w:t>
            </w:r>
            <w:bookmarkEnd w:id="17"/>
            <w:r>
              <w:rPr>
                <w:rFonts w:hint="default" w:ascii="Times New Roman" w:hAnsi="Times New Roman" w:cs="Times New Roman"/>
                <w:color w:val="auto"/>
                <w:highlight w:val="none"/>
              </w:rPr>
              <w:drawing>
                <wp:inline distT="0" distB="0" distL="114300" distR="114300">
                  <wp:extent cx="635" cy="0"/>
                  <wp:effectExtent l="0" t="0" r="0" b="0"/>
                  <wp:docPr id="43" name="图片 15" descr="5d4d756192e6f7dcc479903b567cd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5" descr="5d4d756192e6f7dcc479903b567cde9"/>
                          <pic:cNvPicPr>
                            <a:picLocks noChangeAspect="1"/>
                          </pic:cNvPicPr>
                        </pic:nvPicPr>
                        <pic:blipFill>
                          <a:blip r:embed="rId14"/>
                          <a:stretch>
                            <a:fillRect/>
                          </a:stretch>
                        </pic:blipFill>
                        <pic:spPr>
                          <a:xfrm>
                            <a:off x="0" y="0"/>
                            <a:ext cx="635" cy="0"/>
                          </a:xfrm>
                          <a:prstGeom prst="rect">
                            <a:avLst/>
                          </a:prstGeom>
                          <a:noFill/>
                          <a:ln>
                            <a:noFill/>
                          </a:ln>
                        </pic:spPr>
                      </pic:pic>
                    </a:graphicData>
                  </a:graphic>
                </wp:inline>
              </w:drawing>
            </w:r>
            <w:bookmarkEnd w:id="18"/>
            <w:bookmarkEnd w:id="19"/>
            <w:bookmarkEnd w:id="20"/>
            <w:bookmarkEnd w:id="27"/>
          </w:p>
          <w:p>
            <w:pPr>
              <w:pStyle w:val="4"/>
              <w:suppressLineNumbers w:val="0"/>
              <w:bidi w:val="0"/>
              <w:spacing w:beforeAutospacing="0" w:afterAutospacing="0"/>
              <w:ind w:right="0"/>
              <w:rPr>
                <w:rFonts w:hint="default" w:ascii="Times New Roman" w:hAnsi="Times New Roman" w:cs="Times New Roman"/>
                <w:color w:val="auto"/>
                <w:highlight w:val="none"/>
              </w:rPr>
            </w:pPr>
            <w:r>
              <w:rPr>
                <w:rFonts w:hint="default" w:ascii="Times New Roman" w:hAnsi="Times New Roman" w:cs="Times New Roman"/>
                <w:color w:val="auto"/>
                <w:highlight w:val="none"/>
              </w:rPr>
              <w:t>主要建设内容</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本项目建设内容</w:t>
            </w:r>
            <w:r>
              <w:rPr>
                <w:rFonts w:hint="default" w:ascii="Times New Roman" w:hAnsi="Times New Roman" w:cs="Times New Roman"/>
                <w:color w:val="auto"/>
                <w:highlight w:val="none"/>
                <w:lang w:val="en-US" w:eastAsia="zh-CN"/>
              </w:rPr>
              <w:t>主要为实验室装修和实验</w:t>
            </w:r>
            <w:r>
              <w:rPr>
                <w:rFonts w:hint="default" w:ascii="Times New Roman" w:hAnsi="Times New Roman" w:cs="Times New Roman"/>
                <w:color w:val="auto"/>
                <w:highlight w:val="none"/>
              </w:rPr>
              <w:t>设备安装。项目组成见</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_Ref14972 \n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表2.3-1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jc w:val="center"/>
              <w:textAlignment w:val="auto"/>
              <w:rPr>
                <w:rFonts w:hint="default" w:ascii="Times New Roman" w:hAnsi="Times New Roman" w:cs="Times New Roman"/>
                <w:color w:val="auto"/>
                <w:highlight w:val="none"/>
                <w:lang w:val="en-GB" w:eastAsia="zh-CN"/>
              </w:rPr>
            </w:pPr>
            <w:bookmarkStart w:id="28" w:name="_Ref14972"/>
            <w:r>
              <w:rPr>
                <w:rFonts w:hint="default" w:ascii="Times New Roman" w:hAnsi="Times New Roman" w:cs="Times New Roman"/>
                <w:color w:val="auto"/>
                <w:highlight w:val="none"/>
                <w:lang w:val="en-GB" w:eastAsia="zh-CN"/>
              </w:rPr>
              <w:t>项目主要建设内容情况一览表</w:t>
            </w:r>
            <w:bookmarkEnd w:id="28"/>
          </w:p>
          <w:tbl>
            <w:tblPr>
              <w:tblStyle w:val="32"/>
              <w:tblW w:w="825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2"/>
              <w:gridCol w:w="794"/>
              <w:gridCol w:w="68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5" w:hRule="atLeast"/>
                <w:jc w:val="center"/>
              </w:trPr>
              <w:tc>
                <w:tcPr>
                  <w:tcW w:w="1436" w:type="dxa"/>
                  <w:gridSpan w:val="2"/>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工程类别</w:t>
                  </w:r>
                </w:p>
              </w:tc>
              <w:tc>
                <w:tcPr>
                  <w:tcW w:w="6816"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lang w:eastAsia="zh-CN"/>
                    </w:rPr>
                  </w:pPr>
                  <w:r>
                    <w:rPr>
                      <w:rFonts w:hint="default" w:ascii="Times New Roman" w:hAnsi="Times New Roman" w:cs="Times New Roman"/>
                      <w:color w:val="auto"/>
                      <w:szCs w:val="20"/>
                      <w:highlight w:val="none"/>
                    </w:rPr>
                    <w:t>建设</w:t>
                  </w:r>
                  <w:r>
                    <w:rPr>
                      <w:rFonts w:hint="default" w:ascii="Times New Roman" w:hAnsi="Times New Roman" w:cs="Times New Roman"/>
                      <w:color w:val="auto"/>
                      <w:szCs w:val="20"/>
                      <w:highlight w:val="none"/>
                      <w:lang w:val="en-US" w:eastAsia="zh-CN"/>
                    </w:rPr>
                    <w:t>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74" w:hRule="atLeast"/>
                <w:jc w:val="center"/>
              </w:trPr>
              <w:tc>
                <w:tcPr>
                  <w:tcW w:w="642"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主体</w:t>
                  </w:r>
                </w:p>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工程</w:t>
                  </w:r>
                </w:p>
              </w:tc>
              <w:tc>
                <w:tcPr>
                  <w:tcW w:w="79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环境检测实验室</w:t>
                  </w:r>
                </w:p>
              </w:tc>
              <w:tc>
                <w:tcPr>
                  <w:tcW w:w="6816"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共2层，建筑面积约2517.8m</w:t>
                  </w:r>
                  <w:r>
                    <w:rPr>
                      <w:rFonts w:hint="default" w:ascii="Times New Roman" w:hAnsi="Times New Roman" w:cs="Times New Roman"/>
                      <w:color w:val="auto"/>
                      <w:szCs w:val="20"/>
                      <w:highlight w:val="none"/>
                      <w:vertAlign w:val="superscript"/>
                      <w:lang w:val="en-US" w:eastAsia="zh-CN"/>
                    </w:rPr>
                    <w:t>2</w:t>
                  </w:r>
                  <w:r>
                    <w:rPr>
                      <w:rFonts w:hint="default" w:ascii="Times New Roman" w:hAnsi="Times New Roman" w:cs="Times New Roman"/>
                      <w:color w:val="auto"/>
                      <w:szCs w:val="20"/>
                      <w:highlight w:val="none"/>
                      <w:vertAlign w:val="baseline"/>
                      <w:lang w:val="en-US" w:eastAsia="zh-CN"/>
                    </w:rPr>
                    <w:t>。</w:t>
                  </w:r>
                </w:p>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四楼主要为实验室附属配套用房，主要有外采设备间、收样室、分样室、样品暂存室、感观分析室、留样室、备品备件室、培养基储存室、菌株室、培养室、镜检室、洗消室。</w:t>
                  </w:r>
                </w:p>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rPr>
                  </w:pPr>
                  <w:r>
                    <w:rPr>
                      <w:rFonts w:hint="default" w:ascii="Times New Roman" w:hAnsi="Times New Roman" w:cs="Times New Roman"/>
                      <w:color w:val="auto"/>
                      <w:szCs w:val="20"/>
                      <w:highlight w:val="none"/>
                      <w:lang w:val="en-US" w:eastAsia="zh-CN"/>
                    </w:rPr>
                    <w:t>五楼为实验室及附属配套用房，具体分为标液室、放射性实验室、微波消解室、高温室、小型仪器室、综合理化室、无机前处理室、有机前处理室、两虫预处理室、惰性气体室、天平室、红外室、仪器前处理室、试剂室、耗材室、洗消室、UPS室、液相色谱质谱室、气相色谱质谱室、ICP-MS室、离子色谱室、流动注射室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3" w:hRule="exact"/>
                <w:jc w:val="center"/>
              </w:trPr>
              <w:tc>
                <w:tcPr>
                  <w:tcW w:w="642"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储运工程</w:t>
                  </w:r>
                </w:p>
              </w:tc>
              <w:tc>
                <w:tcPr>
                  <w:tcW w:w="794"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贮存区</w:t>
                  </w:r>
                </w:p>
              </w:tc>
              <w:tc>
                <w:tcPr>
                  <w:tcW w:w="6816"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贮存区面积约</w:t>
                  </w:r>
                  <w:r>
                    <w:rPr>
                      <w:rFonts w:hint="eastAsia" w:cs="Times New Roman"/>
                      <w:color w:val="auto"/>
                      <w:szCs w:val="20"/>
                      <w:highlight w:val="none"/>
                      <w:lang w:val="en-US" w:eastAsia="zh-CN"/>
                    </w:rPr>
                    <w:t>55</w:t>
                  </w:r>
                  <w:r>
                    <w:rPr>
                      <w:rFonts w:hint="default" w:ascii="Times New Roman" w:hAnsi="Times New Roman" w:cs="Times New Roman"/>
                      <w:color w:val="auto"/>
                      <w:szCs w:val="20"/>
                      <w:highlight w:val="none"/>
                      <w:lang w:val="en-US" w:eastAsia="zh-CN"/>
                    </w:rPr>
                    <w:t>m</w:t>
                  </w:r>
                  <w:r>
                    <w:rPr>
                      <w:rFonts w:hint="default" w:ascii="Times New Roman" w:hAnsi="Times New Roman" w:cs="Times New Roman"/>
                      <w:color w:val="auto"/>
                      <w:szCs w:val="20"/>
                      <w:highlight w:val="none"/>
                      <w:vertAlign w:val="superscript"/>
                      <w:lang w:val="en-US" w:eastAsia="zh-CN"/>
                    </w:rPr>
                    <w:t>2</w:t>
                  </w:r>
                  <w:r>
                    <w:rPr>
                      <w:rFonts w:hint="default" w:ascii="Times New Roman" w:hAnsi="Times New Roman" w:cs="Times New Roman"/>
                      <w:color w:val="auto"/>
                      <w:szCs w:val="20"/>
                      <w:highlight w:val="none"/>
                      <w:lang w:val="en-US" w:eastAsia="zh-CN"/>
                    </w:rPr>
                    <w:t>，</w:t>
                  </w:r>
                  <w:r>
                    <w:rPr>
                      <w:rFonts w:hint="eastAsia" w:cs="Times New Roman"/>
                      <w:color w:val="auto"/>
                      <w:szCs w:val="20"/>
                      <w:highlight w:val="none"/>
                      <w:lang w:val="en-US" w:eastAsia="zh-CN"/>
                    </w:rPr>
                    <w:t>平面布局具体见附图3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3" w:hRule="exact"/>
                <w:jc w:val="center"/>
              </w:trPr>
              <w:tc>
                <w:tcPr>
                  <w:tcW w:w="64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color w:val="auto"/>
                      <w:highlight w:val="none"/>
                    </w:rPr>
                  </w:pPr>
                </w:p>
              </w:tc>
              <w:tc>
                <w:tcPr>
                  <w:tcW w:w="794"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color w:val="auto"/>
                      <w:highlight w:val="none"/>
                    </w:rPr>
                  </w:pPr>
                </w:p>
              </w:tc>
              <w:tc>
                <w:tcPr>
                  <w:tcW w:w="6816"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1间试剂室</w:t>
                  </w:r>
                  <w:r>
                    <w:rPr>
                      <w:rFonts w:hint="eastAsia" w:cs="Times New Roman"/>
                      <w:color w:val="auto"/>
                      <w:szCs w:val="20"/>
                      <w:highlight w:val="none"/>
                      <w:lang w:val="en-US" w:eastAsia="zh-CN"/>
                    </w:rPr>
                    <w:t>约21.0</w:t>
                  </w:r>
                  <w:r>
                    <w:rPr>
                      <w:rFonts w:hint="default" w:ascii="Times New Roman" w:hAnsi="Times New Roman" w:cs="Times New Roman"/>
                      <w:color w:val="auto"/>
                      <w:szCs w:val="20"/>
                      <w:highlight w:val="none"/>
                      <w:lang w:val="en-US" w:eastAsia="zh-CN"/>
                    </w:rPr>
                    <w:t>m</w:t>
                  </w:r>
                  <w:r>
                    <w:rPr>
                      <w:rFonts w:hint="default" w:ascii="Times New Roman" w:hAnsi="Times New Roman" w:cs="Times New Roman"/>
                      <w:color w:val="auto"/>
                      <w:szCs w:val="20"/>
                      <w:highlight w:val="none"/>
                      <w:vertAlign w:val="superscript"/>
                      <w:lang w:val="en-US" w:eastAsia="zh-CN"/>
                    </w:rPr>
                    <w:t>2</w:t>
                  </w:r>
                  <w:r>
                    <w:rPr>
                      <w:rFonts w:hint="default" w:ascii="Times New Roman" w:hAnsi="Times New Roman" w:cs="Times New Roman"/>
                      <w:color w:val="auto"/>
                      <w:szCs w:val="20"/>
                      <w:highlight w:val="none"/>
                      <w:lang w:val="en-US" w:eastAsia="zh-CN"/>
                    </w:rPr>
                    <w:t>，</w:t>
                  </w:r>
                  <w:r>
                    <w:rPr>
                      <w:rFonts w:hint="eastAsia" w:cs="Times New Roman"/>
                      <w:color w:val="auto"/>
                      <w:szCs w:val="20"/>
                      <w:highlight w:val="none"/>
                      <w:lang w:val="en-US" w:eastAsia="zh-CN"/>
                    </w:rPr>
                    <w:t>位于五层最西侧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3" w:hRule="exact"/>
                <w:jc w:val="center"/>
              </w:trPr>
              <w:tc>
                <w:tcPr>
                  <w:tcW w:w="64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p>
              </w:tc>
              <w:tc>
                <w:tcPr>
                  <w:tcW w:w="794"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p>
              </w:tc>
              <w:tc>
                <w:tcPr>
                  <w:tcW w:w="6816"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1间易制爆室</w:t>
                  </w:r>
                  <w:r>
                    <w:rPr>
                      <w:rFonts w:hint="eastAsia" w:cs="Times New Roman"/>
                      <w:color w:val="auto"/>
                      <w:szCs w:val="20"/>
                      <w:highlight w:val="none"/>
                      <w:lang w:val="en-US" w:eastAsia="zh-CN"/>
                    </w:rPr>
                    <w:t>约4.9</w:t>
                  </w:r>
                  <w:r>
                    <w:rPr>
                      <w:rFonts w:hint="default" w:ascii="Times New Roman" w:hAnsi="Times New Roman" w:cs="Times New Roman"/>
                      <w:color w:val="auto"/>
                      <w:szCs w:val="20"/>
                      <w:highlight w:val="none"/>
                      <w:lang w:val="en-US" w:eastAsia="zh-CN"/>
                    </w:rPr>
                    <w:t>m</w:t>
                  </w:r>
                  <w:r>
                    <w:rPr>
                      <w:rFonts w:hint="default" w:ascii="Times New Roman" w:hAnsi="Times New Roman" w:cs="Times New Roman"/>
                      <w:color w:val="auto"/>
                      <w:szCs w:val="20"/>
                      <w:highlight w:val="none"/>
                      <w:vertAlign w:val="superscript"/>
                      <w:lang w:val="en-US" w:eastAsia="zh-CN"/>
                    </w:rPr>
                    <w:t>2</w:t>
                  </w:r>
                  <w:r>
                    <w:rPr>
                      <w:rFonts w:hint="default" w:ascii="Times New Roman" w:hAnsi="Times New Roman" w:cs="Times New Roman"/>
                      <w:color w:val="auto"/>
                      <w:szCs w:val="20"/>
                      <w:highlight w:val="none"/>
                      <w:lang w:val="en-US" w:eastAsia="zh-CN"/>
                    </w:rPr>
                    <w:t>，</w:t>
                  </w:r>
                  <w:r>
                    <w:rPr>
                      <w:rFonts w:hint="eastAsia" w:cs="Times New Roman"/>
                      <w:color w:val="auto"/>
                      <w:szCs w:val="20"/>
                      <w:highlight w:val="none"/>
                      <w:lang w:val="en-US" w:eastAsia="zh-CN"/>
                    </w:rPr>
                    <w:t>位于五层西南角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3" w:hRule="exact"/>
                <w:jc w:val="center"/>
              </w:trPr>
              <w:tc>
                <w:tcPr>
                  <w:tcW w:w="64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p>
              </w:tc>
              <w:tc>
                <w:tcPr>
                  <w:tcW w:w="794"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p>
              </w:tc>
              <w:tc>
                <w:tcPr>
                  <w:tcW w:w="6816"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1间易制毒室</w:t>
                  </w:r>
                  <w:r>
                    <w:rPr>
                      <w:rFonts w:hint="eastAsia" w:cs="Times New Roman"/>
                      <w:color w:val="auto"/>
                      <w:szCs w:val="20"/>
                      <w:highlight w:val="none"/>
                      <w:lang w:val="en-US" w:eastAsia="zh-CN"/>
                    </w:rPr>
                    <w:t>约5.5</w:t>
                  </w:r>
                  <w:r>
                    <w:rPr>
                      <w:rFonts w:hint="default" w:ascii="Times New Roman" w:hAnsi="Times New Roman" w:cs="Times New Roman"/>
                      <w:color w:val="auto"/>
                      <w:szCs w:val="20"/>
                      <w:highlight w:val="none"/>
                      <w:lang w:val="en-US" w:eastAsia="zh-CN"/>
                    </w:rPr>
                    <w:t>m</w:t>
                  </w:r>
                  <w:r>
                    <w:rPr>
                      <w:rFonts w:hint="default" w:ascii="Times New Roman" w:hAnsi="Times New Roman" w:cs="Times New Roman"/>
                      <w:color w:val="auto"/>
                      <w:szCs w:val="20"/>
                      <w:highlight w:val="none"/>
                      <w:vertAlign w:val="superscript"/>
                      <w:lang w:val="en-US" w:eastAsia="zh-CN"/>
                    </w:rPr>
                    <w:t>2</w:t>
                  </w:r>
                  <w:r>
                    <w:rPr>
                      <w:rFonts w:hint="default" w:ascii="Times New Roman" w:hAnsi="Times New Roman" w:cs="Times New Roman"/>
                      <w:color w:val="auto"/>
                      <w:szCs w:val="20"/>
                      <w:highlight w:val="none"/>
                      <w:lang w:val="en-US" w:eastAsia="zh-CN"/>
                    </w:rPr>
                    <w:t>，</w:t>
                  </w:r>
                  <w:r>
                    <w:rPr>
                      <w:rFonts w:hint="eastAsia" w:cs="Times New Roman"/>
                      <w:color w:val="auto"/>
                      <w:szCs w:val="20"/>
                      <w:highlight w:val="none"/>
                      <w:lang w:val="en-US" w:eastAsia="zh-CN"/>
                    </w:rPr>
                    <w:t>位于</w:t>
                  </w:r>
                  <w:r>
                    <w:rPr>
                      <w:rFonts w:hint="default" w:ascii="Times New Roman" w:hAnsi="Times New Roman" w:cs="Times New Roman"/>
                      <w:color w:val="auto"/>
                      <w:szCs w:val="20"/>
                      <w:highlight w:val="none"/>
                      <w:lang w:val="en-US" w:eastAsia="zh-CN"/>
                    </w:rPr>
                    <w:t>易制爆室</w:t>
                  </w:r>
                  <w:r>
                    <w:rPr>
                      <w:rFonts w:hint="eastAsia" w:cs="Times New Roman"/>
                      <w:color w:val="auto"/>
                      <w:szCs w:val="20"/>
                      <w:highlight w:val="none"/>
                      <w:lang w:val="en-US" w:eastAsia="zh-CN"/>
                    </w:rPr>
                    <w:t>东侧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3" w:hRule="exact"/>
                <w:jc w:val="center"/>
              </w:trPr>
              <w:tc>
                <w:tcPr>
                  <w:tcW w:w="64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p>
              </w:tc>
              <w:tc>
                <w:tcPr>
                  <w:tcW w:w="794"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p>
              </w:tc>
              <w:tc>
                <w:tcPr>
                  <w:tcW w:w="6816"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1间惰性气体室</w:t>
                  </w:r>
                  <w:r>
                    <w:rPr>
                      <w:rFonts w:hint="eastAsia" w:cs="Times New Roman"/>
                      <w:color w:val="auto"/>
                      <w:szCs w:val="20"/>
                      <w:highlight w:val="none"/>
                      <w:lang w:val="en-US" w:eastAsia="zh-CN"/>
                    </w:rPr>
                    <w:t>约12.2</w:t>
                  </w:r>
                  <w:r>
                    <w:rPr>
                      <w:rFonts w:hint="default" w:ascii="Times New Roman" w:hAnsi="Times New Roman" w:cs="Times New Roman"/>
                      <w:color w:val="auto"/>
                      <w:szCs w:val="20"/>
                      <w:highlight w:val="none"/>
                      <w:lang w:val="en-US" w:eastAsia="zh-CN"/>
                    </w:rPr>
                    <w:t>m</w:t>
                  </w:r>
                  <w:r>
                    <w:rPr>
                      <w:rFonts w:hint="default" w:ascii="Times New Roman" w:hAnsi="Times New Roman" w:cs="Times New Roman"/>
                      <w:color w:val="auto"/>
                      <w:szCs w:val="20"/>
                      <w:highlight w:val="none"/>
                      <w:vertAlign w:val="superscript"/>
                      <w:lang w:val="en-US" w:eastAsia="zh-CN"/>
                    </w:rPr>
                    <w:t>2</w:t>
                  </w:r>
                  <w:r>
                    <w:rPr>
                      <w:rFonts w:hint="default" w:ascii="Times New Roman" w:hAnsi="Times New Roman" w:cs="Times New Roman"/>
                      <w:color w:val="auto"/>
                      <w:szCs w:val="20"/>
                      <w:highlight w:val="none"/>
                      <w:lang w:val="en-US" w:eastAsia="zh-CN"/>
                    </w:rPr>
                    <w:t>，</w:t>
                  </w:r>
                  <w:r>
                    <w:rPr>
                      <w:rFonts w:hint="eastAsia" w:cs="Times New Roman"/>
                      <w:color w:val="auto"/>
                      <w:szCs w:val="20"/>
                      <w:highlight w:val="none"/>
                      <w:lang w:val="en-US" w:eastAsia="zh-CN"/>
                    </w:rPr>
                    <w:t>位于五层东南侧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3" w:hRule="exact"/>
                <w:jc w:val="center"/>
              </w:trPr>
              <w:tc>
                <w:tcPr>
                  <w:tcW w:w="64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p>
              </w:tc>
              <w:tc>
                <w:tcPr>
                  <w:tcW w:w="794"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p>
              </w:tc>
              <w:tc>
                <w:tcPr>
                  <w:tcW w:w="6816"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1间易燃易爆气体室</w:t>
                  </w:r>
                  <w:r>
                    <w:rPr>
                      <w:rFonts w:hint="eastAsia" w:cs="Times New Roman"/>
                      <w:color w:val="auto"/>
                      <w:szCs w:val="20"/>
                      <w:highlight w:val="none"/>
                      <w:lang w:val="en-US" w:eastAsia="zh-CN"/>
                    </w:rPr>
                    <w:t>约5.3</w:t>
                  </w:r>
                  <w:r>
                    <w:rPr>
                      <w:rFonts w:hint="default" w:ascii="Times New Roman" w:hAnsi="Times New Roman" w:cs="Times New Roman"/>
                      <w:color w:val="auto"/>
                      <w:szCs w:val="20"/>
                      <w:highlight w:val="none"/>
                      <w:lang w:val="en-US" w:eastAsia="zh-CN"/>
                    </w:rPr>
                    <w:t>m</w:t>
                  </w:r>
                  <w:r>
                    <w:rPr>
                      <w:rFonts w:hint="default" w:ascii="Times New Roman" w:hAnsi="Times New Roman" w:cs="Times New Roman"/>
                      <w:color w:val="auto"/>
                      <w:szCs w:val="20"/>
                      <w:highlight w:val="none"/>
                      <w:vertAlign w:val="superscript"/>
                      <w:lang w:val="en-US" w:eastAsia="zh-CN"/>
                    </w:rPr>
                    <w:t>2</w:t>
                  </w:r>
                  <w:r>
                    <w:rPr>
                      <w:rFonts w:hint="default" w:ascii="Times New Roman" w:hAnsi="Times New Roman" w:cs="Times New Roman"/>
                      <w:color w:val="auto"/>
                      <w:szCs w:val="20"/>
                      <w:highlight w:val="none"/>
                      <w:lang w:val="en-US" w:eastAsia="zh-CN"/>
                    </w:rPr>
                    <w:t>，</w:t>
                  </w:r>
                  <w:r>
                    <w:rPr>
                      <w:rFonts w:hint="eastAsia" w:cs="Times New Roman"/>
                      <w:color w:val="auto"/>
                      <w:szCs w:val="20"/>
                      <w:highlight w:val="none"/>
                      <w:lang w:val="en-US" w:eastAsia="zh-CN"/>
                    </w:rPr>
                    <w:t>位于</w:t>
                  </w:r>
                  <w:r>
                    <w:rPr>
                      <w:rFonts w:hint="default" w:ascii="Times New Roman" w:hAnsi="Times New Roman" w:cs="Times New Roman"/>
                      <w:color w:val="auto"/>
                      <w:szCs w:val="20"/>
                      <w:highlight w:val="none"/>
                      <w:lang w:val="en-US" w:eastAsia="zh-CN"/>
                    </w:rPr>
                    <w:t>惰性气体室</w:t>
                  </w:r>
                  <w:r>
                    <w:rPr>
                      <w:rFonts w:hint="eastAsia" w:cs="Times New Roman"/>
                      <w:color w:val="auto"/>
                      <w:szCs w:val="20"/>
                      <w:highlight w:val="none"/>
                      <w:lang w:val="en-US" w:eastAsia="zh-CN"/>
                    </w:rPr>
                    <w:t>南侧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3" w:hRule="exact"/>
                <w:jc w:val="center"/>
              </w:trPr>
              <w:tc>
                <w:tcPr>
                  <w:tcW w:w="64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p>
              </w:tc>
              <w:tc>
                <w:tcPr>
                  <w:tcW w:w="794"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p>
              </w:tc>
              <w:tc>
                <w:tcPr>
                  <w:tcW w:w="6816"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r>
                    <w:rPr>
                      <w:rFonts w:hint="eastAsia" w:cs="Times New Roman"/>
                      <w:color w:val="auto"/>
                      <w:szCs w:val="20"/>
                      <w:highlight w:val="none"/>
                      <w:lang w:val="en-US" w:eastAsia="zh-CN"/>
                    </w:rPr>
                    <w:t>1</w:t>
                  </w:r>
                  <w:r>
                    <w:rPr>
                      <w:rFonts w:hint="default" w:ascii="Times New Roman" w:hAnsi="Times New Roman" w:cs="Times New Roman"/>
                      <w:color w:val="auto"/>
                      <w:szCs w:val="20"/>
                      <w:highlight w:val="none"/>
                      <w:lang w:val="en-US" w:eastAsia="zh-CN"/>
                    </w:rPr>
                    <w:t>间危险废物暂存间</w:t>
                  </w:r>
                  <w:r>
                    <w:rPr>
                      <w:rFonts w:hint="eastAsia" w:cs="Times New Roman"/>
                      <w:color w:val="auto"/>
                      <w:szCs w:val="20"/>
                      <w:highlight w:val="none"/>
                      <w:lang w:val="en-US" w:eastAsia="zh-CN"/>
                    </w:rPr>
                    <w:t>约6.1</w:t>
                  </w:r>
                  <w:r>
                    <w:rPr>
                      <w:rFonts w:hint="default" w:ascii="Times New Roman" w:hAnsi="Times New Roman" w:cs="Times New Roman"/>
                      <w:color w:val="auto"/>
                      <w:szCs w:val="20"/>
                      <w:highlight w:val="none"/>
                      <w:lang w:val="en-US" w:eastAsia="zh-CN"/>
                    </w:rPr>
                    <w:t>m</w:t>
                  </w:r>
                  <w:r>
                    <w:rPr>
                      <w:rFonts w:hint="default" w:ascii="Times New Roman" w:hAnsi="Times New Roman" w:cs="Times New Roman"/>
                      <w:color w:val="auto"/>
                      <w:szCs w:val="20"/>
                      <w:highlight w:val="none"/>
                      <w:vertAlign w:val="superscript"/>
                      <w:lang w:val="en-US" w:eastAsia="zh-CN"/>
                    </w:rPr>
                    <w:t>2</w:t>
                  </w:r>
                  <w:r>
                    <w:rPr>
                      <w:rFonts w:hint="default" w:ascii="Times New Roman" w:hAnsi="Times New Roman" w:cs="Times New Roman"/>
                      <w:color w:val="auto"/>
                      <w:szCs w:val="20"/>
                      <w:highlight w:val="none"/>
                      <w:lang w:val="en-US" w:eastAsia="zh-CN"/>
                    </w:rPr>
                    <w:t>，</w:t>
                  </w:r>
                  <w:r>
                    <w:rPr>
                      <w:rFonts w:hint="eastAsia" w:cs="Times New Roman"/>
                      <w:color w:val="auto"/>
                      <w:szCs w:val="20"/>
                      <w:highlight w:val="none"/>
                      <w:lang w:val="en-US" w:eastAsia="zh-CN"/>
                    </w:rPr>
                    <w:t>位于五层最西侧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3" w:hRule="exact"/>
                <w:jc w:val="center"/>
              </w:trPr>
              <w:tc>
                <w:tcPr>
                  <w:tcW w:w="64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p>
              </w:tc>
              <w:tc>
                <w:tcPr>
                  <w:tcW w:w="794"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p>
              </w:tc>
              <w:tc>
                <w:tcPr>
                  <w:tcW w:w="6816"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贮存区出入口设高门槛，发生泄漏时，防止风险物质扩散至外围区域。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88" w:hRule="atLeast"/>
                <w:jc w:val="center"/>
              </w:trPr>
              <w:tc>
                <w:tcPr>
                  <w:tcW w:w="642"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辅助工程</w:t>
                  </w:r>
                </w:p>
              </w:tc>
              <w:tc>
                <w:tcPr>
                  <w:tcW w:w="79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办公区</w:t>
                  </w:r>
                </w:p>
              </w:tc>
              <w:tc>
                <w:tcPr>
                  <w:tcW w:w="6816"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办公区面积约400m</w:t>
                  </w:r>
                  <w:r>
                    <w:rPr>
                      <w:rFonts w:hint="default" w:ascii="Times New Roman" w:hAnsi="Times New Roman" w:cs="Times New Roman"/>
                      <w:color w:val="auto"/>
                      <w:szCs w:val="20"/>
                      <w:highlight w:val="none"/>
                      <w:vertAlign w:val="superscript"/>
                      <w:lang w:val="en-US" w:eastAsia="zh-CN"/>
                    </w:rPr>
                    <w:t>2</w:t>
                  </w:r>
                  <w:r>
                    <w:rPr>
                      <w:rFonts w:hint="default" w:ascii="Times New Roman" w:hAnsi="Times New Roman" w:cs="Times New Roman"/>
                      <w:color w:val="auto"/>
                      <w:szCs w:val="20"/>
                      <w:highlight w:val="none"/>
                      <w:lang w:val="en-US" w:eastAsia="zh-CN"/>
                    </w:rPr>
                    <w:t>，包含3间办公室、1间会客接待室、1间会议室、1间档案室</w:t>
                  </w:r>
                  <w:r>
                    <w:rPr>
                      <w:rFonts w:hint="eastAsia" w:cs="Times New Roman"/>
                      <w:color w:val="auto"/>
                      <w:szCs w:val="20"/>
                      <w:highlight w:val="none"/>
                      <w:lang w:val="en-US" w:eastAsia="zh-CN"/>
                    </w:rPr>
                    <w:t>等</w:t>
                  </w:r>
                  <w:r>
                    <w:rPr>
                      <w:rFonts w:hint="default" w:ascii="Times New Roman" w:hAnsi="Times New Roman" w:cs="Times New Roman"/>
                      <w:color w:val="auto"/>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642"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公用</w:t>
                  </w:r>
                </w:p>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工程</w:t>
                  </w:r>
                </w:p>
              </w:tc>
              <w:tc>
                <w:tcPr>
                  <w:tcW w:w="79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供水</w:t>
                  </w:r>
                </w:p>
              </w:tc>
              <w:tc>
                <w:tcPr>
                  <w:tcW w:w="6816"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由市政</w:t>
                  </w:r>
                  <w:r>
                    <w:rPr>
                      <w:rFonts w:hint="default" w:ascii="Times New Roman" w:hAnsi="Times New Roman" w:cs="Times New Roman"/>
                      <w:color w:val="auto"/>
                      <w:szCs w:val="20"/>
                      <w:highlight w:val="none"/>
                      <w:lang w:val="en-US" w:eastAsia="zh-CN"/>
                    </w:rPr>
                    <w:t>供水管网</w:t>
                  </w:r>
                  <w:r>
                    <w:rPr>
                      <w:rFonts w:hint="default" w:ascii="Times New Roman" w:hAnsi="Times New Roman" w:cs="Times New Roman"/>
                      <w:color w:val="auto"/>
                      <w:szCs w:val="20"/>
                      <w:highlight w:val="none"/>
                    </w:rPr>
                    <w:t>接入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64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rPr>
                  </w:pPr>
                </w:p>
              </w:tc>
              <w:tc>
                <w:tcPr>
                  <w:tcW w:w="79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供电</w:t>
                  </w:r>
                </w:p>
              </w:tc>
              <w:tc>
                <w:tcPr>
                  <w:tcW w:w="6816"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由市政电网接入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jc w:val="center"/>
              </w:trPr>
              <w:tc>
                <w:tcPr>
                  <w:tcW w:w="64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rPr>
                  </w:pPr>
                </w:p>
              </w:tc>
              <w:tc>
                <w:tcPr>
                  <w:tcW w:w="79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排水</w:t>
                  </w:r>
                </w:p>
              </w:tc>
              <w:tc>
                <w:tcPr>
                  <w:tcW w:w="6816"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雨污分流，污水</w:t>
                  </w:r>
                  <w:r>
                    <w:rPr>
                      <w:rFonts w:hint="default" w:ascii="Times New Roman" w:hAnsi="Times New Roman" w:cs="Times New Roman"/>
                      <w:color w:val="auto"/>
                      <w:szCs w:val="20"/>
                      <w:highlight w:val="none"/>
                    </w:rPr>
                    <w:t>排入市政污水管网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30" w:hRule="atLeast"/>
                <w:jc w:val="center"/>
              </w:trPr>
              <w:tc>
                <w:tcPr>
                  <w:tcW w:w="642"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环保</w:t>
                  </w:r>
                </w:p>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工程</w:t>
                  </w:r>
                </w:p>
              </w:tc>
              <w:tc>
                <w:tcPr>
                  <w:tcW w:w="79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废气治理</w:t>
                  </w:r>
                </w:p>
              </w:tc>
              <w:tc>
                <w:tcPr>
                  <w:tcW w:w="6816"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left"/>
                    <w:textAlignment w:val="auto"/>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收集方式：共设</w:t>
                  </w:r>
                  <w:r>
                    <w:rPr>
                      <w:rFonts w:hint="eastAsia" w:cs="Times New Roman"/>
                      <w:color w:val="auto"/>
                      <w:szCs w:val="20"/>
                      <w:highlight w:val="none"/>
                      <w:lang w:val="en-US" w:eastAsia="zh-CN"/>
                    </w:rPr>
                    <w:t>18</w:t>
                  </w:r>
                  <w:r>
                    <w:rPr>
                      <w:rFonts w:hint="default" w:ascii="Times New Roman" w:hAnsi="Times New Roman" w:cs="Times New Roman"/>
                      <w:color w:val="auto"/>
                      <w:szCs w:val="20"/>
                      <w:highlight w:val="none"/>
                      <w:lang w:val="en-US" w:eastAsia="zh-CN"/>
                    </w:rPr>
                    <w:t>套通风橱</w:t>
                  </w:r>
                  <w:r>
                    <w:rPr>
                      <w:rFonts w:hint="eastAsia" w:cs="Times New Roman"/>
                      <w:color w:val="auto"/>
                      <w:szCs w:val="20"/>
                      <w:highlight w:val="none"/>
                      <w:lang w:val="en-US" w:eastAsia="zh-CN"/>
                    </w:rPr>
                    <w:t>及40个集气罩，根据项目功能布局，分区收集</w:t>
                  </w:r>
                  <w:r>
                    <w:rPr>
                      <w:rFonts w:hint="default" w:ascii="Times New Roman" w:hAnsi="Times New Roman" w:cs="Times New Roman"/>
                      <w:color w:val="auto"/>
                      <w:szCs w:val="20"/>
                      <w:highlight w:val="none"/>
                      <w:lang w:val="en-US" w:eastAsia="zh-CN"/>
                    </w:rPr>
                    <w:t>，</w:t>
                  </w:r>
                  <w:r>
                    <w:rPr>
                      <w:rFonts w:hint="eastAsia" w:cs="Times New Roman"/>
                      <w:color w:val="auto"/>
                      <w:szCs w:val="20"/>
                      <w:highlight w:val="none"/>
                      <w:lang w:val="en-US" w:eastAsia="zh-CN"/>
                    </w:rPr>
                    <w:t>设计配套风机</w:t>
                  </w:r>
                  <w:r>
                    <w:rPr>
                      <w:rFonts w:hint="default" w:ascii="Times New Roman" w:hAnsi="Times New Roman" w:cs="Times New Roman"/>
                      <w:color w:val="auto"/>
                      <w:szCs w:val="20"/>
                      <w:highlight w:val="none"/>
                      <w:lang w:val="en-US" w:eastAsia="zh-CN"/>
                    </w:rPr>
                    <w:t>总收集风量</w:t>
                  </w:r>
                  <w:r>
                    <w:rPr>
                      <w:rFonts w:hint="eastAsia" w:cs="Times New Roman"/>
                      <w:color w:val="auto"/>
                      <w:szCs w:val="20"/>
                      <w:highlight w:val="none"/>
                      <w:lang w:val="en-US" w:eastAsia="zh-CN"/>
                    </w:rPr>
                    <w:t>414</w:t>
                  </w:r>
                  <w:r>
                    <w:rPr>
                      <w:rFonts w:hint="default" w:ascii="Times New Roman" w:hAnsi="Times New Roman" w:cs="Times New Roman"/>
                      <w:color w:val="auto"/>
                      <w:szCs w:val="20"/>
                      <w:highlight w:val="none"/>
                      <w:lang w:val="en-US" w:eastAsia="zh-CN"/>
                    </w:rPr>
                    <w:t>00m</w:t>
                  </w:r>
                  <w:r>
                    <w:rPr>
                      <w:rFonts w:hint="default" w:ascii="Times New Roman" w:hAnsi="Times New Roman" w:cs="Times New Roman"/>
                      <w:color w:val="auto"/>
                      <w:szCs w:val="20"/>
                      <w:highlight w:val="none"/>
                      <w:vertAlign w:val="superscript"/>
                      <w:lang w:val="en-US" w:eastAsia="zh-CN"/>
                    </w:rPr>
                    <w:t>3</w:t>
                  </w:r>
                  <w:r>
                    <w:rPr>
                      <w:rFonts w:hint="default" w:ascii="Times New Roman" w:hAnsi="Times New Roman" w:cs="Times New Roman"/>
                      <w:color w:val="auto"/>
                      <w:szCs w:val="20"/>
                      <w:highlight w:val="none"/>
                      <w:lang w:val="en-US" w:eastAsia="zh-CN"/>
                    </w:rPr>
                    <w:t>/h。</w:t>
                  </w:r>
                  <w:r>
                    <w:rPr>
                      <w:rFonts w:hint="eastAsia"/>
                      <w:color w:val="auto"/>
                      <w:highlight w:val="none"/>
                      <w:lang w:val="en-US" w:eastAsia="zh-CN"/>
                    </w:rPr>
                    <w:t>废气处理设施集气范围及排气筒位置见附图3。</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处理方式：</w:t>
                  </w:r>
                  <w:r>
                    <w:rPr>
                      <w:rFonts w:hint="eastAsia" w:cs="Times New Roman"/>
                      <w:color w:val="auto"/>
                      <w:szCs w:val="20"/>
                      <w:highlight w:val="none"/>
                      <w:lang w:val="en-US" w:eastAsia="zh-CN"/>
                    </w:rPr>
                    <w:t>2套</w:t>
                  </w:r>
                  <w:r>
                    <w:rPr>
                      <w:rFonts w:hint="default" w:ascii="Times New Roman" w:hAnsi="Times New Roman" w:cs="Times New Roman"/>
                      <w:color w:val="auto"/>
                      <w:szCs w:val="20"/>
                      <w:highlight w:val="none"/>
                      <w:lang w:val="en-US" w:eastAsia="zh-CN"/>
                    </w:rPr>
                    <w:t>碱喷淋塔</w:t>
                  </w:r>
                  <w:r>
                    <w:rPr>
                      <w:rFonts w:hint="eastAsia" w:cs="Times New Roman"/>
                      <w:color w:val="auto"/>
                      <w:szCs w:val="20"/>
                      <w:highlight w:val="none"/>
                      <w:lang w:val="en-US" w:eastAsia="zh-CN"/>
                    </w:rPr>
                    <w:t>、2套</w:t>
                  </w:r>
                  <w:r>
                    <w:rPr>
                      <w:rFonts w:hint="default" w:ascii="Times New Roman" w:hAnsi="Times New Roman" w:cs="Times New Roman"/>
                      <w:color w:val="auto"/>
                      <w:szCs w:val="20"/>
                      <w:highlight w:val="none"/>
                      <w:lang w:val="en-US" w:eastAsia="zh-CN"/>
                    </w:rPr>
                    <w:t>活性炭吸附</w:t>
                  </w:r>
                  <w:r>
                    <w:rPr>
                      <w:rFonts w:hint="eastAsia" w:cs="Times New Roman"/>
                      <w:color w:val="auto"/>
                      <w:szCs w:val="20"/>
                      <w:highlight w:val="none"/>
                      <w:lang w:val="en-US" w:eastAsia="zh-CN"/>
                    </w:rPr>
                    <w:t>设施。</w:t>
                  </w:r>
                </w:p>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left"/>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① 酸性废气经</w:t>
                  </w:r>
                  <w:r>
                    <w:rPr>
                      <w:rFonts w:hint="eastAsia" w:cs="Times New Roman"/>
                      <w:color w:val="auto"/>
                      <w:szCs w:val="20"/>
                      <w:highlight w:val="none"/>
                      <w:lang w:val="en-US" w:eastAsia="zh-CN"/>
                    </w:rPr>
                    <w:t>2套</w:t>
                  </w:r>
                  <w:r>
                    <w:rPr>
                      <w:rFonts w:hint="default" w:ascii="Times New Roman" w:hAnsi="Times New Roman" w:cs="Times New Roman"/>
                      <w:color w:val="auto"/>
                      <w:szCs w:val="20"/>
                      <w:highlight w:val="none"/>
                      <w:lang w:val="en-US" w:eastAsia="zh-CN"/>
                    </w:rPr>
                    <w:t>碱喷淋塔处理后，通过2</w:t>
                  </w:r>
                  <w:r>
                    <w:rPr>
                      <w:rFonts w:hint="eastAsia" w:cs="Times New Roman"/>
                      <w:color w:val="auto"/>
                      <w:szCs w:val="20"/>
                      <w:highlight w:val="none"/>
                      <w:lang w:val="en-US" w:eastAsia="zh-CN"/>
                    </w:rPr>
                    <w:t>5</w:t>
                  </w:r>
                  <w:r>
                    <w:rPr>
                      <w:rFonts w:hint="default" w:ascii="Times New Roman" w:hAnsi="Times New Roman" w:cs="Times New Roman"/>
                      <w:color w:val="auto"/>
                      <w:szCs w:val="20"/>
                      <w:highlight w:val="none"/>
                      <w:lang w:val="en-US" w:eastAsia="zh-CN"/>
                    </w:rPr>
                    <w:t>m高排气筒（DA001</w:t>
                  </w:r>
                  <w:r>
                    <w:rPr>
                      <w:rFonts w:hint="eastAsia" w:cs="Times New Roman"/>
                      <w:color w:val="auto"/>
                      <w:szCs w:val="20"/>
                      <w:highlight w:val="none"/>
                      <w:lang w:val="en-US" w:eastAsia="zh-CN"/>
                    </w:rPr>
                    <w:t>、</w:t>
                  </w:r>
                  <w:r>
                    <w:rPr>
                      <w:rFonts w:hint="default" w:ascii="Times New Roman" w:hAnsi="Times New Roman" w:cs="Times New Roman"/>
                      <w:color w:val="auto"/>
                      <w:szCs w:val="20"/>
                      <w:highlight w:val="none"/>
                      <w:lang w:val="en-US" w:eastAsia="zh-CN"/>
                    </w:rPr>
                    <w:t>DA002）排放</w:t>
                  </w:r>
                  <w:r>
                    <w:rPr>
                      <w:rFonts w:hint="eastAsia" w:cs="Times New Roman"/>
                      <w:color w:val="auto"/>
                      <w:szCs w:val="20"/>
                      <w:highlight w:val="none"/>
                      <w:lang w:val="en-US" w:eastAsia="zh-CN"/>
                    </w:rPr>
                    <w:t>，2套</w:t>
                  </w:r>
                  <w:r>
                    <w:rPr>
                      <w:rFonts w:hint="default" w:ascii="Times New Roman" w:hAnsi="Times New Roman" w:cs="Times New Roman"/>
                      <w:color w:val="auto"/>
                      <w:szCs w:val="20"/>
                      <w:highlight w:val="none"/>
                      <w:lang w:val="en-US" w:eastAsia="zh-CN"/>
                    </w:rPr>
                    <w:t>喷淋塔</w:t>
                  </w:r>
                  <w:r>
                    <w:rPr>
                      <w:rFonts w:hint="eastAsia" w:cs="Times New Roman"/>
                      <w:color w:val="auto"/>
                      <w:szCs w:val="20"/>
                      <w:highlight w:val="none"/>
                      <w:lang w:val="en-US" w:eastAsia="zh-CN"/>
                    </w:rPr>
                    <w:t>设计风量15800</w:t>
                  </w:r>
                  <w:r>
                    <w:rPr>
                      <w:rFonts w:hint="default" w:ascii="Times New Roman" w:hAnsi="Times New Roman" w:cs="Times New Roman"/>
                      <w:color w:val="auto"/>
                      <w:szCs w:val="20"/>
                      <w:highlight w:val="none"/>
                      <w:lang w:val="en-US" w:eastAsia="zh-CN"/>
                    </w:rPr>
                    <w:t>m</w:t>
                  </w:r>
                  <w:r>
                    <w:rPr>
                      <w:rFonts w:hint="default" w:ascii="Times New Roman" w:hAnsi="Times New Roman" w:cs="Times New Roman"/>
                      <w:color w:val="auto"/>
                      <w:szCs w:val="20"/>
                      <w:highlight w:val="none"/>
                      <w:vertAlign w:val="superscript"/>
                      <w:lang w:val="en-US" w:eastAsia="zh-CN"/>
                    </w:rPr>
                    <w:t>3</w:t>
                  </w:r>
                  <w:r>
                    <w:rPr>
                      <w:rFonts w:hint="default" w:ascii="Times New Roman" w:hAnsi="Times New Roman" w:cs="Times New Roman"/>
                      <w:color w:val="auto"/>
                      <w:szCs w:val="20"/>
                      <w:highlight w:val="none"/>
                      <w:lang w:val="en-US" w:eastAsia="zh-CN"/>
                    </w:rPr>
                    <w:t>/h</w:t>
                  </w:r>
                  <w:r>
                    <w:rPr>
                      <w:rFonts w:hint="eastAsia" w:cs="Times New Roman"/>
                      <w:color w:val="auto"/>
                      <w:szCs w:val="20"/>
                      <w:highlight w:val="none"/>
                      <w:lang w:val="en-US" w:eastAsia="zh-CN"/>
                    </w:rPr>
                    <w:t>（</w:t>
                  </w:r>
                  <w:r>
                    <w:rPr>
                      <w:rFonts w:hint="default" w:ascii="Times New Roman" w:hAnsi="Times New Roman" w:cs="Times New Roman"/>
                      <w:color w:val="auto"/>
                      <w:szCs w:val="20"/>
                      <w:highlight w:val="none"/>
                      <w:lang w:val="en-US" w:eastAsia="zh-CN"/>
                    </w:rPr>
                    <w:t>DA001</w:t>
                  </w:r>
                  <w:r>
                    <w:rPr>
                      <w:rFonts w:hint="eastAsia" w:cs="Times New Roman"/>
                      <w:color w:val="auto"/>
                      <w:szCs w:val="20"/>
                      <w:highlight w:val="none"/>
                      <w:lang w:val="en-US" w:eastAsia="zh-CN"/>
                    </w:rPr>
                    <w:t>）、7200</w:t>
                  </w:r>
                  <w:r>
                    <w:rPr>
                      <w:rFonts w:hint="default" w:ascii="Times New Roman" w:hAnsi="Times New Roman" w:cs="Times New Roman"/>
                      <w:color w:val="auto"/>
                      <w:szCs w:val="20"/>
                      <w:highlight w:val="none"/>
                      <w:lang w:val="en-US" w:eastAsia="zh-CN"/>
                    </w:rPr>
                    <w:t>m</w:t>
                  </w:r>
                  <w:r>
                    <w:rPr>
                      <w:rFonts w:hint="default" w:ascii="Times New Roman" w:hAnsi="Times New Roman" w:cs="Times New Roman"/>
                      <w:color w:val="auto"/>
                      <w:szCs w:val="20"/>
                      <w:highlight w:val="none"/>
                      <w:vertAlign w:val="superscript"/>
                      <w:lang w:val="en-US" w:eastAsia="zh-CN"/>
                    </w:rPr>
                    <w:t>3</w:t>
                  </w:r>
                  <w:r>
                    <w:rPr>
                      <w:rFonts w:hint="default" w:ascii="Times New Roman" w:hAnsi="Times New Roman" w:cs="Times New Roman"/>
                      <w:color w:val="auto"/>
                      <w:szCs w:val="20"/>
                      <w:highlight w:val="none"/>
                      <w:lang w:val="en-US" w:eastAsia="zh-CN"/>
                    </w:rPr>
                    <w:t>/h</w:t>
                  </w:r>
                  <w:r>
                    <w:rPr>
                      <w:rFonts w:hint="eastAsia" w:cs="Times New Roman"/>
                      <w:color w:val="auto"/>
                      <w:szCs w:val="20"/>
                      <w:highlight w:val="none"/>
                      <w:lang w:val="en-US" w:eastAsia="zh-CN"/>
                    </w:rPr>
                    <w:t>（</w:t>
                  </w:r>
                  <w:r>
                    <w:rPr>
                      <w:rFonts w:hint="default" w:ascii="Times New Roman" w:hAnsi="Times New Roman" w:cs="Times New Roman"/>
                      <w:color w:val="auto"/>
                      <w:szCs w:val="20"/>
                      <w:highlight w:val="none"/>
                      <w:lang w:val="en-US" w:eastAsia="zh-CN"/>
                    </w:rPr>
                    <w:t>DA002</w:t>
                  </w:r>
                  <w:r>
                    <w:rPr>
                      <w:rFonts w:hint="eastAsia" w:cs="Times New Roman"/>
                      <w:color w:val="auto"/>
                      <w:szCs w:val="20"/>
                      <w:highlight w:val="none"/>
                      <w:lang w:val="en-US" w:eastAsia="zh-CN"/>
                    </w:rPr>
                    <w:t>），小计设计风量23000</w:t>
                  </w:r>
                  <w:r>
                    <w:rPr>
                      <w:rFonts w:hint="default" w:ascii="Times New Roman" w:hAnsi="Times New Roman" w:cs="Times New Roman"/>
                      <w:color w:val="auto"/>
                      <w:szCs w:val="20"/>
                      <w:highlight w:val="none"/>
                      <w:lang w:val="en-US" w:eastAsia="zh-CN"/>
                    </w:rPr>
                    <w:t>m</w:t>
                  </w:r>
                  <w:r>
                    <w:rPr>
                      <w:rFonts w:hint="default" w:ascii="Times New Roman" w:hAnsi="Times New Roman" w:cs="Times New Roman"/>
                      <w:color w:val="auto"/>
                      <w:szCs w:val="20"/>
                      <w:highlight w:val="none"/>
                      <w:vertAlign w:val="superscript"/>
                      <w:lang w:val="en-US" w:eastAsia="zh-CN"/>
                    </w:rPr>
                    <w:t>3</w:t>
                  </w:r>
                  <w:r>
                    <w:rPr>
                      <w:rFonts w:hint="default" w:ascii="Times New Roman" w:hAnsi="Times New Roman" w:cs="Times New Roman"/>
                      <w:color w:val="auto"/>
                      <w:szCs w:val="20"/>
                      <w:highlight w:val="none"/>
                      <w:lang w:val="en-US" w:eastAsia="zh-CN"/>
                    </w:rPr>
                    <w:t>/h；</w:t>
                  </w:r>
                </w:p>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left"/>
                    <w:textAlignment w:val="auto"/>
                    <w:rPr>
                      <w:rFonts w:hint="default" w:eastAsia="宋体"/>
                      <w:color w:val="auto"/>
                      <w:highlight w:val="none"/>
                      <w:lang w:val="en-US" w:eastAsia="zh-CN"/>
                    </w:rPr>
                  </w:pPr>
                  <w:r>
                    <w:rPr>
                      <w:rFonts w:hint="default" w:ascii="Times New Roman" w:hAnsi="Times New Roman" w:cs="Times New Roman"/>
                      <w:color w:val="auto"/>
                      <w:szCs w:val="20"/>
                      <w:highlight w:val="none"/>
                      <w:lang w:val="en-US" w:eastAsia="zh-CN"/>
                    </w:rPr>
                    <w:t>② 有机废气经</w:t>
                  </w:r>
                  <w:r>
                    <w:rPr>
                      <w:rFonts w:hint="eastAsia" w:cs="Times New Roman"/>
                      <w:color w:val="auto"/>
                      <w:szCs w:val="20"/>
                      <w:highlight w:val="none"/>
                      <w:lang w:val="en-US" w:eastAsia="zh-CN"/>
                    </w:rPr>
                    <w:t>2套</w:t>
                  </w:r>
                  <w:r>
                    <w:rPr>
                      <w:rFonts w:hint="default" w:ascii="Times New Roman" w:hAnsi="Times New Roman" w:cs="Times New Roman"/>
                      <w:color w:val="auto"/>
                      <w:szCs w:val="20"/>
                      <w:highlight w:val="none"/>
                      <w:lang w:val="en-US" w:eastAsia="zh-CN"/>
                    </w:rPr>
                    <w:t>活性炭吸附处理后，通过2</w:t>
                  </w:r>
                  <w:r>
                    <w:rPr>
                      <w:rFonts w:hint="eastAsia" w:cs="Times New Roman"/>
                      <w:color w:val="auto"/>
                      <w:szCs w:val="20"/>
                      <w:highlight w:val="none"/>
                      <w:lang w:val="en-US" w:eastAsia="zh-CN"/>
                    </w:rPr>
                    <w:t>5</w:t>
                  </w:r>
                  <w:r>
                    <w:rPr>
                      <w:rFonts w:hint="default" w:ascii="Times New Roman" w:hAnsi="Times New Roman" w:cs="Times New Roman"/>
                      <w:color w:val="auto"/>
                      <w:szCs w:val="20"/>
                      <w:highlight w:val="none"/>
                      <w:lang w:val="en-US" w:eastAsia="zh-CN"/>
                    </w:rPr>
                    <w:t>m高排气筒（DA00</w:t>
                  </w:r>
                  <w:r>
                    <w:rPr>
                      <w:rFonts w:hint="eastAsia" w:cs="Times New Roman"/>
                      <w:color w:val="auto"/>
                      <w:szCs w:val="20"/>
                      <w:highlight w:val="none"/>
                      <w:lang w:val="en-US" w:eastAsia="zh-CN"/>
                    </w:rPr>
                    <w:t>3、</w:t>
                  </w:r>
                  <w:r>
                    <w:rPr>
                      <w:rFonts w:hint="default" w:ascii="Times New Roman" w:hAnsi="Times New Roman" w:cs="Times New Roman"/>
                      <w:color w:val="auto"/>
                      <w:szCs w:val="20"/>
                      <w:highlight w:val="none"/>
                      <w:lang w:val="en-US" w:eastAsia="zh-CN"/>
                    </w:rPr>
                    <w:t>DA00</w:t>
                  </w:r>
                  <w:r>
                    <w:rPr>
                      <w:rFonts w:hint="eastAsia" w:cs="Times New Roman"/>
                      <w:color w:val="auto"/>
                      <w:szCs w:val="20"/>
                      <w:highlight w:val="none"/>
                      <w:lang w:val="en-US" w:eastAsia="zh-CN"/>
                    </w:rPr>
                    <w:t>4</w:t>
                  </w:r>
                  <w:r>
                    <w:rPr>
                      <w:rFonts w:hint="default" w:ascii="Times New Roman" w:hAnsi="Times New Roman" w:cs="Times New Roman"/>
                      <w:color w:val="auto"/>
                      <w:szCs w:val="20"/>
                      <w:highlight w:val="none"/>
                      <w:lang w:val="en-US" w:eastAsia="zh-CN"/>
                    </w:rPr>
                    <w:t>）排放</w:t>
                  </w:r>
                  <w:r>
                    <w:rPr>
                      <w:rFonts w:hint="eastAsia" w:cs="Times New Roman"/>
                      <w:color w:val="auto"/>
                      <w:szCs w:val="20"/>
                      <w:highlight w:val="none"/>
                      <w:lang w:val="en-US" w:eastAsia="zh-CN"/>
                    </w:rPr>
                    <w:t>，2套</w:t>
                  </w:r>
                  <w:r>
                    <w:rPr>
                      <w:rFonts w:hint="default" w:ascii="Times New Roman" w:hAnsi="Times New Roman" w:cs="Times New Roman"/>
                      <w:color w:val="auto"/>
                      <w:szCs w:val="20"/>
                      <w:highlight w:val="none"/>
                      <w:lang w:val="en-US" w:eastAsia="zh-CN"/>
                    </w:rPr>
                    <w:t>活性炭吸附</w:t>
                  </w:r>
                  <w:r>
                    <w:rPr>
                      <w:rFonts w:hint="eastAsia" w:cs="Times New Roman"/>
                      <w:color w:val="auto"/>
                      <w:szCs w:val="20"/>
                      <w:highlight w:val="none"/>
                      <w:lang w:val="en-US" w:eastAsia="zh-CN"/>
                    </w:rPr>
                    <w:t>设施设计风量8400</w:t>
                  </w:r>
                  <w:r>
                    <w:rPr>
                      <w:rFonts w:hint="default" w:ascii="Times New Roman" w:hAnsi="Times New Roman" w:cs="Times New Roman"/>
                      <w:color w:val="auto"/>
                      <w:szCs w:val="20"/>
                      <w:highlight w:val="none"/>
                      <w:lang w:val="en-US" w:eastAsia="zh-CN"/>
                    </w:rPr>
                    <w:t>m</w:t>
                  </w:r>
                  <w:r>
                    <w:rPr>
                      <w:rFonts w:hint="default" w:ascii="Times New Roman" w:hAnsi="Times New Roman" w:cs="Times New Roman"/>
                      <w:color w:val="auto"/>
                      <w:szCs w:val="20"/>
                      <w:highlight w:val="none"/>
                      <w:vertAlign w:val="superscript"/>
                      <w:lang w:val="en-US" w:eastAsia="zh-CN"/>
                    </w:rPr>
                    <w:t>3</w:t>
                  </w:r>
                  <w:r>
                    <w:rPr>
                      <w:rFonts w:hint="default" w:ascii="Times New Roman" w:hAnsi="Times New Roman" w:cs="Times New Roman"/>
                      <w:color w:val="auto"/>
                      <w:szCs w:val="20"/>
                      <w:highlight w:val="none"/>
                      <w:lang w:val="en-US" w:eastAsia="zh-CN"/>
                    </w:rPr>
                    <w:t>/h</w:t>
                  </w:r>
                  <w:r>
                    <w:rPr>
                      <w:rFonts w:hint="eastAsia" w:cs="Times New Roman"/>
                      <w:color w:val="auto"/>
                      <w:szCs w:val="20"/>
                      <w:highlight w:val="none"/>
                      <w:lang w:val="en-US" w:eastAsia="zh-CN"/>
                    </w:rPr>
                    <w:t>（</w:t>
                  </w:r>
                  <w:r>
                    <w:rPr>
                      <w:rFonts w:hint="default" w:ascii="Times New Roman" w:hAnsi="Times New Roman" w:cs="Times New Roman"/>
                      <w:color w:val="auto"/>
                      <w:szCs w:val="20"/>
                      <w:highlight w:val="none"/>
                      <w:lang w:val="en-US" w:eastAsia="zh-CN"/>
                    </w:rPr>
                    <w:t>DA00</w:t>
                  </w:r>
                  <w:r>
                    <w:rPr>
                      <w:rFonts w:hint="eastAsia" w:cs="Times New Roman"/>
                      <w:color w:val="auto"/>
                      <w:szCs w:val="20"/>
                      <w:highlight w:val="none"/>
                      <w:lang w:val="en-US" w:eastAsia="zh-CN"/>
                    </w:rPr>
                    <w:t>3）、10000</w:t>
                  </w:r>
                  <w:r>
                    <w:rPr>
                      <w:rFonts w:hint="default" w:ascii="Times New Roman" w:hAnsi="Times New Roman" w:cs="Times New Roman"/>
                      <w:color w:val="auto"/>
                      <w:szCs w:val="20"/>
                      <w:highlight w:val="none"/>
                      <w:lang w:val="en-US" w:eastAsia="zh-CN"/>
                    </w:rPr>
                    <w:t>m</w:t>
                  </w:r>
                  <w:r>
                    <w:rPr>
                      <w:rFonts w:hint="default" w:ascii="Times New Roman" w:hAnsi="Times New Roman" w:cs="Times New Roman"/>
                      <w:color w:val="auto"/>
                      <w:szCs w:val="20"/>
                      <w:highlight w:val="none"/>
                      <w:vertAlign w:val="superscript"/>
                      <w:lang w:val="en-US" w:eastAsia="zh-CN"/>
                    </w:rPr>
                    <w:t>3</w:t>
                  </w:r>
                  <w:r>
                    <w:rPr>
                      <w:rFonts w:hint="default" w:ascii="Times New Roman" w:hAnsi="Times New Roman" w:cs="Times New Roman"/>
                      <w:color w:val="auto"/>
                      <w:szCs w:val="20"/>
                      <w:highlight w:val="none"/>
                      <w:lang w:val="en-US" w:eastAsia="zh-CN"/>
                    </w:rPr>
                    <w:t>/h</w:t>
                  </w:r>
                  <w:r>
                    <w:rPr>
                      <w:rFonts w:hint="eastAsia" w:cs="Times New Roman"/>
                      <w:color w:val="auto"/>
                      <w:szCs w:val="20"/>
                      <w:highlight w:val="none"/>
                      <w:lang w:val="en-US" w:eastAsia="zh-CN"/>
                    </w:rPr>
                    <w:t>（</w:t>
                  </w:r>
                  <w:r>
                    <w:rPr>
                      <w:rFonts w:hint="default" w:ascii="Times New Roman" w:hAnsi="Times New Roman" w:cs="Times New Roman"/>
                      <w:color w:val="auto"/>
                      <w:szCs w:val="20"/>
                      <w:highlight w:val="none"/>
                      <w:lang w:val="en-US" w:eastAsia="zh-CN"/>
                    </w:rPr>
                    <w:t>DA00</w:t>
                  </w:r>
                  <w:r>
                    <w:rPr>
                      <w:rFonts w:hint="eastAsia" w:cs="Times New Roman"/>
                      <w:color w:val="auto"/>
                      <w:szCs w:val="20"/>
                      <w:highlight w:val="none"/>
                      <w:lang w:val="en-US" w:eastAsia="zh-CN"/>
                    </w:rPr>
                    <w:t>4），小计设计风量18400</w:t>
                  </w:r>
                  <w:r>
                    <w:rPr>
                      <w:rFonts w:hint="default" w:ascii="Times New Roman" w:hAnsi="Times New Roman" w:cs="Times New Roman"/>
                      <w:color w:val="auto"/>
                      <w:szCs w:val="20"/>
                      <w:highlight w:val="none"/>
                      <w:lang w:val="en-US" w:eastAsia="zh-CN"/>
                    </w:rPr>
                    <w:t>m</w:t>
                  </w:r>
                  <w:r>
                    <w:rPr>
                      <w:rFonts w:hint="default" w:ascii="Times New Roman" w:hAnsi="Times New Roman" w:cs="Times New Roman"/>
                      <w:color w:val="auto"/>
                      <w:szCs w:val="20"/>
                      <w:highlight w:val="none"/>
                      <w:vertAlign w:val="superscript"/>
                      <w:lang w:val="en-US" w:eastAsia="zh-CN"/>
                    </w:rPr>
                    <w:t>3</w:t>
                  </w:r>
                  <w:r>
                    <w:rPr>
                      <w:rFonts w:hint="default" w:ascii="Times New Roman" w:hAnsi="Times New Roman" w:cs="Times New Roman"/>
                      <w:color w:val="auto"/>
                      <w:szCs w:val="20"/>
                      <w:highlight w:val="none"/>
                      <w:lang w:val="en-US" w:eastAsia="zh-CN"/>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5" w:hRule="atLeast"/>
                <w:jc w:val="center"/>
              </w:trPr>
              <w:tc>
                <w:tcPr>
                  <w:tcW w:w="64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rPr>
                  </w:pPr>
                </w:p>
              </w:tc>
              <w:tc>
                <w:tcPr>
                  <w:tcW w:w="79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废水治理</w:t>
                  </w:r>
                </w:p>
              </w:tc>
              <w:tc>
                <w:tcPr>
                  <w:tcW w:w="6816"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left"/>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lang w:val="en-US" w:eastAsia="zh-CN"/>
                    </w:rPr>
                    <w:t>实验</w:t>
                  </w:r>
                  <w:r>
                    <w:rPr>
                      <w:rFonts w:hint="eastAsia" w:cs="Times New Roman"/>
                      <w:color w:val="auto"/>
                      <w:szCs w:val="20"/>
                      <w:highlight w:val="none"/>
                      <w:lang w:val="en-US" w:eastAsia="zh-CN"/>
                    </w:rPr>
                    <w:t>器具</w:t>
                  </w:r>
                  <w:r>
                    <w:rPr>
                      <w:rFonts w:hint="default" w:ascii="Times New Roman" w:hAnsi="Times New Roman" w:cs="Times New Roman"/>
                      <w:color w:val="auto"/>
                      <w:szCs w:val="20"/>
                      <w:highlight w:val="none"/>
                      <w:lang w:val="en-US" w:eastAsia="zh-CN"/>
                    </w:rPr>
                    <w:t>清洗废水经污水机房废水处理设施（位于四楼西北侧）</w:t>
                  </w:r>
                  <w:r>
                    <w:rPr>
                      <w:rFonts w:hint="eastAsia" w:cs="Times New Roman"/>
                      <w:color w:val="auto"/>
                      <w:szCs w:val="20"/>
                      <w:highlight w:val="none"/>
                      <w:lang w:val="en-US" w:eastAsia="zh-CN"/>
                    </w:rPr>
                    <w:t>处理</w:t>
                  </w:r>
                  <w:r>
                    <w:rPr>
                      <w:rFonts w:hint="default" w:ascii="Times New Roman" w:hAnsi="Times New Roman" w:cs="Times New Roman"/>
                      <w:color w:val="auto"/>
                      <w:szCs w:val="20"/>
                      <w:highlight w:val="none"/>
                      <w:lang w:val="en-US" w:eastAsia="zh-CN"/>
                    </w:rPr>
                    <w:t>后，与纯水机浓水、生活污水</w:t>
                  </w:r>
                  <w:r>
                    <w:rPr>
                      <w:rFonts w:hint="eastAsia" w:cs="Times New Roman"/>
                      <w:color w:val="auto"/>
                      <w:szCs w:val="20"/>
                      <w:highlight w:val="none"/>
                      <w:lang w:val="en-US" w:eastAsia="zh-CN"/>
                    </w:rPr>
                    <w:t>等</w:t>
                  </w:r>
                  <w:r>
                    <w:rPr>
                      <w:rFonts w:hint="default" w:ascii="Times New Roman" w:hAnsi="Times New Roman" w:cs="Times New Roman"/>
                      <w:color w:val="auto"/>
                      <w:szCs w:val="20"/>
                      <w:highlight w:val="none"/>
                      <w:lang w:val="en-US" w:eastAsia="zh-CN"/>
                    </w:rPr>
                    <w:t>一并由化粪池（依托租赁方）预处理，达标后通过园区市政污水管网排入</w:t>
                  </w:r>
                  <w:r>
                    <w:rPr>
                      <w:rFonts w:hint="eastAsia" w:cs="Times New Roman"/>
                      <w:color w:val="auto"/>
                      <w:szCs w:val="20"/>
                      <w:highlight w:val="none"/>
                      <w:lang w:val="en-US" w:eastAsia="zh-CN"/>
                    </w:rPr>
                    <w:t>福清市融元污水处理厂</w:t>
                  </w:r>
                  <w:r>
                    <w:rPr>
                      <w:rFonts w:hint="default" w:ascii="Times New Roman" w:hAnsi="Times New Roman" w:cs="Times New Roman"/>
                      <w:color w:val="auto"/>
                      <w:szCs w:val="20"/>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93" w:hRule="atLeast"/>
                <w:jc w:val="center"/>
              </w:trPr>
              <w:tc>
                <w:tcPr>
                  <w:tcW w:w="64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rPr>
                  </w:pPr>
                </w:p>
              </w:tc>
              <w:tc>
                <w:tcPr>
                  <w:tcW w:w="79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噪声控制</w:t>
                  </w:r>
                </w:p>
              </w:tc>
              <w:tc>
                <w:tcPr>
                  <w:tcW w:w="6816"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left"/>
                    <w:textAlignment w:val="auto"/>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rPr>
                    <w:t>选用低噪声设备，加强设备的维护管理；对高噪声设备进行基础减振、通过厂房墙体隔声等综合降噪措施</w:t>
                  </w:r>
                  <w:r>
                    <w:rPr>
                      <w:rFonts w:hint="default" w:ascii="Times New Roman" w:hAnsi="Times New Roman" w:cs="Times New Roman"/>
                      <w:color w:val="auto"/>
                      <w:szCs w:val="20"/>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0" w:hRule="atLeast"/>
                <w:jc w:val="center"/>
              </w:trPr>
              <w:tc>
                <w:tcPr>
                  <w:tcW w:w="64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cs="Times New Roman"/>
                      <w:color w:val="auto"/>
                      <w:szCs w:val="20"/>
                      <w:highlight w:val="none"/>
                    </w:rPr>
                  </w:pPr>
                </w:p>
              </w:tc>
              <w:tc>
                <w:tcPr>
                  <w:tcW w:w="79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textAlignment w:val="auto"/>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固体废物</w:t>
                  </w:r>
                </w:p>
              </w:tc>
              <w:tc>
                <w:tcPr>
                  <w:tcW w:w="6816"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left"/>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 w:val="21"/>
                      <w:szCs w:val="21"/>
                      <w:highlight w:val="none"/>
                      <w:lang w:val="en-US" w:eastAsia="zh-CN"/>
                    </w:rPr>
                    <w:t xml:space="preserve">① </w:t>
                  </w:r>
                  <w:r>
                    <w:rPr>
                      <w:rFonts w:hint="default" w:ascii="Times New Roman" w:hAnsi="Times New Roman" w:cs="Times New Roman"/>
                      <w:color w:val="auto"/>
                      <w:sz w:val="21"/>
                      <w:szCs w:val="21"/>
                      <w:highlight w:val="none"/>
                    </w:rPr>
                    <w:t>设置垃圾分类箱若干个，用于存放生活垃圾</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每日由环卫部门统一清运</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② 设危废暂存间</w:t>
                  </w:r>
                  <w:r>
                    <w:rPr>
                      <w:rFonts w:hint="eastAsia"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en-US" w:eastAsia="zh-CN"/>
                    </w:rPr>
                    <w:t>间（共约</w:t>
                  </w:r>
                  <w:r>
                    <w:rPr>
                      <w:rFonts w:hint="eastAsia" w:cs="Times New Roman"/>
                      <w:color w:val="auto"/>
                      <w:sz w:val="21"/>
                      <w:szCs w:val="21"/>
                      <w:highlight w:val="none"/>
                      <w:lang w:val="en-US" w:eastAsia="zh-CN"/>
                    </w:rPr>
                    <w:t>6.1</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定期委托有资质单位</w:t>
                  </w:r>
                  <w:r>
                    <w:rPr>
                      <w:rFonts w:hint="eastAsia" w:cs="Times New Roman"/>
                      <w:color w:val="auto"/>
                      <w:sz w:val="21"/>
                      <w:szCs w:val="21"/>
                      <w:highlight w:val="none"/>
                      <w:lang w:val="en-US" w:eastAsia="zh-CN"/>
                    </w:rPr>
                    <w:t>转运</w:t>
                  </w:r>
                  <w:r>
                    <w:rPr>
                      <w:rFonts w:hint="default" w:ascii="Times New Roman" w:hAnsi="Times New Roman" w:cs="Times New Roman"/>
                      <w:color w:val="auto"/>
                      <w:sz w:val="21"/>
                      <w:szCs w:val="21"/>
                      <w:highlight w:val="none"/>
                      <w:lang w:val="en-US" w:eastAsia="zh-CN"/>
                    </w:rPr>
                    <w:t>处置</w:t>
                  </w:r>
                  <w:r>
                    <w:rPr>
                      <w:rFonts w:hint="default" w:ascii="Times New Roman" w:hAnsi="Times New Roman" w:cs="Times New Roman"/>
                      <w:color w:val="auto"/>
                      <w:szCs w:val="21"/>
                      <w:highlight w:val="none"/>
                    </w:rPr>
                    <w:t>。</w:t>
                  </w:r>
                </w:p>
              </w:tc>
            </w:tr>
          </w:tbl>
          <w:p>
            <w:pPr>
              <w:pStyle w:val="4"/>
              <w:suppressLineNumbers w:val="0"/>
              <w:bidi w:val="0"/>
              <w:spacing w:beforeAutospacing="0" w:afterAutospacing="0"/>
              <w:ind w:right="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检测分析能力</w:t>
            </w:r>
          </w:p>
          <w:p>
            <w:pPr>
              <w:pStyle w:val="36"/>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本项目实验室建成后，检测范围主要包括《城市供水水质标准》（CJ/T 206-2005）中29项指标及《生活饮用水卫生标准》（GB 5749-2022）97项全指标分析</w:t>
            </w:r>
            <w:r>
              <w:rPr>
                <w:rFonts w:hint="default" w:ascii="Times New Roman" w:hAnsi="Times New Roman" w:cs="Times New Roman"/>
                <w:b w:val="0"/>
                <w:bCs/>
                <w:color w:val="auto"/>
                <w:kern w:val="0"/>
                <w:szCs w:val="21"/>
                <w:highlight w:val="none"/>
                <w:lang w:val="en-US" w:eastAsia="zh-CN" w:bidi="ar"/>
              </w:rPr>
              <w:t>，因</w:t>
            </w:r>
            <w:r>
              <w:rPr>
                <w:rFonts w:hint="default" w:ascii="Times New Roman" w:hAnsi="Times New Roman" w:cs="Times New Roman"/>
                <w:color w:val="auto"/>
                <w:highlight w:val="none"/>
                <w:lang w:val="en-US" w:eastAsia="zh-CN"/>
              </w:rPr>
              <w:t>《城市供水水质标准》（CJ/T 206-2005）与《生活饮用水卫生标准》（GB 5749-2022）有指标重复</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共计检测指标10</w:t>
            </w:r>
            <w:r>
              <w:rPr>
                <w:rFonts w:hint="eastAsia" w:cs="Times New Roman"/>
                <w:color w:val="auto"/>
                <w:highlight w:val="none"/>
                <w:lang w:val="en-US" w:eastAsia="zh-CN"/>
              </w:rPr>
              <w:t>6</w:t>
            </w:r>
            <w:r>
              <w:rPr>
                <w:rFonts w:hint="default" w:ascii="Times New Roman" w:hAnsi="Times New Roman" w:cs="Times New Roman"/>
                <w:color w:val="auto"/>
                <w:highlight w:val="none"/>
                <w:lang w:val="en-US" w:eastAsia="zh-CN"/>
              </w:rPr>
              <w:t>项。拟申请检测项目详见下表。</w:t>
            </w:r>
          </w:p>
          <w:p>
            <w:pPr>
              <w:pStyle w:val="35"/>
              <w:keepNext w:val="0"/>
              <w:keepLines w:val="0"/>
              <w:suppressLineNumbers w:val="0"/>
              <w:tabs>
                <w:tab w:val="left" w:pos="2126"/>
              </w:tabs>
              <w:spacing w:before="0" w:beforeAutospacing="0" w:after="0" w:afterAutospacing="0"/>
              <w:ind w:right="0"/>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val="en-US" w:eastAsia="zh-CN"/>
              </w:rPr>
              <w:t>拟申请检测项目</w:t>
            </w:r>
            <w:r>
              <w:rPr>
                <w:rFonts w:hint="default" w:ascii="Times New Roman" w:hAnsi="Times New Roman" w:cs="Times New Roman"/>
                <w:color w:val="auto"/>
                <w:highlight w:val="none"/>
              </w:rPr>
              <w:t>一览表</w:t>
            </w:r>
          </w:p>
          <w:tbl>
            <w:tblPr>
              <w:tblStyle w:val="32"/>
              <w:tblW w:w="8252"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20"/>
              <w:gridCol w:w="2134"/>
              <w:gridCol w:w="1841"/>
              <w:gridCol w:w="1975"/>
              <w:gridCol w:w="168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eastAsia="zh-CN"/>
                    </w:rPr>
                  </w:pPr>
                  <w:r>
                    <w:rPr>
                      <w:rFonts w:hint="default" w:ascii="Times New Roman" w:hAnsi="Times New Roman" w:cs="Times New Roman"/>
                      <w:color w:val="auto"/>
                      <w:szCs w:val="20"/>
                      <w:highlight w:val="none"/>
                      <w:lang w:eastAsia="zh-CN"/>
                    </w:rPr>
                    <w:t>序号</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指标</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实验方法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主要设备</w:t>
                  </w:r>
                </w:p>
              </w:tc>
              <w:tc>
                <w:tcPr>
                  <w:tcW w:w="1682"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指标来源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粪大肠菌群</w:t>
                  </w:r>
                </w:p>
              </w:tc>
              <w:tc>
                <w:tcPr>
                  <w:tcW w:w="1841"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en-US"/>
                    </w:rPr>
                  </w:pPr>
                  <w:r>
                    <w:rPr>
                      <w:rFonts w:hint="default" w:ascii="Times New Roman" w:hAnsi="Times New Roman" w:cs="Times New Roman"/>
                      <w:color w:val="auto"/>
                      <w:szCs w:val="20"/>
                      <w:highlight w:val="none"/>
                    </w:rPr>
                    <w:t>多管发酵法、滤膜法、酶底物法</w:t>
                  </w:r>
                </w:p>
              </w:tc>
              <w:tc>
                <w:tcPr>
                  <w:tcW w:w="1975"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en-US"/>
                    </w:rPr>
                  </w:pPr>
                  <w:r>
                    <w:rPr>
                      <w:rFonts w:hint="default" w:ascii="Times New Roman" w:hAnsi="Times New Roman" w:cs="Times New Roman"/>
                      <w:color w:val="auto"/>
                      <w:szCs w:val="20"/>
                      <w:highlight w:val="none"/>
                    </w:rPr>
                    <w:t>紫外荧光灯、电热恒温鼓风干燥箱、程控定量封口机等</w:t>
                  </w:r>
                </w:p>
              </w:tc>
              <w:tc>
                <w:tcPr>
                  <w:tcW w:w="1682"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en-US"/>
                    </w:rPr>
                  </w:pPr>
                  <w:r>
                    <w:rPr>
                      <w:rFonts w:hint="default" w:ascii="Times New Roman" w:hAnsi="Times New Roman" w:cs="Times New Roman"/>
                      <w:color w:val="auto"/>
                      <w:szCs w:val="20"/>
                      <w:highlight w:val="none"/>
                      <w:lang w:val="en-US" w:eastAsia="zh-CN"/>
                    </w:rPr>
                    <w:t>《城市供水水质标准》（CJ/T 206-2005）及《生活饮用水卫生标准》（GB 5749-2022）常规指标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总大肠菌群</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en-US"/>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en-US"/>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en-US"/>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大肠埃希氏菌</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菌落总数</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砷</w:t>
                  </w:r>
                </w:p>
              </w:tc>
              <w:tc>
                <w:tcPr>
                  <w:tcW w:w="1841"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原子荧光法</w:t>
                  </w:r>
                </w:p>
              </w:tc>
              <w:tc>
                <w:tcPr>
                  <w:tcW w:w="1975"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原子荧光光度计</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汞</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硒</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镉</w:t>
                  </w:r>
                </w:p>
              </w:tc>
              <w:tc>
                <w:tcPr>
                  <w:tcW w:w="1841"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电感耦合等离子体质谱法</w:t>
                  </w:r>
                </w:p>
              </w:tc>
              <w:tc>
                <w:tcPr>
                  <w:tcW w:w="1975"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电感耦合等离子体质谱仪</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9</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铝</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铁</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11</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锰</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12</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铜</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13</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锌</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14</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铅</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15</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铬（六价）</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分光光度法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紫外可见分光光度计</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16</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氰化物</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流动注射法</w:t>
                  </w:r>
                </w:p>
              </w:tc>
              <w:tc>
                <w:tcPr>
                  <w:tcW w:w="1975"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流动注射仪</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17</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挥发酚</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流动注射法</w:t>
                  </w: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18</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阴离子表面活性剂</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流动注射法</w:t>
                  </w: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19</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硫化物</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流动注射法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流动注射仪</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20</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氨（以N计）</w:t>
                  </w:r>
                </w:p>
              </w:tc>
              <w:tc>
                <w:tcPr>
                  <w:tcW w:w="1841"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分光光度法、流动注射法</w:t>
                  </w:r>
                </w:p>
              </w:tc>
              <w:tc>
                <w:tcPr>
                  <w:tcW w:w="1975"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紫外可见分光光度计及流动注射仪</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21</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总磷</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22</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总氮</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23</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氯化物</w:t>
                  </w:r>
                </w:p>
              </w:tc>
              <w:tc>
                <w:tcPr>
                  <w:tcW w:w="1841"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离子色谱法</w:t>
                  </w:r>
                </w:p>
              </w:tc>
              <w:tc>
                <w:tcPr>
                  <w:tcW w:w="1975"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离子色谱仪（双通道）</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24</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硫酸盐</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25</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氟化物</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26</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硝酸盐（以N计）</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27</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亚氯酸盐（使用ClO</w:t>
                  </w:r>
                  <w:r>
                    <w:rPr>
                      <w:rFonts w:hint="default" w:ascii="Times New Roman" w:hAnsi="Times New Roman" w:cs="Times New Roman"/>
                      <w:color w:val="auto"/>
                      <w:szCs w:val="20"/>
                      <w:highlight w:val="none"/>
                      <w:vertAlign w:val="subscript"/>
                    </w:rPr>
                    <w:t>2</w:t>
                  </w:r>
                  <w:r>
                    <w:rPr>
                      <w:rFonts w:hint="default" w:ascii="Times New Roman" w:hAnsi="Times New Roman" w:cs="Times New Roman"/>
                      <w:color w:val="auto"/>
                      <w:szCs w:val="20"/>
                      <w:highlight w:val="none"/>
                    </w:rPr>
                    <w:t>消毒时）</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28</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氯酸盐（使用复合ClO</w:t>
                  </w:r>
                  <w:r>
                    <w:rPr>
                      <w:rFonts w:hint="default" w:ascii="Times New Roman" w:hAnsi="Times New Roman" w:cs="Times New Roman"/>
                      <w:color w:val="auto"/>
                      <w:szCs w:val="20"/>
                      <w:highlight w:val="none"/>
                      <w:vertAlign w:val="subscript"/>
                    </w:rPr>
                    <w:t>2</w:t>
                  </w:r>
                  <w:r>
                    <w:rPr>
                      <w:rFonts w:hint="default" w:ascii="Times New Roman" w:hAnsi="Times New Roman" w:cs="Times New Roman"/>
                      <w:color w:val="auto"/>
                      <w:szCs w:val="20"/>
                      <w:highlight w:val="none"/>
                    </w:rPr>
                    <w:t>消毒时）</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29</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溴酸盐（使用臭氧时）</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30</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二氯乙酸</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31</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三氯乙酸</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32</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三氯甲烷</w:t>
                  </w:r>
                </w:p>
              </w:tc>
              <w:tc>
                <w:tcPr>
                  <w:tcW w:w="1841"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顶空气相色谱法</w:t>
                  </w:r>
                </w:p>
              </w:tc>
              <w:tc>
                <w:tcPr>
                  <w:tcW w:w="1975"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气相色谱仪（含顶空进样器和液体进样器）</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33</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一氯二溴甲烷</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34</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二氯一溴甲烷</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35</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三卤甲烷（三氯甲烷、一氯二溴甲烷、二氯一溴甲烷、三溴甲烷的总和）</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36</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三溴甲烷</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37</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色度（铂钴色度单位）</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铂钴比色法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色度仪</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38</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浑浊度（散射浑浊度单位）/NTU</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散射法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浊度计</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39</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臭和味</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嗅阈值法</w:t>
                  </w:r>
                </w:p>
              </w:tc>
              <w:tc>
                <w:tcPr>
                  <w:tcW w:w="1975"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人工</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40</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肉眼可见物</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直接观察法</w:t>
                  </w: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41</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pH</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pH计法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pH计</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42</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游离余氯</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现场测定法、分光光度法、比色法</w:t>
                  </w:r>
                </w:p>
              </w:tc>
              <w:tc>
                <w:tcPr>
                  <w:tcW w:w="1975"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余氯二氧化氯测试仪、紫外可见分光光度计</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43</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一氯胺（总氯）</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现场测定法、分光光度法、比色法</w:t>
                  </w: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44</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二氧化氯</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现场测定法、分光光度法、比色法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余氯二氧化氯测试仪、紫外可见分光光度计</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45</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臭氧</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现场测定法、分光光度法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臭氧测定仪、紫外可见分光光度计</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46</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溶解性总固体</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干燥称重法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电热恒温鼓风干燥箱、电子天平（0.1mg）、蒸发恒重分析仪</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47</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总硬度（以碳酸钙计）</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滴定法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滴定管、全自动高锰酸盐指数分析仪（检测位）</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48</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高锰酸盐指数（以O</w:t>
                  </w:r>
                  <w:r>
                    <w:rPr>
                      <w:rFonts w:hint="default" w:ascii="Times New Roman" w:hAnsi="Times New Roman" w:cs="Times New Roman"/>
                      <w:color w:val="auto"/>
                      <w:szCs w:val="20"/>
                      <w:highlight w:val="none"/>
                      <w:vertAlign w:val="subscript"/>
                    </w:rPr>
                    <w:t>2</w:t>
                  </w:r>
                  <w:r>
                    <w:rPr>
                      <w:rFonts w:hint="default" w:ascii="Times New Roman" w:hAnsi="Times New Roman" w:cs="Times New Roman"/>
                      <w:color w:val="auto"/>
                      <w:szCs w:val="20"/>
                      <w:highlight w:val="none"/>
                    </w:rPr>
                    <w:t>计）</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酸性高锰酸钾滴定法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滴定管、水浴锅、</w:t>
                  </w:r>
                </w:p>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（全自动高锰酸盐指数分析仪）</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8"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49</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总α放射性/（Bq/L）</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低本底总α检测法</w:t>
                  </w:r>
                </w:p>
              </w:tc>
              <w:tc>
                <w:tcPr>
                  <w:tcW w:w="1975"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放射性水样蒸发浓缩赶酸仪、低本底放射性检测仪</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50</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总β放射性/（Bq/L）</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低本底总β检测法</w:t>
                  </w: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51</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化学需氧量（COD）</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滴定法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滴定管、COD消解仪（全自动CODcr分析仪）</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52</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溶解氧</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电探头法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溶解氧仪</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53</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五日生化需氧量（BOD</w:t>
                  </w:r>
                  <w:r>
                    <w:rPr>
                      <w:rFonts w:hint="default" w:ascii="Times New Roman" w:hAnsi="Times New Roman" w:cs="Times New Roman"/>
                      <w:color w:val="auto"/>
                      <w:szCs w:val="20"/>
                      <w:highlight w:val="none"/>
                      <w:vertAlign w:val="subscript"/>
                    </w:rPr>
                    <w:t>5</w:t>
                  </w:r>
                  <w:r>
                    <w:rPr>
                      <w:rFonts w:hint="default" w:ascii="Times New Roman" w:hAnsi="Times New Roman" w:cs="Times New Roman"/>
                      <w:color w:val="auto"/>
                      <w:szCs w:val="20"/>
                      <w:highlight w:val="none"/>
                    </w:rPr>
                    <w:t>）</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稀释法和接种法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生化培养箱（120L）、溶解氧仪</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54</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石油类</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紫外法、红外法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紫外可见分光光度计、水中油份浓度分析仪</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610"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55</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贾第鞭毛虫</w:t>
                  </w:r>
                </w:p>
              </w:tc>
              <w:tc>
                <w:tcPr>
                  <w:tcW w:w="1841"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免疫磁分离荧光抗体法、滤膜浓缩/密度梯度分离荧光抗体法</w:t>
                  </w:r>
                </w:p>
              </w:tc>
              <w:tc>
                <w:tcPr>
                  <w:tcW w:w="1975"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两虫检测设备（采样+浓缩+染色+显微镜）</w:t>
                  </w:r>
                </w:p>
              </w:tc>
              <w:tc>
                <w:tcPr>
                  <w:tcW w:w="1682"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《生活饮用水卫生标准》（GB 5749-2022）拓展指标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56</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隐孢子虫</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57</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锑</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原子荧光法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原子荧光光度计</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58</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钡</w:t>
                  </w:r>
                </w:p>
              </w:tc>
              <w:tc>
                <w:tcPr>
                  <w:tcW w:w="1841"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电感耦合等离子体质谱法</w:t>
                  </w:r>
                </w:p>
              </w:tc>
              <w:tc>
                <w:tcPr>
                  <w:tcW w:w="1975"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电感耦合等离子体质谱仪</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59</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铍</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60</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硼</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61</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钼</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62</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镍</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63</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银</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64</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铊</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65</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硒</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原子荧光法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原子荧光光度计</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66</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高氯酸盐</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离子色谱法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离子色谱仪（双通道）</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67</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二氯甲烷</w:t>
                  </w:r>
                </w:p>
              </w:tc>
              <w:tc>
                <w:tcPr>
                  <w:tcW w:w="1841"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吹扫捕集气相色谱质谱法</w:t>
                  </w:r>
                </w:p>
              </w:tc>
              <w:tc>
                <w:tcPr>
                  <w:tcW w:w="1975"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气相色谱质谱联用仪（带液体进样器和吹扫捕集前处理</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68</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1,2-二氯乙烷</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69</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四氯化碳</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70</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氯乙烯</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71</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1,1-二氯乙烯</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72</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1,2-二氯乙烯（总量）</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73</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三氯乙烯</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74</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四氯乙烯</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75</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六氯丁二烯</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76</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苯</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77</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甲苯</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78</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二甲苯（总量）</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79</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苯乙烯</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80</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氯苯</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eastAsia"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rPr>
                    <w:t>吹扫捕集气气相色谱质谱联用仪（GC/MS带液体进样器和吹扫捕集前处理相色谱质谱法</w:t>
                  </w:r>
                  <w:r>
                    <w:rPr>
                      <w:rFonts w:hint="eastAsia" w:cs="Times New Roman"/>
                      <w:color w:val="auto"/>
                      <w:szCs w:val="20"/>
                      <w:highlight w:val="none"/>
                      <w:lang w:eastAsia="zh-CN"/>
                    </w:rPr>
                    <w:t>）</w:t>
                  </w: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81</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1,4-二氯苯</w:t>
                  </w:r>
                </w:p>
              </w:tc>
              <w:tc>
                <w:tcPr>
                  <w:tcW w:w="1841"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吹扫捕集气相色谱质谱法</w:t>
                  </w: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82</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三氯苯（总量）</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83</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六氯苯</w:t>
                  </w:r>
                </w:p>
              </w:tc>
              <w:tc>
                <w:tcPr>
                  <w:tcW w:w="1841"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固相萃取气相色谱质谱法</w:t>
                  </w:r>
                </w:p>
              </w:tc>
              <w:tc>
                <w:tcPr>
                  <w:tcW w:w="1975" w:type="dxa"/>
                  <w:vMerge w:val="restart"/>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气相色谱质谱联用仪（含固相萃取装置）</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84</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七氯</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85</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马拉硫磷</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86</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乐果</w:t>
                  </w:r>
                </w:p>
              </w:tc>
              <w:tc>
                <w:tcPr>
                  <w:tcW w:w="1841"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975"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87</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灭草松</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液相色谱串联质谱法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液相质谱联仪（含溶剂过滤器+氮吹仪+电子天平0.01mg+旋涡振荡器）</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88</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百菌清</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固相萃取气相色谱质谱法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气相色谱质谱联用仪（含固相萃取装置）</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89</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呋喃丹</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液相色谱串联质谱法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液相质谱联仪(含溶剂过滤器+氮吹仪+电子天平0.01mg+旋涡振荡器）</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90</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毒死蜱</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固相萃取气相色谱质谱法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气相色谱质谱联用仪（含固相萃取装置）</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91</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草甘膦</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高效液相色谱法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高效液相色谱仪（含荧光检测器）</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92</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敌敌畏</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固相萃取气相色谱质谱法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气相色谱质谱联用仪（含固相萃取装置）</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93</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莠去津</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液相色谱串联质谱法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液相质谱联仪(含溶剂过滤器+氮吹仪+电子天平0.01mg+旋涡振荡器）</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94</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溴氰菊酯</w:t>
                  </w:r>
                  <w:r>
                    <w:rPr>
                      <w:rFonts w:hint="default" w:ascii="Times New Roman" w:hAnsi="Times New Roman" w:cs="Times New Roman"/>
                      <w:color w:val="auto"/>
                      <w:szCs w:val="20"/>
                      <w:highlight w:val="none"/>
                    </w:rPr>
                    <w:drawing>
                      <wp:inline distT="0" distB="0" distL="114300" distR="114300">
                        <wp:extent cx="152400" cy="152400"/>
                        <wp:effectExtent l="0" t="0" r="0" b="0"/>
                        <wp:docPr id="86"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 descr="IMG_257"/>
                                <pic:cNvPicPr>
                                  <a:picLocks noChangeAspect="1"/>
                                </pic:cNvPicPr>
                              </pic:nvPicPr>
                              <pic:blipFill>
                                <a:blip r:embed="rId15"/>
                                <a:stretch>
                                  <a:fillRect/>
                                </a:stretch>
                              </pic:blipFill>
                              <pic:spPr>
                                <a:xfrm>
                                  <a:off x="0" y="0"/>
                                  <a:ext cx="152400" cy="152400"/>
                                </a:xfrm>
                                <a:prstGeom prst="rect">
                                  <a:avLst/>
                                </a:prstGeom>
                                <a:noFill/>
                                <a:ln w="9525">
                                  <a:noFill/>
                                </a:ln>
                              </pic:spPr>
                            </pic:pic>
                          </a:graphicData>
                        </a:graphic>
                      </wp:inline>
                    </w:drawing>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固相萃取气相色谱质谱法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气相色谱质谱联用仪（含固相萃取装置）</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95</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2,4-滴</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液相色谱串联质谱法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液相质谱联仪(含溶剂过滤器+氮吹仪+电子天平0.01mg+旋涡振荡器 ）</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96</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乙草胺</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固相萃取气相色谱质谱法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气相色谱质谱联用仪（含固相萃取装置）</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97</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五氯酚</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液相色谱串联质谱法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液相质谱联仪(含溶剂过滤器+氮吹仪+电子天平0.01mg+旋涡振荡器 ）</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98</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2,4,6-三氯酚</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吹扫捕集气相色谱质谱法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气相色谱质谱联用仪（含固相萃取装置）</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99</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苯并(a)芘</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高效液相色谱法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高效液相色谱仪（含荧光检测器）</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100</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邻苯二甲酸二(2-乙基己基）酯</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固相萃取气相色谱质谱法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气相色谱质谱联用仪（含固相萃取装置）</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101</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丙烯酰胺</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液相色谱串联质谱法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液相质谱联仪(含溶剂过滤器+氮吹仪+电子天平0.01mg+旋涡振荡器+氮气发生器）</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102</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环氧氯丙烷</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吹扫捕集气相色谱质谱法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气相色谱质谱联用仪（含固相萃取装置）</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103</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微囊藻毒素-LR（藻类暴发情况发生时）</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高效液相色谱法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高效液相色谱仪（含二极管陈列检测器）</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104</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钠</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电感耦合等离子体质谱法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电感耦合等离子体质谱仪</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105</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挥发酚类（以苯酚计）</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流动注射法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流动注射仪</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106</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阴离子合成洗涤剂</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流动注射法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rPr>
                    <w:t>流动注射仪</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3" w:hRule="atLeast"/>
                <w:jc w:val="center"/>
              </w:trPr>
              <w:tc>
                <w:tcPr>
                  <w:tcW w:w="620"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107</w:t>
                  </w:r>
                </w:p>
              </w:tc>
              <w:tc>
                <w:tcPr>
                  <w:tcW w:w="2134"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2-甲基异莰醇</w:t>
                  </w:r>
                </w:p>
              </w:tc>
              <w:tc>
                <w:tcPr>
                  <w:tcW w:w="1841"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顶空固相微萃取气相色谱质谱法</w:t>
                  </w:r>
                </w:p>
              </w:tc>
              <w:tc>
                <w:tcPr>
                  <w:tcW w:w="1975" w:type="dxa"/>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气相色谱质谱联用仪（含固相萃取装置）</w:t>
                  </w:r>
                </w:p>
              </w:tc>
              <w:tc>
                <w:tcPr>
                  <w:tcW w:w="1682" w:type="dxa"/>
                  <w:vMerge w:val="continue"/>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center"/>
                    <w:textAlignment w:val="auto"/>
                    <w:rPr>
                      <w:rFonts w:hint="default" w:ascii="Times New Roman" w:hAnsi="Times New Roman" w:cs="Times New Roman"/>
                      <w:color w:val="auto"/>
                      <w:szCs w:val="20"/>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10" w:hRule="atLeast"/>
                <w:jc w:val="center"/>
              </w:trPr>
              <w:tc>
                <w:tcPr>
                  <w:tcW w:w="8252" w:type="dxa"/>
                  <w:gridSpan w:val="5"/>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line="320" w:lineRule="exact"/>
                    <w:ind w:right="0"/>
                    <w:jc w:val="both"/>
                    <w:textAlignment w:val="auto"/>
                    <w:rPr>
                      <w:rFonts w:hint="default" w:ascii="Times New Roman" w:hAnsi="Times New Roman" w:cs="Times New Roman"/>
                      <w:color w:val="auto"/>
                      <w:szCs w:val="20"/>
                      <w:highlight w:val="none"/>
                      <w:lang w:val="en-US" w:eastAsia="zh-CN"/>
                    </w:rPr>
                  </w:pPr>
                  <w:r>
                    <w:rPr>
                      <w:rFonts w:hint="eastAsia" w:cs="Times New Roman"/>
                      <w:b/>
                      <w:bCs/>
                      <w:color w:val="auto"/>
                      <w:sz w:val="18"/>
                      <w:szCs w:val="16"/>
                      <w:highlight w:val="none"/>
                      <w:lang w:val="en-US" w:eastAsia="zh-CN"/>
                    </w:rPr>
                    <w:t>注：表中序号7及序号65均为</w:t>
                  </w:r>
                  <w:r>
                    <w:rPr>
                      <w:rFonts w:hint="eastAsia" w:cs="Times New Roman"/>
                      <w:b/>
                      <w:bCs/>
                      <w:color w:val="auto"/>
                      <w:sz w:val="18"/>
                      <w:szCs w:val="16"/>
                      <w:highlight w:val="none"/>
                      <w:lang w:eastAsia="zh-CN"/>
                    </w:rPr>
                    <w:t>“</w:t>
                  </w:r>
                  <w:r>
                    <w:rPr>
                      <w:rFonts w:hint="default" w:ascii="Times New Roman" w:hAnsi="Times New Roman" w:cs="Times New Roman"/>
                      <w:b/>
                      <w:bCs/>
                      <w:color w:val="auto"/>
                      <w:sz w:val="18"/>
                      <w:szCs w:val="16"/>
                      <w:highlight w:val="none"/>
                    </w:rPr>
                    <w:t>硒</w:t>
                  </w:r>
                  <w:r>
                    <w:rPr>
                      <w:rFonts w:hint="eastAsia" w:cs="Times New Roman"/>
                      <w:b/>
                      <w:bCs/>
                      <w:color w:val="auto"/>
                      <w:sz w:val="18"/>
                      <w:szCs w:val="16"/>
                      <w:highlight w:val="none"/>
                      <w:lang w:eastAsia="zh-CN"/>
                    </w:rPr>
                    <w:t>”，</w:t>
                  </w:r>
                  <w:r>
                    <w:rPr>
                      <w:rFonts w:hint="eastAsia" w:cs="Times New Roman"/>
                      <w:b/>
                      <w:bCs/>
                      <w:color w:val="auto"/>
                      <w:sz w:val="18"/>
                      <w:szCs w:val="16"/>
                      <w:highlight w:val="none"/>
                      <w:lang w:val="en-US" w:eastAsia="zh-CN"/>
                    </w:rPr>
                    <w:t>检测因子为106项。</w:t>
                  </w:r>
                </w:p>
              </w:tc>
            </w:tr>
          </w:tbl>
          <w:p>
            <w:pPr>
              <w:pStyle w:val="4"/>
              <w:suppressLineNumbers w:val="0"/>
              <w:bidi w:val="0"/>
              <w:spacing w:beforeAutospacing="0" w:afterAutospacing="0"/>
              <w:ind w:right="0"/>
              <w:rPr>
                <w:rFonts w:hint="default" w:ascii="Times New Roman" w:hAnsi="Times New Roman" w:cs="Times New Roman"/>
                <w:color w:val="auto"/>
                <w:highlight w:val="none"/>
              </w:rPr>
            </w:pPr>
            <w:r>
              <w:rPr>
                <w:rFonts w:hint="default" w:ascii="Times New Roman" w:hAnsi="Times New Roman" w:cs="Times New Roman"/>
                <w:color w:val="auto"/>
                <w:highlight w:val="none"/>
              </w:rPr>
              <w:t>平面布局</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w:t>
            </w:r>
            <w:r>
              <w:rPr>
                <w:rFonts w:hint="default" w:ascii="Times New Roman" w:hAnsi="Times New Roman" w:cs="Times New Roman"/>
                <w:color w:val="auto"/>
                <w:sz w:val="24"/>
                <w:szCs w:val="24"/>
                <w:highlight w:val="none"/>
                <w:u w:val="none"/>
              </w:rPr>
              <w:t>福建省</w:t>
            </w:r>
            <w:r>
              <w:rPr>
                <w:rFonts w:hint="default" w:ascii="Times New Roman" w:hAnsi="Times New Roman" w:cs="Times New Roman"/>
                <w:color w:val="auto"/>
                <w:sz w:val="24"/>
                <w:szCs w:val="24"/>
                <w:highlight w:val="none"/>
                <w:u w:val="none"/>
                <w:lang w:eastAsia="zh-CN"/>
              </w:rPr>
              <w:t>福州市福清市融侨经济技术开发区洪宽工业村</w:t>
            </w:r>
            <w:r>
              <w:rPr>
                <w:rFonts w:hint="default" w:ascii="Times New Roman" w:hAnsi="Times New Roman" w:cs="Times New Roman"/>
                <w:color w:val="auto"/>
                <w:sz w:val="24"/>
                <w:szCs w:val="24"/>
                <w:highlight w:val="none"/>
                <w:u w:val="none"/>
              </w:rPr>
              <w:t>（租赁</w:t>
            </w:r>
            <w:r>
              <w:rPr>
                <w:rFonts w:hint="default" w:ascii="Times New Roman" w:hAnsi="Times New Roman" w:cs="Times New Roman"/>
                <w:color w:val="auto"/>
                <w:sz w:val="24"/>
                <w:szCs w:val="24"/>
                <w:highlight w:val="none"/>
                <w:u w:val="none"/>
                <w:lang w:eastAsia="zh-CN"/>
              </w:rPr>
              <w:t>福清洪金机械有限公司办公楼4层、5层</w:t>
            </w:r>
            <w:r>
              <w:rPr>
                <w:rFonts w:hint="default" w:ascii="Times New Roman" w:hAnsi="Times New Roman" w:cs="Times New Roman"/>
                <w:color w:val="auto"/>
                <w:sz w:val="24"/>
                <w:szCs w:val="24"/>
                <w:highlight w:val="none"/>
                <w:u w:val="none"/>
              </w:rPr>
              <w:t>）</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kern w:val="2"/>
                <w:sz w:val="24"/>
                <w:szCs w:val="24"/>
                <w:highlight w:val="none"/>
                <w:lang w:val="en-US" w:eastAsia="zh-CN"/>
              </w:rPr>
              <w:t>项目平面布局根据实验工艺需要，办公区与实验区功能分区明确，紧凑合理，能够满足实验和办公需求。</w:t>
            </w:r>
            <w:r>
              <w:rPr>
                <w:rFonts w:hint="default" w:ascii="Times New Roman" w:hAnsi="Times New Roman" w:cs="Times New Roman"/>
                <w:color w:val="auto"/>
                <w:sz w:val="24"/>
                <w:highlight w:val="none"/>
              </w:rPr>
              <w:t>项目基本上按照</w:t>
            </w:r>
            <w:r>
              <w:rPr>
                <w:rFonts w:hint="default" w:ascii="Times New Roman" w:hAnsi="Times New Roman" w:cs="Times New Roman"/>
                <w:color w:val="auto"/>
                <w:sz w:val="24"/>
                <w:highlight w:val="none"/>
                <w:lang w:val="en-US" w:eastAsia="zh-CN"/>
              </w:rPr>
              <w:t>试验</w:t>
            </w:r>
            <w:r>
              <w:rPr>
                <w:rFonts w:hint="default" w:ascii="Times New Roman" w:hAnsi="Times New Roman" w:cs="Times New Roman"/>
                <w:color w:val="auto"/>
                <w:sz w:val="24"/>
                <w:highlight w:val="none"/>
              </w:rPr>
              <w:t>流程进行平面布局，项目的平面布局充分考虑了功能区分、交通组织，主要公建设施布局合理，且对污染防治均采取了有效防治措施；</w:t>
            </w:r>
            <w:r>
              <w:rPr>
                <w:rFonts w:hint="default" w:ascii="Times New Roman" w:hAnsi="Times New Roman" w:eastAsia="宋体" w:cs="Times New Roman"/>
                <w:color w:val="auto"/>
                <w:spacing w:val="2"/>
                <w:sz w:val="24"/>
                <w:szCs w:val="24"/>
                <w:highlight w:val="none"/>
              </w:rPr>
              <w:t>项目噪声级较高的设备</w:t>
            </w:r>
            <w:r>
              <w:rPr>
                <w:rFonts w:hint="default" w:ascii="Times New Roman" w:hAnsi="Times New Roman" w:cs="Times New Roman"/>
                <w:color w:val="auto"/>
                <w:spacing w:val="2"/>
                <w:sz w:val="24"/>
                <w:szCs w:val="24"/>
                <w:highlight w:val="none"/>
                <w:lang w:val="en-US" w:eastAsia="zh-CN"/>
              </w:rPr>
              <w:t>均</w:t>
            </w:r>
            <w:r>
              <w:rPr>
                <w:rFonts w:hint="default" w:ascii="Times New Roman" w:hAnsi="Times New Roman" w:eastAsia="宋体" w:cs="Times New Roman"/>
                <w:color w:val="auto"/>
                <w:spacing w:val="2"/>
                <w:sz w:val="24"/>
                <w:szCs w:val="24"/>
                <w:highlight w:val="none"/>
              </w:rPr>
              <w:t>安装在</w:t>
            </w:r>
            <w:r>
              <w:rPr>
                <w:rFonts w:hint="default" w:ascii="Times New Roman" w:hAnsi="Times New Roman" w:cs="Times New Roman"/>
                <w:color w:val="auto"/>
                <w:spacing w:val="2"/>
                <w:sz w:val="24"/>
                <w:szCs w:val="24"/>
                <w:highlight w:val="none"/>
                <w:lang w:val="en-US" w:eastAsia="zh-CN"/>
              </w:rPr>
              <w:t>实验室</w:t>
            </w:r>
            <w:r>
              <w:rPr>
                <w:rFonts w:hint="default" w:ascii="Times New Roman" w:hAnsi="Times New Roman" w:eastAsia="宋体" w:cs="Times New Roman"/>
                <w:color w:val="auto"/>
                <w:spacing w:val="2"/>
                <w:sz w:val="24"/>
                <w:szCs w:val="24"/>
                <w:highlight w:val="none"/>
              </w:rPr>
              <w:t>内部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废气治理设施紧邻</w:t>
            </w:r>
            <w:r>
              <w:rPr>
                <w:rFonts w:hint="default" w:ascii="Times New Roman" w:hAnsi="Times New Roman" w:cs="Times New Roman"/>
                <w:color w:val="auto"/>
                <w:sz w:val="24"/>
                <w:szCs w:val="24"/>
                <w:highlight w:val="none"/>
                <w:lang w:val="en-US" w:eastAsia="zh-CN"/>
              </w:rPr>
              <w:t>通风橱</w:t>
            </w:r>
            <w:r>
              <w:rPr>
                <w:rFonts w:hint="default" w:ascii="Times New Roman" w:hAnsi="Times New Roman" w:eastAsia="宋体" w:cs="Times New Roman"/>
                <w:color w:val="auto"/>
                <w:sz w:val="24"/>
                <w:szCs w:val="24"/>
                <w:highlight w:val="none"/>
              </w:rPr>
              <w:t>布置，减少了有机废气的输送距离。</w:t>
            </w:r>
            <w:r>
              <w:rPr>
                <w:rFonts w:hint="default" w:ascii="Times New Roman" w:hAnsi="Times New Roman" w:cs="Times New Roman"/>
                <w:color w:val="auto"/>
                <w:sz w:val="24"/>
                <w:highlight w:val="none"/>
              </w:rPr>
              <w:t>从整体上看，项目平面布局空间安排紧凑，功能分区明确，物流比较通畅，可相互协调，便于管理；</w:t>
            </w:r>
            <w:r>
              <w:rPr>
                <w:rFonts w:hint="default" w:ascii="Times New Roman" w:hAnsi="Times New Roman" w:cs="Times New Roman"/>
                <w:color w:val="auto"/>
                <w:sz w:val="24"/>
                <w:highlight w:val="none"/>
                <w:lang w:val="en-US" w:eastAsia="zh-CN"/>
              </w:rPr>
              <w:t>实验室</w:t>
            </w:r>
            <w:r>
              <w:rPr>
                <w:rFonts w:hint="default" w:ascii="Times New Roman" w:hAnsi="Times New Roman" w:eastAsia="宋体" w:cs="Times New Roman"/>
                <w:color w:val="auto"/>
                <w:spacing w:val="2"/>
                <w:sz w:val="24"/>
                <w:szCs w:val="24"/>
                <w:highlight w:val="none"/>
              </w:rPr>
              <w:t>所在</w:t>
            </w:r>
            <w:r>
              <w:rPr>
                <w:rFonts w:hint="default" w:ascii="Times New Roman" w:hAnsi="Times New Roman" w:cs="Times New Roman"/>
                <w:color w:val="auto"/>
                <w:spacing w:val="2"/>
                <w:sz w:val="24"/>
                <w:szCs w:val="24"/>
                <w:highlight w:val="none"/>
                <w:lang w:val="en-US" w:eastAsia="zh-CN"/>
              </w:rPr>
              <w:t>办公楼</w:t>
            </w:r>
            <w:r>
              <w:rPr>
                <w:rFonts w:hint="default" w:ascii="Times New Roman" w:hAnsi="Times New Roman" w:eastAsia="宋体" w:cs="Times New Roman"/>
                <w:color w:val="auto"/>
                <w:spacing w:val="2"/>
                <w:sz w:val="24"/>
                <w:szCs w:val="24"/>
                <w:highlight w:val="none"/>
              </w:rPr>
              <w:t>与周围</w:t>
            </w:r>
            <w:r>
              <w:rPr>
                <w:rFonts w:hint="default" w:ascii="Times New Roman" w:hAnsi="Times New Roman" w:eastAsia="宋体" w:cs="Times New Roman"/>
                <w:color w:val="auto"/>
                <w:sz w:val="24"/>
                <w:szCs w:val="24"/>
                <w:highlight w:val="none"/>
              </w:rPr>
              <w:t>建筑物间留出必要的间距和通道，符合防火、卫生、安全要求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cs="Times New Roman"/>
                <w:color w:val="auto"/>
                <w:sz w:val="24"/>
                <w:highlight w:val="none"/>
              </w:rPr>
              <w:t>从环境保护角度考虑，项目的平面布局合理可行</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项目</w:t>
            </w:r>
            <w:r>
              <w:rPr>
                <w:rFonts w:hint="default" w:ascii="Times New Roman" w:hAnsi="Times New Roman" w:cs="Times New Roman"/>
                <w:color w:val="auto"/>
                <w:highlight w:val="none"/>
              </w:rPr>
              <w:t>平面</w:t>
            </w:r>
            <w:r>
              <w:rPr>
                <w:rFonts w:hint="default" w:ascii="Times New Roman" w:hAnsi="Times New Roman" w:cs="Times New Roman"/>
                <w:color w:val="auto"/>
                <w:highlight w:val="none"/>
                <w:lang w:val="en-US" w:eastAsia="zh-CN"/>
              </w:rPr>
              <w:t>布置</w:t>
            </w:r>
            <w:r>
              <w:rPr>
                <w:rFonts w:hint="default" w:ascii="Times New Roman" w:hAnsi="Times New Roman" w:cs="Times New Roman"/>
                <w:color w:val="auto"/>
                <w:highlight w:val="none"/>
              </w:rPr>
              <w:t>见附图</w:t>
            </w:r>
            <w:bookmarkStart w:id="29" w:name="_Ref15455"/>
            <w:r>
              <w:rPr>
                <w:rFonts w:hint="default" w:ascii="Times New Roman" w:hAnsi="Times New Roman" w:cs="Times New Roman"/>
                <w:color w:val="auto"/>
                <w:highlight w:val="none"/>
              </w:rPr>
              <w:t>3。</w:t>
            </w:r>
            <w:bookmarkEnd w:id="29"/>
            <w:bookmarkStart w:id="30" w:name="_Toc9977"/>
            <w:bookmarkStart w:id="31" w:name="_Toc6646"/>
            <w:bookmarkStart w:id="32" w:name="_Toc10081"/>
            <w:bookmarkStart w:id="33" w:name="_Toc24506"/>
          </w:p>
          <w:p>
            <w:pPr>
              <w:pStyle w:val="4"/>
              <w:suppressLineNumbers w:val="0"/>
              <w:bidi w:val="0"/>
              <w:spacing w:beforeAutospacing="0" w:afterAutospacing="0"/>
              <w:ind w:right="0"/>
              <w:rPr>
                <w:rFonts w:hint="default" w:ascii="Times New Roman" w:hAnsi="Times New Roman" w:cs="Times New Roman"/>
                <w:color w:val="auto"/>
                <w:highlight w:val="none"/>
              </w:rPr>
            </w:pPr>
            <w:r>
              <w:rPr>
                <w:rFonts w:hint="default" w:ascii="Times New Roman" w:hAnsi="Times New Roman" w:cs="Times New Roman"/>
                <w:color w:val="auto"/>
                <w:highlight w:val="none"/>
              </w:rPr>
              <w:t>主要生产设备</w:t>
            </w:r>
            <w:bookmarkEnd w:id="30"/>
            <w:bookmarkEnd w:id="31"/>
            <w:bookmarkEnd w:id="32"/>
            <w:bookmarkEnd w:id="33"/>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本项目主要</w:t>
            </w:r>
            <w:r>
              <w:rPr>
                <w:rFonts w:hint="default" w:ascii="Times New Roman" w:hAnsi="Times New Roman" w:cs="Times New Roman"/>
                <w:color w:val="auto"/>
                <w:highlight w:val="none"/>
                <w:lang w:val="en-US" w:eastAsia="zh-CN"/>
              </w:rPr>
              <w:t>实验</w:t>
            </w:r>
            <w:r>
              <w:rPr>
                <w:rFonts w:hint="default" w:ascii="Times New Roman" w:hAnsi="Times New Roman" w:cs="Times New Roman"/>
                <w:color w:val="auto"/>
                <w:highlight w:val="none"/>
              </w:rPr>
              <w:t>设备如</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_Ref15628 \n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表2.3-3</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所示。</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ascii="Times New Roman" w:hAnsi="Times New Roman" w:cs="Times New Roman"/>
                <w:color w:val="auto"/>
                <w:highlight w:val="none"/>
              </w:rPr>
            </w:pPr>
            <w:bookmarkStart w:id="34" w:name="_Ref15628"/>
            <w:r>
              <w:rPr>
                <w:rFonts w:hint="default" w:ascii="Times New Roman" w:hAnsi="Times New Roman" w:cs="Times New Roman"/>
                <w:color w:val="auto"/>
                <w:highlight w:val="none"/>
              </w:rPr>
              <w:t>项目主要</w:t>
            </w:r>
            <w:r>
              <w:rPr>
                <w:rFonts w:hint="default" w:ascii="Times New Roman" w:hAnsi="Times New Roman" w:cs="Times New Roman"/>
                <w:color w:val="auto"/>
                <w:highlight w:val="none"/>
                <w:lang w:val="en-US" w:eastAsia="zh-CN"/>
              </w:rPr>
              <w:t>实验</w:t>
            </w:r>
            <w:r>
              <w:rPr>
                <w:rFonts w:hint="default" w:ascii="Times New Roman" w:hAnsi="Times New Roman" w:cs="Times New Roman"/>
                <w:color w:val="auto"/>
                <w:highlight w:val="none"/>
              </w:rPr>
              <w:t>设备清单</w:t>
            </w:r>
            <w:bookmarkEnd w:id="34"/>
          </w:p>
          <w:tbl>
            <w:tblPr>
              <w:tblStyle w:val="32"/>
              <w:tblW w:w="8255"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656"/>
              <w:gridCol w:w="3449"/>
              <w:gridCol w:w="1305"/>
              <w:gridCol w:w="1875"/>
              <w:gridCol w:w="97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Ex>
              <w:trPr>
                <w:trHeight w:val="475"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序号</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产品名称</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品牌</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规格型号</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数 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原子荧光光度计</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吉天</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AFS-11U</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2</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电感耦合等离子体质谱仪（ICP-MS）</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赛默飞</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iCAP RQplus</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3</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流动注射分析仪</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吉天</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iFIA E</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4</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离子色谱仪（双通道）</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瑞士万通</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930</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5</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气相色谱仪</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赛默飞</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Trace 1600</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6</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全自动高锰酸盐指数测定仪</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然诺</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RN6002</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7</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放射性水样蒸发仪</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德合创睿</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DH6060</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8</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低本底αβ测量仪（6通道）</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谱晰</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PAB-6000</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9</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蒸发恒重分析仪</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容广</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RG-AWS7H</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10</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全自动CODcr分析仪</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宁波然诺</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RN6100</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11</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水中油份浓度分析仪</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华夏科创</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OIL520A</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12</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两虫检测设备</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奎泰斯特</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LabChaser 2030</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13</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气相色谱质谱联用仪</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安捷伦</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8890-5977C</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14</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三重四极杆气相色谱质谱联用仪</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安捷伦</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8890-7000E</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15</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高效液相色谱仪</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安捷伦</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1260 Infinity III</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16</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三重四极杆液相质谱联用仪</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SCIEX</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TripleQuad4500</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17</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全自动固相萃取仪</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莱伯泰科</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SPE1000Plus</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18</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多联过滤装置</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上海力辰</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LC-MFS-6</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19</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手提式灭菌器</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浙江新丰</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XFS-280CB+</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20</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电热恒温鼓风干燥箱</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上海精宏</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DHG-9070A</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21</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电磁炉</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苏泊尔</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C22-IA825</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22</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紫外荧光灯</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中仪博腾</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BOT-IIIA</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23</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医用冷藏箱</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青岛海尔</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HYC-310S</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24</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生化培养箱</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上海精宏</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SHP-150</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25</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菌落计数仪</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无锡沃信</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VS-J3</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26</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隔水式恒温培养箱</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上海精宏</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GNP-9080</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27</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程控定量封口机</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奎泰斯特</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Denfender Sealer MAX</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28</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生物安全柜</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青岛海尔</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HR-1360-IIA2</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29</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温湿度计</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testo</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testo608H1</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30</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颠倒温度计</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宇檬哲</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JY-026</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31</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微波消解仪</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上海新仪</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ECO</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32</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紫外可见分光光度计</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上海元析</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UV-9000S</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33</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台式离心机</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湖南湘仪</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CLT55</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34</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pH计</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上海雷磁</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PHSJ-3F</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35</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浊度仪</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上海雷磁</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WZB-172</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36</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色度仪</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上海昕瑞</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SD9011B</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37</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消毒剂测定仪</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上海雷磁</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DGB-403F</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38</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臭氧测定仪</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上海昕瑞</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SYL-3B</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39</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电子分析天平</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赛多利斯</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BCE224-1CCN</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40</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水浴锅</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上海力辰</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HH-6</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41</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标准COD消解器</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江苏海环</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SH-108</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42</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溶解氧仪</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上海雷磁</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JPB-607A</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43</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电导率仪</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上海雷磁</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DDSJ-307F</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44</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氮吹仪</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天津恒奥</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HGC–24Ai</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45</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电子天平0.01mg</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赛多利斯</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BCE55i-1OCN</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46</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旋涡振荡器</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上海力辰</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LC-Vortex MS</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47</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超纯水机</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科瑞峰</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SU-S2-20L</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48</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数控超声波清洗器</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昆山苏美</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KQ-400KDE</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49</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低温保存箱</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青岛海尔</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DW-25W198</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50</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移液枪</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Eppendorf</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Research plus</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51</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磁力搅拌器</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北京大龙</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MS-H-ProA</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52</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玻璃仪器烘干器</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上海力辰</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C型</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jc w:val="center"/>
              </w:trPr>
              <w:tc>
                <w:tcPr>
                  <w:tcW w:w="65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53</w:t>
                  </w:r>
                </w:p>
              </w:tc>
              <w:tc>
                <w:tcPr>
                  <w:tcW w:w="344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自动液液萃取仪</w:t>
                  </w:r>
                </w:p>
              </w:tc>
              <w:tc>
                <w:tcPr>
                  <w:tcW w:w="130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长沙永乐康</w:t>
                  </w:r>
                </w:p>
              </w:tc>
              <w:tc>
                <w:tcPr>
                  <w:tcW w:w="1875"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YKD-10</w:t>
                  </w:r>
                </w:p>
              </w:tc>
              <w:tc>
                <w:tcPr>
                  <w:tcW w:w="970"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eastAsia"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543" w:hRule="exact"/>
                <w:jc w:val="center"/>
              </w:trPr>
              <w:tc>
                <w:tcPr>
                  <w:tcW w:w="8255" w:type="dxa"/>
                  <w:gridSpan w:val="5"/>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80" w:lineRule="exact"/>
                    <w:ind w:left="0" w:right="0"/>
                    <w:jc w:val="left"/>
                    <w:textAlignment w:val="center"/>
                    <w:rPr>
                      <w:rFonts w:hint="default" w:ascii="Times New Roman" w:hAnsi="Times New Roman" w:cs="Times New Roman"/>
                      <w:b w:val="0"/>
                      <w:bCs/>
                      <w:color w:val="auto"/>
                      <w:kern w:val="0"/>
                      <w:sz w:val="21"/>
                      <w:szCs w:val="21"/>
                      <w:highlight w:val="none"/>
                      <w:lang w:val="en-US" w:eastAsia="zh-CN" w:bidi="ar"/>
                    </w:rPr>
                  </w:pPr>
                  <w:r>
                    <w:rPr>
                      <w:rFonts w:hint="eastAsia" w:cs="Times New Roman"/>
                      <w:b/>
                      <w:bCs w:val="0"/>
                      <w:color w:val="auto"/>
                      <w:kern w:val="0"/>
                      <w:sz w:val="18"/>
                      <w:szCs w:val="18"/>
                      <w:highlight w:val="none"/>
                      <w:lang w:val="en-US" w:eastAsia="zh-CN" w:bidi="ar"/>
                    </w:rPr>
                    <w:t>注：本项目检测总α放射性、总β放射性使用低本底αβ测量仪。采购武汉谱晰科技有限公司，型号为PAB-6000为第六批豁免备案证明文件的放射性同位素设备。具体见附件8。</w:t>
                  </w:r>
                </w:p>
              </w:tc>
            </w:tr>
          </w:tbl>
          <w:p>
            <w:pPr>
              <w:pStyle w:val="4"/>
              <w:suppressLineNumbers w:val="0"/>
              <w:bidi w:val="0"/>
              <w:spacing w:beforeAutospacing="0" w:afterAutospacing="0"/>
              <w:ind w:right="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实验室主要试剂</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（1）主要试剂清单</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项目主要试剂贮存于</w:t>
            </w:r>
            <w:r>
              <w:rPr>
                <w:rFonts w:hint="default" w:ascii="Times New Roman" w:hAnsi="Times New Roman" w:cs="Times New Roman"/>
                <w:color w:val="auto"/>
                <w:szCs w:val="20"/>
                <w:highlight w:val="none"/>
                <w:lang w:val="en-US" w:eastAsia="zh-CN"/>
              </w:rPr>
              <w:t>试剂室、易制爆室、易制毒室、惰性气体室、易燃易爆气体室</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主要</w:t>
            </w:r>
            <w:r>
              <w:rPr>
                <w:rFonts w:hint="default" w:ascii="Times New Roman" w:hAnsi="Times New Roman" w:cs="Times New Roman"/>
                <w:color w:val="auto"/>
                <w:highlight w:val="none"/>
                <w:lang w:val="en-US" w:eastAsia="zh-CN"/>
              </w:rPr>
              <w:t>实验试剂</w:t>
            </w:r>
            <w:r>
              <w:rPr>
                <w:rFonts w:hint="default" w:ascii="Times New Roman" w:hAnsi="Times New Roman" w:cs="Times New Roman"/>
                <w:color w:val="auto"/>
                <w:highlight w:val="none"/>
              </w:rPr>
              <w:t>用量</w:t>
            </w:r>
            <w:r>
              <w:rPr>
                <w:rFonts w:hint="default" w:ascii="Times New Roman" w:hAnsi="Times New Roman" w:cs="Times New Roman"/>
                <w:color w:val="auto"/>
                <w:highlight w:val="none"/>
                <w:lang w:val="en-US" w:eastAsia="zh-CN"/>
              </w:rPr>
              <w:t>情况</w:t>
            </w:r>
            <w:r>
              <w:rPr>
                <w:rFonts w:hint="default" w:ascii="Times New Roman" w:hAnsi="Times New Roman" w:cs="Times New Roman"/>
                <w:color w:val="auto"/>
                <w:highlight w:val="none"/>
              </w:rPr>
              <w:t>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_Ref5629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表2.3-4</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主要试剂成分见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_Ref191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表2.3-5</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rPr>
              <w:t>。</w:t>
            </w:r>
            <w:bookmarkStart w:id="35" w:name="_Ref15667"/>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ascii="Times New Roman" w:hAnsi="Times New Roman" w:cs="Times New Roman"/>
                <w:color w:val="auto"/>
                <w:highlight w:val="none"/>
              </w:rPr>
            </w:pPr>
            <w:bookmarkStart w:id="36" w:name="_Ref5629"/>
            <w:r>
              <w:rPr>
                <w:rFonts w:hint="default" w:ascii="Times New Roman" w:hAnsi="Times New Roman" w:cs="Times New Roman"/>
                <w:color w:val="auto"/>
                <w:highlight w:val="none"/>
              </w:rPr>
              <w:t>主要原辅材料预计消耗一览表</w:t>
            </w:r>
            <w:bookmarkEnd w:id="35"/>
            <w:bookmarkEnd w:id="36"/>
          </w:p>
          <w:tbl>
            <w:tblPr>
              <w:tblStyle w:val="32"/>
              <w:tblW w:w="8255"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622"/>
              <w:gridCol w:w="1871"/>
              <w:gridCol w:w="1009"/>
              <w:gridCol w:w="1183"/>
              <w:gridCol w:w="1321"/>
              <w:gridCol w:w="1169"/>
              <w:gridCol w:w="108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序号</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药品名称</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单瓶重</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年用量（</w:t>
                  </w:r>
                  <w:r>
                    <w:rPr>
                      <w:rFonts w:hint="default" w:ascii="Times New Roman" w:hAnsi="Times New Roman" w:eastAsia="宋体" w:cs="Times New Roman"/>
                      <w:i w:val="0"/>
                      <w:iCs w:val="0"/>
                      <w:color w:val="auto"/>
                      <w:kern w:val="0"/>
                      <w:sz w:val="21"/>
                      <w:szCs w:val="21"/>
                      <w:highlight w:val="none"/>
                      <w:u w:val="none"/>
                      <w:lang w:val="en-US" w:eastAsia="zh-CN" w:bidi="ar"/>
                    </w:rPr>
                    <w:t>瓶</w:t>
                  </w:r>
                  <w:r>
                    <w:rPr>
                      <w:rFonts w:hint="default" w:ascii="Times New Roman" w:hAnsi="Times New Roman" w:cs="Times New Roman"/>
                      <w:color w:val="auto"/>
                      <w:kern w:val="0"/>
                      <w:sz w:val="21"/>
                      <w:szCs w:val="21"/>
                      <w:highlight w:val="none"/>
                      <w:lang w:val="en-US" w:eastAsia="zh-CN" w:bidi="ar"/>
                    </w:rPr>
                    <w:t>）</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最大贮存量（</w:t>
                  </w:r>
                  <w:r>
                    <w:rPr>
                      <w:rFonts w:hint="default" w:ascii="Times New Roman" w:hAnsi="Times New Roman" w:eastAsia="宋体" w:cs="Times New Roman"/>
                      <w:i w:val="0"/>
                      <w:iCs w:val="0"/>
                      <w:color w:val="auto"/>
                      <w:kern w:val="0"/>
                      <w:sz w:val="21"/>
                      <w:szCs w:val="21"/>
                      <w:highlight w:val="none"/>
                      <w:u w:val="none"/>
                      <w:lang w:val="en-US" w:eastAsia="zh-CN" w:bidi="ar"/>
                    </w:rPr>
                    <w:t>瓶</w:t>
                  </w:r>
                  <w:r>
                    <w:rPr>
                      <w:rFonts w:hint="default" w:ascii="Times New Roman" w:hAnsi="Times New Roman" w:cs="Times New Roman"/>
                      <w:color w:val="auto"/>
                      <w:kern w:val="0"/>
                      <w:sz w:val="21"/>
                      <w:szCs w:val="21"/>
                      <w:highlight w:val="none"/>
                      <w:lang w:val="en-US" w:eastAsia="zh-CN" w:bidi="ar"/>
                    </w:rPr>
                    <w:t>）</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性质</w:t>
                  </w:r>
                </w:p>
              </w:tc>
              <w:tc>
                <w:tcPr>
                  <w:tcW w:w="1080" w:type="dxa"/>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贮存室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邻苯二甲酸氢钾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169" w:type="dxa"/>
                  <w:vMerge w:val="restart"/>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普通化学品</w:t>
                  </w:r>
                </w:p>
              </w:tc>
              <w:tc>
                <w:tcPr>
                  <w:tcW w:w="1080" w:type="dxa"/>
                  <w:vMerge w:val="restart"/>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试剂室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葡萄糖</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谷氨酸</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氯化铵</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抗坏血酸</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甘油</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磷酸二氢钾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硫化钠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硫酸钾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碘酸钾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六氯铂酸钾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硫氰酸钾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250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丁基黄原酸钾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250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碳酸钾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铬酸钾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过硫酸钾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氯铂酸钾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r>
                    <w:rPr>
                      <w:rFonts w:hint="default" w:ascii="Times New Roman" w:hAnsi="Times New Roman" w:cs="Times New Roman"/>
                      <w:i w:val="0"/>
                      <w:iCs w:val="0"/>
                      <w:color w:val="auto"/>
                      <w:kern w:val="0"/>
                      <w:sz w:val="21"/>
                      <w:szCs w:val="21"/>
                      <w:highlight w:val="none"/>
                      <w:u w:val="none"/>
                      <w:lang w:val="en-US" w:eastAsia="zh-CN" w:bidi="ar"/>
                    </w:rPr>
                    <w:t>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高碘酸钾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碳酸钙</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丙烯腈</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碘化钾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氟化钠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氯化钠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溴化钾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亚硝酸钠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亚硫酸钠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无水硫酸钠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40</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硫代硫酸钠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偏重亚硫酸钠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二氧化钛</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无水碳酸钠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碳酸氢钠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硫酸铵</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氨水p=0.91g/ml</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氨基磺酸</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乙二胺四乙酸二钠盐</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试银灵（对二甲氨基亚芐基罗丹宁）</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氯胺T</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w:t>
                  </w:r>
                  <w:r>
                    <w:rPr>
                      <w:rFonts w:hint="default" w:ascii="Times New Roman" w:hAnsi="Times New Roman" w:eastAsia="宋体" w:cs="Times New Roman"/>
                      <w:i w:val="0"/>
                      <w:iCs w:val="0"/>
                      <w:color w:val="auto"/>
                      <w:kern w:val="0"/>
                      <w:sz w:val="21"/>
                      <w:szCs w:val="21"/>
                      <w:highlight w:val="none"/>
                      <w:u w:val="none"/>
                      <w:lang w:val="en-US" w:eastAsia="zh-CN" w:bidi="ar"/>
                    </w:rPr>
                    <w:t>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4</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异烟酸</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吡唑啉酮</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巴比妥酸</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吡啶</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硫酸亚铁</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硫酸亚铁铵</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250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8</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七水硫酸亚铁</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苯酚</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对氯苯酚</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对硝基苯酚</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4-安基斯替比林</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安替比林</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硅酸镁</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支链烷基苯磺酸钠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水磷酸二氢钠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N,N二甲基对苯二胺盐酸</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硫酸铁铵</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乙酸锌</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乙酸铵</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乙酸钙</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乙酸钠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氯化锌</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七水合硫酸镁</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8</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五水合硫代硫酸钠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6</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五水合硫酸铜</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二水合氯化亚锡</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二水合钼酸钠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二水合氯化钡</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一水合柠檬酸</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甲基红钠盐</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硫酸铝钾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柠檬酸三钠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氯化钙</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二氮杂菲</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六水氯化钴</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硫酸肼</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硅藻土</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二水合EDTA二钠溶液</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无水DPD硫酸盐溶液</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氧化镧</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氧化镁</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碳酸镁</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硫脲</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乙酰丙酮</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玻璃棉</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AHMT溶液</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磷酸氢二钾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结晶紫</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草酸铵</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草酸钛钾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沙黄</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6</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3,2-二氨基萘</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6</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硫酸铈</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硫酸铜</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铂-钴标准溶液</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w:t>
                  </w:r>
                  <w:r>
                    <w:rPr>
                      <w:rFonts w:hint="default" w:ascii="Times New Roman" w:hAnsi="Times New Roman" w:eastAsia="宋体" w:cs="Times New Roman"/>
                      <w:i w:val="0"/>
                      <w:iCs w:val="0"/>
                      <w:color w:val="auto"/>
                      <w:kern w:val="0"/>
                      <w:sz w:val="21"/>
                      <w:szCs w:val="21"/>
                      <w:highlight w:val="none"/>
                      <w:u w:val="none"/>
                      <w:lang w:val="en-US" w:eastAsia="zh-CN" w:bidi="ar"/>
                    </w:rPr>
                    <w:t>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6</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姜黄素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苯</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铜铁试剂</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二氯甲烷</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6</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正己烷</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6</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三氯乙醛</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三聚乙醛</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水合三氯乙醛</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丙烯醛</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酚试剂</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百里酚蓝</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溴酚蓝</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钛铁试剂</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甲基橙指示剂</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依红美蓝</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二硫化碳</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对氨基二甲基苯胺盐酸盐</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对氨基苯磺酸</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苯胺</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盐酸副玫瑰苯胺</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溴甲酚绿</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甲基红</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碱性品红乙醇溶液</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碱石灰</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三甲胺水溶液</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溴代十六烷基三甲胺</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液体石蜡</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甲基异丁基丙酮</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硫代乙酰胺</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4</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甲醛试剂纯度40%</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对二甲氨基苯甲醛</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4</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四氯化碳</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4</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三乙胺纯度99%</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1,3-二苯基脲</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甲酸钠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丙烯基硫脲</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乙撑硫脲</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乙醇胺</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三乙醇胺</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弗洛里硅土</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硫酸氢钾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二水硝普酸钠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6</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柠檬酸钠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6</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酒石酸</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酒石酸锑钾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6</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酒石酸钾钠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尿素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焦磷酸钠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1"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磷酸氢二钠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聚乙烯醇磷酸铵</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4</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磷酸二氢铵</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氯乙烯</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4</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水杨酸</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水杨基荧光酮</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6</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盐酸肼</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盐酸萘乙二胺</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6</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盐酸羟胺</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铬黑T</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6</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麝香草酚</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氢氧化锆</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氢氧化钡</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4-氨基苯磺酰胺</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4-氨基安替比林</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6</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硝酸锌</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8</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硝酸钠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硝酸镧</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三氧化铬</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氧化亚锡</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石英砂</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二苯碳酰二肼</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6</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喹啉</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聚乙二醇</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靛蓝二磺酸钠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二乙酰一肟</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二乙基二硫代氨基甲酸银</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二乙基二硫代氨基甲酸钠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170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丁二酮肟</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171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吡咯二硫代氨基甲酸铵</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172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无水硫酸铝</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173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硫酸锰</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174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无水氯化钙</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4</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175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乙二胺四乙酸二钠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6</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176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硝基苯-d5</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177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五氯硝基苯</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178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1-溴-2-硝基苯</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179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二氯异氰尿酸钠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对-溴氟苯</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月桂酸</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硅镁吸附剂</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乙腈</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亚铁氰化钾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酸性铬蓝K</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四氢呋喃（色谱纯）</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十氯联苯</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十氟三苯基磷</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200</w:t>
                  </w:r>
                  <w:r>
                    <w:rPr>
                      <w:rFonts w:hint="default" w:ascii="Times New Roman" w:hAnsi="Times New Roman" w:eastAsia="宋体" w:cs="Times New Roman"/>
                      <w:i w:val="0"/>
                      <w:iCs w:val="0"/>
                      <w:color w:val="auto"/>
                      <w:kern w:val="0"/>
                      <w:sz w:val="21"/>
                      <w:szCs w:val="21"/>
                      <w:highlight w:val="none"/>
                      <w:u w:val="none"/>
                      <w:lang w:val="en-US" w:eastAsia="zh-CN" w:bidi="ar"/>
                    </w:rPr>
                    <w:t>mg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三联苯-d14</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过硫酸铵</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硅胶</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1k</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凡士林</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6</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2,2,4-三甲基戊烷</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环己二胺四乙酸</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6</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1,2-二氯乙烷-d4</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Li-辛烷磺酸</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4-氯-3-硝基三氟甲苯</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柠檬酸氢二铵</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溴化钠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硼砂</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硫酸银</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菲绕啉</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氟化钾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淀粉</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硫酸锌</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4</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亚硝基铁氰化钠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四硼酸钠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钼酸铵</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酚酞</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亚甲蓝</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无砷铅粒</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柠檬酸铵</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甲酚红</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25</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三水乙酸钠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高氯酸</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易制爆</w:t>
                  </w:r>
                </w:p>
              </w:tc>
              <w:tc>
                <w:tcPr>
                  <w:tcW w:w="1080" w:type="dxa"/>
                  <w:vMerge w:val="restart"/>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易制爆</w:t>
                  </w:r>
                  <w:r>
                    <w:rPr>
                      <w:rFonts w:hint="default" w:ascii="Times New Roman" w:hAnsi="Times New Roman" w:cs="Times New Roman"/>
                      <w:color w:val="auto"/>
                      <w:kern w:val="0"/>
                      <w:sz w:val="21"/>
                      <w:szCs w:val="21"/>
                      <w:highlight w:val="none"/>
                      <w:lang w:val="en-US" w:eastAsia="zh-CN" w:bidi="ar"/>
                    </w:rPr>
                    <w:t>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硝酸</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80</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易制爆</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硝酸钾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易制爆</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重铬酸钾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4</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易制爆</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高锰酸钾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4</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易制爆</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硼氢化钠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4</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易制爆</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硼氢化钾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4</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易制爆</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硝酸镁</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易制爆</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硝酸银</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易制爆</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叠氮化钠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易制爆</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环六亚甲基四胺</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易制爆</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锌粒</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易制爆</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甲苯</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易制毒</w:t>
                  </w:r>
                </w:p>
              </w:tc>
              <w:tc>
                <w:tcPr>
                  <w:tcW w:w="1080" w:type="dxa"/>
                  <w:vMerge w:val="restart"/>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易制毒</w:t>
                  </w:r>
                  <w:r>
                    <w:rPr>
                      <w:rFonts w:hint="default" w:ascii="Times New Roman" w:hAnsi="Times New Roman" w:cs="Times New Roman"/>
                      <w:color w:val="auto"/>
                      <w:kern w:val="0"/>
                      <w:sz w:val="21"/>
                      <w:szCs w:val="21"/>
                      <w:highlight w:val="none"/>
                      <w:lang w:val="en-US" w:eastAsia="zh-CN" w:bidi="ar"/>
                    </w:rPr>
                    <w:t>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硫酸</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80</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易制毒</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盐酸</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60</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易制毒</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230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丙酮</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易制毒</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231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乙醚</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易制毒</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232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三氯甲烷</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20</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易制毒</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233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无水乙醇</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20</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6</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易燃</w:t>
                  </w:r>
                </w:p>
              </w:tc>
              <w:tc>
                <w:tcPr>
                  <w:tcW w:w="1080" w:type="dxa"/>
                  <w:vMerge w:val="restart"/>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试剂室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234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乙酸丁酯</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易燃</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235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乙酸乙酯</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易燃</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236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正十六烷</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易燃</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237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异辛烷</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易燃</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238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甲亚胺</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w:t>
                  </w:r>
                  <w:r>
                    <w:rPr>
                      <w:rFonts w:hint="default" w:ascii="Times New Roman" w:hAnsi="Times New Roman"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易燃</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239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乙醛</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4</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易燃</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240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异戊醇</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易燃</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241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异丙醇</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4</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易燃</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242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石油醚</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易燃</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243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五氯苯酚</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剧毒</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244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氯化汞</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剧毒</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245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硫氰酸汞</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剧毒</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246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硝酸铅</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剧毒</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247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氰化物标准物质</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剧毒</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248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溴水</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剧毒</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249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亚砷酸钠溶液</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剧毒</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亚砷酸钾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剧毒</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硫酸镉</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剧毒</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乙酸铅</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剧毒</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二价钴盐</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剧毒</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硫酸汞</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剧毒</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二氯化汞</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剧毒</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磷酸</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腐蚀性</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氢氧化钠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20</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6</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腐蚀性</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氢氧化钾</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腐蚀性</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过氧化氢</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腐蚀性</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260</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冰乙酸</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10</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腐蚀性</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261</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甲酸</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腐蚀性</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262</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次氯酸钠</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腐蚀性</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263</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草酸</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w:t>
                  </w:r>
                  <w:r>
                    <w:rPr>
                      <w:rFonts w:hint="default" w:ascii="Times New Roman" w:hAnsi="Times New Roman" w:cs="Times New Roman"/>
                      <w:i w:val="0"/>
                      <w:iCs w:val="0"/>
                      <w:color w:val="auto"/>
                      <w:kern w:val="0"/>
                      <w:sz w:val="21"/>
                      <w:szCs w:val="21"/>
                      <w:highlight w:val="none"/>
                      <w:u w:val="none"/>
                      <w:lang w:val="en-US" w:eastAsia="zh-CN" w:bidi="ar"/>
                    </w:rPr>
                    <w:t>g</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腐蚀性</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264</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硼酸</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500mL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腐蚀性</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265</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氢气</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40L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易燃气体</w:t>
                  </w:r>
                </w:p>
              </w:tc>
              <w:tc>
                <w:tcPr>
                  <w:tcW w:w="1080" w:type="dxa"/>
                  <w:vMerge w:val="restart"/>
                  <w:tcBorders>
                    <w:tl2br w:val="nil"/>
                    <w:tr2bl w:val="nil"/>
                  </w:tcBorders>
                  <w:shd w:val="clear" w:color="auto" w:fill="auto"/>
                  <w:tcMar>
                    <w:top w:w="0" w:type="dxa"/>
                    <w:left w:w="51" w:type="dxa"/>
                    <w:bottom w:w="0" w:type="dxa"/>
                    <w:right w:w="51"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易燃易爆气体室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266</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乙炔</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40L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易燃气体</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267</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氮气</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40L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惰性气体</w:t>
                  </w:r>
                </w:p>
              </w:tc>
              <w:tc>
                <w:tcPr>
                  <w:tcW w:w="1080" w:type="dxa"/>
                  <w:vMerge w:val="restart"/>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惰性气体室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268</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氩气</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40L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惰性气体</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622"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269</w:t>
                  </w:r>
                </w:p>
              </w:tc>
              <w:tc>
                <w:tcPr>
                  <w:tcW w:w="1871"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氦气</w:t>
                  </w:r>
                </w:p>
              </w:tc>
              <w:tc>
                <w:tcPr>
                  <w:tcW w:w="1009"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40L</w:t>
                  </w:r>
                </w:p>
              </w:tc>
              <w:tc>
                <w:tcPr>
                  <w:tcW w:w="1183"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5</w:t>
                  </w:r>
                </w:p>
              </w:tc>
              <w:tc>
                <w:tcPr>
                  <w:tcW w:w="1321" w:type="dxa"/>
                  <w:tcBorders>
                    <w:tl2br w:val="nil"/>
                    <w:tr2bl w:val="nil"/>
                  </w:tcBorders>
                  <w:shd w:val="clear" w:color="auto" w:fill="auto"/>
                  <w:tcMar>
                    <w:top w:w="0" w:type="dxa"/>
                    <w:left w:w="51" w:type="dxa"/>
                    <w:bottom w:w="0" w:type="dxa"/>
                    <w:right w:w="51"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w:t>
                  </w:r>
                </w:p>
              </w:tc>
              <w:tc>
                <w:tcPr>
                  <w:tcW w:w="1169" w:type="dxa"/>
                  <w:tcBorders>
                    <w:tl2br w:val="nil"/>
                    <w:tr2bl w:val="nil"/>
                  </w:tcBorders>
                  <w:shd w:val="clear" w:color="auto" w:fill="auto"/>
                  <w:tcMar>
                    <w:top w:w="0" w:type="dxa"/>
                    <w:left w:w="51" w:type="dxa"/>
                    <w:bottom w:w="0" w:type="dxa"/>
                    <w:right w:w="51"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惰性气体</w:t>
                  </w:r>
                </w:p>
              </w:tc>
              <w:tc>
                <w:tcPr>
                  <w:tcW w:w="1080" w:type="dxa"/>
                  <w:vMerge w:val="continue"/>
                  <w:tcBorders>
                    <w:tl2br w:val="nil"/>
                    <w:tr2bl w:val="nil"/>
                  </w:tcBorders>
                  <w:shd w:val="clear" w:color="auto" w:fill="auto"/>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r>
          </w:tbl>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157" w:beforeLines="50" w:beforeAutospacing="0" w:after="0" w:afterAutospacing="0"/>
              <w:ind w:right="0"/>
              <w:textAlignment w:val="auto"/>
              <w:rPr>
                <w:rFonts w:hint="default" w:ascii="Times New Roman" w:hAnsi="Times New Roman" w:cs="Times New Roman"/>
                <w:color w:val="auto"/>
                <w:highlight w:val="none"/>
              </w:rPr>
            </w:pPr>
            <w:bookmarkStart w:id="37" w:name="_Ref191"/>
            <w:bookmarkStart w:id="38" w:name="_Ref5633"/>
            <w:r>
              <w:rPr>
                <w:rFonts w:hint="default" w:ascii="Times New Roman" w:hAnsi="Times New Roman" w:cs="Times New Roman"/>
                <w:color w:val="auto"/>
                <w:highlight w:val="none"/>
                <w:lang w:val="en-US" w:eastAsia="zh-CN"/>
              </w:rPr>
              <w:t>主要原辅材料成分一览表</w:t>
            </w:r>
            <w:bookmarkEnd w:id="37"/>
            <w:bookmarkEnd w:id="38"/>
          </w:p>
          <w:tbl>
            <w:tblPr>
              <w:tblStyle w:val="32"/>
              <w:tblW w:w="8252"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
            <w:tblGrid>
              <w:gridCol w:w="1088"/>
              <w:gridCol w:w="716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448" w:hRule="atLeast"/>
                <w:jc w:val="center"/>
              </w:trPr>
              <w:tc>
                <w:tcPr>
                  <w:tcW w:w="1088"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试剂名称</w:t>
                  </w:r>
                </w:p>
              </w:tc>
              <w:tc>
                <w:tcPr>
                  <w:tcW w:w="7164"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理化性质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57"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邻苯二甲酸氢钾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白色结晶。相对密度1.636。约溶于12份冷水、3份沸水；微溶于乙醇。0.05M水溶液在25℃时的pH=4.005。在295-300℃分解。</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03"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谷氨酸</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无臭，稍有特殊的滋味和酸味。呈微酸性。微溶于冷水，易溶于热水，几乎不溶于乙醚、丙酮和冷醋酸中，不溶于乙醇和甲醇。200℃升华，247～249℃分解。相对密度1.538。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氯化铵</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结晶或白色结晶性块状物或粉末。无味。吸潮结块。溶于甘油、甲醇、乙醇，不溶于丙酮、乙醚、乙酸乙酯。加热至337.8℃升华，并分解成氨和氯化氢。对黑色金属和其他金属有腐蚀性。对铜腐蚀更大。对生铁无腐蚀作用。与氯酸钾或三氟化溴发生爆炸性反应。与七氟化碘等发生剧烈反应。和氰化氢反应生成爆炸性的三氯化氮。受高热分解，放出有毒的烟气。</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26"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抗坏血酸</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白色结晶或结晶性粉末。有酸性。在潮湿空气中易被氧化而变黄色。lg该品溶于约3mL水、30mL乙醇、50mL无水乙醇、</w:t>
                  </w:r>
                  <w:r>
                    <w:rPr>
                      <w:rFonts w:hint="eastAsia"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mL甘油，不溶于乙醚、苯、三氯甲烷、石油醚、油类、脂肪。可燃；燃烧产生刺激烟雾。</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766"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甘油</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无臭的黏稠状液体。味甜。有强吸湿性。能吸收硫化氢、氢氰酸、二氧化硫。能与水、乙醇相混溶，1份该品能溶于11份乙酸乙酯、约500份乙醚，不溶于苯、二硫化碳、三氯甲烷、四氯化碳、石油醚、油类。易被脱水，失水生成双甘油和聚甘油等。氧化生成甘油醛和甘油酸等。在O℃下凝固，形成有闪光的斜方结晶。在温度150℃左右时，会发生聚合。与无水醋酸酐、高锰酸钾、强酸、腐蚀剂、脂肪胺、异氰酸酯类、氧化剂不能配伍。</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75"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磷酸二氢钾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无色柱状结晶或白色结晶性粉末。熔点96℃；在空气中稳定。溶于约4.5份水，水溶液呈酸性，pH值4.4～4.7。不溶于乙醇。在400℃失水生成偏磷酸钾。</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258"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硫化钠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水物为白色结晶，容易潮解。遇酸反应，产生硫化氢。微溶于醇，不溶于醚。水溶液呈强碱性，故又称硫化碱。溶于硫黄生成多硫化钠。工业品因含杂质常为粉红、棕红色、土黄色块。有腐蚀性，有毒。在空气中易氧化生成硫代硫酸钠。</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882"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硫酸钾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无色结晶或白色结晶性颗粒或粉末。质重而坚硬。无气味。熔点1067℃；沸点1689℃；在空气中稳定。该物质溶于8.4mL水、4mL沸水、75mL甘油，不溶于乙醇、丙酮。其水溶液呈中性，pH值约7。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碘酸钾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白色结晶或白色结晶性粉末。无臭。熔点560℃（分解）；d 3. 89。溶于12份水、3.1份沸水，溶于稀硫酸、碘化钾，不溶于乙醇。有强氧化性。与还原剂、有机物、易燃物等混合可形成爆炸性混合物，经摩擦、震动或撞击可引起燃烧或爆炸。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53"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六氯铂酸钾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密度：3.499；熔点：250°C(dec.)(lit.)；水溶性：50g/L(95ºC)；稳定性：稳定。与酸、卤间化合物、强氧化剂不相容。</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184"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硫氰酸钾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结晶。有潮解性。熔点约173℃；溶于12mL乙醇、8mL沸乙醇、0.5mL丙酮。溶于水，其水溶液呈中性。在空气中易潮解。并大量吸热而降温。低温下可得半水物结晶，-29.5～6.8℃时稳定，灼热至约430℃时变蓝，冷后又重新变为无色。加热至500℃分解，放出有毒的氰化物和硫化物烟气。</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87"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丁基黄原酸钾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丁基黄原酸钾是一种无色至淡黄色的晶体，可以溶解在水和有机溶剂中。它具有强烈的硫醇味道。它是稳定的化合物，在常温下没有明显的分解。</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26"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碳酸钾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白色颗粒或粉末。无味。熔点891℃；有很强的吸湿性，易结块。溶于1份冷水、0.7份沸水，溶液呈强碱性，pH值11.6。不溶于乙醇、乙醚。遇酸放出二氧化碳。长期暴露于空气中，易吸收二氧化碳，变为碳酸氢钾。</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铬酸钾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柠檬黄色单斜结晶。熔点975℃；溶于1.6份冷水、1.2份沸水，其溶液对酚酞、石蕊呈碱性，不溶于乙醇。强氧化剂。接触有机物有引起燃烧危险。受高热分解，放出有毒的烟气。</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20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过硫酸钾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或白色结晶。无气味。能溶于约50份水、25份40℃水，水溶液呈酸性。不溶于乙醇。在空气中逐渐分解释放出游离氧，在高温时分解更快，在100℃时全部分解。与有机物、还原剂、易燃物接触或混合时有引起燃烧爆炸的危险。急剧加热时可发生爆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37"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氯铂酸钾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棕红色晶体。溶于热水，微溶于冷水，几乎不溶于乙醇，易潮解。相对密度(d244)3.499。熔点250℃(分解)。最小中毒量(人，皮内)40mg/kg。有刺激性。在盐酸(10%)溶液中溶解。加热就会分解。</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高碘酸钾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无色结晶或白色颗粒状粉末。相对密度3.618(15℃)。熔点582℃。沸点爆炸。溶于热水、微溶于冷水。难溶于氢氧化钾溶液。不溶于乙醇。在水溶液中为强氧化剂，</w:t>
                  </w:r>
                  <w:r>
                    <w:rPr>
                      <w:rFonts w:hint="eastAsia" w:cs="Times New Roman"/>
                      <w:i w:val="0"/>
                      <w:iCs w:val="0"/>
                      <w:color w:val="auto"/>
                      <w:kern w:val="0"/>
                      <w:sz w:val="21"/>
                      <w:szCs w:val="21"/>
                      <w:highlight w:val="none"/>
                      <w:u w:val="none"/>
                      <w:lang w:val="en-US" w:eastAsia="zh-CN" w:bidi="ar"/>
                    </w:rPr>
                    <w:t>例如</w:t>
                  </w:r>
                  <w:r>
                    <w:rPr>
                      <w:rFonts w:hint="default" w:ascii="Times New Roman" w:hAnsi="Times New Roman" w:eastAsia="宋体" w:cs="Times New Roman"/>
                      <w:i w:val="0"/>
                      <w:iCs w:val="0"/>
                      <w:color w:val="auto"/>
                      <w:kern w:val="0"/>
                      <w:sz w:val="21"/>
                      <w:szCs w:val="21"/>
                      <w:highlight w:val="none"/>
                      <w:u w:val="none"/>
                      <w:lang w:val="en-US" w:eastAsia="zh-CN" w:bidi="ar"/>
                    </w:rPr>
                    <w:t>氧化锰化合物为高锰酸盐。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碳酸钙</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白色结晶性粉末。无嗅、无味。有两种结晶，一种是正交晶体文石，熔点825℃（分解），分解为氧化钙和二氧化碳。一种是六方菱面晶体方解石，熔点1339℃(10.39MPa)。几乎不溶于水，溶于酸。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816"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丙烯腈</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无色易挥发的透明液体，味甜，微臭。能溶于丙酮、苯、四氯化碳、乙醚、乙醇等有机溶剂。微溶于水，与水形成共沸混合物。相对密度</w:t>
                  </w:r>
                  <w:r>
                    <w:rPr>
                      <w:rFonts w:hint="default" w:ascii="Times New Roman" w:hAnsi="Times New Roman"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8060。冰点-83～-84℃。沸点77.3℃。闪点-5℃。折射率1.3888。黏度(25℃)0.34mPa．s。蒸气压(20℃)11, 07kPa。本品蒸气可与空气形成爆炸性混合物，爆炸极限(25℃)为3.05%～(17.0士o．5)%（体积）。纯品易自聚，特别是在缺氧或暴露在可见光情况下，更易聚合，在浓碱存在下能强烈聚合。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246"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碘化钾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或白色立方晶体。无臭，具浓苦咸味。相对密度3.12。熔点680℃。沸点1420℃。在湿空气中易潮解。遇光及空气能析出游离碘而呈黄色，在酸性水溶液中更易变黄。易溶于水，溶解时显著吸收热量，溶于乙醇、丙酮、甲醇、甘油和液氢，微溶于乙醚。碘化钾水溶液呈中性或微碱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212"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氟化钠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无色、白色立方或四方形结晶或粉末。熔点993℃；沸点1740℃；d2.78。溶于水，在水中的溶解度(g/l</w:t>
                  </w:r>
                  <w:r>
                    <w:rPr>
                      <w:rFonts w:hint="default" w:ascii="Times New Roman" w:hAnsi="Times New Roman" w:cs="Times New Roman"/>
                      <w:i w:val="0"/>
                      <w:iCs w:val="0"/>
                      <w:color w:val="auto"/>
                      <w:kern w:val="0"/>
                      <w:sz w:val="21"/>
                      <w:szCs w:val="21"/>
                      <w:highlight w:val="none"/>
                      <w:u w:val="none"/>
                      <w:lang w:val="en-US" w:eastAsia="zh-CN" w:bidi="ar"/>
                    </w:rPr>
                    <w:t>00</w:t>
                  </w:r>
                  <w:r>
                    <w:rPr>
                      <w:rFonts w:hint="default" w:ascii="Times New Roman" w:hAnsi="Times New Roman" w:eastAsia="宋体" w:cs="Times New Roman"/>
                      <w:i w:val="0"/>
                      <w:iCs w:val="0"/>
                      <w:color w:val="auto"/>
                      <w:kern w:val="0"/>
                      <w:sz w:val="21"/>
                      <w:szCs w:val="21"/>
                      <w:highlight w:val="none"/>
                      <w:u w:val="none"/>
                      <w:lang w:val="en-US" w:eastAsia="zh-CN" w:bidi="ar"/>
                    </w:rPr>
                    <w:t>mL)为：4.</w:t>
                  </w:r>
                  <w:r>
                    <w:rPr>
                      <w:rFonts w:hint="default" w:ascii="Times New Roman" w:hAnsi="Times New Roman"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(15℃)、4.3(25℃)、5.</w:t>
                  </w:r>
                  <w:r>
                    <w:rPr>
                      <w:rFonts w:hint="default" w:ascii="Times New Roman" w:hAnsi="Times New Roman"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 (100℃)。水溶液呈碱性，对玻璃有腐蚀性。不溶于乙醇。</w:t>
                  </w:r>
                  <w:r>
                    <w:rPr>
                      <w:rFonts w:hint="eastAsia" w:cs="Times New Roman"/>
                      <w:i w:val="0"/>
                      <w:iCs w:val="0"/>
                      <w:color w:val="auto"/>
                      <w:kern w:val="0"/>
                      <w:sz w:val="21"/>
                      <w:szCs w:val="21"/>
                      <w:highlight w:val="none"/>
                      <w:u w:val="none"/>
                      <w:lang w:val="en-US" w:eastAsia="zh-CN" w:bidi="ar"/>
                    </w:rPr>
                    <w:t>具有</w:t>
                  </w:r>
                  <w:r>
                    <w:rPr>
                      <w:rFonts w:hint="default" w:ascii="Times New Roman" w:hAnsi="Times New Roman" w:eastAsia="宋体" w:cs="Times New Roman"/>
                      <w:i w:val="0"/>
                      <w:iCs w:val="0"/>
                      <w:color w:val="auto"/>
                      <w:kern w:val="0"/>
                      <w:sz w:val="21"/>
                      <w:szCs w:val="21"/>
                      <w:highlight w:val="none"/>
                      <w:u w:val="none"/>
                      <w:lang w:val="en-US" w:eastAsia="zh-CN" w:bidi="ar"/>
                    </w:rPr>
                    <w:t>特殊的燃烧爆炸特性。接触酸或酸气能产生有毒气体。</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氯化钠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岩盐是钠盐矿的主要矿物之一。等轴晶系，晶体呈立方体，通常呈粒状或块状集合体。纯者无色透明或呈白色，常含机械混入物使石盐呈各种颜色，如灰色、黄色、红色、蓝色或黑褐色等。光泽、风化面呈油脂光泽。硬度2～2.5．密度2.16g</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cm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。易溶于水，味咸；导热性低；不导电，摩擦发光；吸湿性强，易潮解。石盐是分布最广的一种盐矿物，主要产于海相碳酸盐系、碎屑岩系沉积矿床和气候</w:t>
                  </w:r>
                  <w:r>
                    <w:rPr>
                      <w:rFonts w:hint="eastAsia" w:cs="Times New Roman"/>
                      <w:i w:val="0"/>
                      <w:iCs w:val="0"/>
                      <w:color w:val="auto"/>
                      <w:kern w:val="0"/>
                      <w:sz w:val="21"/>
                      <w:szCs w:val="21"/>
                      <w:highlight w:val="none"/>
                      <w:u w:val="none"/>
                      <w:lang w:val="en-US" w:eastAsia="zh-CN" w:bidi="ar"/>
                    </w:rPr>
                    <w:t>干旱</w:t>
                  </w:r>
                  <w:r>
                    <w:rPr>
                      <w:rFonts w:hint="default" w:ascii="Times New Roman" w:hAnsi="Times New Roman" w:eastAsia="宋体" w:cs="Times New Roman"/>
                      <w:i w:val="0"/>
                      <w:iCs w:val="0"/>
                      <w:color w:val="auto"/>
                      <w:kern w:val="0"/>
                      <w:sz w:val="21"/>
                      <w:szCs w:val="21"/>
                      <w:highlight w:val="none"/>
                      <w:u w:val="none"/>
                      <w:lang w:val="en-US" w:eastAsia="zh-CN" w:bidi="ar"/>
                    </w:rPr>
                    <w:t>的内陆盆地之干涸盐湖沉积物中，与石膏、硬石膏、杂卤石、光卤石、钾石盐、钙芒硝等共生。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7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溴化钾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为白色结晶粉末。无臭。有咸味，微苦。相对密度2.75；熔点730；沸点1435℃。溶于水和甘油，微溶于乙醇和乙醚。稍有吸湿性。见光易变黄。水溶液呈中性。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亚硝酸钠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或微带黄色斜方晶体或粉末。有咸味，外观类似于食盐。相对密度2.168；熔点271℃，在320℃时分解生成氧、氮、氧化氮和氧化钠。吸湿，易溶于水，水溶液稳定。微溶于甲醇、乙醇、乙醚。可从空气中吸收氧气，并形成硝酸钠。露置于空气中缓慢氧化成硝酸钠。与有机物接触易发生燃烧和爆炸，燃烧时放出有毒的氧化氮气体。</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76"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亚硫酸钠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无色单斜晶体。易溶于水，其水溶液呈碱性反应。难溶于乙醇。在空气中风化并氧化成硫酸钠。</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无水硫酸钠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白色正交双锥体结晶或结晶性粉末。有苦咸味，无臭。熔点约800℃；d2.7。有吸潮性，易在潮湿空气中吸收三分子水。能溶于水和甘油，不溶于乙醇。水溶液呈中性。33℃时溶解度最大(1</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2)，温度再高溶解度降低，100℃时溶于2.4份水。当水溶液低于32. 38℃时，则以</w:t>
                  </w:r>
                  <w:r>
                    <w:rPr>
                      <w:rFonts w:hint="eastAsia" w:cs="Times New Roman"/>
                      <w:i w:val="0"/>
                      <w:iCs w:val="0"/>
                      <w:color w:val="auto"/>
                      <w:kern w:val="0"/>
                      <w:sz w:val="21"/>
                      <w:szCs w:val="21"/>
                      <w:highlight w:val="none"/>
                      <w:u w:val="none"/>
                      <w:lang w:val="en-US" w:eastAsia="zh-CN" w:bidi="ar"/>
                    </w:rPr>
                    <w:t>无水</w:t>
                  </w:r>
                  <w:r>
                    <w:rPr>
                      <w:rFonts w:hint="default" w:ascii="Times New Roman" w:hAnsi="Times New Roman" w:eastAsia="宋体" w:cs="Times New Roman"/>
                      <w:i w:val="0"/>
                      <w:iCs w:val="0"/>
                      <w:color w:val="auto"/>
                      <w:kern w:val="0"/>
                      <w:sz w:val="21"/>
                      <w:szCs w:val="21"/>
                      <w:highlight w:val="none"/>
                      <w:u w:val="none"/>
                      <w:lang w:val="en-US" w:eastAsia="zh-CN" w:bidi="ar"/>
                    </w:rPr>
                    <w:t>物结晶析出，高于32. 38℃时开始以无水硫酸钠结晶析出。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硫代硫酸钠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单斜晶系结晶。无臭，有清凉带苦的味道。相对密度1.729(17℃)。熔点40～45℃。加热至100℃失去5个结晶水。易溶于水，水溶液近中性。溶于松节油及氨。不溶于醇。潮湿空气中有潮解性。在33℃以上的干燥空气中易风化。具有还原性，能溶解卤素及银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偏重亚硫酸钠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或微黄色结晶粉末，相对密度1.4。不稳定，加热至150℃以上即分解出二氧化硫，溶于水和甘油，不溶于乙醇。能吸收空气中的氧气而氧化成硫酸钠。强还原剂，与碱作用生成亚硫酸钠，与酸作用放出二氧化硫。</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二氧化钛</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无定形粉末。自然界存在的二氧化钛有三种变体：金红石为四方晶体；锐钛矿为四方晶体；板钛矿为正交晶体。微热呈黄色，强热呈棕色。不溶于水、盐酸或硝酸或稀硫酸及有机溶剂，溶于浓硫酸、氢氟酸，微溶于碱和热硝酸。长时间煮沸才能溶于浓硫酸和氢氟酸。与熔融的氢氧化钠作用生成钛酸盐。在高温下，可被氢、碳、金属钠等还原为低价钛化物，与二硫化碳作用生成二硫化钛。二氧化钛的折射率，在白色颜料中最大，金红石型为8.70</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锐钛型为2.55。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无水碳酸钠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白色粉末。熔点851℃；碳酸钠在空气中极容易吸水潮解。400℃时开始分解出二氧化碳。室温下能溶于3.5份水、2.2份35℃水，溶于甘油，不溶于乙醇。其水溶液呈强碱性，pH值11.6。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碳酸氢钠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白色单斜结晶或结晶性粉末。溶于水，25℃时溶于10份水．18℃时溶于12份水。溶液呈弱碱性，25℃．0.</w:t>
                  </w:r>
                  <w:r>
                    <w:rPr>
                      <w:rFonts w:hint="default" w:ascii="Times New Roman" w:hAnsi="Times New Roman"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mol水溶液pH值8.3。微溶于乙醇。遇酸则剧烈分解。50℃时开始失去二氧化碳，100℃变为Na</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C0</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硫酸铵</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无色结晶或半透明正交结晶或白色颗粒。易溶于水，不溶于乙醇、丙酮。加热至28℃时分解为氨和硫酸。相对密度1. 77。0.Imol/L水溶液pH值5.5。与次氯酸钠反应生成爆炸性的三氯化氮。受高热分解，放出有毒的烟气。在水中的溶解度为(g/loog H20)：70.6(0℃)；76.7(25℃)；103.8(100℃)。本品不燃，</w:t>
                  </w:r>
                  <w:r>
                    <w:rPr>
                      <w:rFonts w:hint="eastAsia" w:cs="Times New Roman"/>
                      <w:i w:val="0"/>
                      <w:iCs w:val="0"/>
                      <w:color w:val="auto"/>
                      <w:kern w:val="0"/>
                      <w:sz w:val="21"/>
                      <w:szCs w:val="21"/>
                      <w:highlight w:val="none"/>
                      <w:u w:val="none"/>
                      <w:lang w:val="en-US" w:eastAsia="zh-CN" w:bidi="ar"/>
                    </w:rPr>
                    <w:t>具有</w:t>
                  </w:r>
                  <w:r>
                    <w:rPr>
                      <w:rFonts w:hint="default" w:ascii="Times New Roman" w:hAnsi="Times New Roman" w:eastAsia="宋体" w:cs="Times New Roman"/>
                      <w:i w:val="0"/>
                      <w:iCs w:val="0"/>
                      <w:color w:val="auto"/>
                      <w:kern w:val="0"/>
                      <w:sz w:val="21"/>
                      <w:szCs w:val="21"/>
                      <w:highlight w:val="none"/>
                      <w:u w:val="none"/>
                      <w:lang w:val="en-US" w:eastAsia="zh-CN" w:bidi="ar"/>
                    </w:rPr>
                    <w:t>刺激性。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氨水</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无色透明液体，具有氨的特殊气味，呈强碱性。比水轻，常温下饱和氨水含氨量为25%～27%</w:t>
                  </w: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25℃时密度为0.90g/mL。能与醇、醚相混溶，遇酸剧烈反应放热生成盐。当热至沸腾时，氨气可全部从溶液中</w:t>
                  </w:r>
                  <w:r>
                    <w:rPr>
                      <w:rFonts w:hint="eastAsia" w:cs="Times New Roman"/>
                      <w:i w:val="0"/>
                      <w:iCs w:val="0"/>
                      <w:color w:val="auto"/>
                      <w:kern w:val="0"/>
                      <w:sz w:val="21"/>
                      <w:szCs w:val="21"/>
                      <w:highlight w:val="none"/>
                      <w:u w:val="none"/>
                      <w:lang w:val="en-US" w:eastAsia="zh-CN" w:bidi="ar"/>
                    </w:rPr>
                    <w:t>溢出</w:t>
                  </w:r>
                  <w:r>
                    <w:rPr>
                      <w:rFonts w:hint="default" w:ascii="Times New Roman" w:hAnsi="Times New Roman" w:eastAsia="宋体" w:cs="Times New Roman"/>
                      <w:i w:val="0"/>
                      <w:iCs w:val="0"/>
                      <w:color w:val="auto"/>
                      <w:kern w:val="0"/>
                      <w:sz w:val="21"/>
                      <w:szCs w:val="21"/>
                      <w:highlight w:val="none"/>
                      <w:u w:val="none"/>
                      <w:lang w:val="en-US" w:eastAsia="zh-CN" w:bidi="ar"/>
                    </w:rPr>
                    <w:t>。氨与空气的混合物有爆炸的危险性。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硝酸镁（易制爆）</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结晶性粉末，具有吸湿性。在潮湿的空气中，硝酸镁能快速与水反应，形成六水合硝酸镁。硝酸镁易溶于水、甲醇、乙醇和液氨，水溶液呈中性。相对密度为1.464，熔点约为95℃。硝酸镁具有氧化性，与易燃有机物混合能发热燃烧，具有火灾及爆炸危险。此外，硝酸镁还具有刺激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氨基磺酸</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无味晶体。沸点205℃（开始分解）。不挥发，不吸湿，可燃。溶于水，微溶于有机溶剂。在水溶液中能水解，氨基磺酸的水溶液具有与盐酸、硫酸等同等的酸性。在常温干燥的环境中，氨基磺酸比较稳定，只要保持不与水接触，固体的不吸湿。在高温时分解，放出氮、硫的氧化物等毒性气体。氨基磺酸及其盐类与多种金属化合物都能生成可溶性盐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乙二胺四乙酸二钠盐</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白色结晶性粉末。溶于水，溶液</w:t>
                  </w:r>
                  <w:r>
                    <w:rPr>
                      <w:rFonts w:hint="eastAsia" w:cs="Times New Roman"/>
                      <w:i w:val="0"/>
                      <w:iCs w:val="0"/>
                      <w:color w:val="auto"/>
                      <w:kern w:val="0"/>
                      <w:sz w:val="21"/>
                      <w:szCs w:val="21"/>
                      <w:highlight w:val="none"/>
                      <w:u w:val="none"/>
                      <w:lang w:val="en-US" w:eastAsia="zh-CN" w:bidi="ar"/>
                    </w:rPr>
                    <w:t>呈酸性</w:t>
                  </w:r>
                  <w:r>
                    <w:rPr>
                      <w:rFonts w:hint="default" w:ascii="Times New Roman" w:hAnsi="Times New Roman" w:eastAsia="宋体" w:cs="Times New Roman"/>
                      <w:i w:val="0"/>
                      <w:iCs w:val="0"/>
                      <w:color w:val="auto"/>
                      <w:kern w:val="0"/>
                      <w:sz w:val="21"/>
                      <w:szCs w:val="21"/>
                      <w:highlight w:val="none"/>
                      <w:u w:val="none"/>
                      <w:lang w:val="en-US" w:eastAsia="zh-CN" w:bidi="ar"/>
                    </w:rPr>
                    <w:t>。微溶于醇；pH值约5.3。受高热分解产生有毒的腐蚀性烟气。</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25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硝酸银（易制爆）</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无色透明块状结晶或白色结晶。相对密度为4.352 (19℃)；熔点212℃。有毒且具腐蚀性。溶于水、乙醇、氨水，微溶于醚、甘油。在纯净干燥空气中稳定，加热至450℃时，便分解成银、二氧化氮和氧。与水或乙醇的溶液呈中性反应。具有感光性。无机氧化剂。遇可燃物着火时，能助长火势。</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154"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试银灵（对二甲氨基亚芐基罗丹宁）</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红色余十状结晶。溶于强酸 呈黄色。微溶于氯仿、乙醚、苯、沸腾的</w:t>
                  </w:r>
                  <w:r>
                    <w:rPr>
                      <w:rFonts w:hint="eastAsia" w:cs="Times New Roman"/>
                      <w:i w:val="0"/>
                      <w:iCs w:val="0"/>
                      <w:color w:val="auto"/>
                      <w:kern w:val="0"/>
                      <w:sz w:val="21"/>
                      <w:szCs w:val="21"/>
                      <w:highlight w:val="none"/>
                      <w:u w:val="none"/>
                      <w:lang w:val="en-US" w:eastAsia="zh-CN" w:bidi="ar"/>
                    </w:rPr>
                    <w:t>乙醚</w:t>
                  </w:r>
                  <w:r>
                    <w:rPr>
                      <w:rFonts w:hint="default" w:ascii="Times New Roman" w:hAnsi="Times New Roman" w:eastAsia="宋体" w:cs="Times New Roman"/>
                      <w:i w:val="0"/>
                      <w:iCs w:val="0"/>
                      <w:color w:val="auto"/>
                      <w:kern w:val="0"/>
                      <w:sz w:val="21"/>
                      <w:szCs w:val="21"/>
                      <w:highlight w:val="none"/>
                      <w:u w:val="none"/>
                      <w:lang w:val="en-US" w:eastAsia="zh-CN" w:bidi="ar"/>
                    </w:rPr>
                    <w:t>。不溶于水。在酸性溶液中，与汞、亚汞、银、金、亚铜、把产生红至紫色胶状沉淀。由双硫氰酸与4一二甲苯甲醛溶于蜡酸加热至沸进行反应，或溶于乙醇硫酸</w:t>
                  </w:r>
                  <w:r>
                    <w:rPr>
                      <w:rFonts w:hint="eastAsia" w:cs="Times New Roman"/>
                      <w:i w:val="0"/>
                      <w:iCs w:val="0"/>
                      <w:color w:val="auto"/>
                      <w:kern w:val="0"/>
                      <w:sz w:val="21"/>
                      <w:szCs w:val="21"/>
                      <w:highlight w:val="none"/>
                      <w:u w:val="none"/>
                      <w:lang w:val="en-US" w:eastAsia="zh-CN" w:bidi="ar"/>
                    </w:rPr>
                    <w:t>混合</w:t>
                  </w:r>
                  <w:r>
                    <w:rPr>
                      <w:rFonts w:hint="default" w:ascii="Times New Roman" w:hAnsi="Times New Roman" w:eastAsia="宋体" w:cs="Times New Roman"/>
                      <w:i w:val="0"/>
                      <w:iCs w:val="0"/>
                      <w:color w:val="auto"/>
                      <w:kern w:val="0"/>
                      <w:sz w:val="21"/>
                      <w:szCs w:val="21"/>
                      <w:highlight w:val="none"/>
                      <w:u w:val="none"/>
                      <w:lang w:val="en-US" w:eastAsia="zh-CN" w:bidi="ar"/>
                    </w:rPr>
                    <w:t>溶液，在水浴上加热制取。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氯胺T</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化学性质棱柱状结晶，溶于水，实际上不溶于苯、氯仿和乙醚。在乙醇中分解。无确定熔点，于175-180℃剧烈分解（爆炸）。稍带氯气味，在干燥空气中逐渐失去水分，露置空气中渐渐分解而析出氯。</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异烟酸</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水中结晶者为白色无味结晶。熔点305～307℃。260℃(2kPa)升华。微溶于水，在20℃饱和水溶液的pH值为3.6。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吡唑啉酮</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白色粉末或结晶。溶于水，微溶于乙醇或苯，难溶于冷水、石油醚、乙醚。沸点287℃。熔点129～130℃。蒸气压(20℃)&lt;1.33Pa。折射率1.637。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巴比妥酸</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白色结晶性粉末。熔点245℃，280℃脱水分解。易溶于热水和醚，难溶于冷水和醇。与金属反应生成盐。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吡啶</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液体。有不愉快的刺激性气味。能与水、乙醇、三氯甲烷、石油醚、乙醚、油类等多种有机溶剂相混溶，是许多有机化合物的优良溶剂。其蒸气与空气形成爆炸性混合物，遇明火、高热能引起燃烧爆炸。与氧化剂能发生强烈反应。若遇高热，容器内压增大，有开裂和爆炸的危险。强酸能引发剧烈溅射。</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硫酸亚铁</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蓝绿色单斜晶系结晶或颗粒，无气味。相对密度1.898。熔点64℃。溶于水(50℃时48. 6g/l</w:t>
                  </w:r>
                  <w:r>
                    <w:rPr>
                      <w:rFonts w:hint="default" w:ascii="Times New Roman" w:hAnsi="Times New Roman" w:cs="Times New Roman"/>
                      <w:i w:val="0"/>
                      <w:iCs w:val="0"/>
                      <w:color w:val="auto"/>
                      <w:kern w:val="0"/>
                      <w:sz w:val="21"/>
                      <w:szCs w:val="21"/>
                      <w:highlight w:val="none"/>
                      <w:u w:val="none"/>
                      <w:lang w:val="en-US" w:eastAsia="zh-CN" w:bidi="ar"/>
                    </w:rPr>
                    <w:t>00</w:t>
                  </w:r>
                  <w:r>
                    <w:rPr>
                      <w:rFonts w:hint="default" w:ascii="Times New Roman" w:hAnsi="Times New Roman" w:eastAsia="宋体" w:cs="Times New Roman"/>
                      <w:i w:val="0"/>
                      <w:iCs w:val="0"/>
                      <w:color w:val="auto"/>
                      <w:kern w:val="0"/>
                      <w:sz w:val="21"/>
                      <w:szCs w:val="21"/>
                      <w:highlight w:val="none"/>
                      <w:u w:val="none"/>
                      <w:lang w:val="en-US" w:eastAsia="zh-CN" w:bidi="ar"/>
                    </w:rPr>
                    <w:t>mL水)．微溶于醇，溶于无水甲醇。64～90℃时失去6个结晶水，加热到300℃时失去全部结晶水而成无水物。红热时分解生成三氧化二铁并放出二氧化硫、三氧化硫。有腐蚀性，在干燥空气中会风化。易被潮湿空气氧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硫酸亚铁铵</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浅蓝绿色单斜结晶或结晶性粉末。在空气中能逐渐被氧化和风化。约100～110℃分解。溶于水，不溶于乙醇。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七水硫酸亚铁</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蓝绿色单斜结晶或颗粒，无臭无味。相对密度1.89，熔点为64℃。溶于水，微溶于醇，溶于无水甲醇。温度到56.6℃时，失去3个分子结晶水；65～90℃时变为一水合物；300℃时变为白色粉末的无水物；温度至480℃时开始分解。</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苯酚</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无色针状结晶或白色结晶。有特殊臭味，极稀的溶液具有甜味。不纯品在光和空气作用下变为淡红或红色，遇碱变色更快。闪点79.44℃（闭杯）．85℃（开杯），自燃点715℃，</w:t>
                  </w:r>
                  <w:r>
                    <w:rPr>
                      <w:rFonts w:hint="eastAsia" w:cs="Times New Roman"/>
                      <w:i w:val="0"/>
                      <w:iCs w:val="0"/>
                      <w:color w:val="auto"/>
                      <w:kern w:val="0"/>
                      <w:sz w:val="21"/>
                      <w:szCs w:val="21"/>
                      <w:highlight w:val="none"/>
                      <w:u w:val="none"/>
                      <w:lang w:val="en-US" w:eastAsia="zh-CN" w:bidi="ar"/>
                    </w:rPr>
                    <w:t>蒸</w:t>
                  </w:r>
                  <w:r>
                    <w:rPr>
                      <w:rFonts w:hint="default" w:ascii="Times New Roman" w:hAnsi="Times New Roman" w:eastAsia="宋体" w:cs="Times New Roman"/>
                      <w:i w:val="0"/>
                      <w:iCs w:val="0"/>
                      <w:color w:val="auto"/>
                      <w:kern w:val="0"/>
                      <w:sz w:val="21"/>
                      <w:szCs w:val="21"/>
                      <w:highlight w:val="none"/>
                      <w:u w:val="none"/>
                      <w:lang w:val="en-US" w:eastAsia="zh-CN" w:bidi="ar"/>
                    </w:rPr>
                    <w:t>气与空气混合物燃烧极限1</w:t>
                  </w: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7%～8.6%。可燃，腐蚀力强。有毒。1g苯酚溶于约15mL水（0.67%，25℃加热后可以任何比例溶解）、12mL苯。易溶于乙醇、乙醚、氯仿、甘油、二硫化碳、凡士林、挥发油、固定油、强碱水溶液。几乎不溶于石油醚。水溶液pH值约为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474"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五氯苯酚（剧毒）</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或淡黄色针状结晶，有特殊气味。易溶于水、在水中溶解度为26.1%。溶于乙醇、甲醇、丙酮，微溶于四氯化碳和二硫化碳，不溶于石油和苯，水溶液呈弱碱性，加酸酸化至pH值6.8～6.6时，全部析出为五氯酚。常温下不易挥发。光照下迅速分解，脱出氯化氢，颜色变深受日光照射时易分解，干燥时性质稳定，受高热分解，放出腐蚀性、刺激性的烟雾。</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对氯苯酚</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无色针状结晶，具有令人不愉快的臭味。熔点42～43℃。沸点217℃。折射率1.5571(40℃)。相对密度1.2278。微溶于水，易溶于苯、乙醇、乙醚、甘油及苛性碱液。</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对硝基苯酚</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浅黄色结晶，无味。常温下微溶于水(1.6%，250℃)。易溶于乙醇，氯酚，乙醚。溶于苛性碱和碱金属的碳酸盐溶液中而呈黄色。易燃，遇明火、高热或与氧化剂接触，有引起燃烧爆炸的危险。受热分解放出有毒的氧化氨烟气。</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对硝基酚</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橙黄色晶体。溶于水及一般有机溶剂，在36℃以下形成含4个结晶水的淡黄色单斜晶体，在36℃以上形成2个结晶水的晶体，两者在120℃时失水，成红色的不含结晶水的固体。</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4-安基斯替比林</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一种白色结晶粉末，可溶于水和有机溶剂。它作为一种β2-肾上腺素能受体激动剂，能够刺激肾上腺素能受体，促进支气管平滑肌的松弛，从而减少支气管痉挛和炎症反应。</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安替比林</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无色晶体或白色结晶性粉末。无臭，有微苦味。溶于苯、乙醇、水、氯仿，略溶于醚。</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硅酸镁</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合成的硅酸镁，其组成可有所不同，但氧化镁(MgO)和二氧化硅(SiO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)的摩尔比平均为2</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5。白色细粉，无臭，无味，无沙砾感。略有吸湿性。易受无机酸分解。10%混悬液的pH值为7.0～10.8。不溶于水和乙醇。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76"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支链烷基苯磺酸钠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它的性质是白色或浅黄色颗粒状固体，可溶于水。具有良好的表面活性性质和乳化、分散能力。</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41"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水磷酸二氢钠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无色结晶或白色结晶性粉末；无臭，味咸。微有潮解性。易溶水中，几乎不溶于乙醇中。100℃失去水。其水溶液呈酸性。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8"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N,N二甲基对苯二胺盐酸</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盐酸对苯二胺是一种白色结晶固体。溶解性：盐酸对苯二胺可在水中溶解，产生酸性溶液。热稳定性：它在高温条件下能稳定存在。燃烧性：盐酸对苯二胺在加热或点燃时能燃烧。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75"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硫酸铁铵</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浅灰紫色结晶。熔点约37℃；相对密度1.71。易风化，易溶于水，不溶于乙醇。0.</w:t>
                  </w:r>
                  <w:r>
                    <w:rPr>
                      <w:rFonts w:hint="default" w:ascii="Times New Roman" w:hAnsi="Times New Roman"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mol．L-1水溶液pH值2.5。加热至230℃脱去结晶水成为无水物。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63"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乙酸锌</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乙酸锌常见的形式是白色结晶固体，可溶于水。乙酸锌在常温下是相对稳定的，但在高温下会分解产生乙酸和氧化锌。</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2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乙酸铵</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稍有乙酸气味的白色三角晶体。溶于水和乙醇，不溶于丙酮，水溶液显中性。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53"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乙酸钙</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白色结晶或结晶性粉末，无臭，有乙酸味。易溶于水，微溶于乙醇。极易吸湿。加热至160℃分解成丙酮和碳酸钙。</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52"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乙酸钠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白色粉末。有吸湿性。易溶于水，稍溶于乙醇、乙醚。大鼠经口LD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50</w:t>
                  </w:r>
                  <w:r>
                    <w:rPr>
                      <w:rFonts w:hint="eastAsia" w:cs="Times New Roman"/>
                      <w:i w:val="0"/>
                      <w:iCs w:val="0"/>
                      <w:color w:val="auto"/>
                      <w:kern w:val="0"/>
                      <w:sz w:val="21"/>
                      <w:szCs w:val="21"/>
                      <w:highlight w:val="none"/>
                      <w:u w:val="none"/>
                      <w:vertAlign w:val="subscript"/>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3530mg/kg。</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氯化锌</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白色结晶性粉末。相对密度2.911，熔点100℃，沸点732℃。极易潮解，极易溶于水、乙醇、乙醚等溶剂，也易溶于脂肪胺、吡啶、苯胺等含氮溶剂，不溶于液氨和酮。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七水合硫酸镁</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无色四角柱状结晶或粒状结晶。味咸而微苦。47℃以下较稳定。干燥空气中易风化，失去1个结晶水</w:t>
                  </w: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70～80℃时失去4个结晶水</w:t>
                  </w: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100℃时失去5个结晶水，120℃时失掉6个结晶水，若暴露在潮湿的空气中则又迅速吸收水。约250℃成为无水物。易溶于水(20℃：7lg/</w:t>
                  </w:r>
                  <w:r>
                    <w:rPr>
                      <w:rFonts w:hint="default" w:ascii="Times New Roman" w:hAnsi="Times New Roman"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mL</w:t>
                  </w: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40℃：91g/</w:t>
                  </w:r>
                  <w:r>
                    <w:rPr>
                      <w:rFonts w:hint="default" w:ascii="Times New Roman" w:hAnsi="Times New Roman"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mL)，溶液呈中性，pH为6～7。微溶于乙醇。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PrEx>
              <w:trPr>
                <w:trHeight w:val="1212"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五水合硫代硫酸钠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无色透明单斜晶体。熔点48℃；相对密度1</w:t>
                  </w: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69。易溶于水，溶解时吸热，不溶于乙醇。在潮湿空气中有潮解性。在33℃以上的空气中易风化。可被空气氧化，具有还原性。能溶解卤化银。加热至100℃则失去5个结晶水，灼烧则分解为硫化钠和硫酸钠。</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PrEx>
              <w:trPr>
                <w:trHeight w:val="127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五水硫代硫酸钠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单斜晶体。熔点48℃；相对密度1.69。易溶于水，溶解时吸热，不溶于乙醇。在潮湿空气中有潮解性。在33℃以上的空气中易风化。可被空气氧化，具有还原性。能溶解卤化银。加热至100℃则失去5个结晶水，灼烧则分解为硫化钠和硫酸钠。</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五水合硫酸铜</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蓝色结晶或蓝色结晶粉末。易溶于水，不溶于醇类。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PrEx>
              <w:trPr>
                <w:trHeight w:val="1496"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二水合氯化亚锡</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或无色结晶。无臭或稍带盐酸臭味。有无水物和二水物两种。熔点246.8℃；沸点652℃。极易溶于水，中性水溶液易水解生成沉淀，酸性溶液有强还原性。与碱作用生成水和氧化物沉淀，碱过量则生成溶解的亚锡酸盐。溶于乙醇和冰醋酸。极易溶于稀盐酸。可从空气中吸收氧，形成不溶性的氯氧化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PrEx>
              <w:trPr>
                <w:trHeight w:val="9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氯化亚锡</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发烟液体或无色立方结晶。熔点-33℃。沸点114.1℃。液体相对密度2.226。溶于冷水并放出大量的热，溶于乙醇、乙醚、苯、甲苯、四氯化碳、二硫化碳等。遇H发泡剂立即燃烧。与碱性物质混合能引起爆炸。遇热水则分解。在湿空气中吸水生成为三水物，放出热和近似白色烟雾状有刺激性和腐蚀性的氯化氢气体。进一步加水，生成5、8、9等不同数量的结晶水的化合物。无水氯化锡在低温下能吸收大量的氯气，同时体积形成膨胀和冰点下降；能与氨反应生成复盐；与碱金属作用生成锡酸盐。与醇、醚、醛、酮、羧酸、酯类等有机物能发生加成反应。有强腐蚀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二水合钼酸钠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钼酸钠二水合物为白色结晶固体。可在水中溶解，不溶于醇和乙醚。</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032"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二水合氯化钡</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无色结晶或白色颗粒或粉末。熔点963℃；微有吸湿性。易溶于水，溶于甲醇和甘油，几乎不溶于乙醇、乙酸乙酯、丙酮。受热分解有毒氯化物和钡氧化物烟雾。</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52"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一水合柠檬酸</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白色结晶颗粒或粉末。有潮解性。1g该品溶于0.65mL水，能缓慢地溶于2.5mL甘油，不溶于乙醇。其水溶液对石蕊呈碱性．pH值约8.5。180℃失去结晶水。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738"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甲基红钠盐</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甲基红钠盐为深红色结晶粉末，可溶于水和醇类溶剂。它在酸性条件下呈现鲜红色，而在碱性条件下则变为黄色。甲基红钠盐无论是固体还是溶液，都属于一种低毒物质。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535"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硫酸铝钾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无色透明结晶或白色结晶性粉末。味微甜而涩。熔点92.5℃；相对密度1.725。易溶于水（</w:t>
                  </w:r>
                  <w:r>
                    <w:rPr>
                      <w:rFonts w:hint="default" w:ascii="Times New Roman" w:hAnsi="Times New Roman"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g溶于7.2mL冷水，0.3mL沸水）、甘油，溶液呈酸性。溶于稀酸，不溶于乙醇、丙酮。常温下稳定，当在温度60～65℃，长期接触空气易风化，失去结晶水。加热至200℃以上因失去结晶水而成为无水物。更高的温度则放出S</w:t>
                  </w:r>
                  <w:r>
                    <w:rPr>
                      <w:rFonts w:hint="eastAsia" w:cs="Times New Roman"/>
                      <w:i w:val="0"/>
                      <w:iCs w:val="0"/>
                      <w:color w:val="auto"/>
                      <w:kern w:val="0"/>
                      <w:sz w:val="21"/>
                      <w:szCs w:val="21"/>
                      <w:highlight w:val="none"/>
                      <w:u w:val="none"/>
                      <w:lang w:val="en-US" w:eastAsia="zh-CN" w:bidi="ar"/>
                    </w:rPr>
                    <w:t>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，在空气中可风化成不透明状，可缓慢溶于甘油，几乎不溶于乙醇。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735"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柠檬酸三钠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无色结晶或白色结晶性粉末；无臭；在湿空气中微有潮解性，在热空气中有风化性。本品在水中易溶，在乙醇中不溶。</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氯化钙</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立方结晶。一般工业产品为白色或灰白色多孔块状或粒状、蜂窝状。无臭、味微苦。相对密度2.15。熔点782℃。沸点1600℃以上。吸湿性极强，暴露于空气中极易潮解。易溶于水，同时放出大量的热，其水溶液呈微酸性。溶于醇、丙酮、醋酸。与氨或乙醇作用，分别生成CaCl</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·8NH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和CaCl</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·4C</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H</w:t>
                  </w:r>
                  <w:r>
                    <w:rPr>
                      <w:rFonts w:hint="default" w:ascii="Times New Roman" w:hAnsi="Times New Roman"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OH络合物。在常温下由水溶液结晶而析出的常为六水物，逐渐加热至30℃时则溶解。在自身的结晶水中，继续加热逐渐失水，至200℃时变为二水物，再加热至260℃则变为白色多孔状的无水氯化钙。</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二氮杂菲</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邻二氮菲固体呈白色晶体，溶于水形成浅黄至黄色溶液。用水重结晶时，含一分子结晶水。熔点91.5℃(102℃)。用苯重结晶时，不含结晶水，熔点98~100℃(117℃)。沸点360℃以上。溶于乙醇、苯、丙酮，不溶于</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"https://baike.so.com/doc/721112-763466.html"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石油醚</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。与铁、铜、钴、镍和2,2′-联</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"https://baike.so.com/doc/436355-7116070.html"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吡啶</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形成配合物，与Fe</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形成红色配合物，用高锰酸钾氧化得2,2′-二吡啶基-3,3′-二羧酸。可用作铜、铁的定量比色试剂，又可作为用</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"https://baike.so.com/doc/5838411-6051242.html"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硫酸铈</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滴定</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"https://baike.so.com/doc/1671389-1767153.html"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铁盐</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的;还可用作动物性纤维的染料。</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88"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六水氯化钴</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红色或紫红色单斜结晶。有潮解性。溶于水、甘油、乙醇、丙酮、乙醚。熔点87℃；其水溶液加热或加浓盐酸、氯化物或有机溶剂变为蓝色。将水溶液沸腾，再加入氨水就会生成氯化</w:t>
                  </w:r>
                  <w:r>
                    <w:rPr>
                      <w:rFonts w:hint="default" w:ascii="Times New Roman" w:hAnsi="Times New Roman" w:cs="Times New Roman"/>
                      <w:color w:val="auto"/>
                      <w:kern w:val="0"/>
                      <w:sz w:val="21"/>
                      <w:szCs w:val="21"/>
                      <w:highlight w:val="none"/>
                      <w:lang w:val="en-US" w:eastAsia="zh-CN" w:bidi="ar"/>
                    </w:rPr>
                    <w:t>钴</w:t>
                  </w:r>
                  <w:r>
                    <w:rPr>
                      <w:rFonts w:hint="default" w:ascii="Times New Roman" w:hAnsi="Times New Roman" w:eastAsia="宋体" w:cs="Times New Roman"/>
                      <w:i w:val="0"/>
                      <w:iCs w:val="0"/>
                      <w:color w:val="auto"/>
                      <w:kern w:val="0"/>
                      <w:sz w:val="21"/>
                      <w:szCs w:val="21"/>
                      <w:highlight w:val="none"/>
                      <w:u w:val="none"/>
                      <w:lang w:val="en-US" w:eastAsia="zh-CN" w:bidi="ar"/>
                    </w:rPr>
                    <w:t>的碱式盐。溶液遇光也呈蓝色。在30～35℃结晶开始风化并浊化，在45～50℃下加热4h几乎完全变成四水氯化钴。52～56℃下加热失去4个结晶水成为二水物，加热至120～140℃时完全失去6个结晶水变成无水氯化钴。本品不燃，有毒，具刺激性，具致敏性。</w:t>
                  </w:r>
                  <w:r>
                    <w:rPr>
                      <w:rFonts w:hint="eastAsia" w:cs="Times New Roman"/>
                      <w:i w:val="0"/>
                      <w:iCs w:val="0"/>
                      <w:color w:val="auto"/>
                      <w:kern w:val="0"/>
                      <w:sz w:val="21"/>
                      <w:szCs w:val="21"/>
                      <w:highlight w:val="none"/>
                      <w:u w:val="none"/>
                      <w:lang w:val="en-US" w:eastAsia="zh-CN" w:bidi="ar"/>
                    </w:rPr>
                    <w:t>具有</w:t>
                  </w:r>
                  <w:r>
                    <w:rPr>
                      <w:rFonts w:hint="default" w:ascii="Times New Roman" w:hAnsi="Times New Roman" w:eastAsia="宋体" w:cs="Times New Roman"/>
                      <w:i w:val="0"/>
                      <w:iCs w:val="0"/>
                      <w:color w:val="auto"/>
                      <w:kern w:val="0"/>
                      <w:sz w:val="21"/>
                      <w:szCs w:val="21"/>
                      <w:highlight w:val="none"/>
                      <w:u w:val="none"/>
                      <w:lang w:val="en-US" w:eastAsia="zh-CN" w:bidi="ar"/>
                    </w:rPr>
                    <w:t>特殊的燃烧爆炸特性。受高热分解产生有毒的腐蚀性烟气。</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788"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硫酸肼</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无色鳞状结晶或斜方晶系结晶。无味。相对密度1.37。熔点254℃。微溶于冷水，易溶于热水，水溶液呈酸性。不溶于醇。空气中稳定，吸湿性弱。有强还原性，避免和碱类、氧化剂接触。</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816"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硅藻土</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由无定形的Si</w:t>
                  </w:r>
                  <w:r>
                    <w:rPr>
                      <w:rFonts w:hint="default" w:ascii="Times New Roman" w:hAnsi="Times New Roman" w:cs="Times New Roman"/>
                      <w:i w:val="0"/>
                      <w:iCs w:val="0"/>
                      <w:color w:val="auto"/>
                      <w:kern w:val="0"/>
                      <w:sz w:val="21"/>
                      <w:szCs w:val="21"/>
                      <w:highlight w:val="none"/>
                      <w:u w:val="none"/>
                      <w:lang w:val="en-US" w:eastAsia="zh-CN" w:bidi="ar"/>
                    </w:rPr>
                    <w:t>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组成，并含有少量Fe</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cs="Times New Roman"/>
                      <w:i w:val="0"/>
                      <w:iCs w:val="0"/>
                      <w:color w:val="auto"/>
                      <w:kern w:val="0"/>
                      <w:sz w:val="21"/>
                      <w:szCs w:val="21"/>
                      <w:highlight w:val="none"/>
                      <w:u w:val="none"/>
                      <w:lang w:val="en-US" w:eastAsia="zh-CN" w:bidi="ar"/>
                    </w:rPr>
                    <w:t>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、Ca</w:t>
                  </w:r>
                  <w:r>
                    <w:rPr>
                      <w:rFonts w:hint="default" w:ascii="Times New Roman" w:hAnsi="Times New Roman" w:cs="Times New Roman"/>
                      <w:i w:val="0"/>
                      <w:iCs w:val="0"/>
                      <w:color w:val="auto"/>
                      <w:kern w:val="0"/>
                      <w:sz w:val="21"/>
                      <w:szCs w:val="21"/>
                      <w:highlight w:val="none"/>
                      <w:u w:val="none"/>
                      <w:lang w:val="en-US" w:eastAsia="zh-CN" w:bidi="ar"/>
                    </w:rPr>
                    <w:t>O</w:t>
                  </w:r>
                  <w:r>
                    <w:rPr>
                      <w:rFonts w:hint="default" w:ascii="Times New Roman" w:hAnsi="Times New Roman" w:eastAsia="宋体" w:cs="Times New Roman"/>
                      <w:i w:val="0"/>
                      <w:iCs w:val="0"/>
                      <w:color w:val="auto"/>
                      <w:kern w:val="0"/>
                      <w:sz w:val="21"/>
                      <w:szCs w:val="21"/>
                      <w:highlight w:val="none"/>
                      <w:u w:val="none"/>
                      <w:lang w:val="en-US" w:eastAsia="zh-CN" w:bidi="ar"/>
                    </w:rPr>
                    <w:t>、Mg</w:t>
                  </w:r>
                  <w:r>
                    <w:rPr>
                      <w:rFonts w:hint="default" w:ascii="Times New Roman" w:hAnsi="Times New Roman" w:cs="Times New Roman"/>
                      <w:i w:val="0"/>
                      <w:iCs w:val="0"/>
                      <w:color w:val="auto"/>
                      <w:kern w:val="0"/>
                      <w:sz w:val="21"/>
                      <w:szCs w:val="21"/>
                      <w:highlight w:val="none"/>
                      <w:u w:val="none"/>
                      <w:lang w:val="en-US" w:eastAsia="zh-CN" w:bidi="ar"/>
                    </w:rPr>
                    <w:t>O</w:t>
                  </w:r>
                  <w:r>
                    <w:rPr>
                      <w:rFonts w:hint="default" w:ascii="Times New Roman" w:hAnsi="Times New Roman" w:eastAsia="宋体" w:cs="Times New Roman"/>
                      <w:i w:val="0"/>
                      <w:iCs w:val="0"/>
                      <w:color w:val="auto"/>
                      <w:kern w:val="0"/>
                      <w:sz w:val="21"/>
                      <w:szCs w:val="21"/>
                      <w:highlight w:val="none"/>
                      <w:u w:val="none"/>
                      <w:lang w:val="en-US" w:eastAsia="zh-CN" w:bidi="ar"/>
                    </w:rPr>
                    <w:t>、Al</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cs="Times New Roman"/>
                      <w:i w:val="0"/>
                      <w:iCs w:val="0"/>
                      <w:color w:val="auto"/>
                      <w:kern w:val="0"/>
                      <w:sz w:val="21"/>
                      <w:szCs w:val="21"/>
                      <w:highlight w:val="none"/>
                      <w:u w:val="none"/>
                      <w:lang w:val="en-US" w:eastAsia="zh-CN" w:bidi="ar"/>
                    </w:rPr>
                    <w:t>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及有机杂质。纯净的硅藻土呈白色、土状，含杂质时则呈灰白、黄、灰、绿以至黑色。硬度1~1.5．但硅藻骨架达4.5—5。熔点1400～1650℃，一般密度1.9～2.35g/cm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。折射率低，</w:t>
                  </w:r>
                  <w:r>
                    <w:rPr>
                      <w:rFonts w:hint="eastAsia" w:cs="Times New Roman"/>
                      <w:i w:val="0"/>
                      <w:iCs w:val="0"/>
                      <w:color w:val="auto"/>
                      <w:kern w:val="0"/>
                      <w:sz w:val="21"/>
                      <w:szCs w:val="21"/>
                      <w:highlight w:val="none"/>
                      <w:u w:val="none"/>
                      <w:lang w:val="en-US" w:eastAsia="zh-CN" w:bidi="ar"/>
                    </w:rPr>
                    <w:t>具有</w:t>
                  </w:r>
                  <w:r>
                    <w:rPr>
                      <w:rFonts w:hint="default" w:ascii="Times New Roman" w:hAnsi="Times New Roman" w:eastAsia="宋体" w:cs="Times New Roman"/>
                      <w:i w:val="0"/>
                      <w:iCs w:val="0"/>
                      <w:color w:val="auto"/>
                      <w:kern w:val="0"/>
                      <w:sz w:val="21"/>
                      <w:szCs w:val="21"/>
                      <w:highlight w:val="none"/>
                      <w:u w:val="none"/>
                      <w:lang w:val="en-US" w:eastAsia="zh-CN" w:bidi="ar"/>
                    </w:rPr>
                    <w:t>液体吸附能力，表面积大，对声、热、电传导性低，易溶于碱，不溶于除氢氟酸外的任何酸。硅藻土矿经常与黏土矿共生，黏土可以单独成层，也可与硅藻土相杂。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765"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环六亚甲基四胺（易制爆）</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至淡黄色结晶粉末。可燃。几乎无臭，味甜而苦。易溶于水、乙醇、氯仿等有机溶剂，难溶于苯、四氯化碳，不溶于乙醚、汽油。升温至300℃时放出氰化氢，继续升温，则分解为甲烷、氢和氮。在弱酸溶液中分解为氨及甲醛。与火焰接触时，立即燃烧并产生无烟火焰。有挥发性。遇明火、高热可燃。与氧化剂混合能形成有爆炸性的混合物。与硝酸纤维大面积接触会引起燃烧。与过氧化钠接触剧烈反应。其蒸气比空气重，易在低处聚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782"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次氯酸钠浓溶液</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次氯酸钠为白色粉末。工业品次氯酸钠是无色或淡黄色的液体。熔点18℃。在空气中极不稳定，分解产生二氧化碳。受热后迅速分解，在碱性状态时较稳定。次氯酸钠易溶于水，溶于水后成烧碱及次氯酸，0℃时</w:t>
                  </w:r>
                  <w:r>
                    <w:rPr>
                      <w:rFonts w:hint="default" w:ascii="Times New Roman" w:hAnsi="Times New Roman"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mL H</w:t>
                  </w:r>
                  <w:r>
                    <w:rPr>
                      <w:rFonts w:hint="default" w:ascii="Times New Roman" w:hAnsi="Times New Roman"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O溶解29.3g</w:t>
                  </w:r>
                  <w:r>
                    <w:rPr>
                      <w:rFonts w:hint="eastAsia" w:cs="Times New Roman"/>
                      <w:i w:val="0"/>
                      <w:iCs w:val="0"/>
                      <w:color w:val="auto"/>
                      <w:kern w:val="0"/>
                      <w:sz w:val="21"/>
                      <w:szCs w:val="21"/>
                      <w:highlight w:val="none"/>
                      <w:u w:val="none"/>
                      <w:lang w:val="en-US" w:eastAsia="zh-CN" w:bidi="ar"/>
                    </w:rPr>
                    <w:t>次氯酸</w:t>
                  </w:r>
                  <w:r>
                    <w:rPr>
                      <w:rFonts w:hint="default" w:ascii="Times New Roman" w:hAnsi="Times New Roman" w:eastAsia="宋体" w:cs="Times New Roman"/>
                      <w:i w:val="0"/>
                      <w:iCs w:val="0"/>
                      <w:color w:val="auto"/>
                      <w:kern w:val="0"/>
                      <w:sz w:val="21"/>
                      <w:szCs w:val="21"/>
                      <w:highlight w:val="none"/>
                      <w:u w:val="none"/>
                      <w:lang w:val="en-US" w:eastAsia="zh-CN" w:bidi="ar"/>
                    </w:rPr>
                    <w:t>钠。次氯酸再分解生成氯化氢和新生氧，新生氧的氧化能力很强，所以次氯酸钠也是强氧化剂。其稳定度受光、热、重金属阳离子和pH值的影响。具有刺激性气味。</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PrEx>
              <w:trPr>
                <w:trHeight w:val="641"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EDTA二钠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白色或类白色结晶性粉末；无臭。在水中溶解，在甲醇、乙醇或三氯甲烷中几乎不溶。</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PrEx>
              <w:trPr>
                <w:trHeight w:val="867"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氧化镧</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氧化镧为白色无定形粉末。熔点&gt;2000℃。微溶于水，易溶于酸而生成相应的盐类。露置空气中易吸收二氧化碳和水，逐渐变成碳酸镧。灼烧的氧化镧与水化合放出大量的热。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氧化镁</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白色细微结晶。相对密度3.19～3.71；熔点2800℃；几乎不溶于水，溶于稀酸。在空气中易吸收水分和二氧化碳。</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407"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碳酸镁</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白色颗粒性粉末。无臭，无味。不溶于水和乙醇。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硫脲</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无色或白色结晶或结晶性粉末。味苦。能溶于11份水，溶于乙醇，几乎不溶于乙醚。在真空下，150～160℃升华。遇明火、高热可燃。与氧化剂能发生强烈反应。受热分解，放出氮、硫的氧化物等毒性气体。</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乙酰丙酮</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无色易流动液体，有酯的气味，冷却时凝成有光泽的晶体。受光作用时，转化成褐色液体，并且生成树脂。相对密度</w:t>
                  </w:r>
                  <w:r>
                    <w:rPr>
                      <w:rFonts w:hint="default" w:ascii="Times New Roman" w:hAnsi="Times New Roman"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9753。沸点140.5℃。熔点-23℃。闪点40.56℃。折射率1.4494。溶于水、乙醇、氯仿、乙醚、苯、丙酮和冰醋酸。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玻璃棉</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化学性质玻璃纤维作为强化塑料的补强材料应用时，最大的特征是抗拉强度大。抗拉强度在标准状态下是6.3～6.9 g/d，湿润状态5.4～5.8g/d。密度2.54。耐热性好，温度达300℃时对强度</w:t>
                  </w:r>
                  <w:r>
                    <w:rPr>
                      <w:rFonts w:hint="eastAsia" w:cs="Times New Roman"/>
                      <w:i w:val="0"/>
                      <w:iCs w:val="0"/>
                      <w:color w:val="auto"/>
                      <w:kern w:val="0"/>
                      <w:sz w:val="21"/>
                      <w:szCs w:val="21"/>
                      <w:highlight w:val="none"/>
                      <w:u w:val="none"/>
                      <w:lang w:val="en-US" w:eastAsia="zh-CN" w:bidi="ar"/>
                    </w:rPr>
                    <w:t>没有</w:t>
                  </w:r>
                  <w:r>
                    <w:rPr>
                      <w:rFonts w:hint="default" w:ascii="Times New Roman" w:hAnsi="Times New Roman" w:eastAsia="宋体" w:cs="Times New Roman"/>
                      <w:i w:val="0"/>
                      <w:iCs w:val="0"/>
                      <w:color w:val="auto"/>
                      <w:kern w:val="0"/>
                      <w:sz w:val="21"/>
                      <w:szCs w:val="21"/>
                      <w:highlight w:val="none"/>
                      <w:u w:val="none"/>
                      <w:lang w:val="en-US" w:eastAsia="zh-CN" w:bidi="ar"/>
                    </w:rPr>
                    <w:t>影响。有优良的电绝缘性，是高级的电绝缘材料，也用于绝热材料和防火屏蔽材料。对氢氟酸和磷酸浸渍的无机酸和有机酸的耐化学药品性很强。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75"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AHMT溶液</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4-氨基-3-肼基-5-巯基-1,2,4-三氮唑（缩写为ATHN）是一种有机化合物。ATHN为白色结晶固体。微溶于水，溶于一些有机溶剂如乙醇和丙酮。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71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磷酸氢二钾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无色半透明结晶或白色结晶性粉末，无臭。易溶于水(6.3g／</w:t>
                  </w:r>
                  <w:r>
                    <w:rPr>
                      <w:rFonts w:hint="default" w:ascii="Times New Roman" w:hAnsi="Times New Roman"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mL)，不溶于乙醇。有吸湿性，1%的水溶液pH值约9.0。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结晶紫</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溶于水、乙醇和氯仿，不溶于乙醚。水溶液和乙醇溶液呈深紫色，遇浓硫酸显橙色。暗绿色</w:t>
                  </w:r>
                  <w:r>
                    <w:rPr>
                      <w:rFonts w:hint="eastAsia" w:cs="Times New Roman"/>
                      <w:i w:val="0"/>
                      <w:iCs w:val="0"/>
                      <w:color w:val="auto"/>
                      <w:kern w:val="0"/>
                      <w:sz w:val="21"/>
                      <w:szCs w:val="21"/>
                      <w:highlight w:val="none"/>
                      <w:u w:val="none"/>
                      <w:lang w:val="en-US" w:eastAsia="zh-CN" w:bidi="ar"/>
                    </w:rPr>
                    <w:t>荧光</w:t>
                  </w:r>
                  <w:r>
                    <w:rPr>
                      <w:rFonts w:hint="default" w:ascii="Times New Roman" w:hAnsi="Times New Roman" w:eastAsia="宋体" w:cs="Times New Roman"/>
                      <w:i w:val="0"/>
                      <w:iCs w:val="0"/>
                      <w:color w:val="auto"/>
                      <w:kern w:val="0"/>
                      <w:sz w:val="21"/>
                      <w:szCs w:val="21"/>
                      <w:highlight w:val="none"/>
                      <w:u w:val="none"/>
                      <w:lang w:val="en-US" w:eastAsia="zh-CN" w:bidi="ar"/>
                    </w:rPr>
                    <w:t>粉末或粒子。溶于冷水和热水，呈紫色，极易溶于乙醇。于浓硫酸中呈红黄色，稀释后呈暗绿光黄色，然后转变成蓝和紫色。染棉纤维日晒牢度为1-2级，染腈纶纤维日晒牢度为2-3级。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71"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草酸铵</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无色柱状或白色粒状结晶。无味，有毒。该品溶于20mL水、2.6mL沸水，微溶于乙醇，不溶于氨。其溶液呈中性（0.</w:t>
                  </w:r>
                  <w:r>
                    <w:rPr>
                      <w:rFonts w:hint="default" w:ascii="Times New Roman" w:hAnsi="Times New Roman"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mol/L，pH值6.4）。热至95℃时脱水，加高热即分解。可燃，但不易点燃，燃烧中伴生有毒气体。</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64"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草酸钛钾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白色结晶固体，可溶于水。草酸钛钾具有较强的还原性和氧化性，可与氧发生反应并放出燃烧。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沙黄</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溶于水呈红色，溶于乙醇呈红光(带黄</w:t>
                  </w:r>
                  <w:r>
                    <w:rPr>
                      <w:rFonts w:hint="eastAsia" w:cs="Times New Roman"/>
                      <w:i w:val="0"/>
                      <w:iCs w:val="0"/>
                      <w:color w:val="auto"/>
                      <w:kern w:val="0"/>
                      <w:sz w:val="21"/>
                      <w:szCs w:val="21"/>
                      <w:highlight w:val="none"/>
                      <w:u w:val="none"/>
                      <w:lang w:val="en-US" w:eastAsia="zh-CN" w:bidi="ar"/>
                    </w:rPr>
                    <w:t>光的</w:t>
                  </w:r>
                  <w:r>
                    <w:rPr>
                      <w:rFonts w:hint="default" w:ascii="Times New Roman" w:hAnsi="Times New Roman" w:eastAsia="宋体" w:cs="Times New Roman"/>
                      <w:i w:val="0"/>
                      <w:iCs w:val="0"/>
                      <w:color w:val="auto"/>
                      <w:kern w:val="0"/>
                      <w:sz w:val="21"/>
                      <w:szCs w:val="21"/>
                      <w:highlight w:val="none"/>
                      <w:u w:val="none"/>
                      <w:lang w:val="en-US" w:eastAsia="zh-CN" w:bidi="ar"/>
                    </w:rPr>
                    <w:t>红色</w:t>
                  </w:r>
                  <w:r>
                    <w:rPr>
                      <w:rFonts w:hint="eastAsia" w:cs="Times New Roman"/>
                      <w:i w:val="0"/>
                      <w:iCs w:val="0"/>
                      <w:color w:val="auto"/>
                      <w:kern w:val="0"/>
                      <w:sz w:val="21"/>
                      <w:szCs w:val="21"/>
                      <w:highlight w:val="none"/>
                      <w:u w:val="none"/>
                      <w:lang w:val="en-US" w:eastAsia="zh-CN" w:bidi="ar"/>
                    </w:rPr>
                    <w:t>萤光</w:t>
                  </w:r>
                  <w:r>
                    <w:rPr>
                      <w:rFonts w:hint="default" w:ascii="Times New Roman" w:hAnsi="Times New Roman" w:eastAsia="宋体" w:cs="Times New Roman"/>
                      <w:i w:val="0"/>
                      <w:iCs w:val="0"/>
                      <w:color w:val="auto"/>
                      <w:kern w:val="0"/>
                      <w:sz w:val="21"/>
                      <w:szCs w:val="21"/>
                      <w:highlight w:val="none"/>
                      <w:u w:val="none"/>
                      <w:lang w:val="en-US" w:eastAsia="zh-CN" w:bidi="ar"/>
                    </w:rPr>
                    <w:t>)。于浓硫酸中呈绿色，稀释后呈蓝色，并转变为红色。其水溶液加入氢氧化钠产生棕红色沉淀，加入盐酸呈</w:t>
                  </w:r>
                  <w:r>
                    <w:rPr>
                      <w:rFonts w:hint="eastAsia" w:cs="Times New Roman"/>
                      <w:i w:val="0"/>
                      <w:iCs w:val="0"/>
                      <w:color w:val="auto"/>
                      <w:kern w:val="0"/>
                      <w:sz w:val="21"/>
                      <w:szCs w:val="21"/>
                      <w:highlight w:val="none"/>
                      <w:u w:val="none"/>
                      <w:lang w:val="en-US" w:eastAsia="zh-CN" w:bidi="ar"/>
                    </w:rPr>
                    <w:t>蓝</w:t>
                  </w:r>
                  <w:r>
                    <w:rPr>
                      <w:rFonts w:hint="default" w:ascii="Times New Roman" w:hAnsi="Times New Roman" w:eastAsia="宋体" w:cs="Times New Roman"/>
                      <w:i w:val="0"/>
                      <w:iCs w:val="0"/>
                      <w:color w:val="auto"/>
                      <w:kern w:val="0"/>
                      <w:sz w:val="21"/>
                      <w:szCs w:val="21"/>
                      <w:highlight w:val="none"/>
                      <w:u w:val="none"/>
                      <w:lang w:val="en-US" w:eastAsia="zh-CN" w:bidi="ar"/>
                    </w:rPr>
                    <w:t>紫色。</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71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3,2-二氨基萘</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叶状结晶。熔点199℃，相对密度1.0968（26/4℃），折光率1.6342（26℃）。溶于醇、醚、丙酮及稀酸，难溶于水。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52"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硫酸铈</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无水硫酸铈为黄色结晶性粉末。加热脱水，180～200℃成无水盐。350℃以上分解，生成硫酸氧铈。溶于冷水和热酸，在热水中分解为碱式盐。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87"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硫酸铜</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白色、淡灰白色至淡绿白色正交结晶或无</w:t>
                  </w:r>
                  <w:r>
                    <w:rPr>
                      <w:rFonts w:hint="eastAsia" w:cs="Times New Roman"/>
                      <w:i w:val="0"/>
                      <w:iCs w:val="0"/>
                      <w:color w:val="auto"/>
                      <w:kern w:val="0"/>
                      <w:sz w:val="21"/>
                      <w:szCs w:val="21"/>
                      <w:highlight w:val="none"/>
                      <w:u w:val="none"/>
                      <w:lang w:val="en-US" w:eastAsia="zh-CN" w:bidi="ar"/>
                    </w:rPr>
                    <w:t>定型</w:t>
                  </w:r>
                  <w:r>
                    <w:rPr>
                      <w:rFonts w:hint="default" w:ascii="Times New Roman" w:hAnsi="Times New Roman" w:eastAsia="宋体" w:cs="Times New Roman"/>
                      <w:i w:val="0"/>
                      <w:iCs w:val="0"/>
                      <w:color w:val="auto"/>
                      <w:kern w:val="0"/>
                      <w:sz w:val="21"/>
                      <w:szCs w:val="21"/>
                      <w:highlight w:val="none"/>
                      <w:u w:val="none"/>
                      <w:lang w:val="en-US" w:eastAsia="zh-CN" w:bidi="ar"/>
                    </w:rPr>
                    <w:t>粉末。约560℃分解Id 3.6。易吸潮。溶于水，溶液呈酸性，不溶于乙醇。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553"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铂-钴标准溶液</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标准溶液</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姜黄素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橙黄色结晶性粉末。有特殊臭。熔点179～182℃。不溶于水和乙醚，溶于乙醇、冰醋酸、丙二醇。碱性条件下呈红褐色，酸性则呈浅黄色。与氢氧化镁形成色淀，呈黄红色。与金属离子，尤其是铁离子，形成螯合物，导致变色。约5mg/kg铁离子就开始影响色素，10mg/kg以上时变为红褐色，染色能力降低，因此需选用适当容器。最好与螯合剂六偏磷酸钠、酸式焦磷酸钠共同使用。耐光性、耐铁离子性较差，耐热性较好。</w:t>
                  </w:r>
                  <w:r>
                    <w:rPr>
                      <w:rFonts w:hint="eastAsia" w:cs="Times New Roman"/>
                      <w:i w:val="0"/>
                      <w:iCs w:val="0"/>
                      <w:color w:val="auto"/>
                      <w:kern w:val="0"/>
                      <w:sz w:val="21"/>
                      <w:szCs w:val="21"/>
                      <w:highlight w:val="none"/>
                      <w:u w:val="none"/>
                      <w:lang w:val="en-US" w:eastAsia="zh-CN" w:bidi="ar"/>
                    </w:rPr>
                    <w:t>附着力</w:t>
                  </w:r>
                  <w:r>
                    <w:rPr>
                      <w:rFonts w:hint="default" w:ascii="Times New Roman" w:hAnsi="Times New Roman" w:eastAsia="宋体" w:cs="Times New Roman"/>
                      <w:i w:val="0"/>
                      <w:iCs w:val="0"/>
                      <w:color w:val="auto"/>
                      <w:kern w:val="0"/>
                      <w:sz w:val="21"/>
                      <w:szCs w:val="21"/>
                      <w:highlight w:val="none"/>
                      <w:u w:val="none"/>
                      <w:lang w:val="en-US" w:eastAsia="zh-CN" w:bidi="ar"/>
                    </w:rPr>
                    <w:t>强(特别是对蛋白质)。每个分子结构中均有两个活性酚结构，故具有一定的抗氧化能力。</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苯</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在常温常压下为无色透明挥发性液体。易挥发，能与乙醇、乙醚、丙酮、氯仿、冰乙酸、二硫化碳、四氯化碳及油类等有机溶剂相混溶。苯是一种不易分解的化合物。其蒸气能与空气形成爆炸性的混合物。遇到高热或明火极容易引起燃烧和爆炸。容易产生和积聚静电。与氧化剂接触反应激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铜铁试剂</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白色或乳白色，具有光泽的鳞片状结晶。久置颜色变暗。易溶于水、乙醇。白色或带褐色鳞片状结晶。</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二氯甲烷</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易挥发液体。具有类似醚的刺激性气味。溶于约50倍的水，溶于酚、醛、酮、冰醋酸、磷酸三乙酯、乙酰乙酸乙酯、环己胺。与其他氯代烃溶剂和乙醇、乙醚及N，N-二甲基甲酰胺混溶。相对密度1.3266。熔点-95.1℃。沸点40℃。自燃点640℃。黏度(20℃)0.43mPa．s。折射率1.4244。临界温度245℃．临界压力6.171MPa。热解后产生HC</w:t>
                  </w:r>
                  <w:r>
                    <w:rPr>
                      <w:rFonts w:hint="default" w:ascii="Times New Roman" w:hAnsi="Times New Roman" w:cs="Times New Roman"/>
                      <w:i w:val="0"/>
                      <w:iCs w:val="0"/>
                      <w:color w:val="auto"/>
                      <w:kern w:val="0"/>
                      <w:sz w:val="21"/>
                      <w:szCs w:val="21"/>
                      <w:highlight w:val="none"/>
                      <w:u w:val="none"/>
                      <w:lang w:val="en-US" w:eastAsia="zh-CN" w:bidi="ar"/>
                    </w:rPr>
                    <w:t>l</w:t>
                  </w:r>
                  <w:r>
                    <w:rPr>
                      <w:rFonts w:hint="default" w:ascii="Times New Roman" w:hAnsi="Times New Roman" w:eastAsia="宋体" w:cs="Times New Roman"/>
                      <w:i w:val="0"/>
                      <w:iCs w:val="0"/>
                      <w:color w:val="auto"/>
                      <w:kern w:val="0"/>
                      <w:sz w:val="21"/>
                      <w:szCs w:val="21"/>
                      <w:highlight w:val="none"/>
                      <w:u w:val="none"/>
                      <w:lang w:val="en-US" w:eastAsia="zh-CN" w:bidi="ar"/>
                    </w:rPr>
                    <w:t>和痕量的光气，与水长期加热，生成甲醛和HC1。进一步氯化，可得CHCl</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和CCl</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4</w:t>
                  </w: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42"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正己烷</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无色易挥发液体。难溶于水，可溶于乙醇，易溶于乙醚、氯仿、酮类等有机溶剂。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26"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三氯乙醛</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无色易挥发油状液体，有刺激性气味。相对密度1.510。熔点-57,5℃。沸点97.8℃。蒸气压(20℃)4.666kPa。与水化合生成三氯乙醛水合物。溶于水、乙醇、乙醚和氯仿。</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514"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三聚乙醛</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无色有香味的液体，为三分子乙醛的聚合物。微溶于热水，能与醇、醚混溶。</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水合三氯乙醛</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无色单斜片状结晶。熔点53-57℃。溶于水、乙醇和醚。1ml水可溶解水合氯醛：0℃时2.4g；25℃8.3g；40℃14.3g。1g水合氯醛可溶于：1.3ml乙醇，2ml氯仿，1.5ml乙醚。</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丙烯醛</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常温下为无色或浅黄色、易挥发的透明液体，具有强烈的刺激性，其</w:t>
                  </w:r>
                  <w:r>
                    <w:rPr>
                      <w:rFonts w:hint="eastAsia" w:cs="Times New Roman"/>
                      <w:i w:val="0"/>
                      <w:iCs w:val="0"/>
                      <w:color w:val="auto"/>
                      <w:kern w:val="0"/>
                      <w:sz w:val="21"/>
                      <w:szCs w:val="21"/>
                      <w:highlight w:val="none"/>
                      <w:u w:val="none"/>
                      <w:lang w:val="en-US" w:eastAsia="zh-CN" w:bidi="ar"/>
                    </w:rPr>
                    <w:t>蒸气</w:t>
                  </w:r>
                  <w:r>
                    <w:rPr>
                      <w:rFonts w:hint="default" w:ascii="Times New Roman" w:hAnsi="Times New Roman" w:eastAsia="宋体" w:cs="Times New Roman"/>
                      <w:i w:val="0"/>
                      <w:iCs w:val="0"/>
                      <w:color w:val="auto"/>
                      <w:kern w:val="0"/>
                      <w:sz w:val="21"/>
                      <w:szCs w:val="21"/>
                      <w:highlight w:val="none"/>
                      <w:u w:val="none"/>
                      <w:lang w:val="en-US" w:eastAsia="zh-CN" w:bidi="ar"/>
                    </w:rPr>
                    <w:t>有强烈的催泪性。溶于2～3份水。能与大多数有机溶剂加石蜡烃（正己烷、正辛烷、正戊烷）、甲苯、二甲苯、氯仿、甲醇、乙醇、丙酮、丙烯酸、乙酸乙酯等完全互溶。不稳定，其蒸汽与空气形成爆炸性混合物，遇明火、高热极易燃烧爆炸，遇高热易聚合并放出大量热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28"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溴百里酚蓝指示剂</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溴百里酚蓝呈无色或浅玫瑰结晶性粉末状，易溶于醇、稀碱溶液和氨水中，微溶于水，不溶于石油醚。其遇酸性时为黄色，碱性时为蓝色。</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41"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百里酚蓝</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棕绿色结晶性粉末。溶于乙醇及碱溶液，不溶于水。溶于碱呈蓝色。pH值1.2～2.8时由红至黄色．8.0～9.6时由黄至蓝色。</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41"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溴酚蓝</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长六方体菱形结晶或粉末。279℃分解。易溶于氢氧化钠溶液而形成</w:t>
                  </w:r>
                  <w:r>
                    <w:rPr>
                      <w:rFonts w:hint="eastAsia" w:cs="Times New Roman"/>
                      <w:i w:val="0"/>
                      <w:iCs w:val="0"/>
                      <w:color w:val="auto"/>
                      <w:kern w:val="0"/>
                      <w:sz w:val="21"/>
                      <w:szCs w:val="21"/>
                      <w:highlight w:val="none"/>
                      <w:u w:val="none"/>
                      <w:lang w:val="en-US" w:eastAsia="zh-CN" w:bidi="ar"/>
                    </w:rPr>
                    <w:t>水溶</w:t>
                  </w:r>
                  <w:r>
                    <w:rPr>
                      <w:rFonts w:hint="default" w:ascii="Times New Roman" w:hAnsi="Times New Roman" w:eastAsia="宋体" w:cs="Times New Roman"/>
                      <w:i w:val="0"/>
                      <w:iCs w:val="0"/>
                      <w:color w:val="auto"/>
                      <w:kern w:val="0"/>
                      <w:sz w:val="21"/>
                      <w:szCs w:val="21"/>
                      <w:highlight w:val="none"/>
                      <w:u w:val="none"/>
                      <w:lang w:val="en-US" w:eastAsia="zh-CN" w:bidi="ar"/>
                    </w:rPr>
                    <w:t>性钠盐，溶于乙醇、乙醚、苯，微溶于水(100mL水</w:t>
                  </w:r>
                  <w:r>
                    <w:rPr>
                      <w:rFonts w:hint="eastAsia" w:cs="Times New Roman"/>
                      <w:i w:val="0"/>
                      <w:iCs w:val="0"/>
                      <w:color w:val="auto"/>
                      <w:kern w:val="0"/>
                      <w:sz w:val="21"/>
                      <w:szCs w:val="21"/>
                      <w:highlight w:val="none"/>
                      <w:u w:val="none"/>
                      <w:lang w:val="en-US" w:eastAsia="zh-CN" w:bidi="ar"/>
                    </w:rPr>
                    <w:t>约</w:t>
                  </w:r>
                  <w:r>
                    <w:rPr>
                      <w:rFonts w:hint="default" w:ascii="Times New Roman" w:hAnsi="Times New Roman" w:eastAsia="宋体" w:cs="Times New Roman"/>
                      <w:i w:val="0"/>
                      <w:iCs w:val="0"/>
                      <w:color w:val="auto"/>
                      <w:kern w:val="0"/>
                      <w:sz w:val="21"/>
                      <w:szCs w:val="21"/>
                      <w:highlight w:val="none"/>
                      <w:u w:val="none"/>
                      <w:lang w:val="en-US" w:eastAsia="zh-CN" w:bidi="ar"/>
                    </w:rPr>
                    <w:t>0.4g该品)。</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钛铁试剂</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邻苯二酚-3,5-二磺酸钠（也称为Tiron）是一种白色结晶固体。它在常温下是可溶于水的。邻苯二酚-3,5-二磺酸钠具有多种用途。它是一种螯合剂，可以与金属离子形成稳定的络合物。这种</w:t>
                  </w:r>
                  <w:r>
                    <w:rPr>
                      <w:rFonts w:hint="eastAsia" w:cs="Times New Roman"/>
                      <w:i w:val="0"/>
                      <w:iCs w:val="0"/>
                      <w:color w:val="auto"/>
                      <w:kern w:val="0"/>
                      <w:sz w:val="21"/>
                      <w:szCs w:val="21"/>
                      <w:highlight w:val="none"/>
                      <w:u w:val="none"/>
                      <w:lang w:val="en-US" w:eastAsia="zh-CN" w:bidi="ar"/>
                    </w:rPr>
                    <w:t>耦合</w:t>
                  </w:r>
                  <w:r>
                    <w:rPr>
                      <w:rFonts w:hint="default" w:ascii="Times New Roman" w:hAnsi="Times New Roman" w:eastAsia="宋体" w:cs="Times New Roman"/>
                      <w:i w:val="0"/>
                      <w:iCs w:val="0"/>
                      <w:color w:val="auto"/>
                      <w:kern w:val="0"/>
                      <w:sz w:val="21"/>
                      <w:szCs w:val="21"/>
                      <w:highlight w:val="none"/>
                      <w:u w:val="none"/>
                      <w:lang w:val="en-US" w:eastAsia="zh-CN" w:bidi="ar"/>
                    </w:rPr>
                    <w:t>能力使得它在分析化学中被广泛应用于测定和分离金属离子。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甲基橙指示剂</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甲基橙由对氨基苯磺酸经重氮化后与</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"https://baike.so.com/doc/5467300-7125590.html"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N,N-二甲基苯胺</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偶合而成，显碱性，容量测定锡(热时Sn使甲基橙褪色)，强还原剂(Ti、Cr)和强氧化剂(氯、</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"https://baike.so.com/doc/2607593-2753350.html"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溴</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)的消色指示剂。甲基橙的变色范围是pH≦3.1时变红，3.1</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4.4时呈橙色，pH≧4.4时变黄。</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11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依红美蓝水溶液</w:t>
                  </w:r>
                </w:p>
              </w:tc>
              <w:tc>
                <w:tcPr>
                  <w:tcW w:w="7164" w:type="dxa"/>
                  <w:shd w:val="clear" w:color="auto" w:fill="auto"/>
                  <w:vAlign w:val="center"/>
                </w:tcPr>
                <w:p>
                  <w:pPr>
                    <w:keepNext w:val="0"/>
                    <w:keepLines w:val="0"/>
                    <w:suppressLineNumbers w:val="0"/>
                    <w:bidi w:val="0"/>
                    <w:spacing w:before="0" w:beforeAutospacing="0" w:after="0" w:afterAutospacing="0"/>
                    <w:ind w:left="0" w:right="0"/>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sz w:val="21"/>
                      <w:szCs w:val="21"/>
                      <w:highlight w:val="none"/>
                      <w:lang w:val="en-US" w:eastAsia="zh-CN"/>
                    </w:rPr>
                    <w:t>一种用于细胞染色的染料，也称</w:t>
                  </w:r>
                  <w:r>
                    <w:rPr>
                      <w:rFonts w:hint="default" w:ascii="Times New Roman" w:hAnsi="Times New Roman" w:cs="Times New Roman"/>
                      <w:color w:val="auto"/>
                      <w:sz w:val="21"/>
                      <w:szCs w:val="21"/>
                      <w:highlight w:val="none"/>
                      <w:lang w:val="en-US" w:eastAsia="zh-CN"/>
                    </w:rPr>
                    <w:fldChar w:fldCharType="begin"/>
                  </w:r>
                  <w:r>
                    <w:rPr>
                      <w:rFonts w:hint="default" w:ascii="Times New Roman" w:hAnsi="Times New Roman" w:cs="Times New Roman"/>
                      <w:color w:val="auto"/>
                      <w:sz w:val="21"/>
                      <w:szCs w:val="21"/>
                      <w:highlight w:val="none"/>
                      <w:lang w:val="en-US" w:eastAsia="zh-CN"/>
                    </w:rPr>
                    <w:instrText xml:space="preserve"> HYPERLINK "https://baike.so.com/doc/7607158-7881253.html" \t "https://baike.so.com/doc/_blank" </w:instrText>
                  </w:r>
                  <w:r>
                    <w:rPr>
                      <w:rFonts w:hint="default" w:ascii="Times New Roman" w:hAnsi="Times New Roman" w:cs="Times New Roman"/>
                      <w:color w:val="auto"/>
                      <w:sz w:val="21"/>
                      <w:szCs w:val="21"/>
                      <w:highlight w:val="none"/>
                      <w:lang w:val="en-US" w:eastAsia="zh-CN"/>
                    </w:rPr>
                    <w:fldChar w:fldCharType="separate"/>
                  </w:r>
                  <w:r>
                    <w:rPr>
                      <w:rFonts w:hint="default" w:ascii="Times New Roman" w:hAnsi="Times New Roman" w:cs="Times New Roman"/>
                      <w:color w:val="auto"/>
                      <w:sz w:val="21"/>
                      <w:szCs w:val="21"/>
                      <w:highlight w:val="none"/>
                      <w:lang w:val="en-US" w:eastAsia="zh-CN"/>
                    </w:rPr>
                    <w:t>瑞氏染料</w:t>
                  </w:r>
                  <w:r>
                    <w:rPr>
                      <w:rFonts w:hint="default" w:ascii="Times New Roman" w:hAnsi="Times New Roman" w:cs="Times New Roman"/>
                      <w:color w:val="auto"/>
                      <w:sz w:val="21"/>
                      <w:szCs w:val="21"/>
                      <w:highlight w:val="none"/>
                      <w:lang w:val="en-US" w:eastAsia="zh-CN"/>
                    </w:rPr>
                    <w:fldChar w:fldCharType="end"/>
                  </w:r>
                  <w:r>
                    <w:rPr>
                      <w:rFonts w:hint="default" w:ascii="Times New Roman" w:hAnsi="Times New Roman" w:cs="Times New Roman"/>
                      <w:color w:val="auto"/>
                      <w:sz w:val="21"/>
                      <w:szCs w:val="21"/>
                      <w:highlight w:val="none"/>
                      <w:lang w:val="en-US" w:eastAsia="zh-CN"/>
                    </w:rPr>
                    <w:t>，是</w:t>
                  </w:r>
                  <w:r>
                    <w:rPr>
                      <w:rFonts w:hint="default" w:ascii="Times New Roman" w:hAnsi="Times New Roman" w:cs="Times New Roman"/>
                      <w:color w:val="auto"/>
                      <w:sz w:val="21"/>
                      <w:szCs w:val="21"/>
                      <w:highlight w:val="none"/>
                      <w:lang w:val="en-US" w:eastAsia="zh-CN"/>
                    </w:rPr>
                    <w:fldChar w:fldCharType="begin"/>
                  </w:r>
                  <w:r>
                    <w:rPr>
                      <w:rFonts w:hint="default" w:ascii="Times New Roman" w:hAnsi="Times New Roman" w:cs="Times New Roman"/>
                      <w:color w:val="auto"/>
                      <w:sz w:val="21"/>
                      <w:szCs w:val="21"/>
                      <w:highlight w:val="none"/>
                      <w:lang w:val="en-US" w:eastAsia="zh-CN"/>
                    </w:rPr>
                    <w:instrText xml:space="preserve"> HYPERLINK "https://baike.so.com/doc/5905633-6118535.html" \t "https://baike.so.com/doc/_blank" </w:instrText>
                  </w:r>
                  <w:r>
                    <w:rPr>
                      <w:rFonts w:hint="default" w:ascii="Times New Roman" w:hAnsi="Times New Roman" w:cs="Times New Roman"/>
                      <w:color w:val="auto"/>
                      <w:sz w:val="21"/>
                      <w:szCs w:val="21"/>
                      <w:highlight w:val="none"/>
                      <w:lang w:val="en-US" w:eastAsia="zh-CN"/>
                    </w:rPr>
                    <w:fldChar w:fldCharType="separate"/>
                  </w:r>
                  <w:r>
                    <w:rPr>
                      <w:rFonts w:hint="default" w:ascii="Times New Roman" w:hAnsi="Times New Roman" w:cs="Times New Roman"/>
                      <w:color w:val="auto"/>
                      <w:sz w:val="21"/>
                      <w:szCs w:val="21"/>
                      <w:highlight w:val="none"/>
                      <w:lang w:val="en-US" w:eastAsia="zh-CN"/>
                    </w:rPr>
                    <w:t>碱性染料</w:t>
                  </w:r>
                  <w:r>
                    <w:rPr>
                      <w:rFonts w:hint="default" w:ascii="Times New Roman" w:hAnsi="Times New Roman" w:cs="Times New Roman"/>
                      <w:color w:val="auto"/>
                      <w:sz w:val="21"/>
                      <w:szCs w:val="21"/>
                      <w:highlight w:val="none"/>
                      <w:lang w:val="en-US" w:eastAsia="zh-CN"/>
                    </w:rPr>
                    <w:fldChar w:fldCharType="end"/>
                  </w:r>
                  <w:r>
                    <w:rPr>
                      <w:rFonts w:hint="default" w:ascii="Times New Roman" w:hAnsi="Times New Roman" w:cs="Times New Roman"/>
                      <w:color w:val="auto"/>
                      <w:sz w:val="21"/>
                      <w:szCs w:val="21"/>
                      <w:highlight w:val="none"/>
                      <w:lang w:val="en-US" w:eastAsia="zh-CN"/>
                    </w:rPr>
                    <w:t>美蓝(Methylene blue)和</w:t>
                  </w:r>
                  <w:r>
                    <w:rPr>
                      <w:rFonts w:hint="default" w:ascii="Times New Roman" w:hAnsi="Times New Roman" w:cs="Times New Roman"/>
                      <w:color w:val="auto"/>
                      <w:sz w:val="21"/>
                      <w:szCs w:val="21"/>
                      <w:highlight w:val="none"/>
                      <w:lang w:val="en-US" w:eastAsia="zh-CN"/>
                    </w:rPr>
                    <w:fldChar w:fldCharType="begin"/>
                  </w:r>
                  <w:r>
                    <w:rPr>
                      <w:rFonts w:hint="default" w:ascii="Times New Roman" w:hAnsi="Times New Roman" w:cs="Times New Roman"/>
                      <w:color w:val="auto"/>
                      <w:sz w:val="21"/>
                      <w:szCs w:val="21"/>
                      <w:highlight w:val="none"/>
                      <w:lang w:val="en-US" w:eastAsia="zh-CN"/>
                    </w:rPr>
                    <w:instrText xml:space="preserve"> HYPERLINK "https://baike.so.com/doc/5630201-5842822.html" \t "https://baike.so.com/doc/_blank" </w:instrText>
                  </w:r>
                  <w:r>
                    <w:rPr>
                      <w:rFonts w:hint="default" w:ascii="Times New Roman" w:hAnsi="Times New Roman" w:cs="Times New Roman"/>
                      <w:color w:val="auto"/>
                      <w:sz w:val="21"/>
                      <w:szCs w:val="21"/>
                      <w:highlight w:val="none"/>
                      <w:lang w:val="en-US" w:eastAsia="zh-CN"/>
                    </w:rPr>
                    <w:fldChar w:fldCharType="separate"/>
                  </w:r>
                  <w:r>
                    <w:rPr>
                      <w:rFonts w:hint="default" w:ascii="Times New Roman" w:hAnsi="Times New Roman" w:cs="Times New Roman"/>
                      <w:color w:val="auto"/>
                      <w:sz w:val="21"/>
                      <w:szCs w:val="21"/>
                      <w:highlight w:val="none"/>
                      <w:lang w:val="en-US" w:eastAsia="zh-CN"/>
                    </w:rPr>
                    <w:t>酸性染料</w:t>
                  </w:r>
                  <w:r>
                    <w:rPr>
                      <w:rFonts w:hint="default" w:ascii="Times New Roman" w:hAnsi="Times New Roman" w:cs="Times New Roman"/>
                      <w:color w:val="auto"/>
                      <w:sz w:val="21"/>
                      <w:szCs w:val="21"/>
                      <w:highlight w:val="none"/>
                      <w:lang w:val="en-US" w:eastAsia="zh-CN"/>
                    </w:rPr>
                    <w:fldChar w:fldCharType="end"/>
                  </w:r>
                  <w:r>
                    <w:rPr>
                      <w:rFonts w:hint="default" w:ascii="Times New Roman" w:hAnsi="Times New Roman" w:cs="Times New Roman"/>
                      <w:color w:val="auto"/>
                      <w:sz w:val="21"/>
                      <w:szCs w:val="21"/>
                      <w:highlight w:val="none"/>
                      <w:lang w:val="en-US" w:eastAsia="zh-CN"/>
                    </w:rPr>
                    <w:t>黄色</w:t>
                  </w:r>
                  <w:r>
                    <w:rPr>
                      <w:rFonts w:hint="default" w:ascii="Times New Roman" w:hAnsi="Times New Roman" w:cs="Times New Roman"/>
                      <w:color w:val="auto"/>
                      <w:sz w:val="21"/>
                      <w:szCs w:val="21"/>
                      <w:highlight w:val="none"/>
                      <w:lang w:val="en-US" w:eastAsia="zh-CN"/>
                    </w:rPr>
                    <w:fldChar w:fldCharType="begin"/>
                  </w:r>
                  <w:r>
                    <w:rPr>
                      <w:rFonts w:hint="default" w:ascii="Times New Roman" w:hAnsi="Times New Roman" w:cs="Times New Roman"/>
                      <w:color w:val="auto"/>
                      <w:sz w:val="21"/>
                      <w:szCs w:val="21"/>
                      <w:highlight w:val="none"/>
                      <w:lang w:val="en-US" w:eastAsia="zh-CN"/>
                    </w:rPr>
                    <w:instrText xml:space="preserve"> HYPERLINK "https://baike.so.com/doc/6711064-6925102.html" \t "https://baike.so.com/doc/_blank" </w:instrText>
                  </w:r>
                  <w:r>
                    <w:rPr>
                      <w:rFonts w:hint="default" w:ascii="Times New Roman" w:hAnsi="Times New Roman" w:cs="Times New Roman"/>
                      <w:color w:val="auto"/>
                      <w:sz w:val="21"/>
                      <w:szCs w:val="21"/>
                      <w:highlight w:val="none"/>
                      <w:lang w:val="en-US" w:eastAsia="zh-CN"/>
                    </w:rPr>
                    <w:fldChar w:fldCharType="separate"/>
                  </w:r>
                  <w:r>
                    <w:rPr>
                      <w:rFonts w:hint="default" w:ascii="Times New Roman" w:hAnsi="Times New Roman" w:cs="Times New Roman"/>
                      <w:color w:val="auto"/>
                      <w:sz w:val="21"/>
                      <w:szCs w:val="21"/>
                      <w:highlight w:val="none"/>
                      <w:lang w:val="en-US" w:eastAsia="zh-CN"/>
                    </w:rPr>
                    <w:t>伊红</w:t>
                  </w:r>
                  <w:r>
                    <w:rPr>
                      <w:rFonts w:hint="default" w:ascii="Times New Roman" w:hAnsi="Times New Roman" w:cs="Times New Roman"/>
                      <w:color w:val="auto"/>
                      <w:sz w:val="21"/>
                      <w:szCs w:val="21"/>
                      <w:highlight w:val="none"/>
                      <w:lang w:val="en-US" w:eastAsia="zh-CN"/>
                    </w:rPr>
                    <w:fldChar w:fldCharType="end"/>
                  </w:r>
                  <w:r>
                    <w:rPr>
                      <w:rFonts w:hint="default" w:ascii="Times New Roman" w:hAnsi="Times New Roman" w:cs="Times New Roman"/>
                      <w:color w:val="auto"/>
                      <w:sz w:val="21"/>
                      <w:szCs w:val="21"/>
                      <w:highlight w:val="none"/>
                      <w:lang w:val="en-US" w:eastAsia="zh-CN"/>
                    </w:rPr>
                    <w:t>(Eosin Y)的合称。伊红美蓝染料染色称为瑞氏(Wright's stain</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美蓝-伊红Y)染色。用</w:t>
                  </w:r>
                  <w:r>
                    <w:rPr>
                      <w:rFonts w:hint="default" w:ascii="Times New Roman" w:hAnsi="Times New Roman" w:cs="Times New Roman"/>
                      <w:color w:val="auto"/>
                      <w:sz w:val="21"/>
                      <w:szCs w:val="21"/>
                      <w:highlight w:val="none"/>
                      <w:lang w:val="en-US" w:eastAsia="zh-CN"/>
                    </w:rPr>
                    <w:fldChar w:fldCharType="begin"/>
                  </w:r>
                  <w:r>
                    <w:rPr>
                      <w:rFonts w:hint="default" w:ascii="Times New Roman" w:hAnsi="Times New Roman" w:cs="Times New Roman"/>
                      <w:color w:val="auto"/>
                      <w:sz w:val="21"/>
                      <w:szCs w:val="21"/>
                      <w:highlight w:val="none"/>
                      <w:lang w:val="en-US" w:eastAsia="zh-CN"/>
                    </w:rPr>
                    <w:instrText xml:space="preserve"> HYPERLINK "https://baike.so.com/doc/6996765-7219644.html" \t "https://baike.so.com/doc/_blank" </w:instrText>
                  </w:r>
                  <w:r>
                    <w:rPr>
                      <w:rFonts w:hint="default" w:ascii="Times New Roman" w:hAnsi="Times New Roman" w:cs="Times New Roman"/>
                      <w:color w:val="auto"/>
                      <w:sz w:val="21"/>
                      <w:szCs w:val="21"/>
                      <w:highlight w:val="none"/>
                      <w:lang w:val="en-US" w:eastAsia="zh-CN"/>
                    </w:rPr>
                    <w:fldChar w:fldCharType="separate"/>
                  </w:r>
                  <w:r>
                    <w:rPr>
                      <w:rFonts w:hint="default" w:ascii="Times New Roman" w:hAnsi="Times New Roman" w:cs="Times New Roman"/>
                      <w:color w:val="auto"/>
                      <w:sz w:val="21"/>
                      <w:szCs w:val="21"/>
                      <w:highlight w:val="none"/>
                      <w:lang w:val="en-US" w:eastAsia="zh-CN"/>
                    </w:rPr>
                    <w:t>甲醇</w:t>
                  </w:r>
                  <w:r>
                    <w:rPr>
                      <w:rFonts w:hint="default" w:ascii="Times New Roman" w:hAnsi="Times New Roman" w:cs="Times New Roman"/>
                      <w:color w:val="auto"/>
                      <w:sz w:val="21"/>
                      <w:szCs w:val="21"/>
                      <w:highlight w:val="none"/>
                      <w:lang w:val="en-US" w:eastAsia="zh-CN"/>
                    </w:rPr>
                    <w:fldChar w:fldCharType="end"/>
                  </w:r>
                  <w:r>
                    <w:rPr>
                      <w:rFonts w:hint="default" w:ascii="Times New Roman" w:hAnsi="Times New Roman" w:cs="Times New Roman"/>
                      <w:color w:val="auto"/>
                      <w:sz w:val="21"/>
                      <w:szCs w:val="21"/>
                      <w:highlight w:val="none"/>
                      <w:lang w:val="en-US" w:eastAsia="zh-CN"/>
                    </w:rPr>
                    <w:t>作瑞氏染料</w:t>
                  </w:r>
                  <w:r>
                    <w:rPr>
                      <w:rFonts w:hint="default" w:ascii="Times New Roman" w:hAnsi="Times New Roman" w:cs="Times New Roman"/>
                      <w:color w:val="auto"/>
                      <w:sz w:val="21"/>
                      <w:szCs w:val="21"/>
                      <w:highlight w:val="none"/>
                      <w:lang w:val="en-US" w:eastAsia="zh-CN"/>
                    </w:rPr>
                    <w:fldChar w:fldCharType="begin"/>
                  </w:r>
                  <w:r>
                    <w:rPr>
                      <w:rFonts w:hint="default" w:ascii="Times New Roman" w:hAnsi="Times New Roman" w:cs="Times New Roman"/>
                      <w:color w:val="auto"/>
                      <w:sz w:val="21"/>
                      <w:szCs w:val="21"/>
                      <w:highlight w:val="none"/>
                      <w:lang w:val="en-US" w:eastAsia="zh-CN"/>
                    </w:rPr>
                    <w:instrText xml:space="preserve"> HYPERLINK "https://baike.so.com/doc/1355777-1433373.html" \t "https://baike.so.com/doc/_blank" </w:instrText>
                  </w:r>
                  <w:r>
                    <w:rPr>
                      <w:rFonts w:hint="default" w:ascii="Times New Roman" w:hAnsi="Times New Roman" w:cs="Times New Roman"/>
                      <w:color w:val="auto"/>
                      <w:sz w:val="21"/>
                      <w:szCs w:val="21"/>
                      <w:highlight w:val="none"/>
                      <w:lang w:val="en-US" w:eastAsia="zh-CN"/>
                    </w:rPr>
                    <w:fldChar w:fldCharType="separate"/>
                  </w:r>
                  <w:r>
                    <w:rPr>
                      <w:rFonts w:hint="default" w:ascii="Times New Roman" w:hAnsi="Times New Roman" w:cs="Times New Roman"/>
                      <w:color w:val="auto"/>
                      <w:sz w:val="21"/>
                      <w:szCs w:val="21"/>
                      <w:highlight w:val="none"/>
                      <w:lang w:val="en-US" w:eastAsia="zh-CN"/>
                    </w:rPr>
                    <w:t>溶剂</w:t>
                  </w:r>
                  <w:r>
                    <w:rPr>
                      <w:rFonts w:hint="default" w:ascii="Times New Roman" w:hAnsi="Times New Roman" w:cs="Times New Roman"/>
                      <w:color w:val="auto"/>
                      <w:sz w:val="21"/>
                      <w:szCs w:val="21"/>
                      <w:highlight w:val="none"/>
                      <w:lang w:val="en-US" w:eastAsia="zh-CN"/>
                    </w:rPr>
                    <w:fldChar w:fldCharType="end"/>
                  </w:r>
                  <w:r>
                    <w:rPr>
                      <w:rFonts w:hint="default" w:ascii="Times New Roman" w:hAnsi="Times New Roman" w:cs="Times New Roman"/>
                      <w:color w:val="auto"/>
                      <w:sz w:val="21"/>
                      <w:szCs w:val="21"/>
                      <w:highlight w:val="none"/>
                      <w:lang w:val="en-US" w:eastAsia="zh-CN"/>
                    </w:rPr>
                    <w:t>，即成瑞氏染液，或称伊红美蓝染液。</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PrEx>
              <w:trPr>
                <w:trHeight w:val="2312"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二硫化碳</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纯品稍有甜味。沸点46.3℃，冰点111℃。密度：气体(空气=1)2. 64，溶于苛性碱和硫化碱，几乎不溶于水。空气中的燃烧极限1.25%～40%（按体积计）。水中溶解度0.22g/</w:t>
                  </w:r>
                  <w:r>
                    <w:rPr>
                      <w:rFonts w:hint="default" w:ascii="Times New Roman" w:hAnsi="Times New Roman"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mL(22℃)。在100℃左右时自燃。熏蒸蒸气由液体蒸发产生，绝大多数情况下与其他不燃烧物混合</w:t>
                  </w:r>
                  <w:r>
                    <w:rPr>
                      <w:rFonts w:hint="eastAsia" w:cs="Times New Roman"/>
                      <w:i w:val="0"/>
                      <w:iCs w:val="0"/>
                      <w:color w:val="auto"/>
                      <w:kern w:val="0"/>
                      <w:sz w:val="21"/>
                      <w:szCs w:val="21"/>
                      <w:highlight w:val="none"/>
                      <w:u w:val="none"/>
                      <w:lang w:val="en-US" w:eastAsia="zh-CN" w:bidi="ar"/>
                    </w:rPr>
                    <w:t>使用</w:t>
                  </w:r>
                  <w:r>
                    <w:rPr>
                      <w:rFonts w:hint="default" w:ascii="Times New Roman" w:hAnsi="Times New Roman" w:eastAsia="宋体" w:cs="Times New Roman"/>
                      <w:i w:val="0"/>
                      <w:iCs w:val="0"/>
                      <w:color w:val="auto"/>
                      <w:kern w:val="0"/>
                      <w:sz w:val="21"/>
                      <w:szCs w:val="21"/>
                      <w:highlight w:val="none"/>
                      <w:u w:val="none"/>
                      <w:lang w:val="en-US" w:eastAsia="zh-CN" w:bidi="ar"/>
                    </w:rPr>
                    <w:t>。能与无水乙醇、醚、苯、氯仿、四氯化碳、油脂以任何比例混合。能溶解碘、溴、硫、脂肪、蜡、树脂、橡胶、樟脑、黄磷。极易燃，接触热、火星、火焰或氧化剂易燃烧爆炸。受热分解产生有毒的硫化物烟气。与铝、锌、钾、氟、氯、叠氮化物等反应剧烈，有燃烧爆炸危险。高速冲击、摩擦可因产生静电火花放电引起燃烧爆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824"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对氨基二甲基苯胺盐酸盐</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N,N-二甲基对苯二胺单盐酸盐是一种白色或近白色的结晶固体。它在溶解于水或乙醇中，可以发出蓝色的</w:t>
                  </w:r>
                  <w:r>
                    <w:rPr>
                      <w:rFonts w:hint="eastAsia" w:cs="Times New Roman"/>
                      <w:i w:val="0"/>
                      <w:iCs w:val="0"/>
                      <w:color w:val="auto"/>
                      <w:kern w:val="0"/>
                      <w:sz w:val="21"/>
                      <w:szCs w:val="21"/>
                      <w:highlight w:val="none"/>
                      <w:u w:val="none"/>
                      <w:lang w:val="en-US" w:eastAsia="zh-CN" w:bidi="ar"/>
                    </w:rPr>
                    <w:t>萤光</w:t>
                  </w:r>
                  <w:r>
                    <w:rPr>
                      <w:rFonts w:hint="default" w:ascii="Times New Roman" w:hAnsi="Times New Roman" w:eastAsia="宋体" w:cs="Times New Roman"/>
                      <w:i w:val="0"/>
                      <w:iCs w:val="0"/>
                      <w:color w:val="auto"/>
                      <w:kern w:val="0"/>
                      <w:sz w:val="21"/>
                      <w:szCs w:val="21"/>
                      <w:highlight w:val="none"/>
                      <w:u w:val="none"/>
                      <w:lang w:val="en-US" w:eastAsia="zh-CN" w:bidi="ar"/>
                    </w:rPr>
                    <w:t>。该化合物对光和空气相对稳定，但对温度敏感。常用于化学分析、有机合成以及染料和颜料的制备过程中。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204"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对氨基苯磺酸</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白色、灰白色结晶或粉末。易溶于氨和碱金属氢氧化物或碳酸盐溶液中，较易溶于热水，微溶于冷水，微</w:t>
                  </w:r>
                  <w:r>
                    <w:rPr>
                      <w:rFonts w:hint="eastAsia" w:cs="Times New Roman"/>
                      <w:i w:val="0"/>
                      <w:iCs w:val="0"/>
                      <w:color w:val="auto"/>
                      <w:kern w:val="0"/>
                      <w:sz w:val="21"/>
                      <w:szCs w:val="21"/>
                      <w:highlight w:val="none"/>
                      <w:u w:val="none"/>
                      <w:lang w:val="en-US" w:eastAsia="zh-CN" w:bidi="ar"/>
                    </w:rPr>
                    <w:t>溶于</w:t>
                  </w:r>
                  <w:r>
                    <w:rPr>
                      <w:rFonts w:hint="default" w:ascii="Times New Roman" w:hAnsi="Times New Roman" w:eastAsia="宋体" w:cs="Times New Roman"/>
                      <w:i w:val="0"/>
                      <w:iCs w:val="0"/>
                      <w:color w:val="auto"/>
                      <w:kern w:val="0"/>
                      <w:sz w:val="21"/>
                      <w:szCs w:val="21"/>
                      <w:highlight w:val="none"/>
                      <w:u w:val="none"/>
                      <w:lang w:val="en-US" w:eastAsia="zh-CN" w:bidi="ar"/>
                    </w:rPr>
                    <w:t>甲醇，几乎不溶于乙醇、乙醚、苯。水中溶解度为：(20℃)1%；(30℃)1.45%；(40℃)1.94%。见光变色。在280℃开始分解碳化。呈酸性，有刺激性。受热分解，放出氮、硫的氧化物等毒性气体。</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苯胺</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化学性质无色液体。熔点-30℃，沸点268℃，167℃（2.27kPa），相对密度1.085。微溶于水，易溶于乙醇、乙醚、氯仿。</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246"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盐酸副玫瑰苯胺</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碱性红9是一种碱性染料，也被称为酚酞红。它属于偶氮染料的一种，化学名称为1-(phenylazo)-2-naphthol-3,6-disulfonic acid。它具有鲜艳的红色，可溶于水和乙醇，不溶于有机溶剂。碱性红9在酸性条件下呈淡黄色，而在碱性条件下呈红色。</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76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溴甲酚绿乙醇溶液</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溴甲酚绿呈绿色结晶粉末状。其溶解度较高，可以在醇、酮、酯等有机溶剂中溶解，稍微溶于水。溴甲酚绿是一种酚酞类指示剂，可在酸性溶液中由黄色变为绿色。</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85"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甲基红</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甲基红为红色结晶粉末。可溶于水、醇、醚等有机溶剂。在酸性溶液中呈红色，而在碱性溶液中呈黄色。具有一定的光和热稳定性，但容易被还原物质脱色。</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4"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碱性品红乙醇溶液</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黄绿色闪光结晶块状或砂状物。溶于冷、热水中呈红紫色，极易溶于酒精中呈红色。遇浓硫酸呈黄棕色，稀释后几乎无色。其水溶液加氢氧化钠液呈带有红色沉淀的几乎无色液体。</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456"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碱石灰</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本品为白色或灰白色颗粒，或含有着色指示剂的颗粒，以显示本品的二氧化碳吸收力。</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384"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三甲胺水溶液</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本品无水物为无色液化气体。有鱼腥的氨气味。能溶于水、乙醇和乙醚。易燃烧，其蒸气与空气形成爆炸性混合物，爆炸极限为2%～11.6%。自燃点190℃。相对密度(d20)0.632。凝固点-117.1℃。沸点2.9℃。闪点（闭杯）-6.67℃。临界温度161℃。燃烧热2357kj/mol。临界压力4.154kPa。40%三甲胺水溶液的沸点26.</w:t>
                  </w:r>
                  <w:r>
                    <w:rPr>
                      <w:rFonts w:hint="default" w:ascii="Times New Roman" w:hAnsi="Times New Roman"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7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溴代十六烷基三甲胺</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白色为淡黄色的固体或胶状液体。易溶于水(10份水)、乙醇，微溶于丙酮，几乎不溶于醚和苯。耐热、耐光、耐</w:t>
                  </w:r>
                  <w:r>
                    <w:rPr>
                      <w:rFonts w:hint="eastAsia" w:cs="Times New Roman"/>
                      <w:i w:val="0"/>
                      <w:iCs w:val="0"/>
                      <w:color w:val="auto"/>
                      <w:kern w:val="0"/>
                      <w:sz w:val="21"/>
                      <w:szCs w:val="21"/>
                      <w:highlight w:val="none"/>
                      <w:u w:val="none"/>
                      <w:lang w:val="en-US" w:eastAsia="zh-CN" w:bidi="ar"/>
                    </w:rPr>
                    <w:t>强碱</w:t>
                  </w:r>
                  <w:r>
                    <w:rPr>
                      <w:rFonts w:hint="default" w:ascii="Times New Roman" w:hAnsi="Times New Roman" w:eastAsia="宋体" w:cs="Times New Roman"/>
                      <w:i w:val="0"/>
                      <w:iCs w:val="0"/>
                      <w:color w:val="auto"/>
                      <w:kern w:val="0"/>
                      <w:sz w:val="21"/>
                      <w:szCs w:val="21"/>
                      <w:highlight w:val="none"/>
                      <w:u w:val="none"/>
                      <w:lang w:val="en-US" w:eastAsia="zh-CN" w:bidi="ar"/>
                    </w:rPr>
                    <w:t>和耐强碱。具有优良的表面活性、稳定性和生物降解性。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1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液体石蜡</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无色半透明状液体，无味，无臭，可溶于乙醚、石油醚、挥发油，可与多数非挥发性油混溶（不包括蓖麻油），不溶于水和乙醇。对光、热、酸稳定，但长时间受热或光照会慢慢氧化。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甲基异丁基丙酮</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白色或微黄色透明液体，具有芳香味。熔点-44℃，沸点164℃(167.9℃)，72℃(2.67kPa)，63-64℃(1.47kPa)，</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"https://baike.so.com/doc/720555-762868.html"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闪点</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13℃，相对密度0.9387(20℃)，折射率1.4232。可溶于水;乙醇</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乙醚和氯仿等，不稳定，与碱作用或在</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"https://baike.so.com/doc/3425855-3605576.html"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常压蒸馏</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时即分解。室温下长期储存易 聚合。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866"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硫代乙酰胺</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或白色结晶。熔点113-114℃，25℃水中的溶解度16.3g/100ml，乙醇26.4g/100ml。极微溶于苯、乙醚。其水溶液在室温或50-60℃时相当稳定，但当有氢离子存在时，很快产生硫代氢而分解。新制品有时有硫醇臭、微吸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甲醛试剂纯度40%</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液体。能与水、乙醇、丙酮任意混溶。在空气中能逐渐被氧化为甲酸，是强还原剂。其蒸气与空气形成爆炸性混合物，遇明火、高热能引起燃烧爆炸。在一般商品中，都加入10%～12%的甲醇作为抑制剂，否则会发生聚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对二甲氨基苯甲醛</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白色或淡黄色叶状结晶或粉末。熔点74℃，沸点176-177℃（2.27kPa），闪点164℃。溶于醇、醚、丙酮、氯仿和乙酸，微溶于水。有苯甲醛样气味，遇光渐变红色。</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17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四氯化碳</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四氯化碳是一种无色有毒液体，能溶解脂肪、油漆等多种物质，易挥发液体，具氯仿的微甜气味。分子量153.84，在常温常压下密度1.595g/cm³(20℃)，沸点76.8℃，蒸气压15.26kPa(25℃)，蒸气密度5.3g/L。四氯化碳与水互不相溶，可与乙醇、</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"https://baike.so.com/doc/1041070-1101158.html"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乙醚</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、氯仿及</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"https://baike.so.com/doc/721112-763466.html"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石油醚</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等混溶。</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三乙胺纯度99%</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易挥发液体，有强烈氨味，易燃。微溶于水，溶于乙醇、乙醚等多数有机溶剂。在空气中的爆炸极限为1.2%～8.0%。呈碱性。其蒸气与空气形成爆炸性混合物，遇明火、高热能引起燃烧爆炸。与氧化剂能发生强烈反应。</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64"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1,3-二苯基脲</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w:t>
                  </w:r>
                  <w:r>
                    <w:rPr>
                      <w:rFonts w:hint="eastAsia" w:cs="Times New Roman"/>
                      <w:i w:val="0"/>
                      <w:iCs w:val="0"/>
                      <w:color w:val="auto"/>
                      <w:kern w:val="0"/>
                      <w:sz w:val="21"/>
                      <w:szCs w:val="21"/>
                      <w:highlight w:val="none"/>
                      <w:u w:val="none"/>
                      <w:lang w:val="en-US" w:eastAsia="zh-CN" w:bidi="ar"/>
                    </w:rPr>
                    <w:t>菱</w:t>
                  </w:r>
                  <w:r>
                    <w:rPr>
                      <w:rFonts w:hint="default" w:ascii="Times New Roman" w:hAnsi="Times New Roman" w:eastAsia="宋体" w:cs="Times New Roman"/>
                      <w:i w:val="0"/>
                      <w:iCs w:val="0"/>
                      <w:color w:val="auto"/>
                      <w:kern w:val="0"/>
                      <w:sz w:val="21"/>
                      <w:szCs w:val="21"/>
                      <w:highlight w:val="none"/>
                      <w:u w:val="none"/>
                      <w:lang w:val="en-US" w:eastAsia="zh-CN" w:bidi="ar"/>
                    </w:rPr>
                    <w:t>状体结晶。熔点239-240℃，沸点260℃，相对密度1.239。溶于冰醋酸、乙醚、微溶于吡啶，极微溶于水、醇、丙酮和氯仿。</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564"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甲酸钠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无色结晶。微有甲酸气味。有潮解性。微溶于乙醇。其水溶液呈中性，pH值约为7。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丙烯基硫脲</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白色结晶。微有蒜臭味。能溶于30份水，溶于乙醇。溶解度：67g/l水(20°C)， 1370g/l甲醇；不溶于苯，溶于乙醚，硼酸、苯甲酸和聚氨酯溶液；微溶于70%乙醇。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乙撑硫脲</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白色至淡绿色晶体，具有微弱的氨臭。微溶于冷水，易溶于热水，在室温下微溶于乙醇、甲醇、醋酸和汽油中，不溶于丙酮、乙醚和氯仿中。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乙醇胺</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常温下为无色透明黏稠的液体，具有吸湿性和氨臭味。能与水、乙醇和丙酮等混溶，微溶于苯、乙醚、四氯化碳、乙醇和氯仿。与硫酸、硝酸、盐酸等强酸发生剧烈反应。与无机酸和有机酸反应生成酯；可燃，遇高温、明火或与氧化剂接触时有燃烧的危险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三乙醇胺</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在常温下为无色透明黏稠液体，有轻微的氨味。具有吸湿性，可以吸收空气中的水分和二氧化碳。能与水和醇任意混合，溶于氯仿，微</w:t>
                  </w:r>
                  <w:r>
                    <w:rPr>
                      <w:rFonts w:hint="eastAsia" w:cs="Times New Roman"/>
                      <w:i w:val="0"/>
                      <w:iCs w:val="0"/>
                      <w:color w:val="auto"/>
                      <w:kern w:val="0"/>
                      <w:sz w:val="21"/>
                      <w:szCs w:val="21"/>
                      <w:highlight w:val="none"/>
                      <w:u w:val="none"/>
                      <w:lang w:val="en-US" w:eastAsia="zh-CN" w:bidi="ar"/>
                    </w:rPr>
                    <w:t>溶于</w:t>
                  </w:r>
                  <w:r>
                    <w:rPr>
                      <w:rFonts w:hint="default" w:ascii="Times New Roman" w:hAnsi="Times New Roman" w:eastAsia="宋体" w:cs="Times New Roman"/>
                      <w:i w:val="0"/>
                      <w:iCs w:val="0"/>
                      <w:color w:val="auto"/>
                      <w:kern w:val="0"/>
                      <w:sz w:val="21"/>
                      <w:szCs w:val="21"/>
                      <w:highlight w:val="none"/>
                      <w:u w:val="none"/>
                      <w:lang w:val="en-US" w:eastAsia="zh-CN" w:bidi="ar"/>
                    </w:rPr>
                    <w:t>苯和醚。0.1mol/L溶液的pH为10.5。遇高热、明火或与氧化剂接触，有引起燃烧的危险。其水溶液有腐蚀性。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弗洛里硅土</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合成的硅酸镁，其组成可有所不同，但氧化镁(MgO)和二氧化硅(SiO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)的摩尔比平均为2</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5。白色细粉，无臭，无味，无沙砾感。略有吸湿性。易受无机酸分解。10%混悬液的pH值为7.0～10.8。不溶于水和乙醇。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34"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硫酸氢钾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硫酸氢钾是一种白色结晶固体，在常温下易溶于水。其溶液呈强酸性，可以腐蚀金属、皮肤和眼睛。在高温下可以失水结晶，生成硫酸钾。</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5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二水硝普酸钠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亚硝基铁氰化钠是无色结晶体，常以无水盐的形式存在。在干燥条件下相对稳定，但不稳定于潮湿的空气中。易溶于水，但不溶于有机溶剂。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柠檬酸钠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别名枸橼酸钠，是一种有机化合物，外观为白色到无色</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"https://baike.so.com/doc/191492-202333.html"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晶体</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。无臭</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有清凉咸辣味。常温及空气中稳定</w:t>
                  </w: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在湿空气中微有溶解性</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在热空气中产生风化现象。加热至150℃失去结晶水。易溶于水、可溶于甘油、难溶于醇类及其他有机溶剂，过热分解，在潮湿的环境中微有潮解，在热空气中微有风化，其溶液pH值约为8。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锌粒（易制爆）</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锌为蓝白色金属（紧密堆积六方晶系）。粉末为浅灰色的细小粉末。熔点419. 58℃。沸点907℃。相对密度7.14。蒸汽压0.13kPa(487℃)。溶于无机酸、碱、醋酸，不溶于水。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酒石酸</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酒石酸是无色结晶性固体，在水中溶解度较高。它具有酸性，可与碱反应生成相应的盐。它可与一些金属离子形成配合物，具有稳定性。酒石酸在空气中稳定，不易受到氧化。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酒石酸锑氢钾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无色或白色结晶性粉末。相对Density1.984。易溶于稀无机酸、碱溶液或硼砂溶液。不溶于乙醇或乙酸。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3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酒石酸锑钾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本品为无色透明结晶体或白色粉末。相对密度2.607。〔α]D20为141°。在空气中会慢慢风化。100℃失去结晶水。溶于水及甘油。不溶于酒精。水溶液呈弱碱性。遇单宁酸生成白色沉淀。</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215"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酒石酸钾钠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bookmarkStart w:id="39" w:name="2677610-7125003-3_2"/>
                  <w:bookmarkEnd w:id="39"/>
                  <w:r>
                    <w:rPr>
                      <w:rFonts w:hint="default" w:ascii="Times New Roman" w:hAnsi="Times New Roman" w:eastAsia="宋体" w:cs="Times New Roman"/>
                      <w:i w:val="0"/>
                      <w:iCs w:val="0"/>
                      <w:color w:val="auto"/>
                      <w:kern w:val="0"/>
                      <w:sz w:val="21"/>
                      <w:szCs w:val="21"/>
                      <w:highlight w:val="none"/>
                      <w:u w:val="none"/>
                      <w:lang w:val="en-US" w:eastAsia="zh-CN" w:bidi="ar"/>
                    </w:rPr>
                    <w:t>四水物为白色结晶粉末。60℃开始失去部分结晶水，100℃时失去三分子结晶水，130～140℃时变为无水物，220℃开始分解。溶于0.9份水中，几乎不溶于乙醇，水溶液呈微碱性pH为7～8。在热空气中稍有风化性。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587"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尿素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白色柱状结晶或结晶性粉末。lg该品溶于1mL水、10mL 95%乙醇、1mL 95%沸乙醇、20mL无水乙醇、6mL甲醇、2mL甘油，溶于浓盐酸，几乎不溶于乙醚、三氯甲烷。加热至熔点以上时分解成缩二脲、氨和三聚氰酸。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27"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焦磷酸钠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白色粉状或结晶。相对密度2.534，熔点880℃，沸点938℃。无色透明结晶或白色结晶粉末。易溶于水，20℃时100g水中的溶解度为6.23，其水溶液呈碱性</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不溶于醇。水溶液在70℃以下尚稳定，煮沸则水解成磷酸氢二钠。在干燥空气中风化，在100℃失去结晶水。在空气中易吸收水分而潮解。与碱土金属离子能生成络合物</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与Ag+相遇时生成白色的</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"https://baike.so.com/doc/1023184-1082166.html"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焦磷酸银</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572"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磷酸氢二钠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白色粉末、片状或粒状物。易溶于水，其水溶液呈碱性；不溶于醇。易潮解。暴露在潮湿空气中吸收水分生成二水物至七水物。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07"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七水合磷酸氢二钠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磷酸氢二钠七水合物为无色结晶固体。可溶于水，溶解度随温度升高而增加。溶液呈碱性，pH值较高。对热和光较稳定。</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574"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聚乙烯醇磷酸铵</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聚乙烯醇磷酸铵为无色或微黄色固体，具有良好的溶解性和吸湿性。它在水中可溶解，可形成胶体溶液，也溶于醇、酮和酸性溶液中。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磷酸二氢铵</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磷酸二氢铵为无色透明的正方晶系粗大或细小晶体。相对密度(19℃)1.803，熔点150℃。易溶于水，微溶于醇，不溶于酮。在空气中稳定，加热到100～110℃不会失去氨；加热到130℃以上时开始分解，并逐步放出氨和水，生成偏磷酸铵和磷酸的混合物。其水溶液呈酸性，1%溶液的pH值为4.5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氯乙烯</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易液化气体。具有醚臭。微溶于水。水中溶解度（%，体积）：0℃0.81；10℃0.57；20℃0.29。溶于乙醇、乙醚、四氯化碳、苯。液体相对密度（0.9106。沸点-13.8℃。熔点-153.8℃。蒸气压(20℃)337.3kPa。折射率1.4046。闪点（闭杯）- 17.8℃。自燃点472℃。爆炸极限（在空气中）3.6%～26. 4%（体积）。可发生聚合、共聚、加成、缩合、取代等反应，生产出多种产品。</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水杨酸</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白色针状结晶或单斜</w:t>
                  </w:r>
                  <w:r>
                    <w:rPr>
                      <w:rFonts w:hint="eastAsia" w:cs="Times New Roman"/>
                      <w:i w:val="0"/>
                      <w:iCs w:val="0"/>
                      <w:color w:val="auto"/>
                      <w:kern w:val="0"/>
                      <w:sz w:val="21"/>
                      <w:szCs w:val="21"/>
                      <w:highlight w:val="none"/>
                      <w:u w:val="none"/>
                      <w:lang w:val="en-US" w:eastAsia="zh-CN" w:bidi="ar"/>
                    </w:rPr>
                    <w:t>菱</w:t>
                  </w:r>
                  <w:r>
                    <w:rPr>
                      <w:rFonts w:hint="default" w:ascii="Times New Roman" w:hAnsi="Times New Roman" w:eastAsia="宋体" w:cs="Times New Roman"/>
                      <w:i w:val="0"/>
                      <w:iCs w:val="0"/>
                      <w:color w:val="auto"/>
                      <w:kern w:val="0"/>
                      <w:sz w:val="21"/>
                      <w:szCs w:val="21"/>
                      <w:highlight w:val="none"/>
                      <w:u w:val="none"/>
                      <w:lang w:val="en-US" w:eastAsia="zh-CN" w:bidi="ar"/>
                    </w:rPr>
                    <w:t>晶，有辛辣味。易燃。低毒。在空气中稳定，但遇光渐渐改变颜色。熔点159℃。相对密度1.443。沸点211℃。在76℃时升华。微溶于水，溶于丙酮、松节油、乙醇、乙醚、苯和氯仿。其水溶液呈酸性反应。</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水杨基荧光酮</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水杨基荧光酮是一种有机化合物。它是一种淡黄色至黄色固体，可溶于有机溶剂如乙醇和氯仿。具有荧光性质，可在紫外光或蓝光激发下发出黄绿色荧光。</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523"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盐酸肼</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盐酸肼（化学式：ClH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r>
                    <w:rPr>
                      <w:rFonts w:hint="default" w:ascii="Times New Roman" w:hAnsi="Times New Roman" w:eastAsia="宋体" w:cs="Times New Roman"/>
                      <w:i w:val="0"/>
                      <w:iCs w:val="0"/>
                      <w:color w:val="auto"/>
                      <w:kern w:val="0"/>
                      <w:sz w:val="21"/>
                      <w:szCs w:val="21"/>
                      <w:highlight w:val="none"/>
                      <w:u w:val="none"/>
                      <w:lang w:val="en-US" w:eastAsia="zh-CN" w:bidi="ar"/>
                    </w:rPr>
                    <w:t>N</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）是一种无色结晶体，具有刺激性气味。它的密度为1.500，熔点为89°C(lit.)，沸点为240°C。盐酸肼在水中溶解度较高。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24"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盐酸萘乙二胺</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N-(1-萘)乙二胺盐酸盐是一种白色至淡黄色结晶固体，可溶于水和一些有机溶剂。在空气中稳定。该化合物具有碱性。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盐酸羟胺</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或白色单斜晶系结晶。相对密度1.67(17℃)。熔点151℃，常温下较稳定，加热高于151℃时则分解。易溶于水，溶于乙醇、甘油，不溶于乙醚。吸湿性强，受潮后逐渐分解，放出腐蚀性、刺激性的烟雾。具有较强的还原性。有腐蚀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霍加拉特氧化剂</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霍加拉特氧化剂主要成分为氧化锰(MnO)和氧化铜(CUO)，它的作用是将空气中的一氧化碳氧化成二氧化碳，用于仪器调零。此氧化剂在100℃以下的氧化效率应达到100%。为保证其氧化效率，在使用存放过程中应保持干燥。</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铬黑T</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化学性质 黑褐色粉状。溶于水，并呈枣红至桨红色；稍溶于醇，并呈棕光品红色；微溶于丙酮。在浓硫酸中呈暗蓝色，稀释后呈浅红棕色；在浓硝酸中呈枯桔黄色。其水溶液，加浓盐酸无大变化；加氢氧化钠浓溶液转棕光品红色。水中溶解度（90℃）为25g/L。染色时遇铜、铁，色光影响较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28"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麝香草酚</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白色结晶或结晶性粉末，具有百里香油的香气。溶于乙醇等有机溶剂，微溶于水和甘油。有强烈的腐蚀作用。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596"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氢氧化锆</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w:t>
                  </w:r>
                  <w:r>
                    <w:rPr>
                      <w:rFonts w:hint="eastAsia" w:cs="Times New Roman"/>
                      <w:i w:val="0"/>
                      <w:iCs w:val="0"/>
                      <w:color w:val="auto"/>
                      <w:kern w:val="0"/>
                      <w:sz w:val="21"/>
                      <w:szCs w:val="21"/>
                      <w:highlight w:val="none"/>
                      <w:u w:val="none"/>
                      <w:lang w:val="en-US" w:eastAsia="zh-CN" w:bidi="ar"/>
                    </w:rPr>
                    <w:t>无定形</w:t>
                  </w:r>
                  <w:r>
                    <w:rPr>
                      <w:rFonts w:hint="default" w:ascii="Times New Roman" w:hAnsi="Times New Roman" w:eastAsia="宋体" w:cs="Times New Roman"/>
                      <w:i w:val="0"/>
                      <w:iCs w:val="0"/>
                      <w:color w:val="auto"/>
                      <w:kern w:val="0"/>
                      <w:sz w:val="21"/>
                      <w:szCs w:val="21"/>
                      <w:highlight w:val="none"/>
                      <w:u w:val="none"/>
                      <w:lang w:val="en-US" w:eastAsia="zh-CN" w:bidi="ar"/>
                    </w:rPr>
                    <w:t>粉末，无毒无味，不溶于水，易溶于盐酸等无机酸。不溶于水和碱溶液，在500℃时分解成二氧化锆和水。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氢氧化钡</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性状白色单斜晶系晶体。熔点78℃，相对密度2.18(16℃)，溶解性微溶于乙醇。溶于水，其水溶液呈强碱性。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446"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4-氨基苯磺酰胺</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无色或浅黄色结晶或晶体粉末。可溶于酸、碱和有机溶剂，稍溶于水。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4-氨基安替比林</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一种白色结晶粉末，可溶于水和有机溶剂。它作为一种β2-肾上腺素能受体激动剂，能够刺激肾上腺素能受体，促进支气管平滑肌的松弛，从而减少支气管痉挛和炎症反应。</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硝酸锌</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无色四方晶体。相对密度2.065(14℃)。熔点36.4℃。加热到105～131℃失去6个结晶水。溶于水和乙醇。其水溶液呈酸性(pH=4)。易潮解。加热时分解放出氧化氮气体，先转变成碱式盐Zn(NO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·3Z</w:t>
                  </w:r>
                  <w:r>
                    <w:rPr>
                      <w:rFonts w:hint="default" w:ascii="Times New Roman" w:hAnsi="Times New Roman" w:cs="Times New Roman"/>
                      <w:i w:val="0"/>
                      <w:iCs w:val="0"/>
                      <w:color w:val="auto"/>
                      <w:kern w:val="0"/>
                      <w:sz w:val="21"/>
                      <w:szCs w:val="21"/>
                      <w:highlight w:val="none"/>
                      <w:u w:val="none"/>
                      <w:lang w:val="en-US" w:eastAsia="zh-CN" w:bidi="ar"/>
                    </w:rPr>
                    <w:t>n</w:t>
                  </w:r>
                  <w:r>
                    <w:rPr>
                      <w:rFonts w:hint="default" w:ascii="Times New Roman" w:hAnsi="Times New Roman" w:eastAsia="宋体" w:cs="Times New Roman"/>
                      <w:i w:val="0"/>
                      <w:iCs w:val="0"/>
                      <w:color w:val="auto"/>
                      <w:kern w:val="0"/>
                      <w:sz w:val="21"/>
                      <w:szCs w:val="21"/>
                      <w:highlight w:val="none"/>
                      <w:u w:val="none"/>
                      <w:lang w:val="en-US" w:eastAsia="zh-CN" w:bidi="ar"/>
                    </w:rPr>
                    <w:t>(OH)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，然后形成氧化锌。与有机物接触能引起燃烧和爆炸。燃烧时放出氧化氨气体。有毒！</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硝酸钠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硝酸钠在室温下为无色透明的菱形结晶，或白色或微带黄色的颗粒或粉末。味咸，略苦。在湿空气中易潮解。相对密度2.257</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熔点308℃，沸点308℃，并在沸腾时分解而生成NaNO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和O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。极易溶于水、液氨和甘油，难溶于乙醇、甲醇，极难溶于丙酮。400～600℃时放出N</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和O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；热至700℃时放出NO；775～865℃时有少量NO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和N</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O生成。分解后的残留物为N</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O。在溶解于水中时，水温下降，水溶液呈中性。硝酸钠是一种氧化剂，与木屑、布、油类等有机物接触时，能引起燃烧和爆炸。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71"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硝酸镧</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白色粉状结晶，有吸湿性，熔点约40℃，沸点126℃。易溶于水和醇，加热至熔点以上形成碱式盐。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三氧化铬</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暗红色双锥体三棱柱状结晶或薄片、颗粒、粉末。易潮解。易溶于水，溶于乙醇、乙醚、硝酸、硫酸。熔点197℃；相对密度2.70。250℃时分解为三氧化二铬和氧气。与易燃物和可燃物接触会发生剧烈反应，甚至引起燃烧。强氧化剂。与还原性物质如镁粉、铝粉、硫、磷等混合后，经摩擦或撞击，能引起燃烧或爆炸。具有较强的腐蚀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561"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氧化亚锡</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氧化亚锡是一种无色或淡黄色固体，具有金属氧化物的典型特性。它具有半导体性质，可以在一定温度下导电。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石英砂</w:t>
                  </w:r>
                </w:p>
              </w:tc>
              <w:tc>
                <w:tcPr>
                  <w:tcW w:w="7164" w:type="dxa"/>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二氧化硅为无色透明晶体或无定形粉末，无味。熔点为1710℃（方石英），1670℃（鳞石英）；沸点为2230℃。几乎不溶于水郓普通酸，能溶于氢氟酸生成氟化硅气体，缓慢地与热浓磷酸作用。无定形粉末能与碱起作用。物理和化学性质稳定，易成型，本身惰性，熔融物呈层状，加热时膨胀系数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212"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二苯基碳酰二肼</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二苯基甲酰肼是一种有机化合物。它几乎不溶于水，但可溶于有机溶剂如醇和醚。该化合物是稳定的，但在较高温度下可能发生分解。二苯基甲酰肼可用作有机合成中的还原剂。它可以将酮和醛还原为相应的醇或伯胺。它也可用于还原亲电芳香化合物、氮氧杂环化合物和双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喹啉</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无色液体，日久变黄，有特殊气味。相对密度(水一1)1.09。熔点-14.5℃。沸点237.7℃。蒸气压0.13kPa/59.7℃。闪点99℃。溶于水、醇、醚、二硫化碳等多数有机溶剂。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聚乙二醇</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本品为白色粒状物。溶于水，溶于某些有机溶剂。其溶液在低浓度下具有很高的黏性，可用压延、挤压、铸塑等方式进行加工，是一种热塑性树脂，与其他树脂的相容性好。耐细菌侵蚀，在大气中的吸湿性较弱。</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靛蓝二磺酸钠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靛蓝二磺酸钠，也被称为亚甲基蓝，是一种有机染料，常用于生物学和化学实验中的染色剂。生化实验：靛蓝二磺酸钠可以用作凝胶电泳的染色剂，用于分离和检测DNA和蛋白质。细胞培养：作为一种活细胞染色剂，靛蓝二磺酸钠可以用于细胞培养中的细胞计数和细胞存活率的测定。</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二乙酰一肟</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联乙酰一肟为无色至浅黄色固体。联乙酰一肟在常温下是相对稳定的。联乙酰一肟在有机合成领域中广泛应用，特别是作为有机化合物的保护基团。它可以用于保护羟基或氨基，防止在化学反应中发生其他位点的反应。联乙酰一肟还可用作合成中间体，用于合成其他有机化合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二乙基二硫代氨基甲酸银</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是一种白色结晶固体，在常温常压下稳定。在空气中可以稳定存在，但在与金属相接触时可能会氧化。在水中不溶解，但可溶于一些有机溶剂。为银化合物的中间体。用于合成其他有机银化合物、硫化银和银纳米颗粒等。用作荧光探针和光敏材料的前体，具有潜在的生物医学应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二乙基二硫代氨基甲酸钠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二乙胺</w:t>
                  </w:r>
                  <w:r>
                    <w:rPr>
                      <w:rFonts w:hint="eastAsia" w:cs="Times New Roman"/>
                      <w:i w:val="0"/>
                      <w:iCs w:val="0"/>
                      <w:color w:val="auto"/>
                      <w:kern w:val="0"/>
                      <w:sz w:val="21"/>
                      <w:szCs w:val="21"/>
                      <w:highlight w:val="none"/>
                      <w:u w:val="none"/>
                      <w:lang w:val="en-US" w:eastAsia="zh-CN" w:bidi="ar"/>
                    </w:rPr>
                    <w:t>磺酸</w:t>
                  </w:r>
                  <w:r>
                    <w:rPr>
                      <w:rFonts w:hint="default" w:ascii="Times New Roman" w:hAnsi="Times New Roman" w:eastAsia="宋体" w:cs="Times New Roman"/>
                      <w:i w:val="0"/>
                      <w:iCs w:val="0"/>
                      <w:color w:val="auto"/>
                      <w:kern w:val="0"/>
                      <w:sz w:val="21"/>
                      <w:szCs w:val="21"/>
                      <w:highlight w:val="none"/>
                      <w:u w:val="none"/>
                      <w:lang w:val="en-US" w:eastAsia="zh-CN" w:bidi="ar"/>
                    </w:rPr>
                    <w:t>钠是一种有机化合物。它通常呈无色或白色结晶固体。二乙</w:t>
                  </w:r>
                  <w:r>
                    <w:rPr>
                      <w:rFonts w:hint="eastAsia" w:cs="Times New Roman"/>
                      <w:i w:val="0"/>
                      <w:iCs w:val="0"/>
                      <w:color w:val="auto"/>
                      <w:kern w:val="0"/>
                      <w:sz w:val="21"/>
                      <w:szCs w:val="21"/>
                      <w:highlight w:val="none"/>
                      <w:u w:val="none"/>
                      <w:lang w:val="en-US" w:eastAsia="zh-CN" w:bidi="ar"/>
                    </w:rPr>
                    <w:t>胺盐</w:t>
                  </w:r>
                  <w:r>
                    <w:rPr>
                      <w:rFonts w:hint="default" w:ascii="Times New Roman" w:hAnsi="Times New Roman" w:eastAsia="宋体" w:cs="Times New Roman"/>
                      <w:i w:val="0"/>
                      <w:iCs w:val="0"/>
                      <w:color w:val="auto"/>
                      <w:kern w:val="0"/>
                      <w:sz w:val="21"/>
                      <w:szCs w:val="21"/>
                      <w:highlight w:val="none"/>
                      <w:u w:val="none"/>
                      <w:lang w:val="en-US" w:eastAsia="zh-CN" w:bidi="ar"/>
                    </w:rPr>
                    <w:t>酸钠是一种较强的碱，具有碱性性质。它能溶解于水或醇类溶剂，生成可溶于水的溶液。二乙</w:t>
                  </w:r>
                  <w:r>
                    <w:rPr>
                      <w:rFonts w:hint="eastAsia" w:cs="Times New Roman"/>
                      <w:i w:val="0"/>
                      <w:iCs w:val="0"/>
                      <w:color w:val="auto"/>
                      <w:kern w:val="0"/>
                      <w:sz w:val="21"/>
                      <w:szCs w:val="21"/>
                      <w:highlight w:val="none"/>
                      <w:u w:val="none"/>
                      <w:lang w:val="en-US" w:eastAsia="zh-CN" w:bidi="ar"/>
                    </w:rPr>
                    <w:t>胺盐</w:t>
                  </w:r>
                  <w:r>
                    <w:rPr>
                      <w:rFonts w:hint="default" w:ascii="Times New Roman" w:hAnsi="Times New Roman" w:eastAsia="宋体" w:cs="Times New Roman"/>
                      <w:i w:val="0"/>
                      <w:iCs w:val="0"/>
                      <w:color w:val="auto"/>
                      <w:kern w:val="0"/>
                      <w:sz w:val="21"/>
                      <w:szCs w:val="21"/>
                      <w:highlight w:val="none"/>
                      <w:u w:val="none"/>
                      <w:lang w:val="en-US" w:eastAsia="zh-CN" w:bidi="ar"/>
                    </w:rPr>
                    <w:t>酸钠在水溶液中能与酸反应，中和酸的作用。它也能与一些金属离子形成络合物。在使用和储存时应注意安全。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丁二酮肟</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晶体。熔点238-240℃。溶于醇、醚、丙酮和吡啶。每升水只能溶解0.5g，在氯仿、甲苯、二甲苯中溶解度也很小。DMF在化学实验室和工业中有广泛的应用。它也被用作合成反应中的催化剂和中间体，常见于有机合成反应中。DMF还可用于染料工业、塑料工业和合成纤维工业等领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80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吡咯二硫代氨基甲酸铵</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白色结晶固体，可溶于水和一些有机溶剂。它是弱酸性物质，在水溶液中呈酸性，可与金属形成络合物。它的稳定性较好，不易分解。</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无水硫酸铝</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固体硫酸铝为白色、灰绿色或浅黄色片状或块状固体，液体硫酸铝为浅绿色或浅黄色液体。溶于水、酸和碱，不溶于醇。水溶液呈酸性，水解后生成氢氧化铝。</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无水二价硫酸锰溶液</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浅粉红色单斜晶系细结晶。相对密度2.95。易溶于水，不溶于乙醇。加热到200℃以上开始失去结晶水，约280℃时失去大部分结晶水．700℃时成无水盐熔融物。850℃时开始分解，因条件不同而放出三氧化硫、二氧化硫或氧气，残留黑色的不溶性四氧化三锰约在1150℃完全分解。</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无水氯化钙</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立方结晶。一般工业产品为白色或灰白色多孔块状或粒状、蜂窝状。无臭、味微苦。相对密度2.15。熔点782℃。沸点1600℃以上。吸湿性极强，暴露于空气中极易潮解。易溶于水，同时放出大量的热，其水溶液呈微酸性。溶于醇、丙酮、醋酸。与氨或乙醇作用，分别生成CaCl</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·8NH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和CaC</w:t>
                  </w:r>
                  <w:r>
                    <w:rPr>
                      <w:rFonts w:hint="eastAsia" w:cs="Times New Roman"/>
                      <w:i w:val="0"/>
                      <w:iCs w:val="0"/>
                      <w:color w:val="auto"/>
                      <w:kern w:val="0"/>
                      <w:sz w:val="21"/>
                      <w:szCs w:val="21"/>
                      <w:highlight w:val="none"/>
                      <w:u w:val="none"/>
                      <w:lang w:val="en-US" w:eastAsia="zh-CN" w:bidi="ar"/>
                    </w:rPr>
                    <w:t>l</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·4C</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H</w:t>
                  </w:r>
                  <w:r>
                    <w:rPr>
                      <w:rFonts w:hint="eastAsia" w:cs="Times New Roman"/>
                      <w:i w:val="0"/>
                      <w:iCs w:val="0"/>
                      <w:color w:val="auto"/>
                      <w:kern w:val="0"/>
                      <w:sz w:val="21"/>
                      <w:szCs w:val="21"/>
                      <w:highlight w:val="none"/>
                      <w:u w:val="none"/>
                      <w:vertAlign w:val="subscript"/>
                      <w:lang w:val="en-US" w:eastAsia="zh-CN" w:bidi="ar"/>
                    </w:rPr>
                    <w:t>5</w:t>
                  </w:r>
                  <w:r>
                    <w:rPr>
                      <w:rFonts w:hint="default" w:ascii="Times New Roman" w:hAnsi="Times New Roman" w:eastAsia="宋体" w:cs="Times New Roman"/>
                      <w:i w:val="0"/>
                      <w:iCs w:val="0"/>
                      <w:color w:val="auto"/>
                      <w:kern w:val="0"/>
                      <w:sz w:val="21"/>
                      <w:szCs w:val="21"/>
                      <w:highlight w:val="none"/>
                      <w:u w:val="none"/>
                      <w:lang w:val="en-US" w:eastAsia="zh-CN" w:bidi="ar"/>
                    </w:rPr>
                    <w:t>OH络合物。在常温下由水溶液结晶而析出的常为六水物，逐渐加热至30℃时则溶解在自身的结晶水中，继续加热逐渐失水，至200℃时变为二水物，再加热至260℃则变为白色多孔状的无水氯化钙。</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PrEx>
              <w:trPr>
                <w:trHeight w:val="551"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乙醇</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无色透明液体。是在78.01℃馏出的与水共沸的混合物。易挥发。能与水及丙三醇、三氯甲烷、苯、乙醚等有机溶剂相混溶。</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28"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乙二胺四乙酸二钠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本品为白色或类白色结晶性粉末；无臭。本品在水中溶解，在甲醇、乙醇或三氯甲烷中几乎不溶。</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硝基苯-d5</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暗紫色结晶。熔点217℃（分解）。其盐酸盐（C</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14</w:t>
                  </w:r>
                  <w:r>
                    <w:rPr>
                      <w:rFonts w:hint="default" w:ascii="Times New Roman" w:hAnsi="Times New Roman" w:eastAsia="宋体" w:cs="Times New Roman"/>
                      <w:i w:val="0"/>
                      <w:iCs w:val="0"/>
                      <w:color w:val="auto"/>
                      <w:kern w:val="0"/>
                      <w:sz w:val="21"/>
                      <w:szCs w:val="21"/>
                      <w:highlight w:val="none"/>
                      <w:u w:val="none"/>
                      <w:lang w:val="en-US" w:eastAsia="zh-CN" w:bidi="ar"/>
                    </w:rPr>
                    <w:t>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12</w:t>
                  </w:r>
                  <w:r>
                    <w:rPr>
                      <w:rFonts w:hint="default" w:ascii="Times New Roman" w:hAnsi="Times New Roman" w:eastAsia="宋体" w:cs="Times New Roman"/>
                      <w:i w:val="0"/>
                      <w:iCs w:val="0"/>
                      <w:color w:val="auto"/>
                      <w:kern w:val="0"/>
                      <w:sz w:val="21"/>
                      <w:szCs w:val="21"/>
                      <w:highlight w:val="none"/>
                      <w:u w:val="none"/>
                      <w:lang w:val="en-US" w:eastAsia="zh-CN" w:bidi="ar"/>
                    </w:rPr>
                    <w:t>N</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6</w:t>
                  </w:r>
                  <w:r>
                    <w:rPr>
                      <w:rFonts w:hint="default" w:ascii="Times New Roman" w:hAnsi="Times New Roman" w:eastAsia="宋体" w:cs="Times New Roman"/>
                      <w:i w:val="0"/>
                      <w:iCs w:val="0"/>
                      <w:color w:val="auto"/>
                      <w:kern w:val="0"/>
                      <w:sz w:val="21"/>
                      <w:szCs w:val="21"/>
                      <w:highlight w:val="none"/>
                      <w:u w:val="none"/>
                      <w:lang w:val="en-US" w:eastAsia="zh-CN" w:bidi="ar"/>
                    </w:rPr>
                    <w:t>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6</w:t>
                  </w:r>
                  <w:r>
                    <w:rPr>
                      <w:rFonts w:hint="default" w:ascii="Times New Roman" w:hAnsi="Times New Roman" w:eastAsia="宋体" w:cs="Times New Roman"/>
                      <w:i w:val="0"/>
                      <w:iCs w:val="0"/>
                      <w:color w:val="auto"/>
                      <w:kern w:val="0"/>
                      <w:sz w:val="21"/>
                      <w:szCs w:val="21"/>
                      <w:highlight w:val="none"/>
                      <w:u w:val="none"/>
                      <w:lang w:val="en-US" w:eastAsia="zh-CN" w:bidi="ar"/>
                    </w:rPr>
                    <w:t>·HCL，[2315-20-0]）为橙色粉末，熔点280℃（分解）。溶于乙醇、二甲基亚砜、二甲基甲酰胺、吡啶及其他有机溶剂，几乎不溶于水和乙醚。</w:t>
                  </w:r>
                  <w:r>
                    <w:rPr>
                      <w:rFonts w:hint="eastAsia" w:cs="Times New Roman"/>
                      <w:i w:val="0"/>
                      <w:iCs w:val="0"/>
                      <w:color w:val="auto"/>
                      <w:kern w:val="0"/>
                      <w:sz w:val="21"/>
                      <w:szCs w:val="21"/>
                      <w:highlight w:val="none"/>
                      <w:u w:val="none"/>
                      <w:lang w:val="en-US" w:eastAsia="zh-CN" w:bidi="ar"/>
                    </w:rPr>
                    <w:t>呋</w:t>
                  </w:r>
                  <w:r>
                    <w:rPr>
                      <w:rFonts w:hint="default" w:ascii="Times New Roman" w:hAnsi="Times New Roman" w:eastAsia="宋体" w:cs="Times New Roman"/>
                      <w:i w:val="0"/>
                      <w:iCs w:val="0"/>
                      <w:color w:val="auto"/>
                      <w:kern w:val="0"/>
                      <w:sz w:val="21"/>
                      <w:szCs w:val="21"/>
                      <w:highlight w:val="none"/>
                      <w:u w:val="none"/>
                      <w:lang w:val="en-US" w:eastAsia="zh-CN" w:bidi="ar"/>
                    </w:rPr>
                    <w:t>呋烯腙是一种中等爆炸性的化合物，具有较高的爆炸性。它在常温下不稳定，易于燃烧爆炸，并且对摩擦、冲击和静电都很敏感。它是氧化剂和强烈的还原剂，可与许多物质发生激烈的反应。</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2，4,6-三硝基苯甲酸</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2,4,6-三硝基苯甲酸是无色至淡黄色的晶体，具有强烈的刺激性气味。在常温下几乎不溶于水，但可溶于有机溶剂如乙醇、醚类和苯。它属于强性酸，可和碱反应。</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五氯硝基苯</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纯品为无色针状结晶，工业品为微黄色。沸点328℃（稍分解）。熔点144℃。相对密度1.718。几乎不溶于水、冷乙醇，易溶于二硫化碳、苯、氯仿。化学性质稳定，不易挥发，不易水解和氧化，不受日光、温度和酸碱度影响，在</w:t>
                  </w:r>
                  <w:r>
                    <w:rPr>
                      <w:rFonts w:hint="eastAsia" w:cs="Times New Roman"/>
                      <w:i w:val="0"/>
                      <w:iCs w:val="0"/>
                      <w:color w:val="auto"/>
                      <w:kern w:val="0"/>
                      <w:sz w:val="21"/>
                      <w:szCs w:val="21"/>
                      <w:highlight w:val="none"/>
                      <w:u w:val="none"/>
                      <w:lang w:val="en-US" w:eastAsia="zh-CN" w:bidi="ar"/>
                    </w:rPr>
                    <w:t>土壤</w:t>
                  </w:r>
                  <w:r>
                    <w:rPr>
                      <w:rFonts w:hint="default" w:ascii="Times New Roman" w:hAnsi="Times New Roman" w:eastAsia="宋体" w:cs="Times New Roman"/>
                      <w:i w:val="0"/>
                      <w:iCs w:val="0"/>
                      <w:color w:val="auto"/>
                      <w:kern w:val="0"/>
                      <w:sz w:val="21"/>
                      <w:szCs w:val="21"/>
                      <w:highlight w:val="none"/>
                      <w:u w:val="none"/>
                      <w:lang w:val="en-US" w:eastAsia="zh-CN" w:bidi="ar"/>
                    </w:rPr>
                    <w:t>中残效较长。</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1-溴-2-硝基苯</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溴硝基苯是白色至淡黄色的结晶固体。略溶于水，在有机溶剂如醚、醇和酮中溶解性较好。化学试剂：用于有机合成中的氧化还原反应和芳香化合物的取代反应。农药：2-溴硝基苯可用作杀虫剂和除草剂的中间体。荧光染料：可用于制备荧光染料。</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二氯异氰尿酸钠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白色结晶粉末或粒状物。有特殊的刺激性气味。熔点240～250℃。易溶于水，难溶于有机溶剂。强氧化剂。与易燃物、有机物接触易着火燃烧。与含氮化合物反应生成易爆炸的三氯化氮。受热或遇潮易分</w:t>
                  </w:r>
                  <w:r>
                    <w:rPr>
                      <w:rFonts w:hint="eastAsia" w:cs="Times New Roman"/>
                      <w:i w:val="0"/>
                      <w:iCs w:val="0"/>
                      <w:color w:val="auto"/>
                      <w:kern w:val="0"/>
                      <w:sz w:val="21"/>
                      <w:szCs w:val="21"/>
                      <w:highlight w:val="none"/>
                      <w:u w:val="none"/>
                      <w:lang w:val="en-US" w:eastAsia="zh-CN" w:bidi="ar"/>
                    </w:rPr>
                    <w:t>解</w:t>
                  </w:r>
                  <w:r>
                    <w:rPr>
                      <w:rFonts w:hint="default" w:ascii="Times New Roman" w:hAnsi="Times New Roman" w:eastAsia="宋体" w:cs="Times New Roman"/>
                      <w:i w:val="0"/>
                      <w:iCs w:val="0"/>
                      <w:color w:val="auto"/>
                      <w:kern w:val="0"/>
                      <w:sz w:val="21"/>
                      <w:szCs w:val="21"/>
                      <w:highlight w:val="none"/>
                      <w:u w:val="none"/>
                      <w:lang w:val="en-US" w:eastAsia="zh-CN" w:bidi="ar"/>
                    </w:rPr>
                    <w:t>出剧毒的烟气。</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PrEx>
              <w:trPr>
                <w:trHeight w:val="586"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二丁基</w:t>
                  </w:r>
                  <w:r>
                    <w:rPr>
                      <w:rFonts w:hint="eastAsia" w:cs="Times New Roman"/>
                      <w:color w:val="auto"/>
                      <w:kern w:val="0"/>
                      <w:sz w:val="21"/>
                      <w:szCs w:val="21"/>
                      <w:highlight w:val="none"/>
                      <w:lang w:val="en-US" w:eastAsia="zh-CN" w:bidi="ar"/>
                    </w:rPr>
                    <w:t>氯苯</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二正丁胺纯品为无色液体，相对密度0.767(20℃)，溶于水、丙酮和苯，极易溶于乙醇和乙醚。</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PrEx>
              <w:trPr>
                <w:trHeight w:val="371"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对-溴氟苯</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1-溴-4-氟苯是无色液体，相对密度1.593，不溶于水，溶于苯、甲苯、醚等有机溶剂。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PrEx>
              <w:trPr>
                <w:trHeight w:val="575"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月桂酸</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无色针状晶体。熔点44.2℃。沸点298.9℃。相对密度0.8679。折射率1. 4304。溶于甲醇，微溶于丙酮、石油醚和水。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硅镁吸附剂</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细粉。无臭、无味。不溶于水和乙醇。遇无机酸易分解，稍有吸湿性。医药上用作抗酸药。能中和胃酸和保护溃疡面，作用缓慢而持久。可用作脱臭剂、脱色剂，也用于陶瓷、橡胶等工业。食品级用作抗结块剂，助滤剂，被膜剂。奶制品中的填充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7"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乙腈</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液体。能与水、乙醚、甲醇、丙酮、氯仿、四氯化碳、氯化乙烯、乙酸甲酯、乙酸乙酯、乙酰胺溶液和许多不饱和烃混溶，不能与饱和烃混溶。能溶解一些无机盐类，如硝酸银、硝酸锂和溴化镁等。能与水形成共沸混合物(含水16%)，共沸点76℃。易燃，其蒸气与空气可形成爆炸性混合物，遇明火、高热或与氧化剂接触，有引起燃烧爆炸的危险。与氧化剂能发生强烈反应。与硫酸、发烟硫酸、氯磺酸、过氯酸盐等反应剧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亚铁氰化钾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浅黄色单斜结晶或粉末，无臭。相对密度1.85。溶于水，不溶于乙醇和乙醚等。在空气中稳定，加热至70℃，开始失去结晶水，100℃时变成吸湿性白色粉末状无水物，高温时分解放出氨气。与酸、碱、铁离子等发生反应。</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56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酸性铬蓝K</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溶于水呈玫瑰红色，在碱性溶液中呈灰蓝色。通常与萘酚绿B配合使用，简称“K-B混合指示剂”在碱性条件下，呈蓝绿色，萘酚绿在使用中本身并无颜色变化，仅起衬托终点颜色</w:t>
                  </w:r>
                  <w:r>
                    <w:rPr>
                      <w:rFonts w:hint="eastAsia" w:cs="Times New Roman"/>
                      <w:i w:val="0"/>
                      <w:iCs w:val="0"/>
                      <w:color w:val="auto"/>
                      <w:kern w:val="0"/>
                      <w:sz w:val="21"/>
                      <w:szCs w:val="21"/>
                      <w:highlight w:val="none"/>
                      <w:u w:val="none"/>
                      <w:lang w:val="en-US" w:eastAsia="zh-CN" w:bidi="ar"/>
                    </w:rPr>
                    <w:t>的</w:t>
                  </w:r>
                  <w:r>
                    <w:rPr>
                      <w:rFonts w:hint="default" w:ascii="Times New Roman" w:hAnsi="Times New Roman" w:eastAsia="宋体" w:cs="Times New Roman"/>
                      <w:i w:val="0"/>
                      <w:iCs w:val="0"/>
                      <w:color w:val="auto"/>
                      <w:kern w:val="0"/>
                      <w:sz w:val="21"/>
                      <w:szCs w:val="21"/>
                      <w:highlight w:val="none"/>
                      <w:u w:val="none"/>
                      <w:lang w:val="en-US" w:eastAsia="zh-CN" w:bidi="ar"/>
                    </w:rPr>
                    <w:t>作用。在碱性条件下，试剂与某些金属离子络合，形成玫瑰红色络合物。常被用作EDTA滴定钙的指示剂，也用于钙，镁总量的测定。试剂水溶液不稳定，常于氯化钠粉末配成固体混合物保存合使用。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四氢呋喃（色谱纯）</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无色液体，有类似己醚的气味。能溶于水及多数有机溶剂。蒸气能与空气形成爆炸物，与酸接触能发生反应，遇明火、强氧化剂有引起燃烧危险，与氢氧化钾、氢氧化钠有反应。</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双（2-乙基己基）酞酸酯</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液体，有特殊气味。相对密度0.986。熔点-55℃。沸点386.9℃，闪点217℃。着火点241℃。折射率1.4852。黏度81.4mPa.s。蒸气压(200℃)176Pa。不溶于水，溶于大多数有机溶剂和烃类。与大多数工业用树脂有良好的相容性。与醋酸纤维素、聚醋酸乙烯酯部分相容。</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07"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十氯联苯</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十氯联苯是外观无色或微黄色的晶体，可溶于有机溶剂如苯、二氯甲烷和乙醇，几乎不溶于水。其强烈的氯化物特性，具有较高的毒性。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232"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十氟三苯基磷</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十氟三苯基磷是一种无色液体，具有特殊的气味。它在常温下不溶于水，但可溶于许多有机溶剂。TFP是一种热稳定的化合物，能耐受高温和氧化。十氟三苯基磷常用作配体或催化剂，参与有机合成反应，如氢化、构建碳-碳键和碳-氧键的反应等。</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704"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三联苯-d14</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4-氨基对三联苯是白色或淡黄色固体。可溶于一些有机溶剂，如氯仿、苯和乙醇。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过硫酸铵</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无色单斜结晶或白色结晶性粉末。熔点120℃（分解）。具有很强的氧化性和腐蚀性。完全干燥</w:t>
                  </w:r>
                  <w:r>
                    <w:rPr>
                      <w:rFonts w:hint="eastAsia" w:cs="Times New Roman"/>
                      <w:i w:val="0"/>
                      <w:iCs w:val="0"/>
                      <w:color w:val="auto"/>
                      <w:kern w:val="0"/>
                      <w:sz w:val="21"/>
                      <w:szCs w:val="21"/>
                      <w:highlight w:val="none"/>
                      <w:u w:val="none"/>
                      <w:lang w:val="en-US" w:eastAsia="zh-CN" w:bidi="ar"/>
                    </w:rPr>
                    <w:t>地过</w:t>
                  </w:r>
                  <w:r>
                    <w:rPr>
                      <w:rFonts w:hint="default" w:ascii="Times New Roman" w:hAnsi="Times New Roman" w:eastAsia="宋体" w:cs="Times New Roman"/>
                      <w:i w:val="0"/>
                      <w:iCs w:val="0"/>
                      <w:color w:val="auto"/>
                      <w:kern w:val="0"/>
                      <w:sz w:val="21"/>
                      <w:szCs w:val="21"/>
                      <w:highlight w:val="none"/>
                      <w:u w:val="none"/>
                      <w:lang w:val="en-US" w:eastAsia="zh-CN" w:bidi="ar"/>
                    </w:rPr>
                    <w:t>硫酸铵不易分解，潮湿</w:t>
                  </w:r>
                  <w:r>
                    <w:rPr>
                      <w:rFonts w:hint="eastAsia" w:cs="Times New Roman"/>
                      <w:i w:val="0"/>
                      <w:iCs w:val="0"/>
                      <w:color w:val="auto"/>
                      <w:kern w:val="0"/>
                      <w:sz w:val="21"/>
                      <w:szCs w:val="21"/>
                      <w:highlight w:val="none"/>
                      <w:u w:val="none"/>
                      <w:lang w:val="en-US" w:eastAsia="zh-CN" w:bidi="ar"/>
                    </w:rPr>
                    <w:t>地过</w:t>
                  </w:r>
                  <w:r>
                    <w:rPr>
                      <w:rFonts w:hint="default" w:ascii="Times New Roman" w:hAnsi="Times New Roman" w:eastAsia="宋体" w:cs="Times New Roman"/>
                      <w:i w:val="0"/>
                      <w:iCs w:val="0"/>
                      <w:color w:val="auto"/>
                      <w:kern w:val="0"/>
                      <w:sz w:val="21"/>
                      <w:szCs w:val="21"/>
                      <w:highlight w:val="none"/>
                      <w:u w:val="none"/>
                      <w:lang w:val="en-US" w:eastAsia="zh-CN" w:bidi="ar"/>
                    </w:rPr>
                    <w:t>硫酸铵会逐渐分解，放出氧气和臭氧。易溶于水，其水溶液在室温下也会分解。与还原剂、有机物、易燃物或金属粉末等混合可形成爆炸性混合物。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硅胶</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为直径数纳米至百纳米的超微细颗粒分散在水中的乳白色胶体溶液。加热固化成硅胶。不燃、不爆、无毒。在胶体二氧化硅粒子表面的离子为水合型，因水分子覆盖而有亲水性。与有机物相溶性不好，对于用醇、丙酮等与水任意比例混合成的有机溶剂有相溶性。溶于氢氟酸和氢氧化钠溶液。不溶于其他无机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凡士林</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至带黄色或淡琥珀色的半固体油脂状物。薄层状时透明，微有荧光。不溶于水，几乎不溶于冷的或热的乙醇和冷的无水乙醇中。溶于乙醚、己烷和大多数挥发或不挥发性油；易溶于苯、二硫化碳、氯仿和松节油。</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2,2,4-三甲基戊烷</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无色、透明液体。不溶于水，溶于醚，易溶于醇、丙酮、苯、氯仿等。其蒸气与空气可形成爆炸性混合物，遇明火、高热能引起燃烧爆炸。遇强氧化剂会引起燃烧爆炸。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18"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环己二胺四乙酸</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无色结晶性粉末。其在水中溶解性极好，也能溶解于一些有机溶剂如醇类和酮类。在常温下相对稳定，但在高温下可分解。</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1，2-二氯乙烷-d4</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二氯乙烷-d4是一种氘代的1,2-二氯乙烷。它是一种无色液体，在常温下具有刺激性气味。用于核磁共振（NMR）研究中作为溶剂。氘被氢替代，使得该化合物在NMR谱图上表现出不同于1,2-二氯乙烷的特征，使得它成为进行定量和定性分析的有用工具。</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Li-辛烷磺酸</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这种离子液体主要用于溶剂和催化剂，在化工领域具有广泛的应用。它的溶解能力强，可以溶解许多有机和无机化合物，可以用作催化剂载体、电解质、溶剂和萃取剂等。它还被应用于电池、电荷存储材料、催化剂反应和生物质转化等方面。</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725"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4-氯-3-硝基三氟甲苯</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无色透明液体。相对密度1.4357。熔点-2.4℃。沸点202.8℃，105℃(4kPa)。折射率1.4719。溶于乙醇、乙醚，不溶于水。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597"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柠檬酸氢二铵</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白色颗粒或结晶性粉末。溶于约1份水，溶液呈弱酸性。微溶于乙醇。受高热即分解。</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溴化钠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无色立方晶体或白色颗粒性粉末，属等轴晶系。无臭，</w:t>
                  </w:r>
                  <w:r>
                    <w:rPr>
                      <w:rFonts w:hint="eastAsia" w:cs="Times New Roman"/>
                      <w:i w:val="0"/>
                      <w:iCs w:val="0"/>
                      <w:color w:val="auto"/>
                      <w:kern w:val="0"/>
                      <w:sz w:val="21"/>
                      <w:szCs w:val="21"/>
                      <w:highlight w:val="none"/>
                      <w:u w:val="none"/>
                      <w:lang w:val="en-US" w:eastAsia="zh-CN" w:bidi="ar"/>
                    </w:rPr>
                    <w:t>味咸</w:t>
                  </w:r>
                  <w:r>
                    <w:rPr>
                      <w:rFonts w:hint="default" w:ascii="Times New Roman" w:hAnsi="Times New Roman" w:eastAsia="宋体" w:cs="Times New Roman"/>
                      <w:i w:val="0"/>
                      <w:iCs w:val="0"/>
                      <w:color w:val="auto"/>
                      <w:kern w:val="0"/>
                      <w:sz w:val="21"/>
                      <w:szCs w:val="21"/>
                      <w:highlight w:val="none"/>
                      <w:u w:val="none"/>
                      <w:lang w:val="en-US" w:eastAsia="zh-CN" w:bidi="ar"/>
                    </w:rPr>
                    <w:t>而稍苦。熔点755℃I相对密度3.21。在空气中易吸收水分而结块，但不潮解。易溶于水，微溶于乙醇。其水溶液呈中性，有导电性。溴化钠中的溴离子可被氟、氯所取代。与稀硫酸反应生成溴化氢，与浓硫酸、浓硝酸等反应，则氧化生成溴。当温度高于51℃时则生成二水合物。二水合物为无色单斜晶体。</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硼砂</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无色结晶颗粒、无臭、味咸。熔点75℃。在干燥的空气中风化。易溶于水、甘油、不溶于乙醇，水溶液呈碱性．pH9.5。加热至100℃失去5分子结晶水，320℃即完全失水。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714"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硫酸银</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无色结晶或白色结晶性粉末。熔点657℃；加热至1085℃分解。见光逐渐变黑。溶于125份水、71份沸水。溶于硝酸、氨水、浓硫酸。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菲绕啉</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,也称亚铁离子（Fe</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），是一种淡绿色的化合物。以下是试亚铁灵的一些性质：溶解性：试亚铁离子可以溶解在水中，形成淡绿色的溶液。在酸性条件下容易溶解，而在碱性条件下溶解度较低。氧化性</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亚铁离子是一种易于氧化的物质，可以被氧气、氧化剂以及空气中的氧气氧化为亚铁离子（Fe3+）。反应性：试亚铁离子作为过渡金属离子，参与了许多反应。例如，它可以与硫酸根离子反应生成淡绿色的硫酸亚铁，与氯气反应生成橙黄色的氯合亚铁，与碘酸根离子反应生成蓝色的碘合亚铁等。还原性</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亚铁离子具有很强的还原性，可以将其他物质还原为较低的氧化态。例如，它可以还原二氧化氯、硝酸等强氧化剂。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氟化钾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无色立方晶体。易潮解。相对密度2. 48。熔点858℃。沸点1505℃。折射率1. 363。易溶于水，能溶于氢氟酸和液氨，微溶于醇及丙酮。水溶液呈碱性，能腐蚀玻璃及瓷器。加热至升华温度时才少许分解，但熔融氰化钾的活性较大，能腐蚀耐火物质。与过氧化氢可形成加成物KF．H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cs="Times New Roman"/>
                      <w:i w:val="0"/>
                      <w:iCs w:val="0"/>
                      <w:color w:val="auto"/>
                      <w:kern w:val="0"/>
                      <w:sz w:val="21"/>
                      <w:szCs w:val="21"/>
                      <w:highlight w:val="none"/>
                      <w:u w:val="none"/>
                      <w:lang w:val="en-US" w:eastAsia="zh-CN" w:bidi="ar"/>
                    </w:rPr>
                    <w:t>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。水合物有两种：KF·2H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cs="Times New Roman"/>
                      <w:i w:val="0"/>
                      <w:iCs w:val="0"/>
                      <w:color w:val="auto"/>
                      <w:kern w:val="0"/>
                      <w:sz w:val="21"/>
                      <w:szCs w:val="21"/>
                      <w:highlight w:val="none"/>
                      <w:u w:val="none"/>
                      <w:lang w:val="en-US" w:eastAsia="zh-CN" w:bidi="ar"/>
                    </w:rPr>
                    <w:t>O</w:t>
                  </w:r>
                  <w:r>
                    <w:rPr>
                      <w:rFonts w:hint="default" w:ascii="Times New Roman" w:hAnsi="Times New Roman" w:eastAsia="宋体" w:cs="Times New Roman"/>
                      <w:i w:val="0"/>
                      <w:iCs w:val="0"/>
                      <w:color w:val="auto"/>
                      <w:kern w:val="0"/>
                      <w:sz w:val="21"/>
                      <w:szCs w:val="21"/>
                      <w:highlight w:val="none"/>
                      <w:u w:val="none"/>
                      <w:lang w:val="en-US" w:eastAsia="zh-CN" w:bidi="ar"/>
                    </w:rPr>
                    <w:t>和KF·4H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cs="Times New Roman"/>
                      <w:i w:val="0"/>
                      <w:iCs w:val="0"/>
                      <w:color w:val="auto"/>
                      <w:kern w:val="0"/>
                      <w:sz w:val="21"/>
                      <w:szCs w:val="21"/>
                      <w:highlight w:val="none"/>
                      <w:u w:val="none"/>
                      <w:lang w:val="en-US" w:eastAsia="zh-CN" w:bidi="ar"/>
                    </w:rPr>
                    <w:t>O</w:t>
                  </w:r>
                  <w:r>
                    <w:rPr>
                      <w:rFonts w:hint="default" w:ascii="Times New Roman" w:hAnsi="Times New Roman" w:eastAsia="宋体" w:cs="Times New Roman"/>
                      <w:i w:val="0"/>
                      <w:iCs w:val="0"/>
                      <w:color w:val="auto"/>
                      <w:kern w:val="0"/>
                      <w:sz w:val="21"/>
                      <w:szCs w:val="21"/>
                      <w:highlight w:val="none"/>
                      <w:u w:val="none"/>
                      <w:lang w:val="en-US" w:eastAsia="zh-CN" w:bidi="ar"/>
                    </w:rPr>
                    <w:t>。低于40.2℃时，水溶液中可结晶得到二水物(KF·2H20)，系单斜晶体，41℃时可自溶于结晶水中。有毒。</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淀粉</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以马铃薯为原料，经清洗、粉碎、干燥、过筛而得的一种白色柔软的无定形粉末。无臭。无味。有吸湿性。不溶于冷水、乙醇和乙醚。与水加温至55～60℃膨胀而变成具有</w:t>
                  </w:r>
                  <w:r>
                    <w:rPr>
                      <w:rFonts w:hint="eastAsia" w:cs="Times New Roman"/>
                      <w:i w:val="0"/>
                      <w:iCs w:val="0"/>
                      <w:color w:val="auto"/>
                      <w:kern w:val="0"/>
                      <w:sz w:val="21"/>
                      <w:szCs w:val="21"/>
                      <w:highlight w:val="none"/>
                      <w:u w:val="none"/>
                      <w:lang w:val="en-US" w:eastAsia="zh-CN" w:bidi="ar"/>
                    </w:rPr>
                    <w:t>黏性的</w:t>
                  </w:r>
                  <w:r>
                    <w:rPr>
                      <w:rFonts w:hint="default" w:ascii="Times New Roman" w:hAnsi="Times New Roman" w:eastAsia="宋体" w:cs="Times New Roman"/>
                      <w:i w:val="0"/>
                      <w:iCs w:val="0"/>
                      <w:color w:val="auto"/>
                      <w:kern w:val="0"/>
                      <w:sz w:val="21"/>
                      <w:szCs w:val="21"/>
                      <w:highlight w:val="none"/>
                      <w:u w:val="none"/>
                      <w:lang w:val="en-US" w:eastAsia="zh-CN" w:bidi="ar"/>
                    </w:rPr>
                    <w:t>半透明凝胶或胶体溶液。</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硫酸锌</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硫酸锌又称皓矾、锌矾，常温下为无色或白色斜方晶体或粉末，有收敛性，易溶于水，水溶液呈酸性，微溶于乙醇和甘油。纯硫酸锌在空气中久贮不变黄，置于干燥空气中失去水而成白色粉末。有多种水合物：在0－39℃范围内与水相平衡的稳定水合物为七水硫酸锌，39－60℃内为6水硫酸锌，60－100℃内则为一水硫酸锌。当加热到280℃时各种水合物完全失去结晶水，680℃时分解为硫酸氧锌，750℃以上进一步分解，最后在930℃左右分解为氧化锌和三氧化硫。在一定范围内形成混合晶体。</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542"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亚硝基铁氰化钠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亚硝基铁氰化钠是无色结晶体，常以无水盐的形式存在。在干燥条件下相对稳定，但不稳定于潮湿的空气中。易溶于水，但不溶于有机溶剂。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822"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四硼酸钠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无色结晶颗粒、无臭、味咸。熔点75℃。在干燥的空气中风化。易溶于水、甘油、不溶于乙醇，水溶液呈碱性．pH9.5。加热至100℃失去5分子结晶水，320℃即完全失水。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821"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钼酸铵</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无色或浅黄绿色单斜结晶。相对密度2.498。溶于水、酸和碱中，不溶于醇。加热至90℃时失去1个结晶水，19 0℃时分解成氨、水和三氧化钼。放置空气中风化，失去一部分氨。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857"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酚酞</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在空气中稳定。溶于乙醇和碱溶液，在乙醚中略溶，1g溶于12ml乙醇、约100ml乙醚，溶于稀碱溶液呈深红色，极微溶于氯仿，不溶于水。最小致死量(大鼠，腹腔)500mg/kg。有刺激性。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亚甲蓝</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深绿色、有铜光的柱状结晶或结晶性粉末；无臭。在水或乙醇中易溶，在三氯甲烷中溶解。细菌染色剂。血清蛋白生化检验时配混合指示剂。配制脱落细胞检验染色液。制备碱性美蓝染色液。氧化还原指示剂。测定汞、锡。还原滴定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596"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无砷铅粒</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蓝灰色的金属，质软。熔点327.4℃，沸点1740℃。不溶于水，溶于硝酸、热浓硫酸、碱液。粉体在受热、遇明火或接触氧化剂时会引起燃烧爆炸。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83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柠檬酸铵</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无色结晶或白色颗粒状固体。柠檬酸铵可溶于水及醇类溶剂，不溶于醚类溶剂。在溶液中时，pH值较酸性，约为2.7-3.2。柠檬酸铵在高温下分解，释放出氨气。</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甲酚红</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红棕色或暗红色结晶性粉末。溶于稀酸（呈黄色）、稀</w:t>
                  </w:r>
                  <w:r>
                    <w:rPr>
                      <w:rFonts w:hint="eastAsia" w:cs="Times New Roman"/>
                      <w:i w:val="0"/>
                      <w:iCs w:val="0"/>
                      <w:color w:val="auto"/>
                      <w:kern w:val="0"/>
                      <w:sz w:val="21"/>
                      <w:szCs w:val="21"/>
                      <w:highlight w:val="none"/>
                      <w:u w:val="none"/>
                      <w:lang w:val="en-US" w:eastAsia="zh-CN" w:bidi="ar"/>
                    </w:rPr>
                    <w:t>氢氧化钠</w:t>
                  </w:r>
                  <w:r>
                    <w:rPr>
                      <w:rFonts w:hint="default" w:ascii="Times New Roman" w:hAnsi="Times New Roman" w:eastAsia="宋体" w:cs="Times New Roman"/>
                      <w:i w:val="0"/>
                      <w:iCs w:val="0"/>
                      <w:color w:val="auto"/>
                      <w:kern w:val="0"/>
                      <w:sz w:val="21"/>
                      <w:szCs w:val="21"/>
                      <w:highlight w:val="none"/>
                      <w:u w:val="none"/>
                      <w:lang w:val="en-US" w:eastAsia="zh-CN" w:bidi="ar"/>
                    </w:rPr>
                    <w:t>溶液（呈紫色），溶于乙醇、水。pH值0.2～1.8（由红至黄色）；7．O～8.0（由黄至紫红色）。</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14"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三水乙酸钠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本产品为无色或白色晶体，相对密度1.528g/cm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，熔点58°C，水溶性</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762g/L(20°C)</w:t>
                  </w: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溶于水和乙醚，微溶于乙醇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692"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高氯酸（易制爆）</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不稳定的微发烟液体。相对密度1.764。熔点-112℃。沸点39℃(7466.032Pa)。加热至约90℃时开始分解。无水高氯酸极不稳定，常压下不能制得，一般只能制得水合物。极易溶于水，可与水以任何比例混溶，其水溶液有很好的导电性。是强酸，又是强氧化剂，具有强腐蚀性，能破坏有机材料，</w:t>
                  </w:r>
                  <w:r>
                    <w:rPr>
                      <w:rFonts w:hint="eastAsia" w:cs="Times New Roman"/>
                      <w:i w:val="0"/>
                      <w:iCs w:val="0"/>
                      <w:color w:val="auto"/>
                      <w:kern w:val="0"/>
                      <w:sz w:val="21"/>
                      <w:szCs w:val="21"/>
                      <w:highlight w:val="none"/>
                      <w:u w:val="none"/>
                      <w:lang w:val="en-US" w:eastAsia="zh-CN" w:bidi="ar"/>
                    </w:rPr>
                    <w:t>与</w:t>
                  </w:r>
                  <w:r>
                    <w:rPr>
                      <w:rFonts w:hint="default" w:ascii="Times New Roman" w:hAnsi="Times New Roman" w:eastAsia="宋体" w:cs="Times New Roman"/>
                      <w:i w:val="0"/>
                      <w:iCs w:val="0"/>
                      <w:color w:val="auto"/>
                      <w:kern w:val="0"/>
                      <w:sz w:val="21"/>
                      <w:szCs w:val="21"/>
                      <w:highlight w:val="none"/>
                      <w:u w:val="none"/>
                      <w:lang w:val="en-US" w:eastAsia="zh-CN" w:bidi="ar"/>
                    </w:rPr>
                    <w:t>某些有机物接触，在遇热的条件下极易引起爆炸。能与铁、铜、锌等进行剧烈反应生成氧化物，能将黄磷和硫黄分别氧化成磷酸和硫酸。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硝酸（易制爆）</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或黄色发烟液体，有令人窒息的气味。在空气中形成黄色到棕红色的雾状气体。能与水任意混溶。熔点-42℃，沸点83℃。硝酸不稳定，遇光或热会分解而放出二氧化氮，从而呈现浅黄色。浓硝酸是强氧化剂，遇有机物、木屑等能引起燃烧。含有痕量氧化物的浓硝酸几乎能与除铝和含铬特殊钢之外的所有金属发生反应，而除铝和含铬特殊钢则能被浓硝酸钝化。与乙醇、松节油、焦炭、有机碎渣的反应非常剧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硝酸钾（易制爆）</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无色透明斜方或三方棱柱体结晶或白色结晶性粉末。熔点333℃；有潮解性。受热分解。19</w:t>
                  </w:r>
                  <w:r>
                    <w:rPr>
                      <w:rFonts w:hint="eastAsia" w:cs="Times New Roman"/>
                      <w:i w:val="0"/>
                      <w:iCs w:val="0"/>
                      <w:color w:val="auto"/>
                      <w:kern w:val="0"/>
                      <w:sz w:val="21"/>
                      <w:szCs w:val="21"/>
                      <w:highlight w:val="none"/>
                      <w:u w:val="none"/>
                      <w:lang w:val="en-US" w:eastAsia="zh-CN" w:bidi="ar"/>
                    </w:rPr>
                    <w:t>该产</w:t>
                  </w:r>
                  <w:r>
                    <w:rPr>
                      <w:rFonts w:hint="default" w:ascii="Times New Roman" w:hAnsi="Times New Roman" w:eastAsia="宋体" w:cs="Times New Roman"/>
                      <w:i w:val="0"/>
                      <w:iCs w:val="0"/>
                      <w:color w:val="auto"/>
                      <w:kern w:val="0"/>
                      <w:sz w:val="21"/>
                      <w:szCs w:val="21"/>
                      <w:highlight w:val="none"/>
                      <w:u w:val="none"/>
                      <w:lang w:val="en-US" w:eastAsia="zh-CN" w:bidi="ar"/>
                    </w:rPr>
                    <w:t>品溶于2.8mL水、0.5mL沸水、620mL乙醇，溶于甘油，不溶于无水乙醇。溶于水时能降低温度，水溶液pH值约为7。400℃分解放出氧气；具有强氧化性。与有机物、还原剂、易燃物等接触或混合时有引起燃烧爆炸的危险。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重铬酸钾（易制爆）</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橙红色有光泽的单斜或三方晶系结晶。241.6℃由三斜晶系变为单斜晶系。熔点398℃；约500℃分解。溶于水，不同温度下饱和水溶液的浓度(%)为；4.3(0℃)11.7(20℃)、20.9(40℃)、31.3(60-C)、50.2(100℃)。溶液呈酸性，不溶于乙醇。具有强氧化性与腐蚀性，与还原剂、有机物、易燃物或金属粉末等混合可形成爆炸性混合物，经摩擦、震动或撞击可引起燃烧或爆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885"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高锰酸钾（易制毒）</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在酸性环境下氧化性更强，能氧化负价态的氯、溴、碘、硫等离子及二氧化硫等。与皮肤接触可腐蚀皮肤产生棕色染色</w:t>
                  </w: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粉末散布于空气中有强烈刺激性。尿液、二氧化硫等可使其褪色。与较活泼金属粉末混合后有强烈燃烧性，危险。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硼氢化钠（易制爆）</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白色结晶粉末。相对密度1</w:t>
                  </w: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074。在干燥空气中温度达到300℃或真空400℃时仍稳定，不挥发，熔点505℃，硼氢化钠易溶于水、液氨、胺类，微溶于四氢呋喃，不溶于乙醚、苯、烃。与水作用产生氢气。在碱性溶液中稳定，在酸性溶液中则很快被完全分解。硼氢化钠碱性溶液呈棕黄色。</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246"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硼氢化钾（易制爆）</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疏松粉末或晶体。相对密度1.178。熔点585℃，在真空中约500℃开始分解，在空气中稳定，不吸湿性。硼氢化钾易溶于水，水溶液加热至1000℃时，完全释放出氢。溶于液氨，微溶于甲醇和乙醇，几乎不溶于乙醚、苯、四氢呋喃、甲醚及其他碳氢化合物。在碱性环境中稳定，遇无机酸分解而放出氢气。</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叠氮化钠（剧毒）</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白色六方系晶体，无味，无嗅，纯品无吸湿性。有毒。相对密度1.846。不溶于乙醚，微溶于乙醇(25℃ 时0.3)，溶于液氨(0℃时50.7)和水(0℃时 39、10℃时40.16、100℃时55)。虽然无可燃性，但有爆炸性。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甲苯（易制毒）</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无色澄清液体。有苯样气味。有强折光性。能与</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"https://baike.so.com/doc/3036121-3200992.html"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乙醇</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"https://baike.so.com/doc/1872265-1980372.html"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乙醚</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"https://baike.so.com/doc/7098038-7320983.html"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丙酮</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、氯仿、二硫化碳和冰乙酸混溶，极微溶于水。</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"https://baike.so.com/doc/2751462-2903816.html"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相对密度</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 0.866。</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"https://baike.so.com/doc/6746556-6961102.html"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凝固点</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-95℃。</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"https://baike.so.com/doc/5567907-5783065.html"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沸点</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110.6℃。</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"https://baike.so.com/doc/6175804-6389045.html"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折光率</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1.4967。闪点(闭杯)4.4℃。易燃。蒸气能与空气形成爆炸性混合物，</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"https://baike.so.com/doc/625906-662542.html"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爆炸极限</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 1.2%</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7.0%(体积)。低毒，半数致死量(大鼠，经口)5000mg/kg。高浓度气体有麻醉性。有刺激性。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硫酸（易制毒）</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无水硫酸为无色油状液体，10.36℃时结晶，通常使用的是它的各种不同浓度的水溶液，用</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"https://baike.so.com/doc/4883217-5101179.html"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塔式法</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和</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"https://baike.so.com/doc/6290327-6503821.html"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接触法</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制取。前者所得为粗制稀硫酸，质量分数一般在75%左右</w:t>
                  </w: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后者可得质量分数98.3%的纯浓硫酸，沸点338℃，相对密度1.84。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4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盐酸（易制毒）</w:t>
                  </w:r>
                </w:p>
              </w:tc>
              <w:tc>
                <w:tcPr>
                  <w:tcW w:w="7164" w:type="dxa"/>
                  <w:shd w:val="clear" w:color="auto" w:fill="auto"/>
                  <w:vAlign w:val="center"/>
                </w:tcPr>
                <w:p>
                  <w:pPr>
                    <w:keepNext w:val="0"/>
                    <w:keepLines w:val="0"/>
                    <w:suppressLineNumbers w:val="0"/>
                    <w:bidi w:val="0"/>
                    <w:spacing w:before="0" w:beforeAutospacing="0" w:after="0" w:afterAutospacing="0"/>
                    <w:ind w:left="0" w:right="0"/>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sz w:val="21"/>
                      <w:szCs w:val="21"/>
                      <w:highlight w:val="none"/>
                      <w:lang w:val="en-US" w:eastAsia="zh-CN"/>
                    </w:rPr>
                    <w:t>氯化氢的水溶液，为一元无机强酸，是一种混合物。浓盐酸为无色液体，有强烈的刺激性气味。</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丙酮（易制毒）</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丙酮又名二甲基酮，为最简单的饱和酮。是一种无色透明液体，有特殊的辛辣气味。易溶于水和甲醇、乙醇、</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"https://baike.so.com/doc/1041070-32350553.html"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乙醚</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氯仿、吡啶等有机溶剂。易燃、易挥发，化学性质较活泼。目前世界上丙酮的工业生产以异丙苯法为主。丙酮在工业上主要作为溶剂用于炸药、塑料、橡胶、纤维、制革、油脂、喷漆等行业中，也可作为合成烯酮、醋酐、碘仿、聚异戊二烯橡胶、</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"https://baike.so.com/doc/5243408-7125655.html"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甲基丙烯酸</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甲酯、氯仿、</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"https://baike.so.com/doc/995574-32329278.html"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环氧树脂</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等物质的重要原料。</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乙醚（易制毒）</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乙醚，又称依打（音译自英语：Ether）、二乙醚或乙氧基乙烷，是一种醚类有机化合物，化学式为C</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4</w:t>
                  </w:r>
                  <w:r>
                    <w:rPr>
                      <w:rFonts w:hint="default" w:ascii="Times New Roman" w:hAnsi="Times New Roman" w:eastAsia="宋体" w:cs="Times New Roman"/>
                      <w:i w:val="0"/>
                      <w:iCs w:val="0"/>
                      <w:color w:val="auto"/>
                      <w:kern w:val="0"/>
                      <w:sz w:val="21"/>
                      <w:szCs w:val="21"/>
                      <w:highlight w:val="none"/>
                      <w:u w:val="none"/>
                      <w:lang w:val="en-US" w:eastAsia="zh-CN" w:bidi="ar"/>
                    </w:rPr>
                    <w:t>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10</w:t>
                  </w:r>
                  <w:r>
                    <w:rPr>
                      <w:rFonts w:hint="default" w:ascii="Times New Roman" w:hAnsi="Times New Roman" w:eastAsia="宋体" w:cs="Times New Roman"/>
                      <w:i w:val="0"/>
                      <w:iCs w:val="0"/>
                      <w:color w:val="auto"/>
                      <w:kern w:val="0"/>
                      <w:sz w:val="21"/>
                      <w:szCs w:val="21"/>
                      <w:highlight w:val="none"/>
                      <w:u w:val="none"/>
                      <w:lang w:val="en-US" w:eastAsia="zh-CN" w:bidi="ar"/>
                    </w:rPr>
                    <w:t>O或（C</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O，是一种无色、高度挥发性、有甜味（“飘逸气味”）、极易燃的液体，通常在实验室中用作溶剂，并用作某些发动机的启动液。在非易燃药物如氟烷等被开发之前，医学上常被用作全身麻醉剂。火药工业用于制造无烟火药。</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三氯甲烷（易制毒）</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无色透明液体。有特殊气味。味甜。高</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"https://baike.so.com/doc/6767704-6982818.html"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折光</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，不燃，质重，易挥发。纯品对光敏感，遇光照会与空气中的氧作用，逐渐分解而生成剧毒的光气(碳酰氯)和</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"https://baike.so.com/doc/2962673-3125501.html"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氯化氢</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。可加入0.6%~1%的</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"https://baike.so.com/doc/3036121-3200992.html"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乙醇</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作稳定剂。能与乙醇、</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"https://baike.so.com/doc/3194557-3366490.html"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苯</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"https://baike.so.com/doc/1872265-1980372.html"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乙醚</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"https://baike.so.com/doc/721112-763466.html"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石油醚</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"https://baike.so.com/doc/131852-139263.html"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四氯化碳</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"https://baike.so.com/doc/3452665-3633155.html"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二硫化碳</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和油类等混溶、 25℃时1ml溶于200ml水。</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"https://baike.so.com/doc/2751462-2903816.html"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相对密度</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1.4840。</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"https://baike.so.com/doc/6746556-6961102.html"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凝固点</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-63.5℃。</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"https://baike.so.com/doc/5567907-5783065.html"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沸点</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61~62℃。</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"https://baike.so.com/doc/6175804-6389045.html"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折光率</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1.4476。低毒，半数致死量(大鼠，经口)1194mg/kg。有麻醉性。有致癌可能性。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乙酸丁酯p=0.876g/ML</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液体。有芳香气味。能与乙醇、乙醚和一般有机溶剂相混溶，溶于烃类。25℃时溶于约120份水。易燃。蒸气能与空气形成爆炸性混合物，爆炸极限1.4%～8.0%（体积）。有刺激性。高浓度时有麻醉性。遇明火、高热能引起燃烧爆炸。与氧化剂能发生强烈反应。</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乙酸乙酯</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无色透明液体。具有挥发性。易燃。有水果香味。水分能使其缓解分解而呈酸性反应。能与三氯甲烷、乙醇、丙酮、乙醚相混溶，</w:t>
                  </w:r>
                  <w:r>
                    <w:rPr>
                      <w:rFonts w:hint="default" w:ascii="Times New Roman" w:hAnsi="Times New Roman"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mL</w:t>
                  </w:r>
                  <w:r>
                    <w:rPr>
                      <w:rFonts w:hint="eastAsia" w:cs="Times New Roman"/>
                      <w:i w:val="0"/>
                      <w:iCs w:val="0"/>
                      <w:color w:val="auto"/>
                      <w:kern w:val="0"/>
                      <w:sz w:val="21"/>
                      <w:szCs w:val="21"/>
                      <w:highlight w:val="none"/>
                      <w:u w:val="none"/>
                      <w:lang w:val="en-US" w:eastAsia="zh-CN" w:bidi="ar"/>
                    </w:rPr>
                    <w:t>该产</w:t>
                  </w:r>
                  <w:r>
                    <w:rPr>
                      <w:rFonts w:hint="default" w:ascii="Times New Roman" w:hAnsi="Times New Roman" w:eastAsia="宋体" w:cs="Times New Roman"/>
                      <w:i w:val="0"/>
                      <w:iCs w:val="0"/>
                      <w:color w:val="auto"/>
                      <w:kern w:val="0"/>
                      <w:sz w:val="21"/>
                      <w:szCs w:val="21"/>
                      <w:highlight w:val="none"/>
                      <w:u w:val="none"/>
                      <w:lang w:val="en-US" w:eastAsia="zh-CN" w:bidi="ar"/>
                    </w:rPr>
                    <w:t>品25℃溶于l</w:t>
                  </w:r>
                  <w:r>
                    <w:rPr>
                      <w:rFonts w:hint="default" w:ascii="Times New Roman" w:hAnsi="Times New Roman"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mL水。其蒸气与空气形成爆炸性混合物，遇明火、高热能引起燃烧爆炸。与氧化剂能发生强烈反应。</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正十六烷</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无色液体。</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"https://baike.so.com/doc/367780-389604.html"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熔点</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18.2℃，</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"https://baike.so.com/doc/5567907-5783065.html"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沸点</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286.79，</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"https://baike.so.com/doc/720555-762868.html"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闪点</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135℃，着火点202℃，</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"https://baike.so.com/doc/4210704-4411860.html"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密度</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0.7734 g/cm³。与</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"https://baike.so.com/doc/1041070-1101158.html"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乙醚</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"https://baike.so.com/doc/721112-763466.html"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石油醚</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和</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"https://baike.so.com/doc/3328269-3505240.html"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三氯甲烷</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混溶，微溶于热</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"https://baike.so.com/doc/3036121-3200992.html"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乙醇</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，不溶于水。用于</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"https://baike.so.com/doc/1355777-1433373.html"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溶剂</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异辛烷</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无色、透明液体。不溶于水，溶于醚，易溶于醇、丙酮、苯、氯仿等。其蒸气与空气可形成爆炸性混合物，遇明火、高热能引起燃烧爆炸。遇强氧化剂会引起燃烧爆炸。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甲亚胺</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橙黄到橙红色粉末。可以在水和一些有机溶剂中溶解，如乙醇和丙酮。水合偶氮次甲基―H常用于合成和储存二氧化氮（NO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），作为一种氧化剂、爆炸源或荧光染料的前体。在分析化学中，水合偶氮次甲基―H也可用作铜离子检测剂，能与铜形成明显可见的蓝色配合物。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乙醛</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无色、易燃、易挥发、易流动的液体，有辛辣刺激性气味。相对密度(do)0.7780。熔点-123.5℃。沸点20.16℃。闪点（闭杯）-38℃。比热容(25℃)1.41J/(g-℃)。折射率1. 3311。</w:t>
                  </w:r>
                  <w:r>
                    <w:rPr>
                      <w:rFonts w:hint="eastAsia" w:cs="Times New Roman"/>
                      <w:i w:val="0"/>
                      <w:iCs w:val="0"/>
                      <w:color w:val="auto"/>
                      <w:kern w:val="0"/>
                      <w:sz w:val="21"/>
                      <w:szCs w:val="21"/>
                      <w:highlight w:val="none"/>
                      <w:u w:val="none"/>
                      <w:lang w:val="en-US" w:eastAsia="zh-CN" w:bidi="ar"/>
                    </w:rPr>
                    <w:t>无水乙醇</w:t>
                  </w:r>
                  <w:r>
                    <w:rPr>
                      <w:rFonts w:hint="default" w:ascii="Times New Roman" w:hAnsi="Times New Roman" w:eastAsia="宋体" w:cs="Times New Roman"/>
                      <w:i w:val="0"/>
                      <w:iCs w:val="0"/>
                      <w:color w:val="auto"/>
                      <w:kern w:val="0"/>
                      <w:sz w:val="21"/>
                      <w:szCs w:val="21"/>
                      <w:highlight w:val="none"/>
                      <w:u w:val="none"/>
                      <w:lang w:val="en-US" w:eastAsia="zh-CN" w:bidi="ar"/>
                    </w:rPr>
                    <w:t>、乙醚、苯、汽油、甲苯、二甲苯和丙酮混溶。蒸气与空气形成爆炸性混合物，爆炸极限4.0%～57.0%（体积）。临界温度181.5℃，临界压力6.40MPa。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异戊醇</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液体。有特殊不愉快气味。能与乙醇、乙醚、苯、氯仿、石油醚、冰乙酸、油类相混溶。微溶于水(14℃，2g／100mL)。其蒸气与空气形成爆炸性混合物，遇明火、高热能引起燃烧爆炸。与氧化剂能发生强烈反应。若遇高热．容器内压增大，有开裂和爆炸的危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异丙醇</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无色透明液体。微有乙醇气味。能与水、乙醇、乙醚、氯仿相混溶。其蒸气与空气形成爆炸性混合物，遇明火、高热能引起燃烧爆炸。与氧化剂能发生强烈反应。若遇高热，容器内压增大，有开裂和爆炸的危险。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石油醚</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石油醚是一种无色、挥发性强的液体。它主要由烷烃、芳烃和环烷烃等碳氢化合物组成。它在常温下易燃，能够与空气形成可燃性混合物。石油醚的密度较低，通常在0.7至0.8 g/cm³之间。石油醚具有良好的溶解性，可溶于乙醇、丙酮、乙醚等有机溶剂，但很难溶于水。其挥发性和易燃性，使用或储存石油醚时需要谨慎，并采取必要的安全措施。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氯化汞</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无色结晶或白色颗粒或粉末。熔点277℃；沸点302℃；d5.4。19该品</w:t>
                  </w:r>
                  <w:r>
                    <w:rPr>
                      <w:rFonts w:hint="eastAsia" w:cs="Times New Roman"/>
                      <w:i w:val="0"/>
                      <w:iCs w:val="0"/>
                      <w:color w:val="auto"/>
                      <w:kern w:val="0"/>
                      <w:sz w:val="21"/>
                      <w:szCs w:val="21"/>
                      <w:highlight w:val="none"/>
                      <w:u w:val="none"/>
                      <w:lang w:val="en-US" w:eastAsia="zh-CN" w:bidi="ar"/>
                    </w:rPr>
                    <w:t>溶于</w:t>
                  </w:r>
                  <w:r>
                    <w:rPr>
                      <w:rFonts w:hint="default" w:ascii="Times New Roman" w:hAnsi="Times New Roman" w:eastAsia="宋体" w:cs="Times New Roman"/>
                      <w:i w:val="0"/>
                      <w:iCs w:val="0"/>
                      <w:color w:val="auto"/>
                      <w:kern w:val="0"/>
                      <w:sz w:val="21"/>
                      <w:szCs w:val="21"/>
                      <w:highlight w:val="none"/>
                      <w:u w:val="none"/>
                      <w:lang w:val="en-US" w:eastAsia="zh-CN" w:bidi="ar"/>
                    </w:rPr>
                    <w:t>13. 5mL水、2.ImL沸水、3.8mL乙醇、1. 6mL沸乙醇、22mL乙醚、200mL苯、12mL甘油、40mL乙酸。溶于甲醇、乙酸乙酯、丙酮，微溶于二硫化碳、吡啶。在常温下有微量挥发。遇光或暴露在空气中会逐渐分解生成氯化亚汞、氯化氢和氧气。氯化汞水溶液呈酸性。与碱金属能发生剧烈反应。</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511"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硫氰酸汞</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硫氰酸汞钾是一种白色结晶固体，可溶于水和醇。它具有较强的腐蚀性和毒性，应当小心使用。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62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硝酸铅（易制爆）</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有光泽的或白色等轴晶系的结晶。熔点470℃。极易溶于水，不溶于乙醇，难溶于甲醇。加热则分解为Pb</w:t>
                  </w:r>
                  <w:r>
                    <w:rPr>
                      <w:rFonts w:hint="default" w:ascii="Times New Roman" w:hAnsi="Times New Roman" w:cs="Times New Roman"/>
                      <w:i w:val="0"/>
                      <w:iCs w:val="0"/>
                      <w:color w:val="auto"/>
                      <w:kern w:val="0"/>
                      <w:sz w:val="21"/>
                      <w:szCs w:val="21"/>
                      <w:highlight w:val="none"/>
                      <w:u w:val="none"/>
                      <w:lang w:val="en-US" w:eastAsia="zh-CN" w:bidi="ar"/>
                    </w:rPr>
                    <w:t>O</w:t>
                  </w:r>
                  <w:r>
                    <w:rPr>
                      <w:rFonts w:hint="default" w:ascii="Times New Roman" w:hAnsi="Times New Roman" w:eastAsia="宋体" w:cs="Times New Roman"/>
                      <w:i w:val="0"/>
                      <w:iCs w:val="0"/>
                      <w:color w:val="auto"/>
                      <w:kern w:val="0"/>
                      <w:sz w:val="21"/>
                      <w:szCs w:val="21"/>
                      <w:highlight w:val="none"/>
                      <w:u w:val="none"/>
                      <w:lang w:val="en-US" w:eastAsia="zh-CN" w:bidi="ar"/>
                    </w:rPr>
                    <w:t>、N</w:t>
                  </w:r>
                  <w:r>
                    <w:rPr>
                      <w:rFonts w:hint="default" w:ascii="Times New Roman" w:hAnsi="Times New Roman" w:cs="Times New Roman"/>
                      <w:i w:val="0"/>
                      <w:iCs w:val="0"/>
                      <w:color w:val="auto"/>
                      <w:kern w:val="0"/>
                      <w:sz w:val="21"/>
                      <w:szCs w:val="21"/>
                      <w:highlight w:val="none"/>
                      <w:u w:val="none"/>
                      <w:lang w:val="en-US" w:eastAsia="zh-CN" w:bidi="ar"/>
                    </w:rPr>
                    <w:t>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及</w:t>
                  </w:r>
                  <w:r>
                    <w:rPr>
                      <w:rFonts w:hint="default" w:ascii="Times New Roman" w:hAnsi="Times New Roman" w:cs="Times New Roman"/>
                      <w:i w:val="0"/>
                      <w:iCs w:val="0"/>
                      <w:color w:val="auto"/>
                      <w:kern w:val="0"/>
                      <w:sz w:val="21"/>
                      <w:szCs w:val="21"/>
                      <w:highlight w:val="none"/>
                      <w:u w:val="none"/>
                      <w:lang w:val="en-US" w:eastAsia="zh-CN" w:bidi="ar"/>
                    </w:rPr>
                    <w:t>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50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氰化物标准物质</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标准溶液</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284"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溴水</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溴单质与水的混合物。溴单质微溶于水，80%以上的溴会与水反应生成</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HYPERLINK "https://baike.so.com/doc/6950183-7172584.html" \t "https://baike.so.com/doc/_blank"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氢溴酸</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r>
                    <w:rPr>
                      <w:rFonts w:hint="default" w:ascii="Times New Roman" w:hAnsi="Times New Roman" w:eastAsia="宋体" w:cs="Times New Roman"/>
                      <w:i w:val="0"/>
                      <w:iCs w:val="0"/>
                      <w:color w:val="auto"/>
                      <w:kern w:val="0"/>
                      <w:sz w:val="21"/>
                      <w:szCs w:val="21"/>
                      <w:highlight w:val="none"/>
                      <w:u w:val="none"/>
                      <w:lang w:val="en-US" w:eastAsia="zh-CN" w:bidi="ar"/>
                    </w:rPr>
                    <w:t>与次溴酸，但仍然会有少量溴单质溶解在水中，所以溴水呈橙黄色。新制溴水可以</w:t>
                  </w:r>
                  <w:r>
                    <w:rPr>
                      <w:rFonts w:hint="eastAsia" w:cs="Times New Roman"/>
                      <w:i w:val="0"/>
                      <w:iCs w:val="0"/>
                      <w:color w:val="auto"/>
                      <w:kern w:val="0"/>
                      <w:sz w:val="21"/>
                      <w:szCs w:val="21"/>
                      <w:highlight w:val="none"/>
                      <w:u w:val="none"/>
                      <w:lang w:val="en-US" w:eastAsia="zh-CN" w:bidi="ar"/>
                    </w:rPr>
                    <w:t>看成</w:t>
                  </w:r>
                  <w:r>
                    <w:rPr>
                      <w:rFonts w:hint="default" w:ascii="Times New Roman" w:hAnsi="Times New Roman" w:eastAsia="宋体" w:cs="Times New Roman"/>
                      <w:i w:val="0"/>
                      <w:iCs w:val="0"/>
                      <w:color w:val="auto"/>
                      <w:kern w:val="0"/>
                      <w:sz w:val="21"/>
                      <w:szCs w:val="21"/>
                      <w:highlight w:val="none"/>
                      <w:u w:val="none"/>
                      <w:lang w:val="en-US" w:eastAsia="zh-CN" w:bidi="ar"/>
                    </w:rPr>
                    <w:t>溴的水溶液，进行与溴单质有关的化学反应，但时间较长的溴水中溴分子也会分解，溴水逐渐褪色。久置的溴水中只含有氢溴酸。次溴酸会在光照下分解成氢溴酸和氧气。</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亚砷酸钠溶液</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有机砷类灭生性除草剂</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分子式NaASO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，简称SMA。其产品为灰白色粉末，密度1.87，极易溶于水，微溶于乙醇，稍吸湿，吸收CO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分解。可用于防除水生杂草及橡胶园除茅草。</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亚砷酸钾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一种无机化合物，白色结晶粉末或颗粒。可溶于水，略溶于乙醇和乙醚。亚砷酸钾易被空气中的氧气氧化为砷酸钾。亚砷酸钾可用作杀真菌剂和杀虫剂的原料，用于农业上的植物病虫害防治。亚砷酸钾还可用于制备其他砷化合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532"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硫酸镉</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无色单斜结晶，无气味。相对密度3.091熔点41.5℃。溶于水(0℃时113g/l</w:t>
                  </w:r>
                  <w:r>
                    <w:rPr>
                      <w:rFonts w:hint="default" w:ascii="Times New Roman" w:hAnsi="Times New Roman" w:cs="Times New Roman"/>
                      <w:i w:val="0"/>
                      <w:iCs w:val="0"/>
                      <w:color w:val="auto"/>
                      <w:kern w:val="0"/>
                      <w:sz w:val="21"/>
                      <w:szCs w:val="21"/>
                      <w:highlight w:val="none"/>
                      <w:u w:val="none"/>
                      <w:lang w:val="en-US" w:eastAsia="zh-CN" w:bidi="ar"/>
                    </w:rPr>
                    <w:t>00</w:t>
                  </w:r>
                  <w:r>
                    <w:rPr>
                      <w:rFonts w:hint="default" w:ascii="Times New Roman" w:hAnsi="Times New Roman" w:eastAsia="宋体" w:cs="Times New Roman"/>
                      <w:i w:val="0"/>
                      <w:iCs w:val="0"/>
                      <w:color w:val="auto"/>
                      <w:kern w:val="0"/>
                      <w:sz w:val="21"/>
                      <w:szCs w:val="21"/>
                      <w:highlight w:val="none"/>
                      <w:u w:val="none"/>
                      <w:lang w:val="en-US" w:eastAsia="zh-CN" w:bidi="ar"/>
                    </w:rPr>
                    <w:t>mL水)，不溶于乙醇、醋酸和乙醚。易风化。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乙酸铅</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乙酸铅，又称醋酸铅，是一种白色晶体状化合物，带甜味，过去曾称为铅糖。和其他铅化合物一样，乙酸铅也有很大毒性。乙酸铅能溶于水或甘油。和水中形成三水合物，Pb(CH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COO)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·3H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O，是一种无色或白色花状单斜晶体。 低浓度的乙酸铅在渐进式染发产品中的主要有效成分。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281"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硫酸汞</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颗粒或结晶性粉末。相对密度6.47。熔点（分解）。遇热分解而变黄，继而变褐色，但经冷却后又再成白色。遇强热即分解。在少量水中变成一水物，但在大量的水中，特别是加热时，则分解成硫酸和碱式盐。溶于盐酸、热稀酸和浓的氯化钠溶液。不溶于丙酮和氨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二氯化汞（剧毒）</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无色结晶或白色颗粒或粉末。熔点277℃；沸点302℃；该品</w:t>
                  </w:r>
                  <w:r>
                    <w:rPr>
                      <w:rFonts w:hint="eastAsia" w:cs="Times New Roman"/>
                      <w:i w:val="0"/>
                      <w:iCs w:val="0"/>
                      <w:color w:val="auto"/>
                      <w:kern w:val="0"/>
                      <w:sz w:val="21"/>
                      <w:szCs w:val="21"/>
                      <w:highlight w:val="none"/>
                      <w:u w:val="none"/>
                      <w:lang w:val="en-US" w:eastAsia="zh-CN" w:bidi="ar"/>
                    </w:rPr>
                    <w:t>溶于</w:t>
                  </w:r>
                  <w:r>
                    <w:rPr>
                      <w:rFonts w:hint="default" w:ascii="Times New Roman" w:hAnsi="Times New Roman" w:eastAsia="宋体" w:cs="Times New Roman"/>
                      <w:i w:val="0"/>
                      <w:iCs w:val="0"/>
                      <w:color w:val="auto"/>
                      <w:kern w:val="0"/>
                      <w:sz w:val="21"/>
                      <w:szCs w:val="21"/>
                      <w:highlight w:val="none"/>
                      <w:u w:val="none"/>
                      <w:lang w:val="en-US" w:eastAsia="zh-CN" w:bidi="ar"/>
                    </w:rPr>
                    <w:t>13.5mL水、2.ImL沸水、3.8mL乙醇、1.6mL沸乙醇、22mL乙醚、200mL苯、12mL甘油、40mL乙酸。溶于甲醇、乙酸乙酯、丙酮，微溶于二硫化碳、吡啶。在常温下有微量挥发。遇光或暴露在空气中会逐渐分解生成氯化亚汞、氯化氢和氧气。氯化汞水溶液呈酸性。与碱金属能发生剧烈反应。</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磷酸</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透明无色黏稠溶液，无臭。一般含量85%～95%。继续浓缩可得无色柱状晶体，密度(18℃)1.834g/cm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，熔点42.3℃，沸点158℃，凝固点21.1℃。150℃成为无水物，加热至215℃变为焦磷酸，约于300℃变为偏磷酸，蒸气压3. 8Pa。潮解性强。可与水和乙醇混溶。</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81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氢氧化钠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纯净的氢氧化钠是白色的固体，极易溶解于水，它的水溶液有涩味和滑腻感。氢氧化钠暴露在空气中时容易吸收水分，表面潮湿而逐步溶解，这种现象</w:t>
                  </w:r>
                  <w:r>
                    <w:rPr>
                      <w:rFonts w:hint="eastAsia" w:cs="Times New Roman"/>
                      <w:i w:val="0"/>
                      <w:iCs w:val="0"/>
                      <w:color w:val="auto"/>
                      <w:kern w:val="0"/>
                      <w:sz w:val="21"/>
                      <w:szCs w:val="21"/>
                      <w:highlight w:val="none"/>
                      <w:u w:val="none"/>
                      <w:lang w:val="en-US" w:eastAsia="zh-CN" w:bidi="ar"/>
                    </w:rPr>
                    <w:t>叫作</w:t>
                  </w:r>
                  <w:r>
                    <w:rPr>
                      <w:rFonts w:hint="default" w:ascii="Times New Roman" w:hAnsi="Times New Roman" w:eastAsia="宋体" w:cs="Times New Roman"/>
                      <w:i w:val="0"/>
                      <w:iCs w:val="0"/>
                      <w:color w:val="auto"/>
                      <w:kern w:val="0"/>
                      <w:sz w:val="21"/>
                      <w:szCs w:val="21"/>
                      <w:highlight w:val="none"/>
                      <w:u w:val="none"/>
                      <w:lang w:val="en-US" w:eastAsia="zh-CN" w:bidi="ar"/>
                    </w:rPr>
                    <w:t>潮解。其相对密度2.130。熔点318.4℃。沸点1390℃。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1313"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氢氧化钾</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白色或微黄色豆瓣状颗粒、棒状、块状物。熔点约360℃。380℃为无水物。在空气中极易吸湿而潮解，吸收二氧化碳生成碳酸钾。溶于0.9份水、0.6份沸水、3份乙醇、2.5份甘油，同时放出大量热。不溶于乙醚。0.</w:t>
                  </w:r>
                  <w:r>
                    <w:rPr>
                      <w:rFonts w:hint="default" w:ascii="Times New Roman" w:hAnsi="Times New Roman"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mol/L水溶液pH值13.5。不燃，具有强腐蚀性。遇水和水蒸气大量放热，形成腐蚀性溶液。与酸发生中和反应并放热。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过氧化氢（易制毒）</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无色透明液体．30%过氧化氢在25℃时密度为1.llg/mL。过氧化氢是极弱的酸，是强氧化剂，高浓度过氧化氢接触有机物时可使其燃烧，与二氧化锰作用会发生爆炸。</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543"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冰乙酸</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液体，低温下凝固为冰状晶体。有刺激性气味。能与水、乙醇、乙醚和四氯化碳等有机溶剂相混溶，不溶于二硫化碳。易燃，具腐蚀性、强刺激性，可致人体灼伤。易燃，其蒸气与空气可形成爆炸性混合物，遇明火、高热能引起燃烧爆炸。与铬酸、过氧化钠、硝酸或其它氧化剂接触，有爆炸危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甲酸</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发烟液体，有强烈的刺激性气味．属强酸类。能以任何比例与水互溶，并形成高于两者沸点的共沸混合物。能与许多有机溶剂互溶，但不溶于烃类。可燃，在30℃以上长期存放时，甲酸会发生缓慢分解，放出一氧化碳。其蒸气与空气形成爆炸性混合物，遇明火、高热能引起燃烧爆炸。与强氧化剂可发生反应。具有较强的腐蚀性。腐蚀铝、铸铁、钢、某些塑料、橡胶和涂料。</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次氯化钠</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次氯酸钠为白色粉末。工业品次氯酸钠是无色或淡黄色的液体。熔点18℃。在空气中极不稳定，分解产生二氧化碳。受热后迅速分解，在碱性状态时较稳定。次氯酸钠易溶于水，溶于水后成烧碱及次氯酸，0℃时</w:t>
                  </w:r>
                  <w:r>
                    <w:rPr>
                      <w:rFonts w:hint="default" w:ascii="Times New Roman" w:hAnsi="Times New Roman" w:cs="Times New Roman"/>
                      <w:i w:val="0"/>
                      <w:iCs w:val="0"/>
                      <w:color w:val="auto"/>
                      <w:kern w:val="0"/>
                      <w:sz w:val="21"/>
                      <w:szCs w:val="21"/>
                      <w:highlight w:val="none"/>
                      <w:u w:val="none"/>
                      <w:lang w:val="en-US" w:eastAsia="zh-CN" w:bidi="ar"/>
                    </w:rPr>
                    <w:t>100</w:t>
                  </w:r>
                  <w:r>
                    <w:rPr>
                      <w:rFonts w:hint="default" w:ascii="Times New Roman" w:hAnsi="Times New Roman" w:eastAsia="宋体" w:cs="Times New Roman"/>
                      <w:i w:val="0"/>
                      <w:iCs w:val="0"/>
                      <w:color w:val="auto"/>
                      <w:kern w:val="0"/>
                      <w:sz w:val="21"/>
                      <w:szCs w:val="21"/>
                      <w:highlight w:val="none"/>
                      <w:u w:val="none"/>
                      <w:lang w:val="en-US" w:eastAsia="zh-CN" w:bidi="ar"/>
                    </w:rPr>
                    <w:t>mL H</w:t>
                  </w:r>
                  <w:r>
                    <w:rPr>
                      <w:rFonts w:hint="default" w:ascii="Times New Roman" w:hAnsi="Times New Roman"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O溶解29.3g扶氯酸钠。次氯酸再分解生成氯化氢和新生氧，新生氧的氧化能力很强，所以次氯酸钠也是强氧化剂。其稳定度受光、热、重金属阳离子和pH值的影响。具有刺激性气味。</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草酸</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无色透明晶体，常含两分子结晶水。当加热到98～100℃时，草酸水合物即失去结晶水。无水草酸是具有潮解性的无色、无臭固体，有菱形和单斜</w:t>
                  </w:r>
                  <w:r>
                    <w:rPr>
                      <w:rFonts w:hint="eastAsia" w:cs="Times New Roman"/>
                      <w:i w:val="0"/>
                      <w:iCs w:val="0"/>
                      <w:color w:val="auto"/>
                      <w:kern w:val="0"/>
                      <w:sz w:val="21"/>
                      <w:szCs w:val="21"/>
                      <w:highlight w:val="none"/>
                      <w:u w:val="none"/>
                      <w:lang w:val="en-US" w:eastAsia="zh-CN" w:bidi="ar"/>
                    </w:rPr>
                    <w:t>晶型</w:t>
                  </w:r>
                  <w:r>
                    <w:rPr>
                      <w:rFonts w:hint="default" w:ascii="Times New Roman" w:hAnsi="Times New Roman" w:eastAsia="宋体" w:cs="Times New Roman"/>
                      <w:i w:val="0"/>
                      <w:iCs w:val="0"/>
                      <w:color w:val="auto"/>
                      <w:kern w:val="0"/>
                      <w:sz w:val="21"/>
                      <w:szCs w:val="21"/>
                      <w:highlight w:val="none"/>
                      <w:u w:val="none"/>
                      <w:lang w:val="en-US" w:eastAsia="zh-CN" w:bidi="ar"/>
                    </w:rPr>
                    <w:t>两种结晶形态。在室温下，菱形的草酸晶体在热力学上是稳定的，而单斜</w:t>
                  </w:r>
                  <w:r>
                    <w:rPr>
                      <w:rFonts w:hint="eastAsia" w:cs="Times New Roman"/>
                      <w:i w:val="0"/>
                      <w:iCs w:val="0"/>
                      <w:color w:val="auto"/>
                      <w:kern w:val="0"/>
                      <w:sz w:val="21"/>
                      <w:szCs w:val="21"/>
                      <w:highlight w:val="none"/>
                      <w:u w:val="none"/>
                      <w:lang w:val="en-US" w:eastAsia="zh-CN" w:bidi="ar"/>
                    </w:rPr>
                    <w:t>晶型</w:t>
                  </w:r>
                  <w:r>
                    <w:rPr>
                      <w:rFonts w:hint="default" w:ascii="Times New Roman" w:hAnsi="Times New Roman" w:eastAsia="宋体" w:cs="Times New Roman"/>
                      <w:i w:val="0"/>
                      <w:iCs w:val="0"/>
                      <w:color w:val="auto"/>
                      <w:kern w:val="0"/>
                      <w:sz w:val="21"/>
                      <w:szCs w:val="21"/>
                      <w:highlight w:val="none"/>
                      <w:u w:val="none"/>
                      <w:lang w:val="en-US" w:eastAsia="zh-CN" w:bidi="ar"/>
                    </w:rPr>
                    <w:t>的草酸晶体是热力学亚稳态。菱形草酸晶体的熔点和密度比单斜</w:t>
                  </w:r>
                  <w:r>
                    <w:rPr>
                      <w:rFonts w:hint="eastAsia" w:cs="Times New Roman"/>
                      <w:i w:val="0"/>
                      <w:iCs w:val="0"/>
                      <w:color w:val="auto"/>
                      <w:kern w:val="0"/>
                      <w:sz w:val="21"/>
                      <w:szCs w:val="21"/>
                      <w:highlight w:val="none"/>
                      <w:u w:val="none"/>
                      <w:lang w:val="en-US" w:eastAsia="zh-CN" w:bidi="ar"/>
                    </w:rPr>
                    <w:t>晶型</w:t>
                  </w:r>
                  <w:r>
                    <w:rPr>
                      <w:rFonts w:hint="default" w:ascii="Times New Roman" w:hAnsi="Times New Roman" w:eastAsia="宋体" w:cs="Times New Roman"/>
                      <w:i w:val="0"/>
                      <w:iCs w:val="0"/>
                      <w:color w:val="auto"/>
                      <w:kern w:val="0"/>
                      <w:sz w:val="21"/>
                      <w:szCs w:val="21"/>
                      <w:highlight w:val="none"/>
                      <w:u w:val="none"/>
                      <w:lang w:val="en-US" w:eastAsia="zh-CN" w:bidi="ar"/>
                    </w:rPr>
                    <w:t>草酸略高。无水草酸熔点189.5℃（分解）。157℃开始部分分解I当加速加热，草酸全部分解时生成甲酸、一氧化碳和水。易溶于水和醇，微溶于乙醚，不溶于苯、氯仿和石油醚。遇高热、明火或与氧化剂接触，有引起燃烧的危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225"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硼酸</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白色结晶性粉末或无色微带珍珠光泽的磷片或六角三斜结晶。无味，味微酸苦。熔点约171℃。溶于水、酒精、甘油、醚类及香精油中，水溶液呈弱酸性。硼酸在水中的溶解度随温度升高而增大，并能随水蒸气挥发0.</w:t>
                  </w:r>
                  <w:r>
                    <w:rPr>
                      <w:rFonts w:hint="default" w:ascii="Times New Roman" w:hAnsi="Times New Roman"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mol/L水溶液pH为5.1。能溶于18mL冷水，4mL沸水，18mL冷醇，6mL沸醇或4mL甘油。与皮肤接触有滑腻感，露置空气中无变化。加热至100～105℃时失去一分子水而形成偏硼酸，于104～160℃时长时间加热转变为焦硼酸，更高温度则形成无水物，300℃时生成硼酸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250"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氢气</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无色、无味、无臭、无毒的易燃气体。熔点为-259.2℃，沸点-252.77℃，相对密度（</w:t>
                  </w:r>
                  <w:r>
                    <w:rPr>
                      <w:rFonts w:hint="default" w:ascii="Times New Roman" w:hAnsi="Times New Roman"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℃，空气=1）0.06960。气体密度0.08342kg</w:t>
                  </w: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液体密度70.96kg</w:t>
                  </w: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临界温度-239.9℃，临界压力1.297MPa。在0℃时溶于约50体积水中。在高浓度时具有窒息性。极易扩散和渗透。强还原剂，对钢材有渗透作用，出现氢脆化现象。氢气无毒，但不能维持生命。与空气混合能形成爆炸性混合物，遇明火、高热能引起燃烧爆炸。与氟、氯等能发生剧烈的化学反应。燃烧时看不见火焰，与空气、氧、氯等混合易爆炸，自燃温度571.2t。在空气中的可燃限4.0%～75.0%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乙炔</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无色有毒气体。相对密度1.0869。熔点(118. 656kPa)-80.8℃，沸点-84℃，折射率1.00051。闪点-17.78℃。自燃点305℃。在空气中爆炸极限2.396</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72.3%（体积）。微溶于水，溶于乙醇、苯、丙酮。性质活泼，能发生加成反应和聚合反应，在氧气中燃烧可发生高温(3500℃)和强光。</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氮气</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无臭、无味、无毒的惰性气体。沸点-195.79℃；熔点-210.01℃；常温下呈惰性，微溶于水、酒精和醚。氮的化学性质不活泼，在平常的状态下表现为很大的惰性，不容易与其他的物质发生化学反应。氮不可燃。它可与一些特别活泼的金属，例如锂和镁结合生成氮化物，在高温下也可与氢、氧和其他元素结合。微溶于水和绝大部分其他液体，是热和电的不良导体。</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氩气</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无味、无臭、无毒的惰性气体，化学性质极不活泼。在21.1℃和101.3kPa下气体相对密度1.38。沸点-185.9℃。熔点-189.2℃。临界温度-122.3C，临界压力4.893MPa。溶于有机溶剂。不燃烧，无毒，但人体吸入易窒息。无腐蚀性。若遇高热，容器内压增大，有开裂和爆炸的危险</w:t>
                  </w:r>
                  <w:r>
                    <w:rPr>
                      <w:rFonts w:hint="default" w:ascii="Times New Roman" w:hAnsi="Times New Roman" w:cs="Times New Roman"/>
                      <w:i w:val="0"/>
                      <w:iCs w:val="0"/>
                      <w:color w:val="auto"/>
                      <w:kern w:val="0"/>
                      <w:sz w:val="21"/>
                      <w:szCs w:val="21"/>
                      <w:highlight w:val="none"/>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Ex>
              <w:trPr>
                <w:trHeight w:val="949" w:hRule="atLeast"/>
                <w:jc w:val="center"/>
              </w:trPr>
              <w:tc>
                <w:tcPr>
                  <w:tcW w:w="1088"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氦气</w:t>
                  </w:r>
                </w:p>
              </w:tc>
              <w:tc>
                <w:tcPr>
                  <w:tcW w:w="7164" w:type="dxa"/>
                  <w:shd w:val="clear" w:color="auto" w:fill="auto"/>
                  <w:vAlign w:val="center"/>
                </w:tcPr>
                <w:p>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无色、无臭、无味、无毒、不燃的惰性气体。在21.1℃和101.3kPa下气体相对密度0.138。沸点-268.9℃。临界温度-267.9℃，临界压力227kPa。不与任何物质起化学作用。若遇高热，容器内压增大，有开裂和爆炸的危险。</w:t>
                  </w:r>
                </w:p>
              </w:tc>
            </w:tr>
          </w:tbl>
          <w:p>
            <w:pPr>
              <w:pStyle w:val="3"/>
              <w:suppressLineNumbers w:val="0"/>
              <w:bidi w:val="0"/>
              <w:spacing w:beforeAutospacing="0" w:afterAutospacing="0"/>
              <w:ind w:right="0"/>
              <w:rPr>
                <w:rFonts w:hint="default" w:ascii="Times New Roman" w:hAnsi="Times New Roman" w:cs="Times New Roman"/>
                <w:color w:val="auto"/>
                <w:highlight w:val="none"/>
              </w:rPr>
            </w:pPr>
            <w:bookmarkStart w:id="40" w:name="_Toc539"/>
            <w:r>
              <w:rPr>
                <w:rFonts w:hint="default" w:ascii="Times New Roman" w:hAnsi="Times New Roman" w:cs="Times New Roman"/>
                <w:color w:val="auto"/>
                <w:highlight w:val="none"/>
                <w:lang w:val="en-US" w:eastAsia="zh-CN"/>
              </w:rPr>
              <w:t>水平衡</w:t>
            </w:r>
            <w:bookmarkEnd w:id="40"/>
          </w:p>
          <w:p>
            <w:pPr>
              <w:pStyle w:val="36"/>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本项目运营过程主要有员工生活用排水及实验检测过程中生产用排水。</w:t>
            </w:r>
          </w:p>
          <w:p>
            <w:pPr>
              <w:pStyle w:val="36"/>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（1）生活用排水</w:t>
            </w:r>
          </w:p>
          <w:p>
            <w:pPr>
              <w:pStyle w:val="36"/>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据建设单位提供资料，项目员工30人，</w:t>
            </w:r>
            <w:r>
              <w:rPr>
                <w:rFonts w:hint="default" w:ascii="Times New Roman" w:hAnsi="Times New Roman" w:cs="Times New Roman"/>
                <w:color w:val="auto"/>
                <w:highlight w:val="none"/>
                <w:u w:val="none"/>
                <w:lang w:val="en-US" w:eastAsia="zh-CN"/>
              </w:rPr>
              <w:t>年工作300天，</w:t>
            </w:r>
            <w:r>
              <w:rPr>
                <w:rFonts w:hint="default" w:ascii="Times New Roman" w:hAnsi="Times New Roman" w:cs="Times New Roman"/>
                <w:color w:val="auto"/>
                <w:highlight w:val="none"/>
                <w:lang w:val="en-US" w:eastAsia="zh-CN"/>
              </w:rPr>
              <w:t>均不提供食宿。</w:t>
            </w:r>
            <w:r>
              <w:rPr>
                <w:rFonts w:hint="default" w:ascii="Times New Roman" w:hAnsi="Times New Roman" w:cs="Times New Roman"/>
                <w:color w:val="auto"/>
                <w:highlight w:val="none"/>
                <w:u w:val="none"/>
                <w:lang w:val="en-US" w:eastAsia="zh-CN"/>
              </w:rPr>
              <w:t>根据福建省《行业用水定额》（DB35/T772-2018），不住厂职工用水按50L/人·d计，</w:t>
            </w:r>
            <w:r>
              <w:rPr>
                <w:rFonts w:hint="default" w:ascii="Times New Roman" w:hAnsi="Times New Roman" w:cs="Times New Roman"/>
                <w:color w:val="auto"/>
                <w:highlight w:val="none"/>
                <w:lang w:val="en-US" w:eastAsia="zh-CN"/>
              </w:rPr>
              <w:t>则项目员工生活用水量约450t/a（1</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t/d），</w:t>
            </w:r>
            <w:r>
              <w:rPr>
                <w:rFonts w:hint="default" w:ascii="Times New Roman" w:hAnsi="Times New Roman" w:cs="Times New Roman"/>
                <w:color w:val="auto"/>
                <w:highlight w:val="none"/>
                <w:u w:val="none"/>
                <w:lang w:val="en-US" w:eastAsia="zh-CN"/>
              </w:rPr>
              <w:t>生活污水产污系数按生活水量的80%计，则新增生活污水排放量为360t/a（1.2t/d）。</w:t>
            </w:r>
          </w:p>
          <w:p>
            <w:pPr>
              <w:pStyle w:val="36"/>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（2）生产用排水</w:t>
            </w:r>
          </w:p>
          <w:p>
            <w:pPr>
              <w:pStyle w:val="36"/>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highlight w:val="none"/>
                <w:lang w:val="en-US" w:eastAsia="zh-CN"/>
              </w:rPr>
            </w:pPr>
            <w:r>
              <w:rPr>
                <w:rFonts w:hint="default" w:ascii="Times New Roman" w:hAnsi="Times New Roman" w:cs="Times New Roman"/>
                <w:color w:val="auto"/>
                <w:highlight w:val="none"/>
                <w:lang w:val="en-US" w:eastAsia="zh-CN"/>
              </w:rPr>
              <w:t>项目生产用水主要为</w:t>
            </w:r>
            <w:r>
              <w:rPr>
                <w:rFonts w:hint="default" w:ascii="Times New Roman" w:hAnsi="Times New Roman" w:eastAsia="宋体" w:cs="Times New Roman"/>
                <w:color w:val="auto"/>
                <w:highlight w:val="none"/>
                <w:lang w:val="en-US" w:eastAsia="zh-CN"/>
              </w:rPr>
              <w:t>纯水机</w:t>
            </w:r>
            <w:r>
              <w:rPr>
                <w:rFonts w:hint="default" w:ascii="Times New Roman" w:hAnsi="Times New Roman" w:cs="Times New Roman"/>
                <w:color w:val="auto"/>
                <w:highlight w:val="none"/>
                <w:lang w:val="en-US" w:eastAsia="zh-CN"/>
              </w:rPr>
              <w:t>制纯水用水、</w:t>
            </w:r>
            <w:r>
              <w:rPr>
                <w:rFonts w:hint="default" w:ascii="Times New Roman" w:hAnsi="Times New Roman" w:cs="Times New Roman"/>
                <w:b w:val="0"/>
                <w:bCs w:val="0"/>
                <w:color w:val="auto"/>
                <w:szCs w:val="21"/>
                <w:highlight w:val="none"/>
              </w:rPr>
              <w:t>实验室仪器用排水</w:t>
            </w:r>
            <w:r>
              <w:rPr>
                <w:rFonts w:hint="default" w:ascii="Times New Roman" w:hAnsi="Times New Roman" w:cs="Times New Roman"/>
                <w:b w:val="0"/>
                <w:bCs w:val="0"/>
                <w:color w:val="auto"/>
                <w:highlight w:val="none"/>
                <w:lang w:val="en-US" w:eastAsia="zh-CN"/>
              </w:rPr>
              <w:t>、</w:t>
            </w:r>
            <w:r>
              <w:rPr>
                <w:rFonts w:hint="default" w:ascii="Times New Roman" w:hAnsi="Times New Roman" w:cs="Times New Roman"/>
                <w:b w:val="0"/>
                <w:bCs w:val="0"/>
                <w:color w:val="auto"/>
                <w:szCs w:val="21"/>
                <w:highlight w:val="none"/>
              </w:rPr>
              <w:t>样品排水</w:t>
            </w:r>
            <w:r>
              <w:rPr>
                <w:rFonts w:hint="default" w:ascii="Times New Roman" w:hAnsi="Times New Roman" w:cs="Times New Roman"/>
                <w:b w:val="0"/>
                <w:bCs w:val="0"/>
                <w:color w:val="auto"/>
                <w:highlight w:val="none"/>
                <w:lang w:val="en-US" w:eastAsia="zh-CN"/>
              </w:rPr>
              <w:t>、</w:t>
            </w:r>
            <w:r>
              <w:rPr>
                <w:rFonts w:hint="eastAsia" w:cs="Times New Roman"/>
                <w:b w:val="0"/>
                <w:bCs w:val="0"/>
                <w:color w:val="auto"/>
                <w:highlight w:val="none"/>
                <w:lang w:val="en-US" w:eastAsia="zh-CN"/>
              </w:rPr>
              <w:t>实验器具</w:t>
            </w:r>
            <w:r>
              <w:rPr>
                <w:rFonts w:hint="default" w:ascii="Times New Roman" w:hAnsi="Times New Roman" w:cs="Times New Roman"/>
                <w:b w:val="0"/>
                <w:bCs w:val="0"/>
                <w:color w:val="auto"/>
                <w:highlight w:val="none"/>
                <w:lang w:val="en-US" w:eastAsia="zh-CN"/>
              </w:rPr>
              <w:t>清洗用水、喷淋塔用水等。</w:t>
            </w:r>
          </w:p>
          <w:p>
            <w:pPr>
              <w:pStyle w:val="36"/>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highlight w:val="none"/>
                <w:lang w:val="en-US" w:eastAsia="zh-CN"/>
              </w:rPr>
              <w:t>①</w:t>
            </w:r>
            <w:r>
              <w:rPr>
                <w:rFonts w:hint="default" w:ascii="Times New Roman" w:hAnsi="Times New Roman" w:cs="Times New Roman"/>
                <w:b w:val="0"/>
                <w:bCs w:val="0"/>
                <w:color w:val="auto"/>
                <w:szCs w:val="21"/>
                <w:highlight w:val="none"/>
              </w:rPr>
              <w:t>制纯</w:t>
            </w:r>
            <w:r>
              <w:rPr>
                <w:rFonts w:hint="default" w:ascii="Times New Roman" w:hAnsi="Times New Roman" w:cs="Times New Roman"/>
                <w:b w:val="0"/>
                <w:bCs w:val="0"/>
                <w:color w:val="auto"/>
                <w:highlight w:val="none"/>
                <w:lang w:val="en-US" w:eastAsia="zh-CN"/>
              </w:rPr>
              <w:t>水</w:t>
            </w:r>
            <w:r>
              <w:rPr>
                <w:rFonts w:hint="default" w:ascii="Times New Roman" w:hAnsi="Times New Roman" w:cs="Times New Roman"/>
                <w:b w:val="0"/>
                <w:bCs w:val="0"/>
                <w:color w:val="auto"/>
                <w:szCs w:val="21"/>
                <w:highlight w:val="none"/>
              </w:rPr>
              <w:t>用水</w:t>
            </w:r>
          </w:p>
          <w:p>
            <w:pPr>
              <w:pStyle w:val="36"/>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本项目使用纯水机制纯水，制得的纯水用于检测药剂配制及实验器具清洗。</w:t>
            </w:r>
          </w:p>
          <w:p>
            <w:pPr>
              <w:pStyle w:val="36"/>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根据建设单位提供资料，</w:t>
            </w:r>
            <w:r>
              <w:rPr>
                <w:rFonts w:hint="default" w:ascii="Times New Roman" w:hAnsi="Times New Roman" w:eastAsia="宋体" w:cs="Times New Roman"/>
                <w:b w:val="0"/>
                <w:bCs w:val="0"/>
                <w:color w:val="auto"/>
                <w:highlight w:val="none"/>
                <w:lang w:val="en-US" w:eastAsia="zh-CN"/>
              </w:rPr>
              <w:t>本项目拟设置1台纯水机将自来水制备为纯水，主要用于溶液配置和实验室器具的最后冲洗。项目年总用纯水量约30t</w:t>
            </w:r>
            <w:r>
              <w:rPr>
                <w:rFonts w:hint="default" w:ascii="Times New Roman" w:hAnsi="Times New Roman" w:cs="Times New Roman"/>
                <w:b w:val="0"/>
                <w:bCs w:val="0"/>
                <w:color w:val="auto"/>
                <w:highlight w:val="none"/>
                <w:lang w:val="en-US" w:eastAsia="zh-CN"/>
              </w:rPr>
              <w:t>（0.1t/d）</w:t>
            </w:r>
            <w:r>
              <w:rPr>
                <w:rFonts w:hint="default" w:ascii="Times New Roman" w:hAnsi="Times New Roman" w:eastAsia="宋体" w:cs="Times New Roman"/>
                <w:b w:val="0"/>
                <w:bCs w:val="0"/>
                <w:color w:val="auto"/>
                <w:highlight w:val="none"/>
                <w:lang w:val="en-US" w:eastAsia="zh-CN"/>
              </w:rPr>
              <w:t>，纯水机制纯效率约75%，则制纯用新鲜自来水量约为40t/a</w:t>
            </w:r>
            <w:r>
              <w:rPr>
                <w:rFonts w:hint="default" w:ascii="Times New Roman" w:hAnsi="Times New Roman" w:cs="Times New Roman"/>
                <w:b w:val="0"/>
                <w:bCs w:val="0"/>
                <w:color w:val="auto"/>
                <w:highlight w:val="none"/>
                <w:lang w:val="en-US" w:eastAsia="zh-CN"/>
              </w:rPr>
              <w:t>（</w:t>
            </w:r>
            <w:r>
              <w:rPr>
                <w:rFonts w:hint="eastAsia" w:cs="Times New Roman"/>
                <w:b w:val="0"/>
                <w:bCs w:val="0"/>
                <w:color w:val="auto"/>
                <w:highlight w:val="none"/>
                <w:lang w:val="en-US" w:eastAsia="zh-CN"/>
              </w:rPr>
              <w:t>0.</w:t>
            </w:r>
            <w:r>
              <w:rPr>
                <w:rFonts w:hint="default" w:ascii="Times New Roman" w:hAnsi="Times New Roman" w:cs="Times New Roman"/>
                <w:b w:val="0"/>
                <w:bCs w:val="0"/>
                <w:color w:val="auto"/>
                <w:highlight w:val="none"/>
                <w:lang w:val="en-US" w:eastAsia="zh-CN"/>
              </w:rPr>
              <w:t>133t/d）</w:t>
            </w:r>
            <w:r>
              <w:rPr>
                <w:rFonts w:hint="default" w:ascii="Times New Roman" w:hAnsi="Times New Roman" w:eastAsia="宋体" w:cs="Times New Roman"/>
                <w:b w:val="0"/>
                <w:bCs w:val="0"/>
                <w:color w:val="auto"/>
                <w:highlight w:val="none"/>
                <w:lang w:val="en-US" w:eastAsia="zh-CN"/>
              </w:rPr>
              <w:t>，制纯浓水产生量约10t/a</w:t>
            </w:r>
            <w:r>
              <w:rPr>
                <w:rFonts w:hint="default" w:ascii="Times New Roman" w:hAnsi="Times New Roman" w:cs="Times New Roman"/>
                <w:b w:val="0"/>
                <w:bCs w:val="0"/>
                <w:color w:val="auto"/>
                <w:highlight w:val="none"/>
                <w:lang w:val="en-US" w:eastAsia="zh-CN"/>
              </w:rPr>
              <w:t>（0.</w:t>
            </w:r>
            <w:r>
              <w:rPr>
                <w:rFonts w:hint="eastAsia" w:cs="Times New Roman"/>
                <w:b w:val="0"/>
                <w:bCs w:val="0"/>
                <w:color w:val="auto"/>
                <w:highlight w:val="none"/>
                <w:lang w:val="en-US" w:eastAsia="zh-CN"/>
              </w:rPr>
              <w:t>0</w:t>
            </w:r>
            <w:r>
              <w:rPr>
                <w:rFonts w:hint="default" w:ascii="Times New Roman" w:hAnsi="Times New Roman" w:cs="Times New Roman"/>
                <w:b w:val="0"/>
                <w:bCs w:val="0"/>
                <w:color w:val="auto"/>
                <w:highlight w:val="none"/>
                <w:lang w:val="en-US" w:eastAsia="zh-CN"/>
              </w:rPr>
              <w:t>33t/d）</w:t>
            </w:r>
            <w:r>
              <w:rPr>
                <w:rFonts w:hint="default" w:ascii="Times New Roman" w:hAnsi="Times New Roman" w:eastAsia="宋体" w:cs="Times New Roman"/>
                <w:b w:val="0"/>
                <w:bCs w:val="0"/>
                <w:color w:val="auto"/>
                <w:highlight w:val="none"/>
                <w:lang w:val="en-US" w:eastAsia="zh-CN"/>
              </w:rPr>
              <w:t>，与职工日常生活污水一并进入出租方厂区已建化粪池处理后排入市政污水管网，纳入</w:t>
            </w:r>
            <w:r>
              <w:rPr>
                <w:rFonts w:hint="eastAsia" w:cs="Times New Roman"/>
                <w:b w:val="0"/>
                <w:bCs w:val="0"/>
                <w:color w:val="auto"/>
                <w:highlight w:val="none"/>
                <w:lang w:val="en-US" w:eastAsia="zh-CN"/>
              </w:rPr>
              <w:t>福清市融元污水处理厂</w:t>
            </w:r>
            <w:r>
              <w:rPr>
                <w:rFonts w:hint="default" w:ascii="Times New Roman" w:hAnsi="Times New Roman" w:eastAsia="宋体" w:cs="Times New Roman"/>
                <w:b w:val="0"/>
                <w:bCs w:val="0"/>
                <w:color w:val="auto"/>
                <w:highlight w:val="none"/>
                <w:lang w:val="en-US" w:eastAsia="zh-CN"/>
              </w:rPr>
              <w:t>集中处理。</w:t>
            </w:r>
          </w:p>
          <w:p>
            <w:pPr>
              <w:pStyle w:val="36"/>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药剂配制</w:t>
            </w:r>
            <w:r>
              <w:rPr>
                <w:rFonts w:hint="eastAsia" w:cs="Times New Roman"/>
                <w:b w:val="0"/>
                <w:bCs w:val="0"/>
                <w:color w:val="auto"/>
                <w:highlight w:val="none"/>
                <w:lang w:val="en-US" w:eastAsia="zh-CN"/>
              </w:rPr>
              <w:t>、器具清洗</w:t>
            </w:r>
            <w:r>
              <w:rPr>
                <w:rFonts w:hint="default" w:ascii="Times New Roman" w:hAnsi="Times New Roman" w:eastAsia="宋体" w:cs="Times New Roman"/>
                <w:b w:val="0"/>
                <w:bCs w:val="0"/>
                <w:color w:val="auto"/>
                <w:highlight w:val="none"/>
                <w:lang w:val="en-US" w:eastAsia="zh-CN"/>
              </w:rPr>
              <w:t>用水：制得</w:t>
            </w:r>
            <w:r>
              <w:rPr>
                <w:rFonts w:hint="eastAsia" w:cs="Times New Roman"/>
                <w:b w:val="0"/>
                <w:bCs w:val="0"/>
                <w:color w:val="auto"/>
                <w:highlight w:val="none"/>
                <w:lang w:val="en-US" w:eastAsia="zh-CN"/>
              </w:rPr>
              <w:t>后</w:t>
            </w:r>
            <w:r>
              <w:rPr>
                <w:rFonts w:hint="default" w:ascii="Times New Roman" w:hAnsi="Times New Roman" w:eastAsia="宋体" w:cs="Times New Roman"/>
                <w:b w:val="0"/>
                <w:bCs w:val="0"/>
                <w:color w:val="auto"/>
                <w:highlight w:val="none"/>
                <w:lang w:val="en-US" w:eastAsia="zh-CN"/>
              </w:rPr>
              <w:t>纯水</w:t>
            </w:r>
            <w:r>
              <w:rPr>
                <w:rFonts w:hint="eastAsia" w:cs="Times New Roman"/>
                <w:b w:val="0"/>
                <w:bCs w:val="0"/>
                <w:color w:val="auto"/>
                <w:highlight w:val="none"/>
                <w:lang w:val="en-US" w:eastAsia="zh-CN"/>
              </w:rPr>
              <w:t>的</w:t>
            </w:r>
            <w:r>
              <w:rPr>
                <w:rFonts w:hint="default" w:ascii="Times New Roman" w:hAnsi="Times New Roman" w:eastAsia="宋体" w:cs="Times New Roman"/>
                <w:b w:val="0"/>
                <w:bCs w:val="0"/>
                <w:color w:val="auto"/>
                <w:highlight w:val="none"/>
                <w:lang w:val="en-US" w:eastAsia="zh-CN"/>
              </w:rPr>
              <w:t>约20%用于</w:t>
            </w:r>
            <w:r>
              <w:rPr>
                <w:rFonts w:hint="eastAsia" w:cs="Times New Roman"/>
                <w:b w:val="0"/>
                <w:bCs w:val="0"/>
                <w:color w:val="auto"/>
                <w:highlight w:val="none"/>
                <w:lang w:val="en-US" w:eastAsia="zh-CN"/>
              </w:rPr>
              <w:t>试剂</w:t>
            </w:r>
            <w:r>
              <w:rPr>
                <w:rFonts w:hint="default" w:ascii="Times New Roman" w:hAnsi="Times New Roman" w:eastAsia="宋体" w:cs="Times New Roman"/>
                <w:b w:val="0"/>
                <w:bCs w:val="0"/>
                <w:color w:val="auto"/>
                <w:highlight w:val="none"/>
                <w:lang w:val="en-US" w:eastAsia="zh-CN"/>
              </w:rPr>
              <w:t>溶液配置</w:t>
            </w:r>
            <w:r>
              <w:rPr>
                <w:rFonts w:hint="eastAsia" w:cs="Times New Roman"/>
                <w:b w:val="0"/>
                <w:bCs w:val="0"/>
                <w:color w:val="auto"/>
                <w:highlight w:val="none"/>
                <w:lang w:val="en-US" w:eastAsia="zh-CN"/>
              </w:rPr>
              <w:t>，</w:t>
            </w:r>
            <w:r>
              <w:rPr>
                <w:rFonts w:hint="default" w:ascii="Times New Roman" w:hAnsi="Times New Roman" w:eastAsia="宋体" w:cs="Times New Roman"/>
                <w:b w:val="0"/>
                <w:bCs w:val="0"/>
                <w:color w:val="auto"/>
                <w:highlight w:val="none"/>
                <w:lang w:val="en-US" w:eastAsia="zh-CN"/>
              </w:rPr>
              <w:t>约6t/a</w:t>
            </w:r>
            <w:r>
              <w:rPr>
                <w:rFonts w:hint="eastAsia" w:cs="Times New Roman"/>
                <w:b w:val="0"/>
                <w:bCs w:val="0"/>
                <w:color w:val="auto"/>
                <w:highlight w:val="none"/>
                <w:lang w:val="en-US" w:eastAsia="zh-CN"/>
              </w:rPr>
              <w:t>（</w:t>
            </w:r>
            <w:r>
              <w:rPr>
                <w:rFonts w:hint="default" w:ascii="Times New Roman" w:hAnsi="Times New Roman" w:cs="Times New Roman"/>
                <w:b w:val="0"/>
                <w:bCs w:val="0"/>
                <w:color w:val="auto"/>
                <w:highlight w:val="none"/>
                <w:lang w:val="en-US" w:eastAsia="zh-CN"/>
              </w:rPr>
              <w:t>0.</w:t>
            </w:r>
            <w:r>
              <w:rPr>
                <w:rFonts w:hint="eastAsia" w:cs="Times New Roman"/>
                <w:b w:val="0"/>
                <w:bCs w:val="0"/>
                <w:color w:val="auto"/>
                <w:highlight w:val="none"/>
                <w:lang w:val="en-US" w:eastAsia="zh-CN"/>
              </w:rPr>
              <w:t>02</w:t>
            </w:r>
            <w:r>
              <w:rPr>
                <w:rFonts w:hint="default" w:ascii="Times New Roman" w:hAnsi="Times New Roman" w:cs="Times New Roman"/>
                <w:b w:val="0"/>
                <w:bCs w:val="0"/>
                <w:color w:val="auto"/>
                <w:highlight w:val="none"/>
                <w:lang w:val="en-US" w:eastAsia="zh-CN"/>
              </w:rPr>
              <w:t>t/d</w:t>
            </w:r>
            <w:r>
              <w:rPr>
                <w:rFonts w:hint="eastAsia" w:cs="Times New Roman"/>
                <w:b w:val="0"/>
                <w:bCs w:val="0"/>
                <w:color w:val="auto"/>
                <w:highlight w:val="none"/>
                <w:lang w:val="en-US" w:eastAsia="zh-CN"/>
              </w:rPr>
              <w:t>）。</w:t>
            </w:r>
            <w:r>
              <w:rPr>
                <w:rFonts w:hint="default" w:ascii="Times New Roman" w:hAnsi="Times New Roman" w:eastAsia="宋体" w:cs="Times New Roman"/>
                <w:b w:val="0"/>
                <w:bCs w:val="0"/>
                <w:color w:val="auto"/>
                <w:highlight w:val="none"/>
                <w:lang w:val="en-US" w:eastAsia="zh-CN"/>
              </w:rPr>
              <w:t>实验后将产生检验废液，约占配置</w:t>
            </w:r>
            <w:r>
              <w:rPr>
                <w:rFonts w:hint="eastAsia" w:cs="Times New Roman"/>
                <w:b w:val="0"/>
                <w:bCs w:val="0"/>
                <w:color w:val="auto"/>
                <w:highlight w:val="none"/>
                <w:lang w:val="en-US" w:eastAsia="zh-CN"/>
              </w:rPr>
              <w:t>试剂</w:t>
            </w:r>
            <w:r>
              <w:rPr>
                <w:rFonts w:hint="default" w:ascii="Times New Roman" w:hAnsi="Times New Roman" w:eastAsia="宋体" w:cs="Times New Roman"/>
                <w:b w:val="0"/>
                <w:bCs w:val="0"/>
                <w:color w:val="auto"/>
                <w:highlight w:val="none"/>
                <w:lang w:val="en-US" w:eastAsia="zh-CN"/>
              </w:rPr>
              <w:t>溶液的80%，即约4.8t/a</w:t>
            </w:r>
            <w:r>
              <w:rPr>
                <w:rFonts w:hint="eastAsia" w:cs="Times New Roman"/>
                <w:b w:val="0"/>
                <w:bCs w:val="0"/>
                <w:color w:val="auto"/>
                <w:highlight w:val="none"/>
                <w:lang w:val="en-US" w:eastAsia="zh-CN"/>
              </w:rPr>
              <w:t>（</w:t>
            </w:r>
            <w:r>
              <w:rPr>
                <w:rFonts w:hint="default" w:ascii="Times New Roman" w:hAnsi="Times New Roman" w:cs="Times New Roman"/>
                <w:b w:val="0"/>
                <w:bCs w:val="0"/>
                <w:color w:val="auto"/>
                <w:highlight w:val="none"/>
                <w:lang w:val="en-US" w:eastAsia="zh-CN"/>
              </w:rPr>
              <w:t>0.</w:t>
            </w:r>
            <w:r>
              <w:rPr>
                <w:rFonts w:hint="eastAsia" w:cs="Times New Roman"/>
                <w:b w:val="0"/>
                <w:bCs w:val="0"/>
                <w:color w:val="auto"/>
                <w:highlight w:val="none"/>
                <w:lang w:val="en-US" w:eastAsia="zh-CN"/>
              </w:rPr>
              <w:t>016</w:t>
            </w:r>
            <w:r>
              <w:rPr>
                <w:rFonts w:hint="default" w:ascii="Times New Roman" w:hAnsi="Times New Roman" w:cs="Times New Roman"/>
                <w:b w:val="0"/>
                <w:bCs w:val="0"/>
                <w:color w:val="auto"/>
                <w:highlight w:val="none"/>
                <w:lang w:val="en-US" w:eastAsia="zh-CN"/>
              </w:rPr>
              <w:t>t/d</w:t>
            </w:r>
            <w:r>
              <w:rPr>
                <w:rFonts w:hint="eastAsia" w:cs="Times New Roman"/>
                <w:b w:val="0"/>
                <w:bCs w:val="0"/>
                <w:color w:val="auto"/>
                <w:highlight w:val="none"/>
                <w:lang w:val="en-US" w:eastAsia="zh-CN"/>
              </w:rPr>
              <w:t>）</w:t>
            </w:r>
            <w:r>
              <w:rPr>
                <w:rFonts w:hint="default" w:ascii="Times New Roman" w:hAnsi="Times New Roman" w:eastAsia="宋体" w:cs="Times New Roman"/>
                <w:b w:val="0"/>
                <w:bCs w:val="0"/>
                <w:color w:val="auto"/>
                <w:highlight w:val="none"/>
                <w:lang w:val="en-US" w:eastAsia="zh-CN"/>
              </w:rPr>
              <w:t>，主要含酸、碱、有机物、重金属、有毒物质等，按其性质用专用桶分类收集该废液，收集后暂存于危废暂存间内，定期交由资质单位清运处置</w:t>
            </w:r>
            <w:r>
              <w:rPr>
                <w:rFonts w:hint="eastAsia" w:cs="Times New Roman"/>
                <w:b w:val="0"/>
                <w:bCs w:val="0"/>
                <w:color w:val="auto"/>
                <w:highlight w:val="none"/>
                <w:lang w:val="en-US" w:eastAsia="zh-CN"/>
              </w:rPr>
              <w:t>；</w:t>
            </w:r>
            <w:r>
              <w:rPr>
                <w:rFonts w:hint="default" w:ascii="Times New Roman" w:hAnsi="Times New Roman" w:eastAsia="宋体" w:cs="Times New Roman"/>
                <w:b w:val="0"/>
                <w:bCs w:val="0"/>
                <w:color w:val="auto"/>
                <w:highlight w:val="none"/>
                <w:lang w:val="en-US" w:eastAsia="zh-CN"/>
              </w:rPr>
              <w:t>制得</w:t>
            </w:r>
            <w:r>
              <w:rPr>
                <w:rFonts w:hint="eastAsia" w:cs="Times New Roman"/>
                <w:b w:val="0"/>
                <w:bCs w:val="0"/>
                <w:color w:val="auto"/>
                <w:highlight w:val="none"/>
                <w:lang w:val="en-US" w:eastAsia="zh-CN"/>
              </w:rPr>
              <w:t>的</w:t>
            </w:r>
            <w:r>
              <w:rPr>
                <w:rFonts w:hint="default" w:ascii="Times New Roman" w:hAnsi="Times New Roman" w:eastAsia="宋体" w:cs="Times New Roman"/>
                <w:b w:val="0"/>
                <w:bCs w:val="0"/>
                <w:color w:val="auto"/>
                <w:highlight w:val="none"/>
                <w:lang w:val="en-US" w:eastAsia="zh-CN"/>
              </w:rPr>
              <w:t>纯水80%</w:t>
            </w:r>
            <w:r>
              <w:rPr>
                <w:rFonts w:hint="eastAsia" w:cs="Times New Roman"/>
                <w:b w:val="0"/>
                <w:bCs w:val="0"/>
                <w:color w:val="auto"/>
                <w:highlight w:val="none"/>
                <w:lang w:val="en-US" w:eastAsia="zh-CN"/>
              </w:rPr>
              <w:t>，</w:t>
            </w:r>
            <w:r>
              <w:rPr>
                <w:rFonts w:hint="default" w:ascii="Times New Roman" w:hAnsi="Times New Roman" w:eastAsia="宋体" w:cs="Times New Roman"/>
                <w:b w:val="0"/>
                <w:bCs w:val="0"/>
                <w:color w:val="auto"/>
                <w:highlight w:val="none"/>
                <w:lang w:val="en-US" w:eastAsia="zh-CN"/>
              </w:rPr>
              <w:t>约24t/a</w:t>
            </w:r>
            <w:r>
              <w:rPr>
                <w:rFonts w:hint="eastAsia" w:cs="Times New Roman"/>
                <w:b w:val="0"/>
                <w:bCs w:val="0"/>
                <w:color w:val="auto"/>
                <w:highlight w:val="none"/>
                <w:lang w:val="en-US" w:eastAsia="zh-CN"/>
              </w:rPr>
              <w:t>（0.08</w:t>
            </w:r>
            <w:r>
              <w:rPr>
                <w:rFonts w:hint="default" w:ascii="Times New Roman" w:hAnsi="Times New Roman" w:cs="Times New Roman"/>
                <w:b w:val="0"/>
                <w:bCs w:val="0"/>
                <w:color w:val="auto"/>
                <w:highlight w:val="none"/>
                <w:lang w:val="en-US" w:eastAsia="zh-CN"/>
              </w:rPr>
              <w:t>t/d</w:t>
            </w:r>
            <w:r>
              <w:rPr>
                <w:rFonts w:hint="eastAsia" w:cs="Times New Roman"/>
                <w:b w:val="0"/>
                <w:bCs w:val="0"/>
                <w:color w:val="auto"/>
                <w:highlight w:val="none"/>
                <w:lang w:val="en-US" w:eastAsia="zh-CN"/>
              </w:rPr>
              <w:t>）</w:t>
            </w:r>
            <w:r>
              <w:rPr>
                <w:rFonts w:hint="default" w:ascii="Times New Roman" w:hAnsi="Times New Roman" w:eastAsia="宋体" w:cs="Times New Roman"/>
                <w:b w:val="0"/>
                <w:bCs w:val="0"/>
                <w:color w:val="auto"/>
                <w:highlight w:val="none"/>
                <w:lang w:val="en-US" w:eastAsia="zh-CN"/>
              </w:rPr>
              <w:t>用于实验器具</w:t>
            </w:r>
            <w:r>
              <w:rPr>
                <w:rFonts w:hint="eastAsia" w:cs="Times New Roman"/>
                <w:b w:val="0"/>
                <w:bCs w:val="0"/>
                <w:color w:val="auto"/>
                <w:highlight w:val="none"/>
                <w:lang w:val="en-US" w:eastAsia="zh-CN"/>
              </w:rPr>
              <w:t>清洗（纯水）</w:t>
            </w:r>
            <w:r>
              <w:rPr>
                <w:rFonts w:hint="default" w:ascii="Times New Roman" w:hAnsi="Times New Roman" w:eastAsia="宋体" w:cs="Times New Roman"/>
                <w:b w:val="0"/>
                <w:bCs w:val="0"/>
                <w:color w:val="auto"/>
                <w:highlight w:val="none"/>
                <w:lang w:val="en-US" w:eastAsia="zh-CN"/>
              </w:rPr>
              <w:t>，实验器具清洗废水使用废水处理设施处理后排入市政污水管网，纳入</w:t>
            </w:r>
            <w:r>
              <w:rPr>
                <w:rFonts w:hint="eastAsia" w:cs="Times New Roman"/>
                <w:b w:val="0"/>
                <w:bCs w:val="0"/>
                <w:color w:val="auto"/>
                <w:highlight w:val="none"/>
                <w:lang w:val="en-US" w:eastAsia="zh-CN"/>
              </w:rPr>
              <w:t>福清市融元污水处理厂</w:t>
            </w:r>
            <w:r>
              <w:rPr>
                <w:rFonts w:hint="default" w:ascii="Times New Roman" w:hAnsi="Times New Roman" w:eastAsia="宋体" w:cs="Times New Roman"/>
                <w:b w:val="0"/>
                <w:bCs w:val="0"/>
                <w:color w:val="auto"/>
                <w:highlight w:val="none"/>
                <w:lang w:val="en-US" w:eastAsia="zh-CN"/>
              </w:rPr>
              <w:t>集中处理。</w:t>
            </w:r>
          </w:p>
          <w:p>
            <w:pPr>
              <w:pStyle w:val="36"/>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lang w:val="en-US" w:eastAsia="zh-CN"/>
              </w:rPr>
              <w:t>②</w:t>
            </w:r>
            <w:r>
              <w:rPr>
                <w:rFonts w:hint="default" w:ascii="Times New Roman" w:hAnsi="Times New Roman" w:cs="Times New Roman"/>
                <w:b w:val="0"/>
                <w:bCs w:val="0"/>
                <w:color w:val="auto"/>
                <w:szCs w:val="21"/>
                <w:highlight w:val="none"/>
              </w:rPr>
              <w:t>实验室仪器用排水</w:t>
            </w:r>
          </w:p>
          <w:p>
            <w:pPr>
              <w:pStyle w:val="36"/>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实验时水浴锅、灭菌器、振荡器等需要用水进行间接加热、间接震荡等，根据建设单位提供资料，用水量约为0.4t/d（120t/a），产生的排水系数按80%计，即0.32t/d（96t/a），该部分水基本不与实验物料直接接触，浓度较低，与职工日常生活污水一并进入出租方厂区已建化粪池处理后排入市政污水管网，纳入</w:t>
            </w:r>
            <w:r>
              <w:rPr>
                <w:rFonts w:hint="eastAsia" w:cs="Times New Roman"/>
                <w:color w:val="auto"/>
                <w:highlight w:val="none"/>
                <w:lang w:val="en-US" w:eastAsia="zh-CN"/>
              </w:rPr>
              <w:t>福清市融元污水处理厂</w:t>
            </w:r>
            <w:r>
              <w:rPr>
                <w:rFonts w:hint="default" w:ascii="Times New Roman" w:hAnsi="Times New Roman" w:eastAsia="宋体" w:cs="Times New Roman"/>
                <w:color w:val="auto"/>
                <w:highlight w:val="none"/>
                <w:lang w:val="en-US" w:eastAsia="zh-CN"/>
              </w:rPr>
              <w:t>集中处理。</w:t>
            </w:r>
          </w:p>
          <w:p>
            <w:pPr>
              <w:pStyle w:val="36"/>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③样品排水</w:t>
            </w:r>
          </w:p>
          <w:p>
            <w:pPr>
              <w:pStyle w:val="36"/>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根据建设单位提供的资料，项目年检测水样6000份</w:t>
            </w:r>
            <w:r>
              <w:rPr>
                <w:rFonts w:hint="eastAsia" w:cs="Times New Roman"/>
                <w:color w:val="auto"/>
                <w:highlight w:val="none"/>
                <w:lang w:val="en-US" w:eastAsia="zh-CN"/>
              </w:rPr>
              <w:t>，平均一天水样约20份</w:t>
            </w:r>
            <w:r>
              <w:rPr>
                <w:rFonts w:hint="default" w:ascii="Times New Roman" w:hAnsi="Times New Roman" w:eastAsia="宋体" w:cs="Times New Roman"/>
                <w:color w:val="auto"/>
                <w:highlight w:val="none"/>
                <w:lang w:val="en-US" w:eastAsia="zh-CN"/>
              </w:rPr>
              <w:t>，检测的水样均为自来水水厂原水及出厂水，每例水样约500mL（0.5kg）</w:t>
            </w:r>
            <w:r>
              <w:rPr>
                <w:rFonts w:hint="eastAsia" w:cs="Times New Roman"/>
                <w:color w:val="auto"/>
                <w:highlight w:val="none"/>
                <w:lang w:val="en-US" w:eastAsia="zh-CN"/>
              </w:rPr>
              <w:t>，一天检测的水样重量约10kg/d。其中</w:t>
            </w:r>
            <w:r>
              <w:rPr>
                <w:rFonts w:hint="default" w:ascii="Times New Roman" w:hAnsi="Times New Roman" w:eastAsia="宋体" w:cs="Times New Roman"/>
                <w:color w:val="auto"/>
                <w:highlight w:val="none"/>
                <w:lang w:val="en-US" w:eastAsia="zh-CN"/>
              </w:rPr>
              <w:t>约5%水样用于实验检测（0.</w:t>
            </w:r>
            <w:r>
              <w:rPr>
                <w:rFonts w:hint="eastAsia" w:cs="Times New Roman"/>
                <w:color w:val="auto"/>
                <w:highlight w:val="none"/>
                <w:lang w:val="en-US" w:eastAsia="zh-CN"/>
              </w:rPr>
              <w:t>5</w:t>
            </w:r>
            <w:r>
              <w:rPr>
                <w:rFonts w:hint="default" w:ascii="Times New Roman" w:hAnsi="Times New Roman" w:eastAsia="宋体" w:cs="Times New Roman"/>
                <w:color w:val="auto"/>
                <w:highlight w:val="none"/>
                <w:lang w:val="en-US" w:eastAsia="zh-CN"/>
              </w:rPr>
              <w:t>kg</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d</w:t>
            </w:r>
            <w:r>
              <w:rPr>
                <w:rFonts w:hint="eastAsia" w:cs="Times New Roman"/>
                <w:color w:val="auto"/>
                <w:highlight w:val="none"/>
                <w:lang w:val="en-US" w:eastAsia="zh-CN"/>
              </w:rPr>
              <w:t>，0.15</w:t>
            </w:r>
            <w:r>
              <w:rPr>
                <w:rFonts w:hint="default" w:ascii="Times New Roman" w:hAnsi="Times New Roman" w:eastAsia="宋体" w:cs="Times New Roman"/>
                <w:color w:val="auto"/>
                <w:highlight w:val="none"/>
                <w:lang w:val="en-US" w:eastAsia="zh-CN"/>
              </w:rPr>
              <w:t>t/a），剩余共0.</w:t>
            </w:r>
            <w:r>
              <w:rPr>
                <w:rFonts w:hint="eastAsia" w:cs="Times New Roman"/>
                <w:color w:val="auto"/>
                <w:highlight w:val="none"/>
                <w:lang w:val="en-US" w:eastAsia="zh-CN"/>
              </w:rPr>
              <w:t>00</w:t>
            </w:r>
            <w:r>
              <w:rPr>
                <w:rFonts w:hint="default" w:ascii="Times New Roman" w:hAnsi="Times New Roman" w:eastAsia="宋体" w:cs="Times New Roman"/>
                <w:color w:val="auto"/>
                <w:highlight w:val="none"/>
                <w:lang w:val="en-US" w:eastAsia="zh-CN"/>
              </w:rPr>
              <w:t>95t/d（2.85t/a）水样与职工日常生活污水一并进入出租方厂区已建化粪池处理后排入市政污水管网，纳入</w:t>
            </w:r>
            <w:r>
              <w:rPr>
                <w:rFonts w:hint="eastAsia" w:cs="Times New Roman"/>
                <w:color w:val="auto"/>
                <w:highlight w:val="none"/>
                <w:lang w:val="en-US" w:eastAsia="zh-CN"/>
              </w:rPr>
              <w:t>福清市融元污水处理厂</w:t>
            </w:r>
            <w:r>
              <w:rPr>
                <w:rFonts w:hint="default" w:ascii="Times New Roman" w:hAnsi="Times New Roman" w:eastAsia="宋体" w:cs="Times New Roman"/>
                <w:color w:val="auto"/>
                <w:highlight w:val="none"/>
                <w:lang w:val="en-US" w:eastAsia="zh-CN"/>
              </w:rPr>
              <w:t>集中处理。</w:t>
            </w:r>
          </w:p>
          <w:p>
            <w:pPr>
              <w:pStyle w:val="36"/>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④</w:t>
            </w:r>
            <w:r>
              <w:rPr>
                <w:rFonts w:hint="eastAsia" w:cs="Times New Roman"/>
                <w:b w:val="0"/>
                <w:bCs w:val="0"/>
                <w:color w:val="auto"/>
                <w:highlight w:val="none"/>
                <w:lang w:val="en-US" w:eastAsia="zh-CN"/>
              </w:rPr>
              <w:t>实验器具</w:t>
            </w:r>
            <w:r>
              <w:rPr>
                <w:rFonts w:hint="default" w:ascii="Times New Roman" w:hAnsi="Times New Roman" w:cs="Times New Roman"/>
                <w:color w:val="auto"/>
                <w:highlight w:val="none"/>
                <w:lang w:val="en-US" w:eastAsia="zh-CN"/>
              </w:rPr>
              <w:t>清洗用水</w:t>
            </w:r>
          </w:p>
          <w:p>
            <w:pPr>
              <w:pStyle w:val="36"/>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检测实验结束后需对实验室器皿进行清洗根据建设单位提供资料，实验器皿</w:t>
            </w:r>
            <w:r>
              <w:rPr>
                <w:rFonts w:hint="eastAsia" w:cs="Times New Roman"/>
                <w:color w:val="auto"/>
                <w:highlight w:val="none"/>
                <w:lang w:val="en-US" w:eastAsia="zh-CN"/>
              </w:rPr>
              <w:t>清</w:t>
            </w:r>
            <w:r>
              <w:rPr>
                <w:rFonts w:hint="default" w:ascii="Times New Roman" w:hAnsi="Times New Roman" w:cs="Times New Roman"/>
                <w:color w:val="auto"/>
                <w:highlight w:val="none"/>
                <w:lang w:val="en-US" w:eastAsia="zh-CN"/>
              </w:rPr>
              <w:t>洗用水量约为1</w:t>
            </w:r>
            <w:r>
              <w:rPr>
                <w:rFonts w:hint="eastAsia" w:cs="Times New Roman"/>
                <w:color w:val="auto"/>
                <w:highlight w:val="none"/>
                <w:lang w:val="en-US" w:eastAsia="zh-CN"/>
              </w:rPr>
              <w:t>74</w:t>
            </w:r>
            <w:r>
              <w:rPr>
                <w:rFonts w:hint="default" w:ascii="Times New Roman" w:hAnsi="Times New Roman" w:cs="Times New Roman"/>
                <w:color w:val="auto"/>
                <w:highlight w:val="none"/>
                <w:lang w:val="en-US" w:eastAsia="zh-CN"/>
              </w:rPr>
              <w:t>t/a（0.5</w:t>
            </w:r>
            <w:r>
              <w:rPr>
                <w:rFonts w:hint="eastAsia" w:cs="Times New Roman"/>
                <w:color w:val="auto"/>
                <w:highlight w:val="none"/>
                <w:lang w:val="en-US" w:eastAsia="zh-CN"/>
              </w:rPr>
              <w:t>8</w:t>
            </w:r>
            <w:r>
              <w:rPr>
                <w:rFonts w:hint="default" w:ascii="Times New Roman" w:hAnsi="Times New Roman" w:cs="Times New Roman"/>
                <w:color w:val="auto"/>
                <w:highlight w:val="none"/>
                <w:lang w:val="en-US" w:eastAsia="zh-CN"/>
              </w:rPr>
              <w:t>t/d）。实验器皿</w:t>
            </w:r>
            <w:r>
              <w:rPr>
                <w:rFonts w:hint="eastAsia" w:cs="Times New Roman"/>
                <w:color w:val="auto"/>
                <w:highlight w:val="none"/>
                <w:lang w:val="en-US" w:eastAsia="zh-CN"/>
              </w:rPr>
              <w:t>清</w:t>
            </w:r>
            <w:r>
              <w:rPr>
                <w:rFonts w:hint="default" w:ascii="Times New Roman" w:hAnsi="Times New Roman" w:cs="Times New Roman"/>
                <w:color w:val="auto"/>
                <w:highlight w:val="none"/>
                <w:lang w:val="en-US" w:eastAsia="zh-CN"/>
              </w:rPr>
              <w:t>洗</w:t>
            </w:r>
            <w:r>
              <w:rPr>
                <w:rFonts w:hint="eastAsia" w:cs="Times New Roman"/>
                <w:color w:val="auto"/>
                <w:highlight w:val="none"/>
                <w:lang w:val="en-US" w:eastAsia="zh-CN"/>
              </w:rPr>
              <w:t>前端2至3次使用自来水清洗，前端后段1至2次使用纯水清洗，其中自来水清洗用水用量</w:t>
            </w:r>
            <w:r>
              <w:rPr>
                <w:rFonts w:hint="default" w:ascii="Times New Roman" w:hAnsi="Times New Roman" w:cs="Times New Roman"/>
                <w:color w:val="auto"/>
                <w:highlight w:val="none"/>
                <w:lang w:val="en-US" w:eastAsia="zh-CN"/>
              </w:rPr>
              <w:t>1</w:t>
            </w:r>
            <w:r>
              <w:rPr>
                <w:rFonts w:hint="eastAsia" w:cs="Times New Roman"/>
                <w:color w:val="auto"/>
                <w:highlight w:val="none"/>
                <w:lang w:val="en-US" w:eastAsia="zh-CN"/>
              </w:rPr>
              <w:t>50</w:t>
            </w:r>
            <w:r>
              <w:rPr>
                <w:rFonts w:hint="default" w:ascii="Times New Roman" w:hAnsi="Times New Roman" w:cs="Times New Roman"/>
                <w:color w:val="auto"/>
                <w:highlight w:val="none"/>
                <w:lang w:val="en-US" w:eastAsia="zh-CN"/>
              </w:rPr>
              <w:t>t/a（0.5t/d）</w:t>
            </w:r>
            <w:r>
              <w:rPr>
                <w:rFonts w:hint="eastAsia" w:cs="Times New Roman"/>
                <w:color w:val="auto"/>
                <w:highlight w:val="none"/>
                <w:lang w:val="en-US" w:eastAsia="zh-CN"/>
              </w:rPr>
              <w:t>，纯水清洗用水用量24</w:t>
            </w:r>
            <w:r>
              <w:rPr>
                <w:rFonts w:hint="default" w:ascii="Times New Roman" w:hAnsi="Times New Roman" w:cs="Times New Roman"/>
                <w:color w:val="auto"/>
                <w:highlight w:val="none"/>
                <w:lang w:val="en-US" w:eastAsia="zh-CN"/>
              </w:rPr>
              <w:t>t/a（0.</w:t>
            </w:r>
            <w:r>
              <w:rPr>
                <w:rFonts w:hint="eastAsia" w:cs="Times New Roman"/>
                <w:color w:val="auto"/>
                <w:highlight w:val="none"/>
                <w:lang w:val="en-US" w:eastAsia="zh-CN"/>
              </w:rPr>
              <w:t>08</w:t>
            </w:r>
            <w:r>
              <w:rPr>
                <w:rFonts w:hint="default" w:ascii="Times New Roman" w:hAnsi="Times New Roman" w:cs="Times New Roman"/>
                <w:color w:val="auto"/>
                <w:highlight w:val="none"/>
                <w:lang w:val="en-US" w:eastAsia="zh-CN"/>
              </w:rPr>
              <w:t>t/d）。实验器皿</w:t>
            </w:r>
            <w:r>
              <w:rPr>
                <w:rFonts w:hint="eastAsia" w:cs="Times New Roman"/>
                <w:color w:val="auto"/>
                <w:highlight w:val="none"/>
                <w:lang w:val="en-US" w:eastAsia="zh-CN"/>
              </w:rPr>
              <w:t>清</w:t>
            </w:r>
            <w:r>
              <w:rPr>
                <w:rFonts w:hint="default" w:ascii="Times New Roman" w:hAnsi="Times New Roman" w:cs="Times New Roman"/>
                <w:color w:val="auto"/>
                <w:highlight w:val="none"/>
                <w:lang w:val="en-US" w:eastAsia="zh-CN"/>
              </w:rPr>
              <w:t>洗</w:t>
            </w:r>
            <w:r>
              <w:rPr>
                <w:rFonts w:hint="default" w:ascii="Times New Roman" w:hAnsi="Times New Roman" w:eastAsia="宋体" w:cs="Times New Roman"/>
                <w:color w:val="auto"/>
                <w:highlight w:val="none"/>
                <w:lang w:val="en-US" w:eastAsia="zh-CN"/>
              </w:rPr>
              <w:t>废水</w:t>
            </w:r>
            <w:r>
              <w:rPr>
                <w:rFonts w:hint="eastAsia" w:cs="Times New Roman"/>
                <w:color w:val="auto"/>
                <w:highlight w:val="none"/>
                <w:lang w:val="en-US" w:eastAsia="zh-CN"/>
              </w:rPr>
              <w:t>进入</w:t>
            </w:r>
            <w:r>
              <w:rPr>
                <w:rFonts w:hint="default" w:ascii="Times New Roman" w:hAnsi="Times New Roman" w:eastAsia="宋体" w:cs="Times New Roman"/>
                <w:color w:val="auto"/>
                <w:highlight w:val="none"/>
                <w:lang w:val="en-US" w:eastAsia="zh-CN"/>
              </w:rPr>
              <w:t>废水处理设施处理后排入市政污水管网，纳入</w:t>
            </w:r>
            <w:r>
              <w:rPr>
                <w:rFonts w:hint="eastAsia" w:cs="Times New Roman"/>
                <w:color w:val="auto"/>
                <w:highlight w:val="none"/>
                <w:lang w:val="en-US" w:eastAsia="zh-CN"/>
              </w:rPr>
              <w:t>福清市融元污水处理厂</w:t>
            </w:r>
            <w:r>
              <w:rPr>
                <w:rFonts w:hint="default" w:ascii="Times New Roman" w:hAnsi="Times New Roman" w:eastAsia="宋体" w:cs="Times New Roman"/>
                <w:color w:val="auto"/>
                <w:highlight w:val="none"/>
                <w:lang w:val="en-US" w:eastAsia="zh-CN"/>
              </w:rPr>
              <w:t>集中处理。</w:t>
            </w:r>
          </w:p>
          <w:p>
            <w:pPr>
              <w:pStyle w:val="36"/>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⑤喷淋塔用水</w:t>
            </w:r>
          </w:p>
          <w:p>
            <w:pPr>
              <w:pStyle w:val="36"/>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部分实验过程产生的酸性废气，采用小型碱液喷淋塔进行处理，废气喷淋塔水箱容积约为1m³，循环使用，每日补充损耗按5%计，循环一年后更换一次，更换的废液作为危废进行处理，则喷淋塔用水量约为15t/a（平均0.05t/d）。</w:t>
            </w:r>
          </w:p>
          <w:p>
            <w:pPr>
              <w:pStyle w:val="36"/>
              <w:keepNext w:val="0"/>
              <w:keepLines w:val="0"/>
              <w:pageBreakBefore w:val="0"/>
              <w:widowControl w:val="0"/>
              <w:suppressLineNumbers w:val="0"/>
              <w:kinsoku/>
              <w:wordWrap/>
              <w:overflowPunct/>
              <w:topLinePunct w:val="0"/>
              <w:autoSpaceDE w:val="0"/>
              <w:autoSpaceDN w:val="0"/>
              <w:bidi w:val="0"/>
              <w:adjustRightInd/>
              <w:snapToGrid/>
              <w:spacing w:before="157" w:beforeLines="50" w:beforeAutospacing="0" w:after="157" w:afterLines="50" w:afterAutospacing="0" w:line="240" w:lineRule="auto"/>
              <w:ind w:left="0" w:leftChars="0" w:right="0" w:firstLine="0" w:firstLineChars="0"/>
              <w:textAlignment w:val="auto"/>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object>
                <v:shape id="_x0000_i1025" o:spt="75" type="#_x0000_t75" style="height:285.45pt;width:412.6pt;" o:ole="t" filled="f" o:preferrelative="t" stroked="f" coordsize="21600,21600">
                  <v:path/>
                  <v:fill on="f" focussize="0,0"/>
                  <v:stroke on="f"/>
                  <v:imagedata r:id="rId17" o:title=""/>
                  <o:lock v:ext="edit" aspectratio="f"/>
                  <w10:wrap type="none"/>
                  <w10:anchorlock/>
                </v:shape>
                <o:OLEObject Type="Embed" ProgID="Visio.Drawing.15" ShapeID="_x0000_i1025" DrawAspect="Content" ObjectID="_1468075725" r:id="rId16">
                  <o:LockedField>false</o:LockedField>
                </o:OLEObject>
              </w:object>
            </w:r>
          </w:p>
          <w:p>
            <w:pPr>
              <w:pStyle w:val="38"/>
              <w:keepNext w:val="0"/>
              <w:keepLines w:val="0"/>
              <w:suppressLineNumbers w:val="0"/>
              <w:tabs>
                <w:tab w:val="left" w:pos="0"/>
                <w:tab w:val="clear" w:pos="420"/>
              </w:tabs>
              <w:bidi w:val="0"/>
              <w:spacing w:before="0" w:beforeAutospacing="0" w:after="0" w:afterAutospacing="0"/>
              <w:ind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项目水平衡图（t/d）</w:t>
            </w:r>
          </w:p>
          <w:p>
            <w:pPr>
              <w:pStyle w:val="36"/>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p>
          <w:p>
            <w:pPr>
              <w:pStyle w:val="36"/>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p>
          <w:p>
            <w:pPr>
              <w:pStyle w:val="36"/>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p>
          <w:p>
            <w:pPr>
              <w:pStyle w:val="36"/>
              <w:keepNext w:val="0"/>
              <w:keepLines w:val="0"/>
              <w:suppressLineNumbers w:val="0"/>
              <w:bidi w:val="0"/>
              <w:spacing w:before="0" w:beforeAutospacing="0" w:after="0" w:afterAutospacing="0"/>
              <w:ind w:left="0" w:right="0"/>
              <w:rPr>
                <w:rFonts w:hint="default"/>
                <w:color w:val="auto"/>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6777" w:hRule="atLeast"/>
          <w:jc w:val="center"/>
        </w:trPr>
        <w:tc>
          <w:tcPr>
            <w:tcW w:w="589"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工艺流程和产排污环节</w:t>
            </w:r>
          </w:p>
        </w:tc>
        <w:tc>
          <w:tcPr>
            <w:tcW w:w="8471" w:type="dxa"/>
          </w:tcPr>
          <w:p>
            <w:pPr>
              <w:pStyle w:val="3"/>
              <w:suppressLineNumbers w:val="0"/>
              <w:bidi w:val="0"/>
              <w:spacing w:beforeAutospacing="0" w:afterAutospacing="0"/>
              <w:ind w:right="0"/>
              <w:rPr>
                <w:rFonts w:hint="default" w:ascii="Times New Roman" w:hAnsi="Times New Roman" w:cs="Times New Roman"/>
                <w:color w:val="auto"/>
                <w:highlight w:val="none"/>
              </w:rPr>
            </w:pPr>
            <w:bookmarkStart w:id="41" w:name="_Toc2298"/>
            <w:bookmarkStart w:id="42" w:name="_Toc30849"/>
            <w:bookmarkStart w:id="43" w:name="_Toc19480"/>
            <w:bookmarkStart w:id="44" w:name="_Toc2989"/>
            <w:r>
              <w:rPr>
                <w:rFonts w:hint="default" w:ascii="Times New Roman" w:hAnsi="Times New Roman" w:cs="Times New Roman"/>
                <w:color w:val="auto"/>
                <w:highlight w:val="none"/>
              </w:rPr>
              <w:t>主要工艺流程及产污环节</w:t>
            </w:r>
            <w:bookmarkEnd w:id="41"/>
            <w:bookmarkEnd w:id="42"/>
            <w:bookmarkEnd w:id="43"/>
            <w:bookmarkEnd w:id="44"/>
          </w:p>
          <w:p>
            <w:pPr>
              <w:pStyle w:val="4"/>
              <w:suppressLineNumbers w:val="0"/>
              <w:bidi w:val="0"/>
              <w:spacing w:beforeAutospacing="0" w:afterAutospacing="0"/>
              <w:ind w:right="0"/>
              <w:rPr>
                <w:rFonts w:hint="default" w:ascii="Times New Roman" w:hAnsi="Times New Roman" w:cs="Times New Roman"/>
                <w:color w:val="auto"/>
                <w:highlight w:val="none"/>
              </w:rPr>
            </w:pPr>
            <w:r>
              <w:rPr>
                <w:rFonts w:hint="default" w:ascii="Times New Roman" w:hAnsi="Times New Roman" w:cs="Times New Roman"/>
                <w:color w:val="auto"/>
                <w:highlight w:val="none"/>
              </w:rPr>
              <w:t>工艺流程及产污环节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kern w:val="2"/>
                <w:sz w:val="24"/>
                <w:szCs w:val="24"/>
                <w:highlight w:val="none"/>
                <w:lang w:val="en-US" w:eastAsia="zh-CN" w:bidi="ar"/>
              </w:rPr>
              <w:t>本项目主要从事水厂水样的检测，检测水质指标</w:t>
            </w:r>
            <w:r>
              <w:rPr>
                <w:rFonts w:hint="eastAsia" w:ascii="Times New Roman" w:hAnsi="Times New Roman" w:eastAsia="宋体" w:cs="Times New Roman"/>
                <w:color w:val="auto"/>
                <w:kern w:val="2"/>
                <w:sz w:val="24"/>
                <w:szCs w:val="24"/>
                <w:highlight w:val="none"/>
                <w:lang w:val="en-US" w:eastAsia="zh-CN" w:bidi="ar"/>
              </w:rPr>
              <w:t>见</w:t>
            </w:r>
            <w:r>
              <w:rPr>
                <w:rFonts w:hint="eastAsia" w:ascii="Times New Roman" w:hAnsi="Times New Roman" w:eastAsia="宋体" w:cs="Times New Roman"/>
                <w:color w:val="auto"/>
                <w:kern w:val="2"/>
                <w:sz w:val="24"/>
                <w:szCs w:val="24"/>
                <w:highlight w:val="none"/>
                <w:lang w:val="en-US" w:eastAsia="zh-CN" w:bidi="ar"/>
              </w:rPr>
              <w:fldChar w:fldCharType="begin"/>
            </w:r>
            <w:r>
              <w:rPr>
                <w:rFonts w:hint="eastAsia" w:ascii="Times New Roman" w:hAnsi="Times New Roman" w:eastAsia="宋体" w:cs="Times New Roman"/>
                <w:color w:val="auto"/>
                <w:kern w:val="2"/>
                <w:sz w:val="24"/>
                <w:szCs w:val="24"/>
                <w:highlight w:val="none"/>
                <w:lang w:val="en-US" w:eastAsia="zh-CN" w:bidi="ar"/>
              </w:rPr>
              <w:instrText xml:space="preserve"> REF _Ref23179 \r \h </w:instrText>
            </w:r>
            <w:r>
              <w:rPr>
                <w:rFonts w:hint="eastAsia" w:ascii="Times New Roman" w:hAnsi="Times New Roman" w:eastAsia="宋体" w:cs="Times New Roman"/>
                <w:color w:val="auto"/>
                <w:kern w:val="2"/>
                <w:sz w:val="24"/>
                <w:szCs w:val="24"/>
                <w:highlight w:val="none"/>
                <w:lang w:val="en-US" w:eastAsia="zh-CN" w:bidi="ar"/>
              </w:rPr>
              <w:fldChar w:fldCharType="separate"/>
            </w:r>
            <w:r>
              <w:rPr>
                <w:rFonts w:hint="eastAsia" w:ascii="Times New Roman" w:hAnsi="Times New Roman" w:eastAsia="宋体" w:cs="Times New Roman"/>
                <w:color w:val="auto"/>
                <w:kern w:val="2"/>
                <w:sz w:val="24"/>
                <w:szCs w:val="24"/>
                <w:highlight w:val="none"/>
                <w:lang w:val="en-US" w:eastAsia="zh-CN" w:bidi="ar"/>
              </w:rPr>
              <w:t>表2.5-1</w:t>
            </w:r>
            <w:r>
              <w:rPr>
                <w:rFonts w:hint="eastAsia" w:ascii="Times New Roman" w:hAnsi="Times New Roman" w:eastAsia="宋体" w:cs="Times New Roman"/>
                <w:color w:val="auto"/>
                <w:kern w:val="2"/>
                <w:sz w:val="24"/>
                <w:szCs w:val="24"/>
                <w:highlight w:val="none"/>
                <w:lang w:val="en-US" w:eastAsia="zh-CN" w:bidi="ar"/>
              </w:rPr>
              <w:fldChar w:fldCharType="end"/>
            </w:r>
            <w:r>
              <w:rPr>
                <w:rFonts w:hint="eastAsia" w:ascii="Times New Roman" w:hAnsi="Times New Roman" w:eastAsia="宋体" w:cs="Times New Roman"/>
                <w:color w:val="auto"/>
                <w:kern w:val="2"/>
                <w:sz w:val="24"/>
                <w:szCs w:val="24"/>
                <w:highlight w:val="none"/>
                <w:lang w:val="en-US" w:eastAsia="zh-CN" w:bidi="ar"/>
              </w:rPr>
              <w:t>。</w:t>
            </w:r>
            <w:r>
              <w:rPr>
                <w:rFonts w:hint="default" w:ascii="Times New Roman" w:hAnsi="Times New Roman" w:eastAsia="宋体" w:cs="Times New Roman"/>
                <w:color w:val="auto"/>
                <w:kern w:val="2"/>
                <w:sz w:val="24"/>
                <w:szCs w:val="24"/>
                <w:highlight w:val="none"/>
                <w:lang w:val="en-US" w:eastAsia="zh-CN" w:bidi="ar"/>
              </w:rPr>
              <w:t>检测水质指标一览表其工艺流程详见下</w:t>
            </w:r>
            <w:r>
              <w:rPr>
                <w:rFonts w:hint="default" w:ascii="Times New Roman" w:hAnsi="Times New Roman" w:eastAsia="宋体" w:cs="Times New Roman"/>
                <w:color w:val="auto"/>
                <w:kern w:val="2"/>
                <w:sz w:val="24"/>
                <w:szCs w:val="24"/>
                <w:highlight w:val="none"/>
                <w:lang w:val="en-US" w:eastAsia="zh-CN" w:bidi="ar"/>
              </w:rPr>
              <w:fldChar w:fldCharType="begin"/>
            </w:r>
            <w:r>
              <w:rPr>
                <w:rFonts w:hint="default" w:ascii="Times New Roman" w:hAnsi="Times New Roman" w:eastAsia="宋体" w:cs="Times New Roman"/>
                <w:color w:val="auto"/>
                <w:kern w:val="2"/>
                <w:sz w:val="24"/>
                <w:szCs w:val="24"/>
                <w:highlight w:val="none"/>
                <w:lang w:val="en-US" w:eastAsia="zh-CN" w:bidi="ar"/>
              </w:rPr>
              <w:instrText xml:space="preserve"> REF _Ref5897 \n \h </w:instrText>
            </w:r>
            <w:r>
              <w:rPr>
                <w:rFonts w:hint="default" w:ascii="Times New Roman" w:hAnsi="Times New Roman" w:eastAsia="宋体" w:cs="Times New Roman"/>
                <w:color w:val="auto"/>
                <w:kern w:val="2"/>
                <w:sz w:val="24"/>
                <w:szCs w:val="24"/>
                <w:highlight w:val="none"/>
                <w:lang w:val="en-US" w:eastAsia="zh-CN" w:bidi="ar"/>
              </w:rPr>
              <w:fldChar w:fldCharType="separate"/>
            </w:r>
            <w:r>
              <w:rPr>
                <w:rFonts w:hint="default" w:ascii="Times New Roman" w:hAnsi="Times New Roman" w:eastAsia="宋体" w:cs="Times New Roman"/>
                <w:color w:val="auto"/>
                <w:kern w:val="2"/>
                <w:sz w:val="24"/>
                <w:szCs w:val="24"/>
                <w:highlight w:val="none"/>
                <w:lang w:val="en-US" w:eastAsia="zh-CN" w:bidi="ar"/>
              </w:rPr>
              <w:t>图2.5-1</w:t>
            </w:r>
            <w:r>
              <w:rPr>
                <w:rFonts w:hint="default" w:ascii="Times New Roman" w:hAnsi="Times New Roman" w:eastAsia="宋体" w:cs="Times New Roman"/>
                <w:color w:val="auto"/>
                <w:kern w:val="2"/>
                <w:sz w:val="24"/>
                <w:szCs w:val="24"/>
                <w:highlight w:val="none"/>
                <w:lang w:val="en-US" w:eastAsia="zh-CN" w:bidi="ar"/>
              </w:rPr>
              <w:fldChar w:fldCharType="end"/>
            </w:r>
            <w:r>
              <w:rPr>
                <w:rFonts w:hint="default" w:ascii="Times New Roman" w:hAnsi="Times New Roman" w:eastAsia="宋体" w:cs="Times New Roman"/>
                <w:color w:val="auto"/>
                <w:kern w:val="2"/>
                <w:sz w:val="24"/>
                <w:szCs w:val="24"/>
                <w:highlight w:val="none"/>
                <w:lang w:val="en-US" w:eastAsia="zh-CN" w:bidi="ar"/>
              </w:rPr>
              <w:t>。其纯水制备流程见</w:t>
            </w:r>
            <w:r>
              <w:rPr>
                <w:rFonts w:hint="default" w:ascii="Times New Roman" w:hAnsi="Times New Roman" w:eastAsia="宋体" w:cs="Times New Roman"/>
                <w:color w:val="auto"/>
                <w:kern w:val="2"/>
                <w:sz w:val="24"/>
                <w:szCs w:val="24"/>
                <w:highlight w:val="none"/>
                <w:lang w:val="en-US" w:eastAsia="zh-CN" w:bidi="ar"/>
              </w:rPr>
              <w:fldChar w:fldCharType="begin"/>
            </w:r>
            <w:r>
              <w:rPr>
                <w:rFonts w:hint="default" w:ascii="Times New Roman" w:hAnsi="Times New Roman" w:eastAsia="宋体" w:cs="Times New Roman"/>
                <w:color w:val="auto"/>
                <w:kern w:val="2"/>
                <w:sz w:val="24"/>
                <w:szCs w:val="24"/>
                <w:highlight w:val="none"/>
                <w:lang w:val="en-US" w:eastAsia="zh-CN" w:bidi="ar"/>
              </w:rPr>
              <w:instrText xml:space="preserve"> REF _Ref3254 \r \h </w:instrText>
            </w:r>
            <w:r>
              <w:rPr>
                <w:rFonts w:hint="default" w:ascii="Times New Roman" w:hAnsi="Times New Roman" w:eastAsia="宋体" w:cs="Times New Roman"/>
                <w:color w:val="auto"/>
                <w:kern w:val="2"/>
                <w:sz w:val="24"/>
                <w:szCs w:val="24"/>
                <w:highlight w:val="none"/>
                <w:lang w:val="en-US" w:eastAsia="zh-CN" w:bidi="ar"/>
              </w:rPr>
              <w:fldChar w:fldCharType="separate"/>
            </w:r>
            <w:r>
              <w:rPr>
                <w:rFonts w:hint="default" w:ascii="Times New Roman" w:hAnsi="Times New Roman" w:eastAsia="宋体" w:cs="Times New Roman"/>
                <w:color w:val="auto"/>
                <w:kern w:val="2"/>
                <w:sz w:val="24"/>
                <w:szCs w:val="24"/>
                <w:highlight w:val="none"/>
                <w:lang w:val="en-US" w:eastAsia="zh-CN" w:bidi="ar"/>
              </w:rPr>
              <w:t>图2.5-2</w:t>
            </w:r>
            <w:r>
              <w:rPr>
                <w:rFonts w:hint="default" w:ascii="Times New Roman" w:hAnsi="Times New Roman" w:eastAsia="宋体" w:cs="Times New Roman"/>
                <w:color w:val="auto"/>
                <w:kern w:val="2"/>
                <w:sz w:val="24"/>
                <w:szCs w:val="24"/>
                <w:highlight w:val="none"/>
                <w:lang w:val="en-US" w:eastAsia="zh-CN" w:bidi="ar"/>
              </w:rPr>
              <w:fldChar w:fldCharType="end"/>
            </w:r>
            <w:r>
              <w:rPr>
                <w:rFonts w:hint="default" w:ascii="Times New Roman" w:hAnsi="Times New Roman" w:eastAsia="宋体" w:cs="Times New Roman"/>
                <w:color w:val="auto"/>
                <w:kern w:val="2"/>
                <w:sz w:val="24"/>
                <w:szCs w:val="24"/>
                <w:highlight w:val="none"/>
                <w:lang w:val="en-US" w:eastAsia="zh-CN" w:bidi="ar"/>
              </w:rPr>
              <w:t>。</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ascii="Times New Roman" w:hAnsi="Times New Roman" w:cs="Times New Roman"/>
                <w:color w:val="auto"/>
                <w:highlight w:val="none"/>
                <w:lang w:val="en-US"/>
              </w:rPr>
            </w:pPr>
            <w:bookmarkStart w:id="45" w:name="_Ref23179"/>
            <w:r>
              <w:rPr>
                <w:rFonts w:hint="default" w:ascii="Times New Roman" w:hAnsi="Times New Roman" w:cs="Times New Roman"/>
                <w:color w:val="auto"/>
                <w:highlight w:val="none"/>
                <w:lang w:val="en-US" w:eastAsia="zh-CN"/>
              </w:rPr>
              <w:t>检测水质指标一览表</w:t>
            </w:r>
            <w:bookmarkEnd w:id="45"/>
          </w:p>
          <w:tbl>
            <w:tblPr>
              <w:tblStyle w:val="32"/>
              <w:tblW w:w="825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2"/>
              <w:gridCol w:w="670"/>
              <w:gridCol w:w="1165"/>
              <w:gridCol w:w="1062"/>
              <w:gridCol w:w="49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34" w:hRule="atLeast"/>
              </w:trPr>
              <w:tc>
                <w:tcPr>
                  <w:tcW w:w="442" w:type="dxa"/>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序号</w:t>
                  </w:r>
                </w:p>
              </w:tc>
              <w:tc>
                <w:tcPr>
                  <w:tcW w:w="670"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指标</w:t>
                  </w:r>
                </w:p>
              </w:tc>
              <w:tc>
                <w:tcPr>
                  <w:tcW w:w="2227" w:type="dxa"/>
                  <w:gridSpan w:val="2"/>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标准来源</w:t>
                  </w:r>
                </w:p>
              </w:tc>
              <w:tc>
                <w:tcPr>
                  <w:tcW w:w="491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检测因子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3" w:hRule="atLeast"/>
              </w:trPr>
              <w:tc>
                <w:tcPr>
                  <w:tcW w:w="442" w:type="dxa"/>
                  <w:vMerge w:val="restart"/>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w:t>
                  </w:r>
                </w:p>
              </w:tc>
              <w:tc>
                <w:tcPr>
                  <w:tcW w:w="67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微生物指标</w:t>
                  </w:r>
                </w:p>
              </w:tc>
              <w:tc>
                <w:tcPr>
                  <w:tcW w:w="1165" w:type="dxa"/>
                  <w:vMerge w:val="restart"/>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《生活饮用水卫生标准》（GB 5749-2022）</w:t>
                  </w:r>
                </w:p>
              </w:tc>
              <w:tc>
                <w:tcPr>
                  <w:tcW w:w="1062" w:type="dxa"/>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常规指标</w:t>
                  </w:r>
                </w:p>
              </w:tc>
              <w:tc>
                <w:tcPr>
                  <w:tcW w:w="4916" w:type="dxa"/>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总大肠菌群</w:t>
                  </w:r>
                  <w:r>
                    <w:rPr>
                      <w:rFonts w:hint="eastAsia"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大肠埃希氏菌</w:t>
                  </w:r>
                  <w:r>
                    <w:rPr>
                      <w:rFonts w:hint="eastAsia" w:cs="Times New Roman"/>
                      <w:b w:val="0"/>
                      <w:bCs w:val="0"/>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菌落总数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3" w:hRule="atLeast"/>
              </w:trPr>
              <w:tc>
                <w:tcPr>
                  <w:tcW w:w="442" w:type="dxa"/>
                  <w:vMerge w:val="continue"/>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cs="Times New Roman"/>
                      <w:b w:val="0"/>
                      <w:bCs w:val="0"/>
                      <w:color w:val="auto"/>
                      <w:sz w:val="21"/>
                      <w:szCs w:val="21"/>
                      <w:highlight w:val="none"/>
                      <w:lang w:val="en-US" w:eastAsia="zh-CN"/>
                    </w:rPr>
                  </w:pPr>
                </w:p>
              </w:tc>
              <w:tc>
                <w:tcPr>
                  <w:tcW w:w="67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p>
              </w:tc>
              <w:tc>
                <w:tcPr>
                  <w:tcW w:w="1165" w:type="dxa"/>
                  <w:vMerge w:val="continue"/>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p>
              </w:tc>
              <w:tc>
                <w:tcPr>
                  <w:tcW w:w="1062" w:type="dxa"/>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水消毒剂常规指标</w:t>
                  </w:r>
                </w:p>
              </w:tc>
              <w:tc>
                <w:tcPr>
                  <w:tcW w:w="4916" w:type="dxa"/>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游离氯</w:t>
                  </w:r>
                  <w:r>
                    <w:rPr>
                      <w:rFonts w:hint="eastAsia" w:cs="Times New Roman"/>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总氯</w:t>
                  </w:r>
                  <w:r>
                    <w:rPr>
                      <w:rFonts w:hint="eastAsia" w:cs="Times New Roman"/>
                      <w:b/>
                      <w:bCs/>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臭氧</w:t>
                  </w:r>
                  <w:r>
                    <w:rPr>
                      <w:rFonts w:hint="eastAsia" w:cs="Times New Roman"/>
                      <w:b w:val="0"/>
                      <w:bCs w:val="0"/>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二氧化氯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3" w:hRule="atLeast"/>
              </w:trPr>
              <w:tc>
                <w:tcPr>
                  <w:tcW w:w="442" w:type="dxa"/>
                  <w:vMerge w:val="continue"/>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cs="Times New Roman"/>
                      <w:b w:val="0"/>
                      <w:bCs w:val="0"/>
                      <w:color w:val="auto"/>
                      <w:sz w:val="21"/>
                      <w:szCs w:val="21"/>
                      <w:highlight w:val="none"/>
                      <w:lang w:val="en-US" w:eastAsia="zh-CN"/>
                    </w:rPr>
                  </w:pPr>
                </w:p>
              </w:tc>
              <w:tc>
                <w:tcPr>
                  <w:tcW w:w="67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p>
              </w:tc>
              <w:tc>
                <w:tcPr>
                  <w:tcW w:w="1165" w:type="dxa"/>
                  <w:vMerge w:val="continue"/>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p>
              </w:tc>
              <w:tc>
                <w:tcPr>
                  <w:tcW w:w="1062" w:type="dxa"/>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扩展指标</w:t>
                  </w:r>
                </w:p>
              </w:tc>
              <w:tc>
                <w:tcPr>
                  <w:tcW w:w="491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cs="Times New Roman"/>
                      <w:b w:val="0"/>
                      <w:bCs w:val="0"/>
                      <w:color w:val="auto"/>
                      <w:sz w:val="21"/>
                      <w:szCs w:val="21"/>
                      <w:highlight w:val="none"/>
                      <w:lang w:val="en-US" w:eastAsia="zh-CN"/>
                    </w:rPr>
                  </w:pPr>
                  <w:r>
                    <w:rPr>
                      <w:rFonts w:hint="default" w:cs="Times New Roman"/>
                      <w:b w:val="0"/>
                      <w:bCs w:val="0"/>
                      <w:color w:val="auto"/>
                      <w:sz w:val="21"/>
                      <w:szCs w:val="21"/>
                      <w:highlight w:val="none"/>
                      <w:lang w:val="en-US" w:eastAsia="zh-CN"/>
                    </w:rPr>
                    <w:t>贾第鞭毛虫</w:t>
                  </w:r>
                  <w:r>
                    <w:rPr>
                      <w:rFonts w:hint="eastAsia" w:cs="Times New Roman"/>
                      <w:b w:val="0"/>
                      <w:bCs w:val="0"/>
                      <w:color w:val="auto"/>
                      <w:sz w:val="21"/>
                      <w:szCs w:val="21"/>
                      <w:highlight w:val="none"/>
                      <w:lang w:val="en-US" w:eastAsia="zh-CN"/>
                    </w:rPr>
                    <w:t>、</w:t>
                  </w:r>
                  <w:r>
                    <w:rPr>
                      <w:rFonts w:hint="default" w:cs="Times New Roman"/>
                      <w:b/>
                      <w:bCs/>
                      <w:color w:val="auto"/>
                      <w:sz w:val="21"/>
                      <w:szCs w:val="21"/>
                      <w:highlight w:val="none"/>
                      <w:lang w:val="en-US" w:eastAsia="zh-CN"/>
                    </w:rPr>
                    <w:t>隐孢子虫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trPr>
              <w:tc>
                <w:tcPr>
                  <w:tcW w:w="442"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rPr>
                  </w:pPr>
                </w:p>
              </w:tc>
              <w:tc>
                <w:tcPr>
                  <w:tcW w:w="67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p>
              </w:tc>
              <w:tc>
                <w:tcPr>
                  <w:tcW w:w="1165" w:type="dxa"/>
                  <w:vMerge w:val="restart"/>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color w:val="auto"/>
                      <w:highlight w:val="none"/>
                      <w:lang w:val="en-US" w:eastAsia="zh-CN"/>
                    </w:rPr>
                    <w:t>《城市供水水质标准》（CJ/T 206-2005）</w:t>
                  </w:r>
                </w:p>
              </w:tc>
              <w:tc>
                <w:tcPr>
                  <w:tcW w:w="1062" w:type="dxa"/>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highlight w:val="none"/>
                      <w:lang w:val="en-US" w:eastAsia="zh-CN"/>
                    </w:rPr>
                  </w:pPr>
                  <w:r>
                    <w:rPr>
                      <w:rFonts w:hint="eastAsia" w:cs="Times New Roman"/>
                      <w:b w:val="0"/>
                      <w:bCs w:val="0"/>
                      <w:color w:val="auto"/>
                      <w:sz w:val="21"/>
                      <w:szCs w:val="21"/>
                      <w:highlight w:val="none"/>
                      <w:lang w:val="en-US" w:eastAsia="zh-CN"/>
                    </w:rPr>
                    <w:t>常规指标</w:t>
                  </w:r>
                </w:p>
              </w:tc>
              <w:tc>
                <w:tcPr>
                  <w:tcW w:w="4916" w:type="dxa"/>
                  <w:vAlign w:val="center"/>
                </w:tcPr>
                <w:p>
                  <w:pPr>
                    <w:keepNext w:val="0"/>
                    <w:keepLines w:val="0"/>
                    <w:suppressLineNumbers w:val="0"/>
                    <w:spacing w:before="0" w:beforeAutospacing="0" w:after="0" w:afterAutospacing="0"/>
                    <w:ind w:left="0" w:right="0"/>
                    <w:jc w:val="both"/>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细菌总数</w:t>
                  </w:r>
                  <w:r>
                    <w:rPr>
                      <w:rFonts w:hint="eastAsia" w:cs="Times New Roman"/>
                      <w:b w:val="0"/>
                      <w:bCs w:val="0"/>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总大肠菌群</w:t>
                  </w:r>
                  <w:r>
                    <w:rPr>
                      <w:rFonts w:hint="eastAsia"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耐热大肠菌群</w:t>
                  </w:r>
                  <w:r>
                    <w:rPr>
                      <w:rFonts w:hint="eastAsia" w:cs="Times New Roman"/>
                      <w:b w:val="0"/>
                      <w:bCs w:val="0"/>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余氯</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加氯消毒时测定</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二氧化氯</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使用二氧化氯消毒时测定</w:t>
                  </w:r>
                  <w:r>
                    <w:rPr>
                      <w:rFonts w:hint="eastAsia" w:cs="Times New Roman"/>
                      <w:b/>
                      <w:bCs/>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trPr>
              <w:tc>
                <w:tcPr>
                  <w:tcW w:w="442"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highlight w:val="none"/>
                    </w:rPr>
                  </w:pPr>
                </w:p>
              </w:tc>
              <w:tc>
                <w:tcPr>
                  <w:tcW w:w="67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highlight w:val="none"/>
                    </w:rPr>
                  </w:pPr>
                </w:p>
              </w:tc>
              <w:tc>
                <w:tcPr>
                  <w:tcW w:w="1165" w:type="dxa"/>
                  <w:vMerge w:val="continue"/>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highlight w:val="none"/>
                    </w:rPr>
                  </w:pPr>
                </w:p>
              </w:tc>
              <w:tc>
                <w:tcPr>
                  <w:tcW w:w="1062" w:type="dxa"/>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highlight w:val="none"/>
                    </w:rPr>
                  </w:pPr>
                  <w:r>
                    <w:rPr>
                      <w:rFonts w:hint="eastAsia"/>
                      <w:color w:val="auto"/>
                      <w:highlight w:val="none"/>
                    </w:rPr>
                    <w:t>非常规</w:t>
                  </w:r>
                  <w:r>
                    <w:rPr>
                      <w:rFonts w:hint="default" w:ascii="Times New Roman" w:hAnsi="Times New Roman" w:cs="Times New Roman"/>
                      <w:b w:val="0"/>
                      <w:bCs w:val="0"/>
                      <w:color w:val="auto"/>
                      <w:sz w:val="21"/>
                      <w:szCs w:val="21"/>
                      <w:highlight w:val="none"/>
                      <w:lang w:val="en-US" w:eastAsia="zh-CN"/>
                    </w:rPr>
                    <w:t>指标</w:t>
                  </w:r>
                </w:p>
              </w:tc>
              <w:tc>
                <w:tcPr>
                  <w:tcW w:w="491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color w:val="auto"/>
                      <w:highlight w:val="none"/>
                    </w:rPr>
                  </w:pPr>
                  <w:r>
                    <w:rPr>
                      <w:rFonts w:hint="eastAsia"/>
                      <w:color w:val="auto"/>
                      <w:highlight w:val="none"/>
                    </w:rPr>
                    <w:t>粪型链球菌群</w:t>
                  </w:r>
                  <w:r>
                    <w:rPr>
                      <w:rFonts w:hint="eastAsia"/>
                      <w:color w:val="auto"/>
                      <w:highlight w:val="none"/>
                      <w:lang w:eastAsia="zh-CN"/>
                    </w:rPr>
                    <w:t>、</w:t>
                  </w:r>
                  <w:r>
                    <w:rPr>
                      <w:rFonts w:hint="eastAsia"/>
                      <w:color w:val="auto"/>
                      <w:highlight w:val="none"/>
                    </w:rPr>
                    <w:t>蓝氏贾第鞭毛虫</w:t>
                  </w:r>
                  <w:r>
                    <w:rPr>
                      <w:rFonts w:hint="eastAsia"/>
                      <w:color w:val="auto"/>
                      <w:highlight w:val="none"/>
                      <w:lang w:eastAsia="zh-CN"/>
                    </w:rPr>
                    <w:t>、</w:t>
                  </w:r>
                  <w:r>
                    <w:rPr>
                      <w:rFonts w:hint="eastAsia"/>
                      <w:b/>
                      <w:bCs/>
                      <w:color w:val="auto"/>
                      <w:highlight w:val="none"/>
                    </w:rPr>
                    <w:t>隐孢子虫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7" w:hRule="atLeast"/>
              </w:trPr>
              <w:tc>
                <w:tcPr>
                  <w:tcW w:w="442"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w:t>
                  </w:r>
                </w:p>
              </w:tc>
              <w:tc>
                <w:tcPr>
                  <w:tcW w:w="67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毒理指标</w:t>
                  </w:r>
                </w:p>
              </w:tc>
              <w:tc>
                <w:tcPr>
                  <w:tcW w:w="1165" w:type="dxa"/>
                  <w:vMerge w:val="restart"/>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b w:val="0"/>
                      <w:bCs w:val="0"/>
                      <w:color w:val="auto"/>
                      <w:sz w:val="21"/>
                      <w:szCs w:val="21"/>
                      <w:highlight w:val="none"/>
                      <w:lang w:val="en-US" w:eastAsia="zh-CN"/>
                    </w:rPr>
                    <w:t>《生活饮用水卫生标准》（GB 5749-2022）</w:t>
                  </w:r>
                </w:p>
              </w:tc>
              <w:tc>
                <w:tcPr>
                  <w:tcW w:w="1062" w:type="dxa"/>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常规指标</w:t>
                  </w:r>
                </w:p>
              </w:tc>
              <w:tc>
                <w:tcPr>
                  <w:tcW w:w="4916" w:type="dxa"/>
                  <w:vAlign w:val="center"/>
                </w:tcPr>
                <w:p>
                  <w:pPr>
                    <w:keepNext w:val="0"/>
                    <w:keepLines w:val="0"/>
                    <w:suppressLineNumbers w:val="0"/>
                    <w:spacing w:before="0" w:beforeAutospacing="0" w:after="0" w:afterAutospacing="0"/>
                    <w:ind w:left="0" w:right="0"/>
                    <w:jc w:val="both"/>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砷</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镉</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铬（六价）</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铅</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汞</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氰化物</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氟化物</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硝酸盐（以N计）</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三氯甲烷</w:t>
                  </w:r>
                  <w:r>
                    <w:rPr>
                      <w:rFonts w:hint="eastAsia"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一氯二溴甲烷</w:t>
                  </w:r>
                  <w:r>
                    <w:rPr>
                      <w:rFonts w:hint="eastAsia"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二氯一溴甲烷</w:t>
                  </w:r>
                  <w:r>
                    <w:rPr>
                      <w:rFonts w:hint="eastAsia"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三溴甲烷</w:t>
                  </w:r>
                  <w:r>
                    <w:rPr>
                      <w:rFonts w:hint="eastAsia"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三卤甲烷（三氯甲烷、一氯二溴甲烷、二氯一溴甲烷、三溴甲烷的总和）</w:t>
                  </w:r>
                  <w:r>
                    <w:rPr>
                      <w:rFonts w:hint="eastAsia"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二氯乙酸</w:t>
                  </w:r>
                  <w:r>
                    <w:rPr>
                      <w:rFonts w:hint="eastAsia"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三氯乙酸</w:t>
                  </w:r>
                  <w:r>
                    <w:rPr>
                      <w:rFonts w:hint="eastAsia" w:cs="Times New Roman"/>
                      <w:b w:val="0"/>
                      <w:bCs w:val="0"/>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溴酸盐</w:t>
                  </w:r>
                  <w:r>
                    <w:rPr>
                      <w:rFonts w:hint="eastAsia" w:cs="Times New Roman"/>
                      <w:b w:val="0"/>
                      <w:bCs w:val="0"/>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亚氯酸盐</w:t>
                  </w:r>
                  <w:r>
                    <w:rPr>
                      <w:rFonts w:hint="eastAsia" w:cs="Times New Roman"/>
                      <w:b/>
                      <w:bCs/>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氯酸盐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442"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highlight w:val="none"/>
                    </w:rPr>
                  </w:pPr>
                </w:p>
              </w:tc>
              <w:tc>
                <w:tcPr>
                  <w:tcW w:w="67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highlight w:val="none"/>
                    </w:rPr>
                  </w:pPr>
                </w:p>
              </w:tc>
              <w:tc>
                <w:tcPr>
                  <w:tcW w:w="1165" w:type="dxa"/>
                  <w:vMerge w:val="continue"/>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highlight w:val="none"/>
                    </w:rPr>
                  </w:pPr>
                </w:p>
              </w:tc>
              <w:tc>
                <w:tcPr>
                  <w:tcW w:w="1062" w:type="dxa"/>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highlight w:val="none"/>
                    </w:rPr>
                  </w:pPr>
                  <w:r>
                    <w:rPr>
                      <w:rFonts w:hint="eastAsia" w:cs="Times New Roman"/>
                      <w:b w:val="0"/>
                      <w:bCs w:val="0"/>
                      <w:color w:val="auto"/>
                      <w:sz w:val="21"/>
                      <w:szCs w:val="21"/>
                      <w:highlight w:val="none"/>
                      <w:lang w:val="en-US" w:eastAsia="zh-CN"/>
                    </w:rPr>
                    <w:t>扩展指标</w:t>
                  </w:r>
                </w:p>
              </w:tc>
              <w:tc>
                <w:tcPr>
                  <w:tcW w:w="491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color w:val="auto"/>
                      <w:highlight w:val="none"/>
                      <w:lang w:eastAsia="zh-CN"/>
                    </w:rPr>
                  </w:pPr>
                  <w:r>
                    <w:rPr>
                      <w:rFonts w:hint="eastAsia"/>
                      <w:b/>
                      <w:bCs/>
                      <w:color w:val="auto"/>
                      <w:highlight w:val="none"/>
                    </w:rPr>
                    <w:t>锑</w:t>
                  </w:r>
                  <w:r>
                    <w:rPr>
                      <w:rFonts w:hint="eastAsia"/>
                      <w:b/>
                      <w:bCs/>
                      <w:color w:val="auto"/>
                      <w:highlight w:val="none"/>
                      <w:lang w:eastAsia="zh-CN"/>
                    </w:rPr>
                    <w:t>、</w:t>
                  </w:r>
                  <w:r>
                    <w:rPr>
                      <w:rFonts w:hint="eastAsia"/>
                      <w:b/>
                      <w:bCs/>
                      <w:color w:val="auto"/>
                      <w:highlight w:val="none"/>
                    </w:rPr>
                    <w:t>钡</w:t>
                  </w:r>
                  <w:r>
                    <w:rPr>
                      <w:rFonts w:hint="eastAsia"/>
                      <w:b/>
                      <w:bCs/>
                      <w:color w:val="auto"/>
                      <w:highlight w:val="none"/>
                      <w:lang w:eastAsia="zh-CN"/>
                    </w:rPr>
                    <w:t>、</w:t>
                  </w:r>
                  <w:r>
                    <w:rPr>
                      <w:rFonts w:hint="eastAsia"/>
                      <w:b/>
                      <w:bCs/>
                      <w:color w:val="auto"/>
                      <w:highlight w:val="none"/>
                    </w:rPr>
                    <w:t>铍</w:t>
                  </w:r>
                  <w:r>
                    <w:rPr>
                      <w:rFonts w:hint="eastAsia"/>
                      <w:b/>
                      <w:bCs/>
                      <w:color w:val="auto"/>
                      <w:highlight w:val="none"/>
                      <w:lang w:eastAsia="zh-CN"/>
                    </w:rPr>
                    <w:t>、</w:t>
                  </w:r>
                  <w:r>
                    <w:rPr>
                      <w:rFonts w:hint="eastAsia"/>
                      <w:b/>
                      <w:bCs/>
                      <w:color w:val="auto"/>
                      <w:highlight w:val="none"/>
                    </w:rPr>
                    <w:t>硼</w:t>
                  </w:r>
                  <w:r>
                    <w:rPr>
                      <w:rFonts w:hint="eastAsia"/>
                      <w:b/>
                      <w:bCs/>
                      <w:color w:val="auto"/>
                      <w:highlight w:val="none"/>
                      <w:lang w:eastAsia="zh-CN"/>
                    </w:rPr>
                    <w:t>、</w:t>
                  </w:r>
                  <w:r>
                    <w:rPr>
                      <w:rFonts w:hint="eastAsia"/>
                      <w:b/>
                      <w:bCs/>
                      <w:color w:val="auto"/>
                      <w:highlight w:val="none"/>
                    </w:rPr>
                    <w:t>钼</w:t>
                  </w:r>
                  <w:r>
                    <w:rPr>
                      <w:rFonts w:hint="eastAsia"/>
                      <w:b/>
                      <w:bCs/>
                      <w:color w:val="auto"/>
                      <w:highlight w:val="none"/>
                      <w:lang w:eastAsia="zh-CN"/>
                    </w:rPr>
                    <w:t>、</w:t>
                  </w:r>
                  <w:r>
                    <w:rPr>
                      <w:rFonts w:hint="eastAsia"/>
                      <w:b/>
                      <w:bCs/>
                      <w:color w:val="auto"/>
                      <w:highlight w:val="none"/>
                    </w:rPr>
                    <w:t>镍</w:t>
                  </w:r>
                  <w:r>
                    <w:rPr>
                      <w:rFonts w:hint="eastAsia"/>
                      <w:b/>
                      <w:bCs/>
                      <w:color w:val="auto"/>
                      <w:highlight w:val="none"/>
                      <w:lang w:eastAsia="zh-CN"/>
                    </w:rPr>
                    <w:t>、</w:t>
                  </w:r>
                  <w:r>
                    <w:rPr>
                      <w:rFonts w:hint="eastAsia"/>
                      <w:b/>
                      <w:bCs/>
                      <w:color w:val="auto"/>
                      <w:highlight w:val="none"/>
                    </w:rPr>
                    <w:t>银</w:t>
                  </w:r>
                  <w:r>
                    <w:rPr>
                      <w:rFonts w:hint="eastAsia"/>
                      <w:b/>
                      <w:bCs/>
                      <w:color w:val="auto"/>
                      <w:highlight w:val="none"/>
                      <w:lang w:eastAsia="zh-CN"/>
                    </w:rPr>
                    <w:t>、</w:t>
                  </w:r>
                  <w:r>
                    <w:rPr>
                      <w:rFonts w:hint="eastAsia"/>
                      <w:b/>
                      <w:bCs/>
                      <w:color w:val="auto"/>
                      <w:highlight w:val="none"/>
                    </w:rPr>
                    <w:t>铊</w:t>
                  </w:r>
                  <w:r>
                    <w:rPr>
                      <w:rFonts w:hint="eastAsia"/>
                      <w:color w:val="auto"/>
                      <w:highlight w:val="none"/>
                      <w:lang w:eastAsia="zh-CN"/>
                    </w:rPr>
                    <w:t>、</w:t>
                  </w:r>
                  <w:r>
                    <w:rPr>
                      <w:rFonts w:hint="eastAsia"/>
                      <w:b/>
                      <w:bCs/>
                      <w:color w:val="auto"/>
                      <w:highlight w:val="none"/>
                    </w:rPr>
                    <w:t>硒</w:t>
                  </w:r>
                  <w:r>
                    <w:rPr>
                      <w:rFonts w:hint="eastAsia"/>
                      <w:color w:val="auto"/>
                      <w:highlight w:val="none"/>
                      <w:lang w:eastAsia="zh-CN"/>
                    </w:rPr>
                    <w:t>、</w:t>
                  </w:r>
                  <w:r>
                    <w:rPr>
                      <w:rFonts w:hint="eastAsia"/>
                      <w:color w:val="auto"/>
                      <w:highlight w:val="none"/>
                    </w:rPr>
                    <w:t>高氯酸盐</w:t>
                  </w:r>
                  <w:r>
                    <w:rPr>
                      <w:rFonts w:hint="eastAsia"/>
                      <w:color w:val="auto"/>
                      <w:highlight w:val="none"/>
                      <w:lang w:eastAsia="zh-CN"/>
                    </w:rPr>
                    <w:t>、</w:t>
                  </w:r>
                  <w:r>
                    <w:rPr>
                      <w:rFonts w:hint="eastAsia"/>
                      <w:b/>
                      <w:bCs/>
                      <w:color w:val="auto"/>
                      <w:highlight w:val="none"/>
                    </w:rPr>
                    <w:t>二氯甲烷</w:t>
                  </w:r>
                  <w:r>
                    <w:rPr>
                      <w:rFonts w:hint="eastAsia"/>
                      <w:b/>
                      <w:bCs/>
                      <w:color w:val="auto"/>
                      <w:highlight w:val="none"/>
                      <w:lang w:eastAsia="zh-CN"/>
                    </w:rPr>
                    <w:t>、</w:t>
                  </w:r>
                  <w:r>
                    <w:rPr>
                      <w:rFonts w:hint="eastAsia"/>
                      <w:b/>
                      <w:bCs/>
                      <w:color w:val="auto"/>
                      <w:highlight w:val="none"/>
                    </w:rPr>
                    <w:t>1,2-二氯乙烷</w:t>
                  </w:r>
                  <w:r>
                    <w:rPr>
                      <w:rFonts w:hint="eastAsia"/>
                      <w:b/>
                      <w:bCs/>
                      <w:color w:val="auto"/>
                      <w:highlight w:val="none"/>
                      <w:lang w:eastAsia="zh-CN"/>
                    </w:rPr>
                    <w:t>、</w:t>
                  </w:r>
                  <w:r>
                    <w:rPr>
                      <w:rFonts w:hint="eastAsia"/>
                      <w:color w:val="auto"/>
                      <w:highlight w:val="none"/>
                    </w:rPr>
                    <w:t>四氯化碳</w:t>
                  </w:r>
                  <w:r>
                    <w:rPr>
                      <w:rFonts w:hint="eastAsia"/>
                      <w:color w:val="auto"/>
                      <w:highlight w:val="none"/>
                      <w:lang w:eastAsia="zh-CN"/>
                    </w:rPr>
                    <w:t>、</w:t>
                  </w:r>
                  <w:r>
                    <w:rPr>
                      <w:rFonts w:hint="eastAsia"/>
                      <w:b/>
                      <w:bCs/>
                      <w:color w:val="auto"/>
                      <w:highlight w:val="none"/>
                    </w:rPr>
                    <w:t>氯乙烯</w:t>
                  </w:r>
                  <w:r>
                    <w:rPr>
                      <w:rFonts w:hint="eastAsia"/>
                      <w:b/>
                      <w:bCs/>
                      <w:color w:val="auto"/>
                      <w:highlight w:val="none"/>
                      <w:lang w:eastAsia="zh-CN"/>
                    </w:rPr>
                    <w:t>、</w:t>
                  </w:r>
                  <w:r>
                    <w:rPr>
                      <w:rFonts w:hint="eastAsia"/>
                      <w:b/>
                      <w:bCs/>
                      <w:color w:val="auto"/>
                      <w:highlight w:val="none"/>
                    </w:rPr>
                    <w:t>1,1-二氯乙烯</w:t>
                  </w:r>
                  <w:r>
                    <w:rPr>
                      <w:rFonts w:hint="eastAsia"/>
                      <w:b/>
                      <w:bCs/>
                      <w:color w:val="auto"/>
                      <w:highlight w:val="none"/>
                      <w:lang w:eastAsia="zh-CN"/>
                    </w:rPr>
                    <w:t>、</w:t>
                  </w:r>
                  <w:r>
                    <w:rPr>
                      <w:rFonts w:hint="eastAsia"/>
                      <w:b/>
                      <w:bCs/>
                      <w:color w:val="auto"/>
                      <w:highlight w:val="none"/>
                    </w:rPr>
                    <w:t>1,2-二氯乙烯（总量）</w:t>
                  </w:r>
                  <w:r>
                    <w:rPr>
                      <w:rFonts w:hint="eastAsia"/>
                      <w:b/>
                      <w:bCs/>
                      <w:color w:val="auto"/>
                      <w:highlight w:val="none"/>
                      <w:lang w:eastAsia="zh-CN"/>
                    </w:rPr>
                    <w:t>、</w:t>
                  </w:r>
                  <w:r>
                    <w:rPr>
                      <w:rFonts w:hint="eastAsia"/>
                      <w:b/>
                      <w:bCs/>
                      <w:color w:val="auto"/>
                      <w:highlight w:val="none"/>
                    </w:rPr>
                    <w:t>三氯乙烯</w:t>
                  </w:r>
                  <w:r>
                    <w:rPr>
                      <w:rFonts w:hint="eastAsia"/>
                      <w:b/>
                      <w:bCs/>
                      <w:color w:val="auto"/>
                      <w:highlight w:val="none"/>
                      <w:lang w:eastAsia="zh-CN"/>
                    </w:rPr>
                    <w:t>、</w:t>
                  </w:r>
                  <w:r>
                    <w:rPr>
                      <w:rFonts w:hint="eastAsia"/>
                      <w:b/>
                      <w:bCs/>
                      <w:color w:val="auto"/>
                      <w:highlight w:val="none"/>
                    </w:rPr>
                    <w:t>四氯乙烯</w:t>
                  </w:r>
                  <w:r>
                    <w:rPr>
                      <w:rFonts w:hint="eastAsia"/>
                      <w:b/>
                      <w:bCs/>
                      <w:color w:val="auto"/>
                      <w:highlight w:val="none"/>
                      <w:lang w:eastAsia="zh-CN"/>
                    </w:rPr>
                    <w:t>、</w:t>
                  </w:r>
                  <w:r>
                    <w:rPr>
                      <w:rFonts w:hint="eastAsia"/>
                      <w:color w:val="auto"/>
                      <w:highlight w:val="none"/>
                    </w:rPr>
                    <w:t>六氯丁二烯</w:t>
                  </w:r>
                  <w:r>
                    <w:rPr>
                      <w:rFonts w:hint="eastAsia"/>
                      <w:color w:val="auto"/>
                      <w:highlight w:val="none"/>
                      <w:lang w:eastAsia="zh-CN"/>
                    </w:rPr>
                    <w:t>、</w:t>
                  </w:r>
                  <w:r>
                    <w:rPr>
                      <w:rFonts w:hint="eastAsia"/>
                      <w:b/>
                      <w:bCs/>
                      <w:color w:val="auto"/>
                      <w:highlight w:val="none"/>
                    </w:rPr>
                    <w:t>苯</w:t>
                  </w:r>
                  <w:r>
                    <w:rPr>
                      <w:rFonts w:hint="eastAsia"/>
                      <w:b/>
                      <w:bCs/>
                      <w:color w:val="auto"/>
                      <w:highlight w:val="none"/>
                      <w:lang w:eastAsia="zh-CN"/>
                    </w:rPr>
                    <w:t>、</w:t>
                  </w:r>
                  <w:r>
                    <w:rPr>
                      <w:rFonts w:hint="eastAsia"/>
                      <w:b/>
                      <w:bCs/>
                      <w:color w:val="auto"/>
                      <w:highlight w:val="none"/>
                    </w:rPr>
                    <w:t>甲苯</w:t>
                  </w:r>
                  <w:r>
                    <w:rPr>
                      <w:rFonts w:hint="eastAsia"/>
                      <w:b/>
                      <w:bCs/>
                      <w:color w:val="auto"/>
                      <w:highlight w:val="none"/>
                      <w:lang w:eastAsia="zh-CN"/>
                    </w:rPr>
                    <w:t>、</w:t>
                  </w:r>
                  <w:r>
                    <w:rPr>
                      <w:rFonts w:hint="eastAsia"/>
                      <w:b/>
                      <w:bCs/>
                      <w:color w:val="auto"/>
                      <w:highlight w:val="none"/>
                    </w:rPr>
                    <w:t>二甲苯（总量）</w:t>
                  </w:r>
                  <w:r>
                    <w:rPr>
                      <w:rFonts w:hint="eastAsia"/>
                      <w:b/>
                      <w:bCs/>
                      <w:color w:val="auto"/>
                      <w:highlight w:val="none"/>
                      <w:lang w:eastAsia="zh-CN"/>
                    </w:rPr>
                    <w:t>、</w:t>
                  </w:r>
                  <w:r>
                    <w:rPr>
                      <w:rFonts w:hint="eastAsia"/>
                      <w:b/>
                      <w:bCs/>
                      <w:color w:val="auto"/>
                      <w:highlight w:val="none"/>
                    </w:rPr>
                    <w:t>苯乙烯</w:t>
                  </w:r>
                  <w:r>
                    <w:rPr>
                      <w:rFonts w:hint="eastAsia"/>
                      <w:b/>
                      <w:bCs/>
                      <w:color w:val="auto"/>
                      <w:highlight w:val="none"/>
                      <w:lang w:eastAsia="zh-CN"/>
                    </w:rPr>
                    <w:t>、</w:t>
                  </w:r>
                  <w:r>
                    <w:rPr>
                      <w:rFonts w:hint="eastAsia"/>
                      <w:b/>
                      <w:bCs/>
                      <w:color w:val="auto"/>
                      <w:highlight w:val="none"/>
                    </w:rPr>
                    <w:t>氯苯</w:t>
                  </w:r>
                  <w:r>
                    <w:rPr>
                      <w:rFonts w:hint="eastAsia"/>
                      <w:b/>
                      <w:bCs/>
                      <w:color w:val="auto"/>
                      <w:highlight w:val="none"/>
                      <w:lang w:eastAsia="zh-CN"/>
                    </w:rPr>
                    <w:t>、</w:t>
                  </w:r>
                  <w:r>
                    <w:rPr>
                      <w:rFonts w:hint="eastAsia"/>
                      <w:b/>
                      <w:bCs/>
                      <w:color w:val="auto"/>
                      <w:highlight w:val="none"/>
                    </w:rPr>
                    <w:t>1,4-二氯苯</w:t>
                  </w:r>
                  <w:r>
                    <w:rPr>
                      <w:rFonts w:hint="eastAsia"/>
                      <w:b/>
                      <w:bCs/>
                      <w:color w:val="auto"/>
                      <w:highlight w:val="none"/>
                      <w:lang w:eastAsia="zh-CN"/>
                    </w:rPr>
                    <w:t>、</w:t>
                  </w:r>
                  <w:r>
                    <w:rPr>
                      <w:rFonts w:hint="eastAsia"/>
                      <w:b/>
                      <w:bCs/>
                      <w:color w:val="auto"/>
                      <w:highlight w:val="none"/>
                    </w:rPr>
                    <w:t>三氯苯（总量）</w:t>
                  </w:r>
                  <w:r>
                    <w:rPr>
                      <w:rFonts w:hint="eastAsia"/>
                      <w:color w:val="auto"/>
                      <w:highlight w:val="none"/>
                      <w:lang w:eastAsia="zh-CN"/>
                    </w:rPr>
                    <w:t>、</w:t>
                  </w:r>
                  <w:r>
                    <w:rPr>
                      <w:rFonts w:hint="eastAsia"/>
                      <w:color w:val="auto"/>
                      <w:highlight w:val="none"/>
                    </w:rPr>
                    <w:t>六氯苯</w:t>
                  </w:r>
                  <w:r>
                    <w:rPr>
                      <w:rFonts w:hint="eastAsia"/>
                      <w:color w:val="auto"/>
                      <w:highlight w:val="none"/>
                      <w:lang w:eastAsia="zh-CN"/>
                    </w:rPr>
                    <w:t>、</w:t>
                  </w:r>
                  <w:r>
                    <w:rPr>
                      <w:rFonts w:hint="eastAsia"/>
                      <w:color w:val="auto"/>
                      <w:highlight w:val="none"/>
                    </w:rPr>
                    <w:t>七氯</w:t>
                  </w:r>
                  <w:r>
                    <w:rPr>
                      <w:rFonts w:hint="eastAsia"/>
                      <w:color w:val="auto"/>
                      <w:highlight w:val="none"/>
                      <w:lang w:eastAsia="zh-CN"/>
                    </w:rPr>
                    <w:t>、</w:t>
                  </w:r>
                  <w:r>
                    <w:rPr>
                      <w:rFonts w:hint="eastAsia"/>
                      <w:color w:val="auto"/>
                      <w:highlight w:val="none"/>
                    </w:rPr>
                    <w:t>马拉硫磷</w:t>
                  </w:r>
                  <w:r>
                    <w:rPr>
                      <w:rFonts w:hint="eastAsia"/>
                      <w:color w:val="auto"/>
                      <w:highlight w:val="none"/>
                      <w:lang w:eastAsia="zh-CN"/>
                    </w:rPr>
                    <w:t>、</w:t>
                  </w:r>
                  <w:r>
                    <w:rPr>
                      <w:rFonts w:hint="eastAsia"/>
                      <w:b/>
                      <w:bCs/>
                      <w:color w:val="auto"/>
                      <w:highlight w:val="none"/>
                    </w:rPr>
                    <w:t>乐果</w:t>
                  </w:r>
                  <w:r>
                    <w:rPr>
                      <w:rFonts w:hint="eastAsia"/>
                      <w:b/>
                      <w:bCs/>
                      <w:color w:val="auto"/>
                      <w:highlight w:val="none"/>
                      <w:lang w:eastAsia="zh-CN"/>
                    </w:rPr>
                    <w:t>、</w:t>
                  </w:r>
                  <w:r>
                    <w:rPr>
                      <w:rFonts w:hint="eastAsia"/>
                      <w:color w:val="auto"/>
                      <w:highlight w:val="none"/>
                    </w:rPr>
                    <w:t>灭草松</w:t>
                  </w:r>
                  <w:r>
                    <w:rPr>
                      <w:rFonts w:hint="eastAsia"/>
                      <w:color w:val="auto"/>
                      <w:highlight w:val="none"/>
                      <w:lang w:eastAsia="zh-CN"/>
                    </w:rPr>
                    <w:t>、</w:t>
                  </w:r>
                  <w:r>
                    <w:rPr>
                      <w:rFonts w:hint="eastAsia"/>
                      <w:color w:val="auto"/>
                      <w:highlight w:val="none"/>
                    </w:rPr>
                    <w:t>百菌清</w:t>
                  </w:r>
                  <w:r>
                    <w:rPr>
                      <w:rFonts w:hint="eastAsia"/>
                      <w:color w:val="auto"/>
                      <w:highlight w:val="none"/>
                      <w:lang w:eastAsia="zh-CN"/>
                    </w:rPr>
                    <w:t>、</w:t>
                  </w:r>
                  <w:r>
                    <w:rPr>
                      <w:rFonts w:hint="eastAsia"/>
                      <w:color w:val="auto"/>
                      <w:highlight w:val="none"/>
                    </w:rPr>
                    <w:t>呋喃丹</w:t>
                  </w:r>
                  <w:r>
                    <w:rPr>
                      <w:rFonts w:hint="eastAsia"/>
                      <w:color w:val="auto"/>
                      <w:highlight w:val="none"/>
                      <w:lang w:eastAsia="zh-CN"/>
                    </w:rPr>
                    <w:t>、</w:t>
                  </w:r>
                  <w:r>
                    <w:rPr>
                      <w:rFonts w:hint="eastAsia"/>
                      <w:color w:val="auto"/>
                      <w:highlight w:val="none"/>
                    </w:rPr>
                    <w:t>毒死蜱</w:t>
                  </w:r>
                  <w:r>
                    <w:rPr>
                      <w:rFonts w:hint="eastAsia"/>
                      <w:color w:val="auto"/>
                      <w:highlight w:val="none"/>
                      <w:lang w:eastAsia="zh-CN"/>
                    </w:rPr>
                    <w:t>、</w:t>
                  </w:r>
                  <w:r>
                    <w:rPr>
                      <w:rFonts w:hint="eastAsia"/>
                      <w:color w:val="auto"/>
                      <w:highlight w:val="none"/>
                    </w:rPr>
                    <w:t>草甘膦</w:t>
                  </w:r>
                  <w:r>
                    <w:rPr>
                      <w:rFonts w:hint="eastAsia"/>
                      <w:color w:val="auto"/>
                      <w:highlight w:val="none"/>
                      <w:lang w:eastAsia="zh-CN"/>
                    </w:rPr>
                    <w:t>、</w:t>
                  </w:r>
                  <w:r>
                    <w:rPr>
                      <w:rFonts w:hint="eastAsia"/>
                      <w:b/>
                      <w:bCs/>
                      <w:color w:val="auto"/>
                      <w:highlight w:val="none"/>
                    </w:rPr>
                    <w:t>敌敌畏</w:t>
                  </w:r>
                  <w:r>
                    <w:rPr>
                      <w:rFonts w:hint="eastAsia"/>
                      <w:color w:val="auto"/>
                      <w:highlight w:val="none"/>
                      <w:lang w:eastAsia="zh-CN"/>
                    </w:rPr>
                    <w:t>、</w:t>
                  </w:r>
                  <w:r>
                    <w:rPr>
                      <w:rFonts w:hint="eastAsia"/>
                      <w:color w:val="auto"/>
                      <w:highlight w:val="none"/>
                    </w:rPr>
                    <w:t>莠去津</w:t>
                  </w:r>
                  <w:r>
                    <w:rPr>
                      <w:rFonts w:hint="eastAsia"/>
                      <w:color w:val="auto"/>
                      <w:highlight w:val="none"/>
                      <w:lang w:eastAsia="zh-CN"/>
                    </w:rPr>
                    <w:t>、</w:t>
                  </w:r>
                  <w:r>
                    <w:rPr>
                      <w:rFonts w:hint="eastAsia"/>
                      <w:b/>
                      <w:bCs/>
                      <w:color w:val="auto"/>
                      <w:highlight w:val="none"/>
                    </w:rPr>
                    <w:t>溴氰菊酯</w:t>
                  </w:r>
                  <w:r>
                    <w:rPr>
                      <w:rFonts w:hint="eastAsia"/>
                      <w:b/>
                      <w:bCs/>
                      <w:color w:val="auto"/>
                      <w:highlight w:val="none"/>
                      <w:lang w:eastAsia="zh-CN"/>
                    </w:rPr>
                    <w:t>、</w:t>
                  </w:r>
                  <w:r>
                    <w:rPr>
                      <w:rFonts w:hint="eastAsia"/>
                      <w:b/>
                      <w:bCs/>
                      <w:color w:val="auto"/>
                      <w:highlight w:val="none"/>
                    </w:rPr>
                    <w:t>2,4-滴</w:t>
                  </w:r>
                  <w:r>
                    <w:rPr>
                      <w:rFonts w:hint="eastAsia"/>
                      <w:b/>
                      <w:bCs/>
                      <w:color w:val="auto"/>
                      <w:highlight w:val="none"/>
                      <w:lang w:eastAsia="zh-CN"/>
                    </w:rPr>
                    <w:t>、</w:t>
                  </w:r>
                  <w:r>
                    <w:rPr>
                      <w:rFonts w:hint="eastAsia"/>
                      <w:color w:val="auto"/>
                      <w:highlight w:val="none"/>
                    </w:rPr>
                    <w:t>乙草胺</w:t>
                  </w:r>
                  <w:r>
                    <w:rPr>
                      <w:rFonts w:hint="eastAsia"/>
                      <w:color w:val="auto"/>
                      <w:highlight w:val="none"/>
                      <w:lang w:eastAsia="zh-CN"/>
                    </w:rPr>
                    <w:t>、</w:t>
                  </w:r>
                  <w:r>
                    <w:rPr>
                      <w:rFonts w:hint="eastAsia"/>
                      <w:b/>
                      <w:bCs/>
                      <w:color w:val="auto"/>
                      <w:highlight w:val="none"/>
                    </w:rPr>
                    <w:t>五氯酚</w:t>
                  </w:r>
                  <w:r>
                    <w:rPr>
                      <w:rFonts w:hint="eastAsia"/>
                      <w:b/>
                      <w:bCs/>
                      <w:color w:val="auto"/>
                      <w:highlight w:val="none"/>
                      <w:lang w:eastAsia="zh-CN"/>
                    </w:rPr>
                    <w:t>、</w:t>
                  </w:r>
                  <w:r>
                    <w:rPr>
                      <w:rFonts w:hint="eastAsia"/>
                      <w:b/>
                      <w:bCs/>
                      <w:color w:val="auto"/>
                      <w:highlight w:val="none"/>
                    </w:rPr>
                    <w:t>2,4,6-三氯酚</w:t>
                  </w:r>
                  <w:r>
                    <w:rPr>
                      <w:rFonts w:hint="eastAsia"/>
                      <w:color w:val="auto"/>
                      <w:highlight w:val="none"/>
                      <w:lang w:eastAsia="zh-CN"/>
                    </w:rPr>
                    <w:t>、</w:t>
                  </w:r>
                  <w:r>
                    <w:rPr>
                      <w:rFonts w:hint="eastAsia"/>
                      <w:b/>
                      <w:bCs/>
                      <w:color w:val="auto"/>
                      <w:highlight w:val="none"/>
                    </w:rPr>
                    <w:t>苯并(a)芘</w:t>
                  </w:r>
                  <w:r>
                    <w:rPr>
                      <w:rFonts w:hint="eastAsia"/>
                      <w:b/>
                      <w:bCs/>
                      <w:color w:val="auto"/>
                      <w:highlight w:val="none"/>
                      <w:lang w:eastAsia="zh-CN"/>
                    </w:rPr>
                    <w:t>、</w:t>
                  </w:r>
                  <w:r>
                    <w:rPr>
                      <w:rFonts w:hint="eastAsia"/>
                      <w:color w:val="auto"/>
                      <w:highlight w:val="none"/>
                    </w:rPr>
                    <w:t>邻苯二甲酸二(2-乙基己基）酯</w:t>
                  </w:r>
                  <w:r>
                    <w:rPr>
                      <w:rFonts w:hint="eastAsia"/>
                      <w:color w:val="auto"/>
                      <w:highlight w:val="none"/>
                      <w:lang w:eastAsia="zh-CN"/>
                    </w:rPr>
                    <w:t>、</w:t>
                  </w:r>
                  <w:r>
                    <w:rPr>
                      <w:rFonts w:hint="eastAsia"/>
                      <w:b/>
                      <w:bCs/>
                      <w:color w:val="auto"/>
                      <w:highlight w:val="none"/>
                    </w:rPr>
                    <w:t>丙烯酰胺</w:t>
                  </w:r>
                  <w:r>
                    <w:rPr>
                      <w:rFonts w:hint="eastAsia"/>
                      <w:color w:val="auto"/>
                      <w:highlight w:val="none"/>
                      <w:lang w:eastAsia="zh-CN"/>
                    </w:rPr>
                    <w:t>、</w:t>
                  </w:r>
                  <w:r>
                    <w:rPr>
                      <w:rFonts w:hint="eastAsia"/>
                      <w:b/>
                      <w:bCs/>
                      <w:color w:val="auto"/>
                      <w:highlight w:val="none"/>
                    </w:rPr>
                    <w:t>环氧氯丙烷</w:t>
                  </w:r>
                  <w:r>
                    <w:rPr>
                      <w:rFonts w:hint="eastAsia"/>
                      <w:b/>
                      <w:bCs/>
                      <w:color w:val="auto"/>
                      <w:highlight w:val="none"/>
                      <w:lang w:eastAsia="zh-CN"/>
                    </w:rPr>
                    <w:t>、</w:t>
                  </w:r>
                  <w:r>
                    <w:rPr>
                      <w:rFonts w:hint="eastAsia"/>
                      <w:b/>
                      <w:bCs/>
                      <w:color w:val="auto"/>
                      <w:highlight w:val="none"/>
                    </w:rPr>
                    <w:t>微囊藻毒素-LR（藻类暴发情况发生时）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442"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rPr>
                  </w:pPr>
                </w:p>
              </w:tc>
              <w:tc>
                <w:tcPr>
                  <w:tcW w:w="67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p>
              </w:tc>
              <w:tc>
                <w:tcPr>
                  <w:tcW w:w="1165"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《城市供水水质标准》（CJ/T 206-2005）</w:t>
                  </w:r>
                </w:p>
              </w:tc>
              <w:tc>
                <w:tcPr>
                  <w:tcW w:w="1062"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常规指标</w:t>
                  </w:r>
                </w:p>
              </w:tc>
              <w:tc>
                <w:tcPr>
                  <w:tcW w:w="4916" w:type="dxa"/>
                  <w:vAlign w:val="center"/>
                </w:tcPr>
                <w:p>
                  <w:pPr>
                    <w:keepNext w:val="0"/>
                    <w:keepLines w:val="0"/>
                    <w:suppressLineNumbers w:val="0"/>
                    <w:spacing w:before="0" w:beforeAutospacing="0" w:after="0" w:afterAutospacing="0"/>
                    <w:ind w:left="0" w:right="0"/>
                    <w:jc w:val="both"/>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砷</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镉</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铬（六价）</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氰化物</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氟化物</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铅</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汞</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硝酸盐(以N计)</w:t>
                  </w:r>
                  <w:r>
                    <w:rPr>
                      <w:rFonts w:hint="eastAsia" w:cs="Times New Roman"/>
                      <w:b w:val="0"/>
                      <w:bCs w:val="0"/>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硒</w:t>
                  </w:r>
                  <w:r>
                    <w:rPr>
                      <w:rFonts w:hint="eastAsia"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四氧化碳</w:t>
                  </w:r>
                  <w:r>
                    <w:rPr>
                      <w:rFonts w:hint="eastAsia" w:cs="Times New Roman"/>
                      <w:b w:val="0"/>
                      <w:bCs w:val="0"/>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三氯甲烷</w:t>
                  </w:r>
                  <w:r>
                    <w:rPr>
                      <w:rFonts w:hint="eastAsia" w:cs="Times New Roman"/>
                      <w:b w:val="0"/>
                      <w:bCs w:val="0"/>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敌敌畏</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包括敌百虫</w:t>
                  </w:r>
                  <w:r>
                    <w:rPr>
                      <w:rFonts w:hint="eastAsia" w:cs="Times New Roman"/>
                      <w:b/>
                      <w:bCs/>
                      <w:color w:val="auto"/>
                      <w:sz w:val="21"/>
                      <w:szCs w:val="21"/>
                      <w:highlight w:val="none"/>
                      <w:lang w:val="en-US" w:eastAsia="zh-CN"/>
                    </w:rPr>
                    <w:t>）</w:t>
                  </w:r>
                  <w:r>
                    <w:rPr>
                      <w:rFonts w:hint="eastAsia"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林丹</w:t>
                  </w:r>
                  <w:r>
                    <w:rPr>
                      <w:rFonts w:hint="eastAsia"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滴滴涕</w:t>
                  </w:r>
                  <w:r>
                    <w:rPr>
                      <w:rFonts w:hint="eastAsia" w:cs="Times New Roman"/>
                      <w:b w:val="0"/>
                      <w:bCs w:val="0"/>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丙烯酰胺</w:t>
                  </w:r>
                  <w:r>
                    <w:rPr>
                      <w:rFonts w:hint="default" w:ascii="Times New Roman" w:hAnsi="Times New Roman" w:cs="Times New Roman"/>
                      <w:b w:val="0"/>
                      <w:bCs w:val="0"/>
                      <w:color w:val="auto"/>
                      <w:sz w:val="21"/>
                      <w:szCs w:val="21"/>
                      <w:highlight w:val="none"/>
                      <w:lang w:val="en-US" w:eastAsia="zh-CN"/>
                    </w:rPr>
                    <w:t>(使用聚丙烯酰胺时测定)</w:t>
                  </w:r>
                  <w:r>
                    <w:rPr>
                      <w:rFonts w:hint="eastAsia" w:cs="Times New Roman"/>
                      <w:b w:val="0"/>
                      <w:bCs w:val="0"/>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亚氯酸盐</w:t>
                  </w:r>
                  <w:r>
                    <w:rPr>
                      <w:rFonts w:hint="default" w:ascii="Times New Roman" w:hAnsi="Times New Roman" w:cs="Times New Roman"/>
                      <w:b w:val="0"/>
                      <w:bCs w:val="0"/>
                      <w:color w:val="auto"/>
                      <w:sz w:val="21"/>
                      <w:szCs w:val="21"/>
                      <w:highlight w:val="none"/>
                      <w:lang w:val="en-US" w:eastAsia="zh-CN"/>
                    </w:rPr>
                    <w:t>(使用C</w:t>
                  </w:r>
                  <w:r>
                    <w:rPr>
                      <w:rFonts w:hint="eastAsia" w:cs="Times New Roman"/>
                      <w:b w:val="0"/>
                      <w:bCs w:val="0"/>
                      <w:color w:val="auto"/>
                      <w:sz w:val="21"/>
                      <w:szCs w:val="21"/>
                      <w:highlight w:val="none"/>
                      <w:lang w:val="en-US" w:eastAsia="zh-CN"/>
                    </w:rPr>
                    <w:t>l</w:t>
                  </w:r>
                  <w:r>
                    <w:rPr>
                      <w:rFonts w:hint="default" w:ascii="Times New Roman" w:hAnsi="Times New Roman" w:cs="Times New Roman"/>
                      <w:b w:val="0"/>
                      <w:bCs w:val="0"/>
                      <w:color w:val="auto"/>
                      <w:sz w:val="21"/>
                      <w:szCs w:val="21"/>
                      <w:highlight w:val="none"/>
                      <w:lang w:val="en-US" w:eastAsia="zh-CN"/>
                    </w:rPr>
                    <w:t>O₂时测定)</w:t>
                  </w:r>
                  <w:r>
                    <w:rPr>
                      <w:rFonts w:hint="eastAsia" w:cs="Times New Roman"/>
                      <w:b w:val="0"/>
                      <w:bCs w:val="0"/>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溴酸盐</w:t>
                  </w:r>
                  <w:r>
                    <w:rPr>
                      <w:rFonts w:hint="default" w:ascii="Times New Roman" w:hAnsi="Times New Roman" w:cs="Times New Roman"/>
                      <w:b w:val="0"/>
                      <w:bCs w:val="0"/>
                      <w:color w:val="auto"/>
                      <w:sz w:val="21"/>
                      <w:szCs w:val="21"/>
                      <w:highlight w:val="none"/>
                      <w:lang w:val="en-US" w:eastAsia="zh-CN"/>
                    </w:rPr>
                    <w:t>(使用O₃时测定)</w:t>
                  </w:r>
                  <w:r>
                    <w:rPr>
                      <w:rFonts w:hint="eastAsia"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甲醛(使用O₃时测定)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442"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highlight w:val="none"/>
                    </w:rPr>
                  </w:pPr>
                </w:p>
              </w:tc>
              <w:tc>
                <w:tcPr>
                  <w:tcW w:w="67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highlight w:val="none"/>
                    </w:rPr>
                  </w:pPr>
                </w:p>
              </w:tc>
              <w:tc>
                <w:tcPr>
                  <w:tcW w:w="116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highlight w:val="none"/>
                      <w:lang w:val="en-US" w:eastAsia="zh-CN"/>
                    </w:rPr>
                  </w:pPr>
                </w:p>
              </w:tc>
              <w:tc>
                <w:tcPr>
                  <w:tcW w:w="1062"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非常规</w:t>
                  </w:r>
                  <w:r>
                    <w:rPr>
                      <w:rFonts w:hint="default" w:ascii="Times New Roman" w:hAnsi="Times New Roman" w:cs="Times New Roman"/>
                      <w:color w:val="auto"/>
                      <w:highlight w:val="none"/>
                      <w:lang w:val="en-US" w:eastAsia="zh-CN"/>
                    </w:rPr>
                    <w:t>指标</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赤理学</w:t>
                  </w:r>
                  <w:r>
                    <w:rPr>
                      <w:rFonts w:hint="eastAsia" w:ascii="Times New Roman" w:hAnsi="Times New Roman" w:cs="Times New Roman"/>
                      <w:color w:val="auto"/>
                      <w:highlight w:val="none"/>
                      <w:lang w:val="en-US" w:eastAsia="zh-CN"/>
                    </w:rPr>
                    <w:t>）</w:t>
                  </w:r>
                </w:p>
              </w:tc>
              <w:tc>
                <w:tcPr>
                  <w:tcW w:w="491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color w:val="auto"/>
                      <w:highlight w:val="none"/>
                      <w:lang w:eastAsia="zh-CN"/>
                    </w:rPr>
                  </w:pPr>
                  <w:r>
                    <w:rPr>
                      <w:rFonts w:hint="eastAsia"/>
                      <w:b/>
                      <w:bCs/>
                      <w:color w:val="auto"/>
                      <w:highlight w:val="none"/>
                    </w:rPr>
                    <w:t>锑</w:t>
                  </w:r>
                  <w:r>
                    <w:rPr>
                      <w:rFonts w:hint="eastAsia"/>
                      <w:b/>
                      <w:bCs/>
                      <w:color w:val="auto"/>
                      <w:highlight w:val="none"/>
                      <w:lang w:eastAsia="zh-CN"/>
                    </w:rPr>
                    <w:t>、</w:t>
                  </w:r>
                  <w:r>
                    <w:rPr>
                      <w:rFonts w:hint="eastAsia"/>
                      <w:b/>
                      <w:bCs/>
                      <w:color w:val="auto"/>
                      <w:highlight w:val="none"/>
                    </w:rPr>
                    <w:t>钡</w:t>
                  </w:r>
                  <w:r>
                    <w:rPr>
                      <w:rFonts w:hint="eastAsia"/>
                      <w:b/>
                      <w:bCs/>
                      <w:color w:val="auto"/>
                      <w:highlight w:val="none"/>
                      <w:lang w:eastAsia="zh-CN"/>
                    </w:rPr>
                    <w:t>、</w:t>
                  </w:r>
                  <w:r>
                    <w:rPr>
                      <w:rFonts w:hint="eastAsia"/>
                      <w:b/>
                      <w:bCs/>
                      <w:color w:val="auto"/>
                      <w:highlight w:val="none"/>
                    </w:rPr>
                    <w:t>铍</w:t>
                  </w:r>
                  <w:r>
                    <w:rPr>
                      <w:rFonts w:hint="eastAsia"/>
                      <w:b/>
                      <w:bCs/>
                      <w:color w:val="auto"/>
                      <w:highlight w:val="none"/>
                      <w:lang w:eastAsia="zh-CN"/>
                    </w:rPr>
                    <w:t>、</w:t>
                  </w:r>
                  <w:r>
                    <w:rPr>
                      <w:rFonts w:hint="eastAsia"/>
                      <w:b/>
                      <w:bCs/>
                      <w:color w:val="auto"/>
                      <w:highlight w:val="none"/>
                    </w:rPr>
                    <w:t>硼</w:t>
                  </w:r>
                  <w:r>
                    <w:rPr>
                      <w:rFonts w:hint="eastAsia"/>
                      <w:b/>
                      <w:bCs/>
                      <w:color w:val="auto"/>
                      <w:highlight w:val="none"/>
                      <w:lang w:eastAsia="zh-CN"/>
                    </w:rPr>
                    <w:t>、</w:t>
                  </w:r>
                  <w:r>
                    <w:rPr>
                      <w:rFonts w:hint="eastAsia"/>
                      <w:b/>
                      <w:bCs/>
                      <w:color w:val="auto"/>
                      <w:highlight w:val="none"/>
                    </w:rPr>
                    <w:t>镍</w:t>
                  </w:r>
                  <w:r>
                    <w:rPr>
                      <w:rFonts w:hint="eastAsia"/>
                      <w:b/>
                      <w:bCs/>
                      <w:color w:val="auto"/>
                      <w:highlight w:val="none"/>
                      <w:lang w:eastAsia="zh-CN"/>
                    </w:rPr>
                    <w:t>、</w:t>
                  </w:r>
                  <w:r>
                    <w:rPr>
                      <w:rFonts w:hint="eastAsia"/>
                      <w:b/>
                      <w:bCs/>
                      <w:color w:val="auto"/>
                      <w:highlight w:val="none"/>
                    </w:rPr>
                    <w:t>铝</w:t>
                  </w:r>
                  <w:r>
                    <w:rPr>
                      <w:rFonts w:hint="eastAsia"/>
                      <w:b/>
                      <w:bCs/>
                      <w:color w:val="auto"/>
                      <w:highlight w:val="none"/>
                      <w:lang w:eastAsia="zh-CN"/>
                    </w:rPr>
                    <w:t>、</w:t>
                  </w:r>
                  <w:r>
                    <w:rPr>
                      <w:rFonts w:hint="eastAsia"/>
                      <w:b/>
                      <w:bCs/>
                      <w:color w:val="auto"/>
                      <w:highlight w:val="none"/>
                    </w:rPr>
                    <w:t>铊</w:t>
                  </w:r>
                  <w:r>
                    <w:rPr>
                      <w:rFonts w:hint="eastAsia"/>
                      <w:b/>
                      <w:bCs/>
                      <w:color w:val="auto"/>
                      <w:highlight w:val="none"/>
                      <w:lang w:eastAsia="zh-CN"/>
                    </w:rPr>
                    <w:t>、</w:t>
                  </w:r>
                  <w:r>
                    <w:rPr>
                      <w:rFonts w:hint="eastAsia"/>
                      <w:b/>
                      <w:bCs/>
                      <w:color w:val="auto"/>
                      <w:highlight w:val="none"/>
                    </w:rPr>
                    <w:t>苯</w:t>
                  </w:r>
                  <w:r>
                    <w:rPr>
                      <w:rFonts w:hint="eastAsia"/>
                      <w:b/>
                      <w:bCs/>
                      <w:color w:val="auto"/>
                      <w:highlight w:val="none"/>
                      <w:lang w:eastAsia="zh-CN"/>
                    </w:rPr>
                    <w:t>、</w:t>
                  </w:r>
                  <w:r>
                    <w:rPr>
                      <w:rFonts w:hint="eastAsia"/>
                      <w:b/>
                      <w:bCs/>
                      <w:color w:val="auto"/>
                      <w:highlight w:val="none"/>
                    </w:rPr>
                    <w:t>甲苯</w:t>
                  </w:r>
                  <w:r>
                    <w:rPr>
                      <w:rFonts w:hint="eastAsia"/>
                      <w:b/>
                      <w:bCs/>
                      <w:color w:val="auto"/>
                      <w:highlight w:val="none"/>
                      <w:lang w:eastAsia="zh-CN"/>
                    </w:rPr>
                    <w:t>、</w:t>
                  </w:r>
                  <w:r>
                    <w:rPr>
                      <w:rFonts w:hint="eastAsia"/>
                      <w:b/>
                      <w:bCs/>
                      <w:color w:val="auto"/>
                      <w:highlight w:val="none"/>
                    </w:rPr>
                    <w:t>乙苯</w:t>
                  </w:r>
                  <w:r>
                    <w:rPr>
                      <w:rFonts w:hint="eastAsia"/>
                      <w:b/>
                      <w:bCs/>
                      <w:color w:val="auto"/>
                      <w:highlight w:val="none"/>
                      <w:lang w:eastAsia="zh-CN"/>
                    </w:rPr>
                    <w:t>、</w:t>
                  </w:r>
                  <w:r>
                    <w:rPr>
                      <w:rFonts w:hint="eastAsia"/>
                      <w:b/>
                      <w:bCs/>
                      <w:color w:val="auto"/>
                      <w:highlight w:val="none"/>
                    </w:rPr>
                    <w:t>二甲苯</w:t>
                  </w:r>
                  <w:r>
                    <w:rPr>
                      <w:rFonts w:hint="eastAsia"/>
                      <w:b/>
                      <w:bCs/>
                      <w:color w:val="auto"/>
                      <w:highlight w:val="none"/>
                      <w:lang w:eastAsia="zh-CN"/>
                    </w:rPr>
                    <w:t>、</w:t>
                  </w:r>
                  <w:r>
                    <w:rPr>
                      <w:rFonts w:hint="eastAsia"/>
                      <w:b/>
                      <w:bCs/>
                      <w:color w:val="auto"/>
                      <w:highlight w:val="none"/>
                    </w:rPr>
                    <w:t>苯乙烯</w:t>
                  </w:r>
                  <w:r>
                    <w:rPr>
                      <w:rFonts w:hint="eastAsia"/>
                      <w:b/>
                      <w:bCs/>
                      <w:color w:val="auto"/>
                      <w:highlight w:val="none"/>
                      <w:lang w:eastAsia="zh-CN"/>
                    </w:rPr>
                    <w:t>、</w:t>
                  </w:r>
                  <w:r>
                    <w:rPr>
                      <w:rFonts w:hint="eastAsia"/>
                      <w:b/>
                      <w:bCs/>
                      <w:color w:val="auto"/>
                      <w:highlight w:val="none"/>
                    </w:rPr>
                    <w:t>1、2-二氯乙烷</w:t>
                  </w:r>
                  <w:r>
                    <w:rPr>
                      <w:rFonts w:hint="eastAsia"/>
                      <w:color w:val="auto"/>
                      <w:highlight w:val="none"/>
                      <w:lang w:eastAsia="zh-CN"/>
                    </w:rPr>
                    <w:t>、</w:t>
                  </w:r>
                  <w:r>
                    <w:rPr>
                      <w:rFonts w:hint="eastAsia"/>
                      <w:b/>
                      <w:bCs/>
                      <w:color w:val="auto"/>
                      <w:highlight w:val="none"/>
                    </w:rPr>
                    <w:t>三氯乙烯</w:t>
                  </w:r>
                  <w:r>
                    <w:rPr>
                      <w:rFonts w:hint="eastAsia"/>
                      <w:b/>
                      <w:bCs/>
                      <w:color w:val="auto"/>
                      <w:highlight w:val="none"/>
                      <w:lang w:eastAsia="zh-CN"/>
                    </w:rPr>
                    <w:t>、</w:t>
                  </w:r>
                  <w:r>
                    <w:rPr>
                      <w:rFonts w:hint="eastAsia"/>
                      <w:b/>
                      <w:bCs/>
                      <w:color w:val="auto"/>
                      <w:highlight w:val="none"/>
                    </w:rPr>
                    <w:t>四氯乙烯</w:t>
                  </w:r>
                  <w:r>
                    <w:rPr>
                      <w:rFonts w:hint="eastAsia"/>
                      <w:b/>
                      <w:bCs/>
                      <w:color w:val="auto"/>
                      <w:highlight w:val="none"/>
                      <w:lang w:eastAsia="zh-CN"/>
                    </w:rPr>
                    <w:t>、</w:t>
                  </w:r>
                  <w:r>
                    <w:rPr>
                      <w:rFonts w:hint="eastAsia"/>
                      <w:b/>
                      <w:bCs/>
                      <w:color w:val="auto"/>
                      <w:highlight w:val="none"/>
                    </w:rPr>
                    <w:t>1,2-二氯乙烯</w:t>
                  </w:r>
                  <w:r>
                    <w:rPr>
                      <w:rFonts w:hint="eastAsia"/>
                      <w:b/>
                      <w:bCs/>
                      <w:color w:val="auto"/>
                      <w:highlight w:val="none"/>
                      <w:lang w:eastAsia="zh-CN"/>
                    </w:rPr>
                    <w:t>、</w:t>
                  </w:r>
                  <w:r>
                    <w:rPr>
                      <w:rFonts w:hint="eastAsia"/>
                      <w:b/>
                      <w:bCs/>
                      <w:color w:val="auto"/>
                      <w:highlight w:val="none"/>
                    </w:rPr>
                    <w:t>1.1-二氯乙烯</w:t>
                  </w:r>
                  <w:r>
                    <w:rPr>
                      <w:rFonts w:hint="eastAsia"/>
                      <w:color w:val="auto"/>
                      <w:highlight w:val="none"/>
                      <w:lang w:eastAsia="zh-CN"/>
                    </w:rPr>
                    <w:t>、</w:t>
                  </w:r>
                  <w:r>
                    <w:rPr>
                      <w:rFonts w:hint="eastAsia"/>
                      <w:color w:val="auto"/>
                      <w:highlight w:val="none"/>
                    </w:rPr>
                    <w:t>三卤甲烷(</w:t>
                  </w:r>
                  <w:r>
                    <w:rPr>
                      <w:rFonts w:hint="eastAsia"/>
                      <w:color w:val="auto"/>
                      <w:highlight w:val="none"/>
                      <w:lang w:eastAsia="zh-CN"/>
                    </w:rPr>
                    <w:t>总量</w:t>
                  </w:r>
                  <w:r>
                    <w:rPr>
                      <w:rFonts w:hint="eastAsia"/>
                      <w:color w:val="auto"/>
                      <w:highlight w:val="none"/>
                    </w:rPr>
                    <w:t>)</w:t>
                  </w:r>
                  <w:r>
                    <w:rPr>
                      <w:rFonts w:hint="eastAsia"/>
                      <w:color w:val="auto"/>
                      <w:highlight w:val="none"/>
                      <w:lang w:eastAsia="zh-CN"/>
                    </w:rPr>
                    <w:t>、</w:t>
                  </w:r>
                  <w:r>
                    <w:rPr>
                      <w:rFonts w:hint="eastAsia"/>
                      <w:color w:val="auto"/>
                      <w:highlight w:val="none"/>
                    </w:rPr>
                    <w:t>氯酚(总量)</w:t>
                  </w:r>
                  <w:r>
                    <w:rPr>
                      <w:rFonts w:hint="eastAsia"/>
                      <w:color w:val="auto"/>
                      <w:highlight w:val="none"/>
                      <w:lang w:eastAsia="zh-CN"/>
                    </w:rPr>
                    <w:t>、</w:t>
                  </w:r>
                  <w:r>
                    <w:rPr>
                      <w:rFonts w:hint="eastAsia"/>
                      <w:b/>
                      <w:bCs/>
                      <w:color w:val="auto"/>
                      <w:highlight w:val="none"/>
                    </w:rPr>
                    <w:t>2,4,6-三氯酚</w:t>
                  </w:r>
                  <w:r>
                    <w:rPr>
                      <w:rFonts w:hint="eastAsia"/>
                      <w:color w:val="auto"/>
                      <w:highlight w:val="none"/>
                      <w:lang w:eastAsia="zh-CN"/>
                    </w:rPr>
                    <w:t>、</w:t>
                  </w:r>
                  <w:r>
                    <w:rPr>
                      <w:rFonts w:hint="eastAsia"/>
                      <w:color w:val="auto"/>
                      <w:highlight w:val="none"/>
                    </w:rPr>
                    <w:t>TOC</w:t>
                  </w:r>
                  <w:r>
                    <w:rPr>
                      <w:rFonts w:hint="eastAsia"/>
                      <w:color w:val="auto"/>
                      <w:highlight w:val="none"/>
                      <w:lang w:eastAsia="zh-CN"/>
                    </w:rPr>
                    <w:t>、</w:t>
                  </w:r>
                  <w:r>
                    <w:rPr>
                      <w:rFonts w:hint="eastAsia"/>
                      <w:b/>
                      <w:bCs/>
                      <w:color w:val="auto"/>
                      <w:highlight w:val="none"/>
                    </w:rPr>
                    <w:t>五氯酚</w:t>
                  </w:r>
                  <w:r>
                    <w:rPr>
                      <w:rFonts w:hint="eastAsia"/>
                      <w:b/>
                      <w:bCs/>
                      <w:color w:val="auto"/>
                      <w:highlight w:val="none"/>
                      <w:lang w:eastAsia="zh-CN"/>
                    </w:rPr>
                    <w:t>、</w:t>
                  </w:r>
                  <w:r>
                    <w:rPr>
                      <w:rFonts w:hint="eastAsia"/>
                      <w:b/>
                      <w:bCs/>
                      <w:color w:val="auto"/>
                      <w:highlight w:val="none"/>
                    </w:rPr>
                    <w:t>乐果</w:t>
                  </w:r>
                  <w:r>
                    <w:rPr>
                      <w:rFonts w:hint="eastAsia"/>
                      <w:b/>
                      <w:bCs/>
                      <w:color w:val="auto"/>
                      <w:highlight w:val="none"/>
                      <w:lang w:eastAsia="zh-CN"/>
                    </w:rPr>
                    <w:t>、</w:t>
                  </w:r>
                  <w:r>
                    <w:rPr>
                      <w:rFonts w:hint="eastAsia"/>
                      <w:color w:val="auto"/>
                      <w:highlight w:val="none"/>
                    </w:rPr>
                    <w:t>甲基对硫磷</w:t>
                  </w:r>
                  <w:r>
                    <w:rPr>
                      <w:rFonts w:hint="eastAsia"/>
                      <w:color w:val="auto"/>
                      <w:highlight w:val="none"/>
                      <w:lang w:eastAsia="zh-CN"/>
                    </w:rPr>
                    <w:t>、</w:t>
                  </w:r>
                  <w:r>
                    <w:rPr>
                      <w:rFonts w:hint="eastAsia"/>
                      <w:color w:val="auto"/>
                      <w:highlight w:val="none"/>
                    </w:rPr>
                    <w:t>对硫磷</w:t>
                  </w:r>
                  <w:r>
                    <w:rPr>
                      <w:rFonts w:hint="eastAsia"/>
                      <w:color w:val="auto"/>
                      <w:highlight w:val="none"/>
                      <w:lang w:eastAsia="zh-CN"/>
                    </w:rPr>
                    <w:t>、</w:t>
                  </w:r>
                  <w:r>
                    <w:rPr>
                      <w:rFonts w:hint="eastAsia"/>
                      <w:color w:val="auto"/>
                      <w:highlight w:val="none"/>
                    </w:rPr>
                    <w:t>甲胺磷</w:t>
                  </w:r>
                  <w:r>
                    <w:rPr>
                      <w:rFonts w:hint="eastAsia"/>
                      <w:color w:val="auto"/>
                      <w:highlight w:val="none"/>
                      <w:lang w:eastAsia="zh-CN"/>
                    </w:rPr>
                    <w:t>、</w:t>
                  </w:r>
                  <w:r>
                    <w:rPr>
                      <w:rFonts w:hint="eastAsia"/>
                      <w:b/>
                      <w:bCs/>
                      <w:color w:val="auto"/>
                      <w:highlight w:val="none"/>
                    </w:rPr>
                    <w:t>2,4-滴</w:t>
                  </w:r>
                  <w:r>
                    <w:rPr>
                      <w:rFonts w:hint="eastAsia"/>
                      <w:b/>
                      <w:bCs/>
                      <w:color w:val="auto"/>
                      <w:highlight w:val="none"/>
                      <w:lang w:eastAsia="zh-CN"/>
                    </w:rPr>
                    <w:t>、溴氰菊酯、</w:t>
                  </w:r>
                  <w:r>
                    <w:rPr>
                      <w:rFonts w:hint="eastAsia"/>
                      <w:color w:val="auto"/>
                      <w:highlight w:val="none"/>
                      <w:lang w:eastAsia="zh-CN"/>
                    </w:rPr>
                    <w:t>二氧甲烷、1,1,1-三氯乙烷、1,1,2-三氯乙烷、</w:t>
                  </w:r>
                  <w:r>
                    <w:rPr>
                      <w:rFonts w:hint="eastAsia"/>
                      <w:b/>
                      <w:bCs/>
                      <w:color w:val="auto"/>
                      <w:highlight w:val="none"/>
                      <w:lang w:eastAsia="zh-CN"/>
                    </w:rPr>
                    <w:t>氯乙烯</w:t>
                  </w:r>
                  <w:r>
                    <w:rPr>
                      <w:rFonts w:hint="eastAsia"/>
                      <w:color w:val="auto"/>
                      <w:highlight w:val="none"/>
                      <w:lang w:eastAsia="zh-CN"/>
                    </w:rPr>
                    <w:t>、</w:t>
                  </w:r>
                  <w:r>
                    <w:rPr>
                      <w:rFonts w:hint="eastAsia"/>
                      <w:b/>
                      <w:bCs/>
                      <w:color w:val="auto"/>
                      <w:highlight w:val="none"/>
                      <w:lang w:eastAsia="zh-CN"/>
                    </w:rPr>
                    <w:t>一氯苯、1</w:t>
                  </w:r>
                  <w:r>
                    <w:rPr>
                      <w:rFonts w:hint="eastAsia"/>
                      <w:color w:val="auto"/>
                      <w:highlight w:val="none"/>
                      <w:lang w:eastAsia="zh-CN"/>
                    </w:rPr>
                    <w:t>,</w:t>
                  </w:r>
                  <w:r>
                    <w:rPr>
                      <w:rFonts w:hint="eastAsia"/>
                      <w:b/>
                      <w:bCs/>
                      <w:color w:val="auto"/>
                      <w:highlight w:val="none"/>
                      <w:lang w:eastAsia="zh-CN"/>
                    </w:rPr>
                    <w:t>2-二氯苯、1,4-二氯苯、三氯苯(总量)</w:t>
                  </w:r>
                  <w:r>
                    <w:rPr>
                      <w:rFonts w:hint="eastAsia"/>
                      <w:color w:val="auto"/>
                      <w:highlight w:val="none"/>
                      <w:lang w:eastAsia="zh-CN"/>
                    </w:rPr>
                    <w:t>、多环芳烃(总量)、</w:t>
                  </w:r>
                  <w:r>
                    <w:rPr>
                      <w:rFonts w:hint="eastAsia"/>
                      <w:b/>
                      <w:bCs/>
                      <w:color w:val="auto"/>
                      <w:highlight w:val="none"/>
                      <w:lang w:eastAsia="zh-CN"/>
                    </w:rPr>
                    <w:t>苯</w:t>
                  </w:r>
                  <w:r>
                    <w:rPr>
                      <w:rFonts w:hint="eastAsia"/>
                      <w:b/>
                      <w:bCs/>
                      <w:color w:val="auto"/>
                      <w:highlight w:val="none"/>
                      <w:lang w:val="en-US" w:eastAsia="zh-CN"/>
                    </w:rPr>
                    <w:t>并</w:t>
                  </w:r>
                  <w:r>
                    <w:rPr>
                      <w:rFonts w:hint="eastAsia"/>
                      <w:b/>
                      <w:bCs/>
                      <w:color w:val="auto"/>
                      <w:highlight w:val="none"/>
                      <w:lang w:eastAsia="zh-CN"/>
                    </w:rPr>
                    <w:t>[a]芘</w:t>
                  </w:r>
                  <w:r>
                    <w:rPr>
                      <w:rFonts w:hint="eastAsia"/>
                      <w:color w:val="auto"/>
                      <w:highlight w:val="none"/>
                      <w:lang w:eastAsia="zh-CN"/>
                    </w:rPr>
                    <w:t>、二(2-乙基已基)邻苯二甲酸酯、</w:t>
                  </w:r>
                  <w:r>
                    <w:rPr>
                      <w:rFonts w:hint="eastAsia"/>
                      <w:b/>
                      <w:bCs/>
                      <w:color w:val="auto"/>
                      <w:highlight w:val="none"/>
                      <w:lang w:eastAsia="zh-CN"/>
                    </w:rPr>
                    <w:t>环氧氯丙烷、微囊藻毒素-LR、</w:t>
                  </w:r>
                  <w:r>
                    <w:rPr>
                      <w:rFonts w:hint="eastAsia"/>
                      <w:color w:val="auto"/>
                      <w:highlight w:val="none"/>
                      <w:lang w:eastAsia="zh-CN"/>
                    </w:rPr>
                    <w:t>卤乙酸(总量)、芳去津(阿特拉津)、大氯苯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39" w:hRule="atLeast"/>
              </w:trPr>
              <w:tc>
                <w:tcPr>
                  <w:tcW w:w="442"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3</w:t>
                  </w:r>
                </w:p>
              </w:tc>
              <w:tc>
                <w:tcPr>
                  <w:tcW w:w="67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感官性状和一般化学指标</w:t>
                  </w:r>
                </w:p>
              </w:tc>
              <w:tc>
                <w:tcPr>
                  <w:tcW w:w="1165"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《生活饮用水卫生标准》（GB 5749-2022）</w:t>
                  </w:r>
                </w:p>
              </w:tc>
              <w:tc>
                <w:tcPr>
                  <w:tcW w:w="1062"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常规指标</w:t>
                  </w:r>
                </w:p>
              </w:tc>
              <w:tc>
                <w:tcPr>
                  <w:tcW w:w="4916" w:type="dxa"/>
                  <w:vAlign w:val="center"/>
                </w:tcPr>
                <w:p>
                  <w:pPr>
                    <w:keepNext w:val="0"/>
                    <w:keepLines w:val="0"/>
                    <w:suppressLineNumbers w:val="0"/>
                    <w:spacing w:before="0" w:beforeAutospacing="0" w:after="0" w:afterAutospacing="0"/>
                    <w:ind w:left="0" w:right="0"/>
                    <w:jc w:val="both"/>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色度（铂钴色度单位）</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浑浊度（散射浑浊度单位）</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臭和味</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肉眼可见物</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pH</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铝</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铁</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锰</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铜</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锌</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氯化物</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硫酸盐</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溶解性总固体</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总硬度（以CaCO</w:t>
                  </w:r>
                  <w:r>
                    <w:rPr>
                      <w:rFonts w:hint="default" w:ascii="Times New Roman" w:hAnsi="Times New Roman" w:cs="Times New Roman"/>
                      <w:b/>
                      <w:bCs/>
                      <w:color w:val="auto"/>
                      <w:sz w:val="21"/>
                      <w:szCs w:val="21"/>
                      <w:highlight w:val="none"/>
                      <w:vertAlign w:val="subscript"/>
                      <w:lang w:val="en-US" w:eastAsia="zh-CN"/>
                    </w:rPr>
                    <w:t>3</w:t>
                  </w:r>
                  <w:r>
                    <w:rPr>
                      <w:rFonts w:hint="default" w:ascii="Times New Roman" w:hAnsi="Times New Roman" w:cs="Times New Roman"/>
                      <w:b/>
                      <w:bCs/>
                      <w:color w:val="auto"/>
                      <w:sz w:val="21"/>
                      <w:szCs w:val="21"/>
                      <w:highlight w:val="none"/>
                      <w:lang w:val="en-US" w:eastAsia="zh-CN"/>
                    </w:rPr>
                    <w:t>计）</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高锰酸盐指数（以O</w:t>
                  </w:r>
                  <w:r>
                    <w:rPr>
                      <w:rFonts w:hint="default" w:ascii="Times New Roman" w:hAnsi="Times New Roman" w:cs="Times New Roman"/>
                      <w:b/>
                      <w:bCs/>
                      <w:color w:val="auto"/>
                      <w:sz w:val="21"/>
                      <w:szCs w:val="21"/>
                      <w:highlight w:val="none"/>
                      <w:vertAlign w:val="subscript"/>
                      <w:lang w:val="en-US" w:eastAsia="zh-CN"/>
                    </w:rPr>
                    <w:t>2</w:t>
                  </w:r>
                  <w:r>
                    <w:rPr>
                      <w:rFonts w:hint="default" w:ascii="Times New Roman" w:hAnsi="Times New Roman" w:cs="Times New Roman"/>
                      <w:b/>
                      <w:bCs/>
                      <w:color w:val="auto"/>
                      <w:sz w:val="21"/>
                      <w:szCs w:val="21"/>
                      <w:highlight w:val="none"/>
                      <w:lang w:val="en-US" w:eastAsia="zh-CN"/>
                    </w:rPr>
                    <w:t>计）</w:t>
                  </w:r>
                  <w:r>
                    <w:rPr>
                      <w:rFonts w:hint="eastAsia"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氨（以N计）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39" w:hRule="atLeast"/>
              </w:trPr>
              <w:tc>
                <w:tcPr>
                  <w:tcW w:w="442"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highlight w:val="none"/>
                    </w:rPr>
                  </w:pPr>
                </w:p>
              </w:tc>
              <w:tc>
                <w:tcPr>
                  <w:tcW w:w="67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highlight w:val="none"/>
                    </w:rPr>
                  </w:pPr>
                </w:p>
              </w:tc>
              <w:tc>
                <w:tcPr>
                  <w:tcW w:w="116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highlight w:val="none"/>
                    </w:rPr>
                  </w:pPr>
                </w:p>
              </w:tc>
              <w:tc>
                <w:tcPr>
                  <w:tcW w:w="1062"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highlight w:val="none"/>
                    </w:rPr>
                  </w:pPr>
                  <w:r>
                    <w:rPr>
                      <w:rFonts w:hint="eastAsia" w:cs="Times New Roman"/>
                      <w:b w:val="0"/>
                      <w:bCs w:val="0"/>
                      <w:color w:val="auto"/>
                      <w:sz w:val="21"/>
                      <w:szCs w:val="21"/>
                      <w:highlight w:val="none"/>
                      <w:lang w:val="en-US" w:eastAsia="zh-CN"/>
                    </w:rPr>
                    <w:t>扩展指标</w:t>
                  </w:r>
                </w:p>
              </w:tc>
              <w:tc>
                <w:tcPr>
                  <w:tcW w:w="491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highlight w:val="none"/>
                    </w:rPr>
                  </w:pPr>
                  <w:r>
                    <w:rPr>
                      <w:rFonts w:hint="eastAsia"/>
                      <w:b/>
                      <w:bCs/>
                      <w:color w:val="auto"/>
                      <w:highlight w:val="none"/>
                    </w:rPr>
                    <w:t>钠</w:t>
                  </w:r>
                  <w:r>
                    <w:rPr>
                      <w:rFonts w:hint="eastAsia"/>
                      <w:b/>
                      <w:bCs/>
                      <w:color w:val="auto"/>
                      <w:highlight w:val="none"/>
                      <w:lang w:eastAsia="zh-CN"/>
                    </w:rPr>
                    <w:t>、</w:t>
                  </w:r>
                  <w:r>
                    <w:rPr>
                      <w:rFonts w:hint="eastAsia"/>
                      <w:b/>
                      <w:bCs/>
                      <w:color w:val="auto"/>
                      <w:highlight w:val="none"/>
                    </w:rPr>
                    <w:t>挥发酚类（以苯酚计）</w:t>
                  </w:r>
                  <w:r>
                    <w:rPr>
                      <w:rFonts w:hint="eastAsia"/>
                      <w:b/>
                      <w:bCs/>
                      <w:color w:val="auto"/>
                      <w:highlight w:val="none"/>
                      <w:lang w:eastAsia="zh-CN"/>
                    </w:rPr>
                    <w:t>、</w:t>
                  </w:r>
                  <w:r>
                    <w:rPr>
                      <w:rFonts w:hint="eastAsia"/>
                      <w:b/>
                      <w:bCs/>
                      <w:color w:val="auto"/>
                      <w:highlight w:val="none"/>
                    </w:rPr>
                    <w:t>阴离子合成洗涤剂</w:t>
                  </w:r>
                  <w:r>
                    <w:rPr>
                      <w:rFonts w:hint="eastAsia"/>
                      <w:b/>
                      <w:bCs/>
                      <w:color w:val="auto"/>
                      <w:highlight w:val="none"/>
                      <w:lang w:eastAsia="zh-CN"/>
                    </w:rPr>
                    <w:t>、</w:t>
                  </w:r>
                  <w:r>
                    <w:rPr>
                      <w:rFonts w:hint="eastAsia"/>
                      <w:color w:val="auto"/>
                      <w:highlight w:val="none"/>
                    </w:rPr>
                    <w:t>2-甲基异莰醇</w:t>
                  </w:r>
                  <w:r>
                    <w:rPr>
                      <w:rFonts w:hint="eastAsia"/>
                      <w:color w:val="auto"/>
                      <w:highlight w:val="none"/>
                      <w:lang w:eastAsia="zh-CN"/>
                    </w:rPr>
                    <w:t>、</w:t>
                  </w:r>
                  <w:r>
                    <w:rPr>
                      <w:rFonts w:hint="eastAsia"/>
                      <w:color w:val="auto"/>
                      <w:highlight w:val="none"/>
                    </w:rPr>
                    <w:t>土臭素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86" w:hRule="atLeast"/>
              </w:trPr>
              <w:tc>
                <w:tcPr>
                  <w:tcW w:w="442"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rPr>
                  </w:pPr>
                </w:p>
              </w:tc>
              <w:tc>
                <w:tcPr>
                  <w:tcW w:w="67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p>
              </w:tc>
              <w:tc>
                <w:tcPr>
                  <w:tcW w:w="1165"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color w:val="auto"/>
                      <w:highlight w:val="none"/>
                      <w:lang w:val="en-US" w:eastAsia="zh-CN"/>
                    </w:rPr>
                    <w:t>《城市供水水质标准》（CJ/T 206-2005）</w:t>
                  </w:r>
                </w:p>
              </w:tc>
              <w:tc>
                <w:tcPr>
                  <w:tcW w:w="1062"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highlight w:val="none"/>
                      <w:lang w:val="en-US" w:eastAsia="zh-CN"/>
                    </w:rPr>
                  </w:pPr>
                  <w:r>
                    <w:rPr>
                      <w:rFonts w:hint="eastAsia" w:cs="Times New Roman"/>
                      <w:b w:val="0"/>
                      <w:bCs w:val="0"/>
                      <w:color w:val="auto"/>
                      <w:sz w:val="21"/>
                      <w:szCs w:val="21"/>
                      <w:highlight w:val="none"/>
                      <w:lang w:val="en-US" w:eastAsia="zh-CN"/>
                    </w:rPr>
                    <w:t>常规指标</w:t>
                  </w:r>
                </w:p>
              </w:tc>
              <w:tc>
                <w:tcPr>
                  <w:tcW w:w="4916" w:type="dxa"/>
                  <w:vAlign w:val="center"/>
                </w:tcPr>
                <w:p>
                  <w:pPr>
                    <w:keepNext w:val="0"/>
                    <w:keepLines w:val="0"/>
                    <w:suppressLineNumbers w:val="0"/>
                    <w:spacing w:before="0" w:beforeAutospacing="0" w:after="0" w:afterAutospacing="0"/>
                    <w:ind w:left="0" w:right="0"/>
                    <w:jc w:val="both"/>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色度</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臭和味</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浑浊度</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肉眼可见物</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氯化物</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铝</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铜</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总硬度</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以CaCO</w:t>
                  </w:r>
                  <w:r>
                    <w:rPr>
                      <w:rFonts w:hint="default" w:ascii="Times New Roman" w:hAnsi="Times New Roman" w:cs="Times New Roman"/>
                      <w:b/>
                      <w:bCs/>
                      <w:color w:val="auto"/>
                      <w:sz w:val="21"/>
                      <w:szCs w:val="21"/>
                      <w:highlight w:val="none"/>
                      <w:vertAlign w:val="subscript"/>
                      <w:lang w:val="en-US" w:eastAsia="zh-CN"/>
                    </w:rPr>
                    <w:t>3</w:t>
                  </w:r>
                  <w:r>
                    <w:rPr>
                      <w:rFonts w:hint="default" w:ascii="Times New Roman" w:hAnsi="Times New Roman" w:cs="Times New Roman"/>
                      <w:b/>
                      <w:bCs/>
                      <w:color w:val="auto"/>
                      <w:sz w:val="21"/>
                      <w:szCs w:val="21"/>
                      <w:highlight w:val="none"/>
                      <w:lang w:val="en-US" w:eastAsia="zh-CN"/>
                    </w:rPr>
                    <w:t>计</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铁</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锰</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pH</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硫酸盐</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溶解性总固体</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锌</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挥发酚</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以苯酚计</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阴离子合成洗涤剂</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耗氧量</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COD</w:t>
                  </w:r>
                  <w:r>
                    <w:rPr>
                      <w:rFonts w:hint="default" w:ascii="Times New Roman" w:hAnsi="Times New Roman" w:cs="Times New Roman"/>
                      <w:b/>
                      <w:bCs/>
                      <w:color w:val="auto"/>
                      <w:sz w:val="21"/>
                      <w:szCs w:val="21"/>
                      <w:highlight w:val="none"/>
                      <w:vertAlign w:val="subscript"/>
                      <w:lang w:val="en-US" w:eastAsia="zh-CN"/>
                    </w:rPr>
                    <w:t>M</w:t>
                  </w:r>
                  <w:r>
                    <w:rPr>
                      <w:rFonts w:hint="eastAsia" w:cs="Times New Roman"/>
                      <w:b/>
                      <w:bCs/>
                      <w:color w:val="auto"/>
                      <w:sz w:val="21"/>
                      <w:szCs w:val="21"/>
                      <w:highlight w:val="none"/>
                      <w:vertAlign w:val="subscript"/>
                      <w:lang w:val="en-US" w:eastAsia="zh-CN"/>
                    </w:rPr>
                    <w:t>n</w:t>
                  </w:r>
                  <w:r>
                    <w:rPr>
                      <w:rFonts w:hint="default" w:ascii="Times New Roman" w:hAnsi="Times New Roman" w:cs="Times New Roman"/>
                      <w:b/>
                      <w:bCs/>
                      <w:color w:val="auto"/>
                      <w:sz w:val="21"/>
                      <w:szCs w:val="21"/>
                      <w:highlight w:val="none"/>
                      <w:lang w:val="en-US" w:eastAsia="zh-CN"/>
                    </w:rPr>
                    <w:t>以O₂计</w:t>
                  </w:r>
                  <w:r>
                    <w:rPr>
                      <w:rFonts w:hint="eastAsia" w:cs="Times New Roman"/>
                      <w:b/>
                      <w:bCs/>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92" w:hRule="atLeast"/>
              </w:trPr>
              <w:tc>
                <w:tcPr>
                  <w:tcW w:w="442"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rPr>
                  </w:pPr>
                </w:p>
              </w:tc>
              <w:tc>
                <w:tcPr>
                  <w:tcW w:w="67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p>
              </w:tc>
              <w:tc>
                <w:tcPr>
                  <w:tcW w:w="116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highlight w:val="none"/>
                      <w:lang w:val="en-US" w:eastAsia="zh-CN"/>
                    </w:rPr>
                  </w:pPr>
                </w:p>
              </w:tc>
              <w:tc>
                <w:tcPr>
                  <w:tcW w:w="1062"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highlight w:val="none"/>
                      <w:lang w:val="en-US" w:eastAsia="zh-CN"/>
                    </w:rPr>
                  </w:pPr>
                  <w:r>
                    <w:rPr>
                      <w:rFonts w:hint="eastAsia"/>
                      <w:color w:val="auto"/>
                      <w:highlight w:val="none"/>
                    </w:rPr>
                    <w:t>非常规</w:t>
                  </w:r>
                  <w:r>
                    <w:rPr>
                      <w:rFonts w:hint="default" w:ascii="Times New Roman" w:hAnsi="Times New Roman" w:cs="Times New Roman"/>
                      <w:b w:val="0"/>
                      <w:bCs w:val="0"/>
                      <w:color w:val="auto"/>
                      <w:sz w:val="21"/>
                      <w:szCs w:val="21"/>
                      <w:highlight w:val="none"/>
                      <w:lang w:val="en-US" w:eastAsia="zh-CN"/>
                    </w:rPr>
                    <w:t>指标</w:t>
                  </w:r>
                </w:p>
              </w:tc>
              <w:tc>
                <w:tcPr>
                  <w:tcW w:w="4916" w:type="dxa"/>
                  <w:vAlign w:val="center"/>
                </w:tcPr>
                <w:p>
                  <w:pPr>
                    <w:keepNext w:val="0"/>
                    <w:keepLines w:val="0"/>
                    <w:suppressLineNumbers w:val="0"/>
                    <w:spacing w:before="0" w:beforeAutospacing="0" w:after="0" w:afterAutospacing="0"/>
                    <w:ind w:left="0" w:right="0"/>
                    <w:jc w:val="both"/>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氨氮</w:t>
                  </w:r>
                  <w:r>
                    <w:rPr>
                      <w:rFonts w:hint="eastAsia" w:cs="Times New Roman"/>
                      <w:b/>
                      <w:bCs/>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硫化物</w:t>
                  </w:r>
                  <w:r>
                    <w:rPr>
                      <w:rFonts w:hint="eastAsia" w:cs="Times New Roman"/>
                      <w:b w:val="0"/>
                      <w:bCs w:val="0"/>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钠</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86" w:hRule="atLeast"/>
              </w:trPr>
              <w:tc>
                <w:tcPr>
                  <w:tcW w:w="442"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4</w:t>
                  </w:r>
                </w:p>
              </w:tc>
              <w:tc>
                <w:tcPr>
                  <w:tcW w:w="670"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放射性指标</w:t>
                  </w:r>
                </w:p>
              </w:tc>
              <w:tc>
                <w:tcPr>
                  <w:tcW w:w="2227" w:type="dxa"/>
                  <w:gridSpan w:val="2"/>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《生活饮用水卫生标准》（GB 5749-2022）</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《城市供水水质标准》（CJ/T 206-2005）</w:t>
                  </w:r>
                </w:p>
              </w:tc>
              <w:tc>
                <w:tcPr>
                  <w:tcW w:w="4916" w:type="dxa"/>
                  <w:vAlign w:val="center"/>
                </w:tcPr>
                <w:p>
                  <w:pPr>
                    <w:keepNext w:val="0"/>
                    <w:keepLines w:val="0"/>
                    <w:suppressLineNumbers w:val="0"/>
                    <w:spacing w:before="0" w:beforeAutospacing="0" w:after="0" w:afterAutospacing="0"/>
                    <w:ind w:left="0" w:right="0"/>
                    <w:jc w:val="both"/>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总a放射性</w:t>
                  </w:r>
                  <w:r>
                    <w:rPr>
                      <w:rFonts w:hint="eastAsia"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总β放射性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23" w:hRule="atLeast"/>
              </w:trPr>
              <w:tc>
                <w:tcPr>
                  <w:tcW w:w="8255" w:type="dxa"/>
                  <w:gridSpan w:val="5"/>
                  <w:vAlign w:val="center"/>
                </w:tcPr>
                <w:p>
                  <w:pPr>
                    <w:keepNext w:val="0"/>
                    <w:keepLines w:val="0"/>
                    <w:suppressLineNumbers w:val="0"/>
                    <w:spacing w:before="0" w:beforeAutospacing="0" w:after="0" w:afterAutospacing="0"/>
                    <w:ind w:left="0" w:right="0"/>
                    <w:jc w:val="both"/>
                    <w:rPr>
                      <w:rFonts w:hint="default" w:ascii="Times New Roman" w:hAnsi="Times New Roman" w:cs="Times New Roman"/>
                      <w:b/>
                      <w:bCs/>
                      <w:color w:val="auto"/>
                      <w:sz w:val="21"/>
                      <w:szCs w:val="21"/>
                      <w:highlight w:val="none"/>
                      <w:lang w:val="en-US" w:eastAsia="zh-CN"/>
                    </w:rPr>
                  </w:pPr>
                  <w:r>
                    <w:rPr>
                      <w:rFonts w:hint="eastAsia" w:cs="Times New Roman"/>
                      <w:b/>
                      <w:bCs/>
                      <w:color w:val="auto"/>
                      <w:sz w:val="18"/>
                      <w:szCs w:val="18"/>
                      <w:highlight w:val="none"/>
                      <w:lang w:val="en-US" w:eastAsia="zh-CN"/>
                    </w:rPr>
                    <w:t>注：标准加粗因子为《生活饮用水卫生标准》（GB 5749-2022）、《城市供水水质标准》（CJ/T 206-2005）相同检测因子。</w:t>
                  </w:r>
                </w:p>
              </w:tc>
            </w:tr>
          </w:tbl>
          <w:p>
            <w:pPr>
              <w:pStyle w:val="36"/>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157" w:afterLines="50" w:afterAutospacing="0"/>
              <w:ind w:left="0" w:leftChars="0" w:right="0" w:firstLine="0" w:firstLineChars="0"/>
              <w:jc w:val="center"/>
              <w:textAlignment w:val="auto"/>
              <w:rPr>
                <w:rFonts w:hint="default" w:ascii="Times New Roman" w:hAnsi="Times New Roman" w:cs="Times New Roman"/>
                <w:color w:val="auto"/>
                <w:sz w:val="28"/>
                <w:szCs w:val="28"/>
                <w:highlight w:val="none"/>
              </w:rPr>
            </w:pPr>
            <w:r>
              <w:rPr>
                <w:rFonts w:hint="default" w:ascii="Times New Roman" w:hAnsi="Times New Roman" w:cs="Times New Roman"/>
                <w:color w:val="auto"/>
                <w:sz w:val="28"/>
                <w:szCs w:val="28"/>
                <w:highlight w:val="none"/>
              </w:rPr>
              <w:object>
                <v:shape id="_x0000_i1026" o:spt="75" type="#_x0000_t75" style="height:225.35pt;width:368.3pt;" o:ole="t" filled="f" o:preferrelative="t" stroked="f" coordsize="21600,21600">
                  <v:path/>
                  <v:fill on="f" focussize="0,0"/>
                  <v:stroke on="f"/>
                  <v:imagedata r:id="rId19" o:title=""/>
                  <o:lock v:ext="edit" aspectratio="f"/>
                  <w10:wrap type="none"/>
                  <w10:anchorlock/>
                </v:shape>
                <o:OLEObject Type="Embed" ProgID="Visio.Drawing.15" ShapeID="_x0000_i1026" DrawAspect="Content" ObjectID="_1468075726" r:id="rId18">
                  <o:LockedField>false</o:LockedField>
                </o:OLEObject>
              </w:object>
            </w:r>
          </w:p>
          <w:p>
            <w:pPr>
              <w:pStyle w:val="38"/>
              <w:keepNext w:val="0"/>
              <w:keepLines w:val="0"/>
              <w:suppressLineNumbers w:val="0"/>
              <w:tabs>
                <w:tab w:val="left" w:pos="0"/>
                <w:tab w:val="clear" w:pos="420"/>
              </w:tabs>
              <w:bidi w:val="0"/>
              <w:spacing w:before="0" w:beforeAutospacing="0" w:after="0" w:afterAutospacing="0"/>
              <w:ind w:right="0"/>
              <w:rPr>
                <w:rFonts w:hint="default" w:ascii="Times New Roman" w:hAnsi="Times New Roman" w:eastAsia="宋体" w:cs="Times New Roman"/>
                <w:color w:val="auto"/>
                <w:kern w:val="2"/>
                <w:sz w:val="24"/>
                <w:szCs w:val="24"/>
                <w:highlight w:val="none"/>
                <w:lang w:val="en-US" w:eastAsia="zh-CN" w:bidi="ar"/>
              </w:rPr>
            </w:pPr>
            <w:bookmarkStart w:id="46" w:name="_Ref5897"/>
            <w:r>
              <w:rPr>
                <w:rFonts w:hint="default" w:ascii="Times New Roman" w:hAnsi="Times New Roman" w:cs="Times New Roman"/>
                <w:b/>
                <w:bCs/>
                <w:color w:val="auto"/>
                <w:highlight w:val="none"/>
                <w:lang w:val="en-US" w:eastAsia="zh-CN"/>
              </w:rPr>
              <w:t>实验检测</w:t>
            </w:r>
            <w:r>
              <w:rPr>
                <w:rFonts w:hint="default" w:ascii="Times New Roman" w:hAnsi="Times New Roman" w:eastAsia="宋体" w:cs="Times New Roman"/>
                <w:color w:val="auto"/>
                <w:highlight w:val="none"/>
                <w:lang w:val="en-US" w:eastAsia="zh-CN"/>
              </w:rPr>
              <w:t>工艺流程及产污环节示意图</w:t>
            </w:r>
            <w:bookmarkEnd w:id="46"/>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
              </w:rPr>
            </w:pPr>
          </w:p>
          <w:p>
            <w:pPr>
              <w:keepNext w:val="0"/>
              <w:keepLines w:val="0"/>
              <w:pageBreakBefore w:val="0"/>
              <w:widowControl w:val="0"/>
              <w:suppressLineNumbers w:val="0"/>
              <w:kinsoku/>
              <w:wordWrap/>
              <w:overflowPunct/>
              <w:topLinePunct w:val="0"/>
              <w:autoSpaceDE/>
              <w:autoSpaceDN/>
              <w:bidi w:val="0"/>
              <w:adjustRightInd/>
              <w:snapToGrid/>
              <w:spacing w:before="313" w:beforeLines="100" w:beforeAutospacing="0" w:after="313" w:afterLines="100" w:afterAutospacing="0"/>
              <w:ind w:left="0" w:right="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object>
                <v:shape id="_x0000_i1027" o:spt="75" type="#_x0000_t75" style="height:86pt;width:412.6pt;" o:ole="t" filled="f" o:preferrelative="t" stroked="f" coordsize="21600,21600">
                  <v:path/>
                  <v:fill on="f" focussize="0,0"/>
                  <v:stroke on="f"/>
                  <v:imagedata r:id="rId21" o:title=""/>
                  <o:lock v:ext="edit" aspectratio="f"/>
                  <w10:wrap type="none"/>
                  <w10:anchorlock/>
                </v:shape>
                <o:OLEObject Type="Embed" ProgID="Visio.Drawing.15" ShapeID="_x0000_i1027" DrawAspect="Content" ObjectID="_1468075727" r:id="rId20">
                  <o:LockedField>false</o:LockedField>
                </o:OLEObject>
              </w:object>
            </w:r>
          </w:p>
          <w:p>
            <w:pPr>
              <w:pStyle w:val="38"/>
              <w:keepNext w:val="0"/>
              <w:keepLines w:val="0"/>
              <w:suppressLineNumbers w:val="0"/>
              <w:tabs>
                <w:tab w:val="left" w:pos="0"/>
                <w:tab w:val="clear" w:pos="420"/>
              </w:tabs>
              <w:bidi w:val="0"/>
              <w:spacing w:before="0" w:beforeAutospacing="0" w:after="0" w:afterAutospacing="0"/>
              <w:ind w:right="0"/>
              <w:rPr>
                <w:rFonts w:hint="default" w:ascii="Times New Roman" w:hAnsi="Times New Roman" w:eastAsia="宋体" w:cs="Times New Roman"/>
                <w:color w:val="auto"/>
                <w:highlight w:val="none"/>
                <w:lang w:val="en-US" w:eastAsia="zh-CN"/>
              </w:rPr>
            </w:pPr>
            <w:bookmarkStart w:id="47" w:name="_Ref3254"/>
            <w:r>
              <w:rPr>
                <w:rFonts w:hint="default" w:ascii="Times New Roman" w:hAnsi="Times New Roman" w:cs="Times New Roman"/>
                <w:color w:val="auto"/>
                <w:highlight w:val="none"/>
                <w:lang w:val="en-US" w:eastAsia="zh-CN"/>
              </w:rPr>
              <w:t>纯水制备</w:t>
            </w:r>
            <w:r>
              <w:rPr>
                <w:rFonts w:hint="default" w:ascii="Times New Roman" w:hAnsi="Times New Roman" w:eastAsia="宋体" w:cs="Times New Roman"/>
                <w:color w:val="auto"/>
                <w:highlight w:val="none"/>
                <w:lang w:val="en-US" w:eastAsia="zh-CN"/>
              </w:rPr>
              <w:t>流程及产污环节示意图</w:t>
            </w:r>
            <w:bookmarkEnd w:id="47"/>
          </w:p>
          <w:p>
            <w:pPr>
              <w:pStyle w:val="36"/>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（1）实验检测主要工艺流程简述：</w:t>
            </w:r>
          </w:p>
          <w:p>
            <w:pPr>
              <w:keepNext w:val="0"/>
              <w:keepLines w:val="0"/>
              <w:widowControl/>
              <w:suppressLineNumbers w:val="0"/>
              <w:tabs>
                <w:tab w:val="left" w:pos="0"/>
              </w:tabs>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kern w:val="2"/>
                <w:sz w:val="24"/>
                <w:szCs w:val="24"/>
                <w:highlight w:val="none"/>
                <w:lang w:val="en-US" w:eastAsia="zh-CN" w:bidi="ar"/>
              </w:rPr>
              <w:t>①送样：要求水厂根据检测、采样技术规范对送检的水样进行采样。收到送检样品对其密封存放在规范的容器内，贴标签区分，存放于实验室样品室内。</w:t>
            </w:r>
          </w:p>
          <w:p>
            <w:pPr>
              <w:keepNext w:val="0"/>
              <w:keepLines w:val="0"/>
              <w:widowControl/>
              <w:suppressLineNumbers w:val="0"/>
              <w:tabs>
                <w:tab w:val="left" w:pos="0"/>
              </w:tabs>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kern w:val="2"/>
                <w:sz w:val="24"/>
                <w:szCs w:val="24"/>
                <w:highlight w:val="none"/>
                <w:lang w:val="en-US" w:eastAsia="zh-CN" w:bidi="ar"/>
              </w:rPr>
              <w:t>②试剂调配：根据检验标准使用相关药剂及纯水进行试剂调配。此过程产生实验废气、</w:t>
            </w:r>
            <w:r>
              <w:rPr>
                <w:rFonts w:hint="eastAsia" w:cs="Times New Roman"/>
                <w:color w:val="auto"/>
                <w:kern w:val="2"/>
                <w:sz w:val="24"/>
                <w:szCs w:val="24"/>
                <w:highlight w:val="none"/>
                <w:lang w:val="en-US" w:eastAsia="zh-CN" w:bidi="ar"/>
              </w:rPr>
              <w:t>废试剂包装物</w:t>
            </w:r>
            <w:r>
              <w:rPr>
                <w:rFonts w:hint="default" w:ascii="Times New Roman" w:hAnsi="Times New Roman" w:eastAsia="宋体" w:cs="Times New Roman"/>
                <w:color w:val="auto"/>
                <w:kern w:val="2"/>
                <w:sz w:val="24"/>
                <w:szCs w:val="24"/>
                <w:highlight w:val="none"/>
                <w:lang w:val="en-US" w:eastAsia="zh-CN" w:bidi="ar"/>
              </w:rPr>
              <w:t>。</w:t>
            </w:r>
          </w:p>
          <w:p>
            <w:pPr>
              <w:keepNext w:val="0"/>
              <w:keepLines w:val="0"/>
              <w:widowControl/>
              <w:suppressLineNumbers w:val="0"/>
              <w:tabs>
                <w:tab w:val="left" w:pos="0"/>
              </w:tabs>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kern w:val="2"/>
                <w:sz w:val="24"/>
                <w:szCs w:val="24"/>
                <w:highlight w:val="none"/>
                <w:lang w:val="en-US" w:eastAsia="zh-CN" w:bidi="ar"/>
              </w:rPr>
              <w:t>③样品前处理：根据检验标准对样品进行称量取样、浸泡、萃取、提纯、滴定、高温灭菌等前处理。该工序针对不同检验需使用水、有机、无机药剂进行前处理。此过程产生实验废气、实验废液。对样品取样处理还将产生样品</w:t>
            </w:r>
            <w:r>
              <w:rPr>
                <w:rFonts w:hint="eastAsia" w:cs="Times New Roman"/>
                <w:color w:val="auto"/>
                <w:kern w:val="2"/>
                <w:sz w:val="24"/>
                <w:szCs w:val="24"/>
                <w:highlight w:val="none"/>
                <w:lang w:val="en-US" w:eastAsia="zh-CN" w:bidi="ar"/>
              </w:rPr>
              <w:t>包装物</w:t>
            </w:r>
            <w:r>
              <w:rPr>
                <w:rFonts w:hint="default" w:ascii="Times New Roman" w:hAnsi="Times New Roman" w:eastAsia="宋体" w:cs="Times New Roman"/>
                <w:color w:val="auto"/>
                <w:kern w:val="2"/>
                <w:sz w:val="24"/>
                <w:szCs w:val="24"/>
                <w:highlight w:val="none"/>
                <w:lang w:val="en-US" w:eastAsia="zh-CN" w:bidi="ar"/>
              </w:rPr>
              <w:t>。</w:t>
            </w:r>
          </w:p>
          <w:p>
            <w:pPr>
              <w:keepNext w:val="0"/>
              <w:keepLines w:val="0"/>
              <w:widowControl/>
              <w:suppressLineNumbers w:val="0"/>
              <w:tabs>
                <w:tab w:val="left" w:pos="0"/>
              </w:tabs>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kern w:val="2"/>
                <w:sz w:val="24"/>
                <w:szCs w:val="24"/>
                <w:highlight w:val="none"/>
                <w:lang w:val="en-US" w:eastAsia="zh-CN" w:bidi="ar"/>
              </w:rPr>
              <w:t>④样品分析检测：根据检验标准对前处理后样品按要求定容，按照检测要求使用分光光度计等分别进行分析和实验，得到分析结果，对分析结果进行数据处理，得出实验结果。检验过程产生检测废液、废实验耗材、剩余水样、仪器排水、水样包装物</w:t>
            </w:r>
            <w:r>
              <w:rPr>
                <w:rFonts w:hint="eastAsia" w:cs="Times New Roman"/>
                <w:color w:val="auto"/>
                <w:kern w:val="2"/>
                <w:sz w:val="24"/>
                <w:szCs w:val="24"/>
                <w:highlight w:val="none"/>
                <w:lang w:val="en-US" w:eastAsia="zh-CN" w:bidi="ar"/>
              </w:rPr>
              <w:t>、</w:t>
            </w:r>
            <w:r>
              <w:rPr>
                <w:rFonts w:hint="eastAsia" w:ascii="Times New Roman" w:hAnsi="Times New Roman" w:eastAsia="宋体" w:cs="Times New Roman"/>
                <w:color w:val="auto"/>
                <w:kern w:val="2"/>
                <w:sz w:val="24"/>
                <w:szCs w:val="24"/>
                <w:highlight w:val="none"/>
                <w:lang w:val="en-US" w:eastAsia="zh-CN" w:bidi="ar"/>
              </w:rPr>
              <w:t>微生物废样品</w:t>
            </w:r>
            <w:r>
              <w:rPr>
                <w:rFonts w:hint="eastAsia" w:cs="Times New Roman"/>
                <w:color w:val="auto"/>
                <w:kern w:val="2"/>
                <w:sz w:val="24"/>
                <w:szCs w:val="24"/>
                <w:highlight w:val="none"/>
                <w:lang w:val="en-US" w:eastAsia="zh-CN" w:bidi="ar"/>
              </w:rPr>
              <w:t>等</w:t>
            </w:r>
            <w:r>
              <w:rPr>
                <w:rFonts w:hint="default" w:ascii="Times New Roman" w:hAnsi="Times New Roman" w:eastAsia="宋体" w:cs="Times New Roman"/>
                <w:color w:val="auto"/>
                <w:kern w:val="2"/>
                <w:sz w:val="24"/>
                <w:szCs w:val="24"/>
                <w:highlight w:val="none"/>
                <w:lang w:val="en-US" w:eastAsia="zh-CN" w:bidi="ar"/>
              </w:rPr>
              <w:t>。实验废液</w:t>
            </w:r>
            <w:r>
              <w:rPr>
                <w:rFonts w:hint="eastAsia" w:cs="Times New Roman"/>
                <w:color w:val="auto"/>
                <w:kern w:val="2"/>
                <w:sz w:val="24"/>
                <w:szCs w:val="24"/>
                <w:highlight w:val="none"/>
                <w:lang w:val="en-US" w:eastAsia="zh-CN" w:bidi="ar"/>
              </w:rPr>
              <w:t>、</w:t>
            </w:r>
            <w:r>
              <w:rPr>
                <w:rFonts w:hint="default" w:ascii="Times New Roman" w:hAnsi="Times New Roman" w:eastAsia="宋体" w:cs="Times New Roman"/>
                <w:color w:val="auto"/>
                <w:kern w:val="2"/>
                <w:sz w:val="24"/>
                <w:szCs w:val="24"/>
                <w:highlight w:val="none"/>
                <w:lang w:val="en-US" w:eastAsia="zh-CN" w:bidi="ar"/>
              </w:rPr>
              <w:t>废实验耗材作为危险废物委托资质单位清运处置。</w:t>
            </w:r>
          </w:p>
          <w:p>
            <w:pPr>
              <w:keepNext w:val="0"/>
              <w:keepLines w:val="0"/>
              <w:widowControl/>
              <w:suppressLineNumbers w:val="0"/>
              <w:tabs>
                <w:tab w:val="left" w:pos="0"/>
              </w:tabs>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kern w:val="2"/>
                <w:sz w:val="24"/>
                <w:szCs w:val="24"/>
                <w:highlight w:val="none"/>
                <w:lang w:val="en-US" w:eastAsia="zh-CN" w:bidi="ar"/>
              </w:rPr>
              <w:t>⑤器具清洗：实验结束后对需要清洗的器具进行清洗，一般采用3道自来水冲洗后采用</w:t>
            </w:r>
            <w:r>
              <w:rPr>
                <w:rFonts w:hint="eastAsia" w:cs="Times New Roman"/>
                <w:color w:val="auto"/>
                <w:kern w:val="2"/>
                <w:sz w:val="24"/>
                <w:szCs w:val="24"/>
                <w:highlight w:val="none"/>
                <w:lang w:val="en-US" w:eastAsia="zh-CN" w:bidi="ar"/>
              </w:rPr>
              <w:t>1-2</w:t>
            </w:r>
            <w:r>
              <w:rPr>
                <w:rFonts w:hint="default" w:ascii="Times New Roman" w:hAnsi="Times New Roman" w:eastAsia="宋体" w:cs="Times New Roman"/>
                <w:color w:val="auto"/>
                <w:kern w:val="2"/>
                <w:sz w:val="24"/>
                <w:szCs w:val="24"/>
                <w:highlight w:val="none"/>
                <w:lang w:val="en-US" w:eastAsia="zh-CN" w:bidi="ar"/>
              </w:rPr>
              <w:t>道纯水冲洗，将产生实验器具清洗废水。项目对实验器具清洗废水使用废水处理设备处理后与生活污水一并排入化粪池预处理后排入市政污水管网。</w:t>
            </w:r>
          </w:p>
          <w:p>
            <w:pPr>
              <w:pStyle w:val="36"/>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（2）纯水制备流程简述：</w:t>
            </w:r>
          </w:p>
          <w:p>
            <w:pPr>
              <w:pStyle w:val="36"/>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新鲜水经过粗滤、离子交换、反渗透、消毒和末端过滤后生成纯水，供实验备用。</w:t>
            </w:r>
          </w:p>
          <w:p>
            <w:pPr>
              <w:pStyle w:val="4"/>
              <w:suppressLineNumbers w:val="0"/>
              <w:bidi w:val="0"/>
              <w:spacing w:beforeAutospacing="0" w:afterAutospacing="0"/>
              <w:ind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产污环节</w:t>
            </w:r>
          </w:p>
          <w:p>
            <w:pPr>
              <w:pStyle w:val="36"/>
              <w:keepNext w:val="0"/>
              <w:keepLines w:val="0"/>
              <w:numPr>
                <w:ilvl w:val="0"/>
                <w:numId w:val="5"/>
              </w:numPr>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废气：</w:t>
            </w:r>
            <w:r>
              <w:rPr>
                <w:rFonts w:hint="default"/>
                <w:color w:val="auto"/>
                <w:highlight w:val="none"/>
              </w:rPr>
              <w:t>项目废气主要来自于使用盐酸、硫酸、硝酸挥发产生的酸雾废气</w:t>
            </w:r>
            <w:r>
              <w:rPr>
                <w:rFonts w:hint="default" w:ascii="Times New Roman" w:hAnsi="Times New Roman" w:cs="Times New Roman"/>
                <w:color w:val="auto"/>
                <w:highlight w:val="none"/>
                <w:lang w:val="en-US" w:eastAsia="zh-CN"/>
              </w:rPr>
              <w:t>G1</w:t>
            </w:r>
            <w:r>
              <w:rPr>
                <w:rFonts w:hint="default"/>
                <w:color w:val="auto"/>
                <w:highlight w:val="none"/>
              </w:rPr>
              <w:t>（污染因子以氯化氢、NOx、硫酸雾表征），使用丙酮等有机试剂挥发产生的有机废气</w:t>
            </w:r>
            <w:r>
              <w:rPr>
                <w:rFonts w:hint="default" w:ascii="Times New Roman" w:hAnsi="Times New Roman" w:cs="Times New Roman"/>
                <w:color w:val="auto"/>
                <w:highlight w:val="none"/>
                <w:lang w:val="en-US" w:eastAsia="zh-CN"/>
              </w:rPr>
              <w:t>G2</w:t>
            </w:r>
            <w:r>
              <w:rPr>
                <w:rFonts w:hint="default"/>
                <w:color w:val="auto"/>
                <w:highlight w:val="none"/>
              </w:rPr>
              <w:t>（污染因子以非甲烷总烃表征）</w:t>
            </w:r>
            <w:r>
              <w:rPr>
                <w:rFonts w:hint="default" w:ascii="Times New Roman" w:hAnsi="Times New Roman" w:cs="Times New Roman"/>
                <w:color w:val="auto"/>
                <w:highlight w:val="none"/>
                <w:lang w:val="en-US" w:eastAsia="zh-CN"/>
              </w:rPr>
              <w:t>及少量刺激性（</w:t>
            </w:r>
            <w:r>
              <w:rPr>
                <w:rFonts w:hint="eastAsia" w:cs="Times New Roman"/>
                <w:color w:val="auto"/>
                <w:highlight w:val="none"/>
                <w:lang w:val="en-US" w:eastAsia="zh-CN"/>
              </w:rPr>
              <w:t>氨</w:t>
            </w:r>
            <w:r>
              <w:rPr>
                <w:rFonts w:hint="default" w:ascii="Times New Roman" w:hAnsi="Times New Roman" w:cs="Times New Roman"/>
                <w:color w:val="auto"/>
                <w:highlight w:val="none"/>
                <w:lang w:val="en-US" w:eastAsia="zh-CN"/>
              </w:rPr>
              <w:t>）气味</w:t>
            </w:r>
            <w:r>
              <w:rPr>
                <w:rFonts w:hint="eastAsia" w:cs="Times New Roman"/>
                <w:color w:val="auto"/>
                <w:highlight w:val="none"/>
                <w:lang w:val="en-US" w:eastAsia="zh-CN"/>
              </w:rPr>
              <w:t>等</w:t>
            </w:r>
            <w:r>
              <w:rPr>
                <w:rFonts w:hint="default" w:ascii="Times New Roman" w:hAnsi="Times New Roman" w:cs="Times New Roman"/>
                <w:color w:val="auto"/>
                <w:highlight w:val="none"/>
                <w:lang w:val="en-US" w:eastAsia="zh-CN"/>
              </w:rPr>
              <w:t>。</w:t>
            </w:r>
          </w:p>
          <w:p>
            <w:pPr>
              <w:pStyle w:val="36"/>
              <w:keepNext w:val="0"/>
              <w:keepLines w:val="0"/>
              <w:numPr>
                <w:ilvl w:val="0"/>
                <w:numId w:val="5"/>
              </w:numPr>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废水：实验器皿清洗过程产生的W1清洗废水、实验仪器运行产生的W2仪器排水、W3剩余水样、纯水制备过程产生的W4浓水、职工日常办公产生的W5生活污水。</w:t>
            </w:r>
          </w:p>
          <w:p>
            <w:pPr>
              <w:pStyle w:val="36"/>
              <w:keepNext w:val="0"/>
              <w:keepLines w:val="0"/>
              <w:numPr>
                <w:ilvl w:val="0"/>
                <w:numId w:val="5"/>
              </w:numPr>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噪声：检测设备及风机等产生的N噪声。</w:t>
            </w:r>
          </w:p>
          <w:p>
            <w:pPr>
              <w:pStyle w:val="36"/>
              <w:keepNext w:val="0"/>
              <w:keepLines w:val="0"/>
              <w:numPr>
                <w:ilvl w:val="0"/>
                <w:numId w:val="5"/>
              </w:numPr>
              <w:suppressLineNumbers w:val="0"/>
              <w:bidi w:val="0"/>
              <w:spacing w:before="0" w:beforeAutospacing="0" w:after="0" w:afterAutospacing="0"/>
              <w:ind w:left="0" w:leftChars="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固体废物</w:t>
            </w:r>
            <w:r>
              <w:rPr>
                <w:rFonts w:hint="default" w:ascii="Times New Roman" w:hAnsi="Times New Roman" w:eastAsia="宋体" w:cs="Times New Roman"/>
                <w:color w:val="auto"/>
                <w:highlight w:val="none"/>
                <w:lang w:val="en-US" w:eastAsia="zh-CN"/>
              </w:rPr>
              <w:t>：包括S1废试剂</w:t>
            </w:r>
            <w:r>
              <w:rPr>
                <w:rFonts w:hint="eastAsia" w:ascii="Times New Roman" w:hAnsi="Times New Roman" w:eastAsia="宋体" w:cs="Times New Roman"/>
                <w:color w:val="auto"/>
                <w:highlight w:val="none"/>
                <w:lang w:val="en-US" w:eastAsia="zh-CN"/>
              </w:rPr>
              <w:t>包装物，</w:t>
            </w:r>
            <w:r>
              <w:rPr>
                <w:rFonts w:hint="default" w:ascii="Times New Roman" w:hAnsi="Times New Roman" w:eastAsia="宋体" w:cs="Times New Roman"/>
                <w:color w:val="auto"/>
                <w:highlight w:val="none"/>
                <w:lang w:val="en-US" w:eastAsia="zh-CN"/>
              </w:rPr>
              <w:t>S2水样</w:t>
            </w:r>
            <w:r>
              <w:rPr>
                <w:rFonts w:hint="eastAsia" w:ascii="Times New Roman" w:hAnsi="Times New Roman" w:eastAsia="宋体" w:cs="Times New Roman"/>
                <w:color w:val="auto"/>
                <w:highlight w:val="none"/>
                <w:lang w:val="en-US" w:eastAsia="zh-CN"/>
              </w:rPr>
              <w:t>包装物</w:t>
            </w:r>
            <w:r>
              <w:rPr>
                <w:rFonts w:hint="default" w:ascii="Times New Roman" w:hAnsi="Times New Roman" w:eastAsia="宋体" w:cs="Times New Roman"/>
                <w:color w:val="auto"/>
                <w:highlight w:val="none"/>
                <w:lang w:val="en-US" w:eastAsia="zh-CN"/>
              </w:rPr>
              <w:t>，纯水制备过程中产生的S3废树脂、S4废过滤材料，实验过程产生的S5高浓度废液，过期的S6废试剂</w:t>
            </w:r>
            <w:r>
              <w:rPr>
                <w:rFonts w:hint="eastAsia" w:cs="Times New Roman"/>
                <w:color w:val="auto"/>
                <w:highlight w:val="none"/>
                <w:lang w:val="en-US" w:eastAsia="zh-CN"/>
              </w:rPr>
              <w:t>，微生物检测产生</w:t>
            </w:r>
            <w:r>
              <w:rPr>
                <w:rFonts w:hint="default" w:ascii="Times New Roman" w:hAnsi="Times New Roman" w:eastAsia="宋体" w:cs="Times New Roman"/>
                <w:color w:val="auto"/>
                <w:highlight w:val="none"/>
                <w:lang w:val="en-US" w:eastAsia="zh-CN"/>
              </w:rPr>
              <w:t>的S</w:t>
            </w:r>
            <w:r>
              <w:rPr>
                <w:rFonts w:hint="eastAsia" w:cs="Times New Roman"/>
                <w:color w:val="auto"/>
                <w:highlight w:val="none"/>
                <w:lang w:val="en-US" w:eastAsia="zh-CN"/>
              </w:rPr>
              <w:t>7</w:t>
            </w:r>
            <w:r>
              <w:rPr>
                <w:rFonts w:hint="eastAsia" w:ascii="Times New Roman" w:hAnsi="Times New Roman" w:eastAsia="宋体" w:cs="Times New Roman"/>
                <w:color w:val="auto"/>
                <w:kern w:val="2"/>
                <w:sz w:val="24"/>
                <w:szCs w:val="24"/>
                <w:highlight w:val="none"/>
                <w:lang w:val="en-US" w:eastAsia="zh-CN" w:bidi="ar"/>
              </w:rPr>
              <w:t>微生物废样品</w:t>
            </w:r>
            <w:r>
              <w:rPr>
                <w:rFonts w:hint="default" w:ascii="Times New Roman" w:hAnsi="Times New Roman" w:eastAsia="宋体" w:cs="Times New Roman"/>
                <w:color w:val="auto"/>
                <w:highlight w:val="none"/>
                <w:lang w:val="en-US" w:eastAsia="zh-CN"/>
              </w:rPr>
              <w:t>，以及实验室日常产生的S</w:t>
            </w:r>
            <w:r>
              <w:rPr>
                <w:rFonts w:hint="eastAsia" w:cs="Times New Roman"/>
                <w:color w:val="auto"/>
                <w:highlight w:val="none"/>
                <w:lang w:val="en-US" w:eastAsia="zh-CN"/>
              </w:rPr>
              <w:t>8</w:t>
            </w:r>
            <w:r>
              <w:rPr>
                <w:rFonts w:hint="default" w:ascii="Times New Roman" w:hAnsi="Times New Roman" w:eastAsia="宋体" w:cs="Times New Roman"/>
                <w:color w:val="auto"/>
                <w:highlight w:val="none"/>
                <w:lang w:val="en-US" w:eastAsia="zh-CN"/>
              </w:rPr>
              <w:t>实验室废物（如滴管、吸管、乳胶手套、滤纸、破碎试管等），活性炭吸附装置更换的S</w:t>
            </w:r>
            <w:r>
              <w:rPr>
                <w:rFonts w:hint="eastAsia" w:cs="Times New Roman"/>
                <w:color w:val="auto"/>
                <w:highlight w:val="none"/>
                <w:lang w:val="en-US" w:eastAsia="zh-CN"/>
              </w:rPr>
              <w:t>9</w:t>
            </w:r>
            <w:r>
              <w:rPr>
                <w:rFonts w:hint="default" w:ascii="Times New Roman" w:hAnsi="Times New Roman" w:eastAsia="宋体" w:cs="Times New Roman"/>
                <w:color w:val="auto"/>
                <w:highlight w:val="none"/>
                <w:lang w:val="en-US" w:eastAsia="zh-CN"/>
              </w:rPr>
              <w:t>废活性炭，喷淋塔更换的S</w:t>
            </w:r>
            <w:r>
              <w:rPr>
                <w:rFonts w:hint="eastAsia" w:cs="Times New Roman"/>
                <w:color w:val="auto"/>
                <w:highlight w:val="none"/>
                <w:lang w:val="en-US" w:eastAsia="zh-CN"/>
              </w:rPr>
              <w:t>10</w:t>
            </w:r>
            <w:r>
              <w:rPr>
                <w:rFonts w:hint="default" w:ascii="Times New Roman" w:hAnsi="Times New Roman" w:eastAsia="宋体" w:cs="Times New Roman"/>
                <w:color w:val="auto"/>
                <w:highlight w:val="none"/>
                <w:lang w:val="en-US" w:eastAsia="zh-CN"/>
              </w:rPr>
              <w:t>喷淋废液，</w:t>
            </w:r>
            <w:r>
              <w:rPr>
                <w:rFonts w:hint="eastAsia" w:ascii="Times New Roman" w:hAnsi="Times New Roman" w:eastAsia="宋体" w:cs="Times New Roman"/>
                <w:color w:val="auto"/>
                <w:highlight w:val="none"/>
                <w:lang w:val="en-US" w:eastAsia="zh-CN"/>
              </w:rPr>
              <w:t>废水处理设施运行产生的</w:t>
            </w:r>
            <w:r>
              <w:rPr>
                <w:rFonts w:hint="default" w:ascii="Times New Roman" w:hAnsi="Times New Roman" w:eastAsia="宋体" w:cs="Times New Roman"/>
                <w:color w:val="auto"/>
                <w:highlight w:val="none"/>
                <w:lang w:val="en-US" w:eastAsia="zh-CN"/>
              </w:rPr>
              <w:t>S1</w:t>
            </w:r>
            <w:r>
              <w:rPr>
                <w:rFonts w:hint="eastAsia" w:cs="Times New Roman"/>
                <w:color w:val="auto"/>
                <w:highlight w:val="none"/>
                <w:lang w:val="en-US" w:eastAsia="zh-CN"/>
              </w:rPr>
              <w:t>1</w:t>
            </w:r>
            <w:r>
              <w:rPr>
                <w:rFonts w:hint="eastAsia" w:ascii="Times New Roman" w:hAnsi="Times New Roman" w:eastAsia="宋体" w:cs="Times New Roman"/>
                <w:color w:val="auto"/>
                <w:highlight w:val="none"/>
                <w:lang w:val="en-US" w:eastAsia="zh-CN"/>
              </w:rPr>
              <w:t>污泥，废水处理设施</w:t>
            </w:r>
            <w:r>
              <w:rPr>
                <w:rFonts w:hint="default" w:ascii="Times New Roman" w:hAnsi="Times New Roman" w:eastAsia="宋体" w:cs="Times New Roman"/>
                <w:color w:val="auto"/>
                <w:highlight w:val="none"/>
                <w:lang w:val="en-US" w:eastAsia="zh-CN"/>
              </w:rPr>
              <w:t>更换的</w:t>
            </w:r>
            <w:r>
              <w:rPr>
                <w:rFonts w:hint="eastAsia" w:cs="Times New Roman"/>
                <w:color w:val="auto"/>
                <w:highlight w:val="none"/>
                <w:lang w:val="en-US" w:eastAsia="zh-CN"/>
              </w:rPr>
              <w:t>吸附</w:t>
            </w:r>
            <w:r>
              <w:rPr>
                <w:rFonts w:hint="eastAsia" w:ascii="Times New Roman" w:hAnsi="Times New Roman" w:eastAsia="宋体" w:cs="Times New Roman"/>
                <w:color w:val="auto"/>
                <w:highlight w:val="none"/>
                <w:lang w:val="en-US" w:eastAsia="zh-CN"/>
              </w:rPr>
              <w:t>过滤介质</w:t>
            </w:r>
            <w:r>
              <w:rPr>
                <w:rFonts w:hint="default" w:ascii="Times New Roman" w:hAnsi="Times New Roman" w:eastAsia="宋体" w:cs="Times New Roman"/>
                <w:color w:val="auto"/>
                <w:highlight w:val="none"/>
                <w:lang w:val="en-US" w:eastAsia="zh-CN"/>
              </w:rPr>
              <w:t>S1</w:t>
            </w:r>
            <w:r>
              <w:rPr>
                <w:rFonts w:hint="eastAsia" w:ascii="Times New Roman" w:hAnsi="Times New Roman" w:eastAsia="宋体" w:cs="Times New Roman"/>
                <w:color w:val="auto"/>
                <w:highlight w:val="none"/>
                <w:lang w:val="en-US" w:eastAsia="zh-CN"/>
              </w:rPr>
              <w:t>2废重金属捕捉器、</w:t>
            </w:r>
            <w:r>
              <w:rPr>
                <w:rFonts w:hint="default" w:ascii="Times New Roman" w:hAnsi="Times New Roman" w:eastAsia="宋体" w:cs="Times New Roman"/>
                <w:color w:val="auto"/>
                <w:highlight w:val="none"/>
                <w:lang w:val="en-US" w:eastAsia="zh-CN"/>
              </w:rPr>
              <w:t>S1</w:t>
            </w:r>
            <w:r>
              <w:rPr>
                <w:rFonts w:hint="eastAsia" w:cs="Times New Roman"/>
                <w:color w:val="auto"/>
                <w:highlight w:val="none"/>
                <w:lang w:val="en-US" w:eastAsia="zh-CN"/>
              </w:rPr>
              <w:t>3</w:t>
            </w:r>
            <w:r>
              <w:rPr>
                <w:rFonts w:hint="default" w:ascii="Times New Roman" w:hAnsi="Times New Roman" w:eastAsia="宋体" w:cs="Times New Roman"/>
                <w:color w:val="auto"/>
                <w:highlight w:val="none"/>
                <w:lang w:val="en-US" w:eastAsia="zh-CN"/>
              </w:rPr>
              <w:t>废活性炭</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S1</w:t>
            </w:r>
            <w:r>
              <w:rPr>
                <w:rFonts w:hint="eastAsia" w:cs="Times New Roman"/>
                <w:color w:val="auto"/>
                <w:highlight w:val="none"/>
                <w:lang w:val="en-US" w:eastAsia="zh-CN"/>
              </w:rPr>
              <w:t>4</w:t>
            </w:r>
            <w:r>
              <w:rPr>
                <w:rFonts w:hint="default" w:ascii="Times New Roman" w:hAnsi="Times New Roman" w:eastAsia="宋体" w:cs="Times New Roman"/>
                <w:color w:val="auto"/>
                <w:highlight w:val="none"/>
                <w:lang w:val="en-US" w:eastAsia="zh-CN"/>
              </w:rPr>
              <w:t>废</w:t>
            </w:r>
            <w:r>
              <w:rPr>
                <w:rFonts w:hint="eastAsia" w:ascii="Times New Roman" w:hAnsi="Times New Roman" w:eastAsia="宋体" w:cs="Times New Roman"/>
                <w:color w:val="auto"/>
                <w:highlight w:val="none"/>
                <w:lang w:val="en-US" w:eastAsia="zh-CN"/>
              </w:rPr>
              <w:t>石英砂，</w:t>
            </w:r>
            <w:r>
              <w:rPr>
                <w:rFonts w:hint="default" w:ascii="Times New Roman" w:hAnsi="Times New Roman" w:eastAsia="宋体" w:cs="Times New Roman"/>
                <w:color w:val="auto"/>
                <w:highlight w:val="none"/>
                <w:lang w:val="en-US" w:eastAsia="zh-CN"/>
              </w:rPr>
              <w:t>职工日常办公产生的S1</w:t>
            </w:r>
            <w:r>
              <w:rPr>
                <w:rFonts w:hint="eastAsia" w:cs="Times New Roman"/>
                <w:color w:val="auto"/>
                <w:highlight w:val="none"/>
                <w:lang w:val="en-US" w:eastAsia="zh-CN"/>
              </w:rPr>
              <w:t>5</w:t>
            </w:r>
            <w:r>
              <w:rPr>
                <w:rFonts w:hint="default" w:ascii="Times New Roman" w:hAnsi="Times New Roman" w:eastAsia="宋体" w:cs="Times New Roman"/>
                <w:color w:val="auto"/>
                <w:highlight w:val="none"/>
                <w:lang w:val="en-US" w:eastAsia="zh-CN"/>
              </w:rPr>
              <w:t>生活垃圾。</w:t>
            </w:r>
          </w:p>
          <w:p>
            <w:pPr>
              <w:keepNext w:val="0"/>
              <w:keepLines w:val="0"/>
              <w:widowControl/>
              <w:suppressLineNumbers w:val="0"/>
              <w:tabs>
                <w:tab w:val="left" w:pos="0"/>
              </w:tabs>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kern w:val="2"/>
                <w:sz w:val="24"/>
                <w:szCs w:val="24"/>
                <w:highlight w:val="none"/>
                <w:lang w:val="en-US" w:eastAsia="zh-CN" w:bidi="ar"/>
              </w:rPr>
              <w:t>本项目主要污染环节见下表。</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项目主要污染环节一览表</w:t>
            </w:r>
          </w:p>
          <w:tbl>
            <w:tblPr>
              <w:tblStyle w:val="32"/>
              <w:tblW w:w="825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1"/>
              <w:gridCol w:w="1629"/>
              <w:gridCol w:w="1666"/>
              <w:gridCol w:w="1385"/>
              <w:gridCol w:w="30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34" w:hRule="atLeast"/>
              </w:trPr>
              <w:tc>
                <w:tcPr>
                  <w:tcW w:w="491"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bookmarkStart w:id="48" w:name="_Hlk513125280"/>
                  <w:r>
                    <w:rPr>
                      <w:rFonts w:hint="default" w:ascii="Times New Roman" w:hAnsi="Times New Roman" w:cs="Times New Roman"/>
                      <w:b w:val="0"/>
                      <w:bCs w:val="0"/>
                      <w:color w:val="auto"/>
                      <w:sz w:val="21"/>
                      <w:szCs w:val="21"/>
                      <w:highlight w:val="none"/>
                    </w:rPr>
                    <w:t>类别</w:t>
                  </w: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污染源</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污染因子</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产污环节</w:t>
                  </w:r>
                </w:p>
              </w:tc>
              <w:tc>
                <w:tcPr>
                  <w:tcW w:w="3084"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治理措施及排放去向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39" w:hRule="atLeast"/>
              </w:trPr>
              <w:tc>
                <w:tcPr>
                  <w:tcW w:w="491"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废气</w:t>
                  </w: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G1酸性废气</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氯化氢、硫酸雾</w:t>
                  </w:r>
                  <w:r>
                    <w:rPr>
                      <w:rFonts w:hint="eastAsia" w:cs="Times New Roman"/>
                      <w:b w:val="0"/>
                      <w:bCs w:val="0"/>
                      <w:color w:val="auto"/>
                      <w:sz w:val="21"/>
                      <w:szCs w:val="21"/>
                      <w:highlight w:val="none"/>
                      <w:lang w:val="en-US" w:eastAsia="zh-CN"/>
                    </w:rPr>
                    <w:t>、氮氧化物</w:t>
                  </w:r>
                  <w:r>
                    <w:rPr>
                      <w:rFonts w:hint="default" w:ascii="Times New Roman" w:hAnsi="Times New Roman" w:cs="Times New Roman"/>
                      <w:b w:val="0"/>
                      <w:bCs w:val="0"/>
                      <w:color w:val="auto"/>
                      <w:sz w:val="21"/>
                      <w:szCs w:val="21"/>
                      <w:highlight w:val="none"/>
                      <w:lang w:val="en-US" w:eastAsia="zh-CN"/>
                    </w:rPr>
                    <w:t>等</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实验前处理</w:t>
                  </w:r>
                </w:p>
              </w:tc>
              <w:tc>
                <w:tcPr>
                  <w:tcW w:w="3084" w:type="dxa"/>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分区检测，</w:t>
                  </w:r>
                  <w:r>
                    <w:rPr>
                      <w:rFonts w:hint="default" w:ascii="Times New Roman" w:hAnsi="Times New Roman" w:cs="Times New Roman"/>
                      <w:b w:val="0"/>
                      <w:bCs w:val="0"/>
                      <w:color w:val="auto"/>
                      <w:sz w:val="21"/>
                      <w:szCs w:val="21"/>
                      <w:highlight w:val="none"/>
                      <w:lang w:val="en-US" w:eastAsia="zh-CN"/>
                    </w:rPr>
                    <w:t>通风橱收集，经碱液喷淋塔处理后通过20m高排气筒达标排放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86" w:hRule="atLeast"/>
              </w:trPr>
              <w:tc>
                <w:tcPr>
                  <w:tcW w:w="49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G2有机、恶臭废气</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rPr>
                  </w:pPr>
                  <w:r>
                    <w:rPr>
                      <w:rFonts w:hint="default" w:ascii="Times New Roman" w:hAnsi="Times New Roman" w:cs="Times New Roman"/>
                      <w:b w:val="0"/>
                      <w:bCs w:val="0"/>
                      <w:color w:val="auto"/>
                      <w:sz w:val="21"/>
                      <w:szCs w:val="21"/>
                      <w:highlight w:val="none"/>
                      <w:lang w:val="en-US" w:eastAsia="zh-CN"/>
                    </w:rPr>
                    <w:t>非甲烷总烃、</w:t>
                  </w:r>
                  <w:r>
                    <w:rPr>
                      <w:rFonts w:hint="eastAsia" w:cs="Times New Roman"/>
                      <w:b w:val="0"/>
                      <w:bCs w:val="0"/>
                      <w:color w:val="auto"/>
                      <w:sz w:val="21"/>
                      <w:szCs w:val="21"/>
                      <w:highlight w:val="none"/>
                      <w:lang w:val="en-US" w:eastAsia="zh-CN"/>
                    </w:rPr>
                    <w:t>氨、臭气浓度</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实验前处理</w:t>
                  </w:r>
                </w:p>
              </w:tc>
              <w:tc>
                <w:tcPr>
                  <w:tcW w:w="3084" w:type="dxa"/>
                  <w:vAlign w:val="center"/>
                </w:tcPr>
                <w:p>
                  <w:pPr>
                    <w:keepNext w:val="0"/>
                    <w:keepLines w:val="0"/>
                    <w:suppressLineNumbers w:val="0"/>
                    <w:spacing w:before="0" w:beforeAutospacing="0" w:after="0" w:afterAutospacing="0"/>
                    <w:ind w:left="0" w:right="0"/>
                    <w:jc w:val="both"/>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分区检测，</w:t>
                  </w:r>
                  <w:r>
                    <w:rPr>
                      <w:rFonts w:hint="default" w:ascii="Times New Roman" w:hAnsi="Times New Roman" w:cs="Times New Roman"/>
                      <w:b w:val="0"/>
                      <w:bCs w:val="0"/>
                      <w:color w:val="auto"/>
                      <w:sz w:val="21"/>
                      <w:szCs w:val="21"/>
                      <w:highlight w:val="none"/>
                      <w:lang w:val="en-US" w:eastAsia="zh-CN"/>
                    </w:rPr>
                    <w:t>通风橱收集，经活性炭吸附处理后通过20m高排气筒达标排放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6" w:hRule="atLeast"/>
              </w:trPr>
              <w:tc>
                <w:tcPr>
                  <w:tcW w:w="491"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废水</w:t>
                  </w: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W1</w:t>
                  </w:r>
                  <w:r>
                    <w:rPr>
                      <w:rFonts w:hint="default" w:ascii="Times New Roman" w:hAnsi="Times New Roman" w:cs="Times New Roman"/>
                      <w:b w:val="0"/>
                      <w:bCs w:val="0"/>
                      <w:color w:val="auto"/>
                      <w:sz w:val="21"/>
                      <w:szCs w:val="21"/>
                      <w:highlight w:val="none"/>
                    </w:rPr>
                    <w:t>清洗废水</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pH、</w:t>
                  </w:r>
                  <w:r>
                    <w:rPr>
                      <w:rFonts w:hint="default" w:ascii="Times New Roman" w:hAnsi="Times New Roman" w:cs="Times New Roman"/>
                      <w:b w:val="0"/>
                      <w:bCs w:val="0"/>
                      <w:color w:val="auto"/>
                      <w:sz w:val="21"/>
                      <w:szCs w:val="21"/>
                      <w:highlight w:val="none"/>
                    </w:rPr>
                    <w:t>COD、</w:t>
                  </w:r>
                  <w:r>
                    <w:rPr>
                      <w:rFonts w:hint="default" w:ascii="Times New Roman" w:hAnsi="Times New Roman" w:cs="Times New Roman"/>
                      <w:b w:val="0"/>
                      <w:bCs w:val="0"/>
                      <w:color w:val="auto"/>
                      <w:sz w:val="21"/>
                      <w:szCs w:val="21"/>
                      <w:highlight w:val="none"/>
                      <w:lang w:val="en-US" w:eastAsia="zh-CN"/>
                    </w:rPr>
                    <w:t>氨氮、</w:t>
                  </w:r>
                  <w:r>
                    <w:rPr>
                      <w:rFonts w:hint="default" w:ascii="Times New Roman" w:hAnsi="Times New Roman" w:cs="Times New Roman"/>
                      <w:b w:val="0"/>
                      <w:bCs w:val="0"/>
                      <w:color w:val="auto"/>
                      <w:sz w:val="21"/>
                      <w:szCs w:val="21"/>
                      <w:highlight w:val="none"/>
                    </w:rPr>
                    <w:t>BOD</w:t>
                  </w:r>
                  <w:r>
                    <w:rPr>
                      <w:rFonts w:hint="default" w:ascii="Times New Roman" w:hAnsi="Times New Roman" w:cs="Times New Roman"/>
                      <w:b w:val="0"/>
                      <w:bCs w:val="0"/>
                      <w:color w:val="auto"/>
                      <w:sz w:val="21"/>
                      <w:szCs w:val="21"/>
                      <w:highlight w:val="none"/>
                      <w:vertAlign w:val="subscript"/>
                    </w:rPr>
                    <w:t>5</w:t>
                  </w:r>
                  <w:r>
                    <w:rPr>
                      <w:rFonts w:hint="default" w:ascii="Times New Roman" w:hAnsi="Times New Roman" w:cs="Times New Roman"/>
                      <w:b w:val="0"/>
                      <w:bCs w:val="0"/>
                      <w:color w:val="auto"/>
                      <w:sz w:val="21"/>
                      <w:szCs w:val="21"/>
                      <w:highlight w:val="none"/>
                    </w:rPr>
                    <w:t>、</w:t>
                  </w:r>
                  <w:r>
                    <w:rPr>
                      <w:rFonts w:hint="default" w:ascii="Times New Roman" w:hAnsi="Times New Roman" w:cs="Times New Roman"/>
                      <w:b w:val="0"/>
                      <w:bCs w:val="0"/>
                      <w:color w:val="auto"/>
                      <w:sz w:val="21"/>
                      <w:szCs w:val="21"/>
                      <w:highlight w:val="none"/>
                      <w:lang w:val="en-US" w:eastAsia="zh-CN"/>
                    </w:rPr>
                    <w:t>SS</w:t>
                  </w:r>
                  <w:r>
                    <w:rPr>
                      <w:rFonts w:hint="default" w:ascii="Times New Roman" w:hAnsi="Times New Roman" w:cs="Times New Roman"/>
                      <w:b w:val="0"/>
                      <w:bCs w:val="0"/>
                      <w:color w:val="auto"/>
                      <w:sz w:val="21"/>
                      <w:szCs w:val="21"/>
                      <w:highlight w:val="none"/>
                    </w:rPr>
                    <w:t>等</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器皿清洗</w:t>
                  </w:r>
                </w:p>
              </w:tc>
              <w:tc>
                <w:tcPr>
                  <w:tcW w:w="3084"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rPr>
                    <w:t>经</w:t>
                  </w:r>
                  <w:r>
                    <w:rPr>
                      <w:rFonts w:hint="default" w:ascii="Times New Roman" w:hAnsi="Times New Roman" w:cs="Times New Roman"/>
                      <w:b w:val="0"/>
                      <w:bCs w:val="0"/>
                      <w:color w:val="auto"/>
                      <w:sz w:val="21"/>
                      <w:szCs w:val="21"/>
                      <w:highlight w:val="none"/>
                      <w:lang w:val="en-US" w:eastAsia="zh-CN"/>
                    </w:rPr>
                    <w:t>废水处理设备</w:t>
                  </w:r>
                  <w:r>
                    <w:rPr>
                      <w:rFonts w:hint="default" w:ascii="Times New Roman" w:hAnsi="Times New Roman" w:eastAsia="宋体" w:cs="Times New Roman"/>
                      <w:b w:val="0"/>
                      <w:bCs w:val="0"/>
                      <w:color w:val="auto"/>
                      <w:sz w:val="21"/>
                      <w:szCs w:val="21"/>
                      <w:highlight w:val="none"/>
                    </w:rPr>
                    <w:t>后进</w:t>
                  </w:r>
                  <w:r>
                    <w:rPr>
                      <w:rFonts w:hint="default" w:ascii="Times New Roman" w:hAnsi="Times New Roman" w:cs="Times New Roman"/>
                      <w:b w:val="0"/>
                      <w:bCs w:val="0"/>
                      <w:color w:val="auto"/>
                      <w:sz w:val="21"/>
                      <w:szCs w:val="21"/>
                      <w:highlight w:val="none"/>
                    </w:rPr>
                    <w:t>入化粪池处理，最后经市政管网进入</w:t>
                  </w:r>
                  <w:r>
                    <w:rPr>
                      <w:rFonts w:hint="eastAsia" w:cs="Times New Roman"/>
                      <w:b w:val="0"/>
                      <w:bCs w:val="0"/>
                      <w:color w:val="auto"/>
                      <w:sz w:val="21"/>
                      <w:szCs w:val="21"/>
                      <w:highlight w:val="none"/>
                      <w:lang w:eastAsia="zh-CN"/>
                    </w:rPr>
                    <w:t>福清市融元污水处理厂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21" w:hRule="atLeast"/>
              </w:trPr>
              <w:tc>
                <w:tcPr>
                  <w:tcW w:w="49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W2</w:t>
                  </w:r>
                  <w:r>
                    <w:rPr>
                      <w:rFonts w:hint="default" w:ascii="Times New Roman" w:hAnsi="Times New Roman" w:cs="Times New Roman"/>
                      <w:color w:val="auto"/>
                      <w:highlight w:val="none"/>
                      <w:lang w:val="en-US" w:eastAsia="zh-CN"/>
                    </w:rPr>
                    <w:t>仪器排水</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COD、BOD</w:t>
                  </w:r>
                  <w:r>
                    <w:rPr>
                      <w:rFonts w:hint="default" w:ascii="Times New Roman" w:hAnsi="Times New Roman" w:cs="Times New Roman"/>
                      <w:b w:val="0"/>
                      <w:bCs w:val="0"/>
                      <w:color w:val="auto"/>
                      <w:sz w:val="21"/>
                      <w:szCs w:val="21"/>
                      <w:highlight w:val="none"/>
                      <w:vertAlign w:val="subscript"/>
                    </w:rPr>
                    <w:t>5</w:t>
                  </w:r>
                  <w:r>
                    <w:rPr>
                      <w:rFonts w:hint="default" w:ascii="Times New Roman" w:hAnsi="Times New Roman" w:cs="Times New Roman"/>
                      <w:b w:val="0"/>
                      <w:bCs w:val="0"/>
                      <w:color w:val="auto"/>
                      <w:sz w:val="21"/>
                      <w:szCs w:val="21"/>
                      <w:highlight w:val="none"/>
                    </w:rPr>
                    <w:t>等</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实验过程</w:t>
                  </w:r>
                </w:p>
              </w:tc>
              <w:tc>
                <w:tcPr>
                  <w:tcW w:w="3084"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化粪池处理后，经市政管网进入</w:t>
                  </w:r>
                  <w:r>
                    <w:rPr>
                      <w:rFonts w:hint="eastAsia" w:cs="Times New Roman"/>
                      <w:b w:val="0"/>
                      <w:bCs w:val="0"/>
                      <w:color w:val="auto"/>
                      <w:sz w:val="21"/>
                      <w:szCs w:val="21"/>
                      <w:highlight w:val="none"/>
                      <w:lang w:eastAsia="zh-CN"/>
                    </w:rPr>
                    <w:t>福清市融元污水处理厂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21" w:hRule="atLeast"/>
              </w:trPr>
              <w:tc>
                <w:tcPr>
                  <w:tcW w:w="49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highlight w:val="none"/>
                      <w:lang w:val="en-US" w:eastAsia="zh-CN"/>
                    </w:rPr>
                    <w:t>W3剩余水样</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COD、BOD</w:t>
                  </w:r>
                  <w:r>
                    <w:rPr>
                      <w:rFonts w:hint="default" w:ascii="Times New Roman" w:hAnsi="Times New Roman" w:cs="Times New Roman"/>
                      <w:b w:val="0"/>
                      <w:bCs w:val="0"/>
                      <w:color w:val="auto"/>
                      <w:sz w:val="21"/>
                      <w:szCs w:val="21"/>
                      <w:highlight w:val="none"/>
                      <w:vertAlign w:val="subscript"/>
                    </w:rPr>
                    <w:t>5</w:t>
                  </w:r>
                  <w:r>
                    <w:rPr>
                      <w:rFonts w:hint="default" w:ascii="Times New Roman" w:hAnsi="Times New Roman" w:cs="Times New Roman"/>
                      <w:b w:val="0"/>
                      <w:bCs w:val="0"/>
                      <w:color w:val="auto"/>
                      <w:sz w:val="21"/>
                      <w:szCs w:val="21"/>
                      <w:highlight w:val="none"/>
                    </w:rPr>
                    <w:t>等</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实验过程</w:t>
                  </w:r>
                </w:p>
              </w:tc>
              <w:tc>
                <w:tcPr>
                  <w:tcW w:w="3084"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Times New Roman" w:hAnsi="Times New Roman" w:cs="Times New Roman"/>
                      <w:b w:val="0"/>
                      <w:bCs w:val="0"/>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68" w:hRule="atLeast"/>
              </w:trPr>
              <w:tc>
                <w:tcPr>
                  <w:tcW w:w="49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W4制纯浓水</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SS、钙盐、镁盐</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纯水制备</w:t>
                  </w:r>
                </w:p>
              </w:tc>
              <w:tc>
                <w:tcPr>
                  <w:tcW w:w="3084"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Times New Roman" w:hAnsi="Times New Roman" w:cs="Times New Roman"/>
                      <w:b w:val="0"/>
                      <w:bCs w:val="0"/>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21" w:hRule="atLeast"/>
              </w:trPr>
              <w:tc>
                <w:tcPr>
                  <w:tcW w:w="49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W5</w:t>
                  </w:r>
                  <w:r>
                    <w:rPr>
                      <w:rFonts w:hint="default" w:ascii="Times New Roman" w:hAnsi="Times New Roman" w:cs="Times New Roman"/>
                      <w:b w:val="0"/>
                      <w:bCs w:val="0"/>
                      <w:color w:val="auto"/>
                      <w:sz w:val="21"/>
                      <w:szCs w:val="21"/>
                      <w:highlight w:val="none"/>
                    </w:rPr>
                    <w:t>生活污水</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rPr>
                    <w:t>COD、</w:t>
                  </w:r>
                  <w:r>
                    <w:rPr>
                      <w:rFonts w:hint="default" w:ascii="Times New Roman" w:hAnsi="Times New Roman" w:cs="Times New Roman"/>
                      <w:b w:val="0"/>
                      <w:bCs w:val="0"/>
                      <w:color w:val="auto"/>
                      <w:sz w:val="21"/>
                      <w:szCs w:val="21"/>
                      <w:highlight w:val="none"/>
                      <w:lang w:val="en-US" w:eastAsia="zh-CN"/>
                    </w:rPr>
                    <w:t>氨氮、SS、</w:t>
                  </w:r>
                  <w:r>
                    <w:rPr>
                      <w:rFonts w:hint="default" w:ascii="Times New Roman" w:hAnsi="Times New Roman" w:cs="Times New Roman"/>
                      <w:b w:val="0"/>
                      <w:bCs w:val="0"/>
                      <w:color w:val="auto"/>
                      <w:sz w:val="21"/>
                      <w:szCs w:val="21"/>
                      <w:highlight w:val="none"/>
                    </w:rPr>
                    <w:t>BOD</w:t>
                  </w:r>
                  <w:r>
                    <w:rPr>
                      <w:rFonts w:hint="default" w:ascii="Times New Roman" w:hAnsi="Times New Roman" w:cs="Times New Roman"/>
                      <w:b w:val="0"/>
                      <w:bCs w:val="0"/>
                      <w:color w:val="auto"/>
                      <w:sz w:val="21"/>
                      <w:szCs w:val="21"/>
                      <w:highlight w:val="none"/>
                      <w:vertAlign w:val="subscript"/>
                    </w:rPr>
                    <w:t>5</w:t>
                  </w:r>
                  <w:r>
                    <w:rPr>
                      <w:rFonts w:hint="default" w:ascii="Times New Roman" w:hAnsi="Times New Roman" w:cs="Times New Roman"/>
                      <w:b w:val="0"/>
                      <w:bCs w:val="0"/>
                      <w:color w:val="auto"/>
                      <w:sz w:val="21"/>
                      <w:szCs w:val="21"/>
                      <w:highlight w:val="none"/>
                    </w:rPr>
                    <w:t>等</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rPr>
                    <w:t>职工生活</w:t>
                  </w:r>
                </w:p>
              </w:tc>
              <w:tc>
                <w:tcPr>
                  <w:tcW w:w="3084"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Times New Roman" w:hAnsi="Times New Roman" w:cs="Times New Roman"/>
                      <w:b w:val="0"/>
                      <w:bCs w:val="0"/>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56" w:hRule="atLeast"/>
              </w:trPr>
              <w:tc>
                <w:tcPr>
                  <w:tcW w:w="491"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噪声</w:t>
                  </w: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设备噪声</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等效A声级</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实验室</w:t>
                  </w:r>
                </w:p>
              </w:tc>
              <w:tc>
                <w:tcPr>
                  <w:tcW w:w="3084"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color w:val="auto"/>
                      <w:sz w:val="21"/>
                      <w:szCs w:val="24"/>
                      <w:highlight w:val="none"/>
                      <w:lang w:val="en-US" w:eastAsia="zh-CN"/>
                    </w:rPr>
                    <w:t>主要高噪声设备安装</w:t>
                  </w:r>
                  <w:r>
                    <w:rPr>
                      <w:rFonts w:hint="default" w:ascii="Times New Roman" w:hAnsi="Times New Roman" w:cs="Times New Roman"/>
                      <w:color w:val="auto"/>
                      <w:sz w:val="21"/>
                      <w:szCs w:val="24"/>
                      <w:highlight w:val="none"/>
                      <w:lang w:val="en-US" w:eastAsia="zh-CN"/>
                    </w:rPr>
                    <w:t>减振</w:t>
                  </w:r>
                  <w:r>
                    <w:rPr>
                      <w:rFonts w:hint="default" w:ascii="Times New Roman" w:hAnsi="Times New Roman" w:eastAsia="宋体" w:cs="Times New Roman"/>
                      <w:color w:val="auto"/>
                      <w:sz w:val="21"/>
                      <w:szCs w:val="24"/>
                      <w:highlight w:val="none"/>
                      <w:lang w:val="en-US" w:eastAsia="zh-CN"/>
                    </w:rPr>
                    <w:t>垫、消声设备；安装隔声门窗，合理布局，使高噪声设备尽可能远离噪声敏感点；加强设备的安装、调试、使用和维护管理。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5" w:hRule="atLeast"/>
              </w:trPr>
              <w:tc>
                <w:tcPr>
                  <w:tcW w:w="491"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rPr>
                    <w:t>固体废物</w:t>
                  </w: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S1废试剂包装物</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实验过程</w:t>
                  </w:r>
                </w:p>
              </w:tc>
              <w:tc>
                <w:tcPr>
                  <w:tcW w:w="3084"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4"/>
                      <w:highlight w:val="none"/>
                      <w:lang w:val="en-US" w:eastAsia="zh-CN"/>
                    </w:rPr>
                  </w:pPr>
                  <w:r>
                    <w:rPr>
                      <w:rFonts w:hint="default" w:ascii="Times New Roman" w:hAnsi="Times New Roman" w:cs="Times New Roman"/>
                      <w:b w:val="0"/>
                      <w:bCs w:val="0"/>
                      <w:color w:val="auto"/>
                      <w:sz w:val="21"/>
                      <w:szCs w:val="21"/>
                      <w:highlight w:val="none"/>
                    </w:rPr>
                    <w:t>暂存于</w:t>
                  </w:r>
                  <w:r>
                    <w:rPr>
                      <w:rFonts w:hint="default" w:ascii="Times New Roman" w:hAnsi="Times New Roman" w:cs="Times New Roman"/>
                      <w:b w:val="0"/>
                      <w:bCs w:val="0"/>
                      <w:color w:val="auto"/>
                      <w:sz w:val="21"/>
                      <w:szCs w:val="21"/>
                      <w:highlight w:val="none"/>
                      <w:lang w:val="en-US" w:eastAsia="zh-CN"/>
                    </w:rPr>
                    <w:t>危险废物暂存间</w:t>
                  </w:r>
                  <w:r>
                    <w:rPr>
                      <w:rFonts w:hint="default" w:ascii="Times New Roman" w:hAnsi="Times New Roman" w:cs="Times New Roman"/>
                      <w:b w:val="0"/>
                      <w:bCs w:val="0"/>
                      <w:color w:val="auto"/>
                      <w:sz w:val="21"/>
                      <w:szCs w:val="21"/>
                      <w:highlight w:val="none"/>
                    </w:rPr>
                    <w:t>，定期委托有资质的单位处置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9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S2水样包装物</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实验过程</w:t>
                  </w:r>
                </w:p>
              </w:tc>
              <w:tc>
                <w:tcPr>
                  <w:tcW w:w="3084"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lang w:eastAsia="zh-CN"/>
                    </w:rPr>
                    <w:t>外售综合利用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9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S3废树脂</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纯水制备</w:t>
                  </w:r>
                </w:p>
              </w:tc>
              <w:tc>
                <w:tcPr>
                  <w:tcW w:w="3084"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4"/>
                      <w:highlight w:val="none"/>
                      <w:lang w:val="en-US" w:eastAsia="zh-CN"/>
                    </w:rPr>
                  </w:pPr>
                  <w:r>
                    <w:rPr>
                      <w:rFonts w:hint="eastAsia" w:cs="Times New Roman"/>
                      <w:b w:val="0"/>
                      <w:bCs w:val="0"/>
                      <w:color w:val="auto"/>
                      <w:sz w:val="21"/>
                      <w:szCs w:val="21"/>
                      <w:highlight w:val="none"/>
                      <w:lang w:val="en-US" w:eastAsia="zh-CN"/>
                    </w:rPr>
                    <w:t>有资质的</w:t>
                  </w:r>
                  <w:r>
                    <w:rPr>
                      <w:rFonts w:hint="default" w:ascii="Times New Roman" w:hAnsi="Times New Roman" w:cs="Times New Roman"/>
                      <w:b w:val="0"/>
                      <w:bCs w:val="0"/>
                      <w:color w:val="auto"/>
                      <w:sz w:val="21"/>
                      <w:szCs w:val="21"/>
                      <w:highlight w:val="none"/>
                      <w:lang w:val="en-US" w:eastAsia="zh-CN"/>
                    </w:rPr>
                    <w:t>厂家定期替换回收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9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S4废过滤材料</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纯水制备</w:t>
                  </w:r>
                </w:p>
              </w:tc>
              <w:tc>
                <w:tcPr>
                  <w:tcW w:w="3084"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4"/>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9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S5高浓度废液</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重金属（铬、镉、银等）、有机物</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实验过程</w:t>
                  </w:r>
                </w:p>
              </w:tc>
              <w:tc>
                <w:tcPr>
                  <w:tcW w:w="3084"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4"/>
                      <w:highlight w:val="none"/>
                      <w:lang w:val="en-US" w:eastAsia="zh-CN"/>
                    </w:rPr>
                  </w:pPr>
                  <w:r>
                    <w:rPr>
                      <w:rFonts w:hint="default" w:ascii="Times New Roman" w:hAnsi="Times New Roman" w:cs="Times New Roman"/>
                      <w:b w:val="0"/>
                      <w:bCs w:val="0"/>
                      <w:color w:val="auto"/>
                      <w:sz w:val="21"/>
                      <w:szCs w:val="21"/>
                      <w:highlight w:val="none"/>
                    </w:rPr>
                    <w:t>暂存于</w:t>
                  </w:r>
                  <w:r>
                    <w:rPr>
                      <w:rFonts w:hint="default" w:ascii="Times New Roman" w:hAnsi="Times New Roman" w:cs="Times New Roman"/>
                      <w:b w:val="0"/>
                      <w:bCs w:val="0"/>
                      <w:color w:val="auto"/>
                      <w:sz w:val="21"/>
                      <w:szCs w:val="21"/>
                      <w:highlight w:val="none"/>
                      <w:lang w:val="en-US" w:eastAsia="zh-CN"/>
                    </w:rPr>
                    <w:t>危险废物暂存间</w:t>
                  </w:r>
                  <w:r>
                    <w:rPr>
                      <w:rFonts w:hint="default" w:ascii="Times New Roman" w:hAnsi="Times New Roman" w:cs="Times New Roman"/>
                      <w:b w:val="0"/>
                      <w:bCs w:val="0"/>
                      <w:color w:val="auto"/>
                      <w:sz w:val="21"/>
                      <w:szCs w:val="21"/>
                      <w:highlight w:val="none"/>
                    </w:rPr>
                    <w:t>，定期委托有资质的单位处置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9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S6废试剂</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实验过程</w:t>
                  </w:r>
                </w:p>
              </w:tc>
              <w:tc>
                <w:tcPr>
                  <w:tcW w:w="3084"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4"/>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9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S7</w:t>
                  </w:r>
                  <w:r>
                    <w:rPr>
                      <w:rFonts w:hint="eastAsia" w:ascii="Times New Roman" w:hAnsi="Times New Roman" w:cs="Times New Roman"/>
                      <w:color w:val="auto"/>
                      <w:sz w:val="21"/>
                      <w:szCs w:val="21"/>
                      <w:highlight w:val="none"/>
                      <w:lang w:val="en-US" w:eastAsia="zh-CN"/>
                    </w:rPr>
                    <w:t>微生物废样品</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废培养基</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实验过程</w:t>
                  </w:r>
                </w:p>
              </w:tc>
              <w:tc>
                <w:tcPr>
                  <w:tcW w:w="3084"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4"/>
                      <w:highlight w:val="none"/>
                      <w:lang w:val="en-US" w:eastAsia="zh-CN"/>
                    </w:rPr>
                  </w:pPr>
                  <w:r>
                    <w:rPr>
                      <w:rFonts w:hint="eastAsia" w:cs="Times New Roman"/>
                      <w:color w:val="auto"/>
                      <w:sz w:val="21"/>
                      <w:szCs w:val="24"/>
                      <w:highlight w:val="none"/>
                      <w:lang w:val="en-US" w:eastAsia="zh-CN"/>
                    </w:rPr>
                    <w:t>高温灭菌后倒入废水处理设施进行处理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9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w:t>
                  </w:r>
                  <w:r>
                    <w:rPr>
                      <w:rFonts w:hint="eastAsia" w:cs="Times New Roman"/>
                      <w:color w:val="auto"/>
                      <w:sz w:val="21"/>
                      <w:szCs w:val="21"/>
                      <w:highlight w:val="none"/>
                      <w:lang w:val="en-US" w:eastAsia="zh-CN"/>
                    </w:rPr>
                    <w:t>8</w:t>
                  </w:r>
                  <w:r>
                    <w:rPr>
                      <w:rFonts w:hint="default" w:ascii="Times New Roman" w:hAnsi="Times New Roman" w:cs="Times New Roman"/>
                      <w:color w:val="auto"/>
                      <w:sz w:val="21"/>
                      <w:szCs w:val="21"/>
                      <w:highlight w:val="none"/>
                      <w:lang w:val="en-US" w:eastAsia="zh-CN"/>
                    </w:rPr>
                    <w:t>实验室废物</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实验过程</w:t>
                  </w:r>
                </w:p>
              </w:tc>
              <w:tc>
                <w:tcPr>
                  <w:tcW w:w="3084"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4"/>
                      <w:highlight w:val="none"/>
                      <w:lang w:val="en-US" w:eastAsia="zh-CN"/>
                    </w:rPr>
                  </w:pPr>
                  <w:r>
                    <w:rPr>
                      <w:rFonts w:hint="default" w:ascii="Times New Roman" w:hAnsi="Times New Roman" w:cs="Times New Roman"/>
                      <w:b w:val="0"/>
                      <w:bCs w:val="0"/>
                      <w:color w:val="auto"/>
                      <w:sz w:val="21"/>
                      <w:szCs w:val="21"/>
                      <w:highlight w:val="none"/>
                    </w:rPr>
                    <w:t>暂存于</w:t>
                  </w:r>
                  <w:r>
                    <w:rPr>
                      <w:rFonts w:hint="default" w:ascii="Times New Roman" w:hAnsi="Times New Roman" w:cs="Times New Roman"/>
                      <w:b w:val="0"/>
                      <w:bCs w:val="0"/>
                      <w:color w:val="auto"/>
                      <w:sz w:val="21"/>
                      <w:szCs w:val="21"/>
                      <w:highlight w:val="none"/>
                      <w:lang w:val="en-US" w:eastAsia="zh-CN"/>
                    </w:rPr>
                    <w:t>危险废物暂存间</w:t>
                  </w:r>
                  <w:r>
                    <w:rPr>
                      <w:rFonts w:hint="default" w:ascii="Times New Roman" w:hAnsi="Times New Roman" w:cs="Times New Roman"/>
                      <w:b w:val="0"/>
                      <w:bCs w:val="0"/>
                      <w:color w:val="auto"/>
                      <w:sz w:val="21"/>
                      <w:szCs w:val="21"/>
                      <w:highlight w:val="none"/>
                    </w:rPr>
                    <w:t>，定期委托有资质的单位处置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9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w:t>
                  </w:r>
                  <w:r>
                    <w:rPr>
                      <w:rFonts w:hint="eastAsia" w:cs="Times New Roman"/>
                      <w:color w:val="auto"/>
                      <w:sz w:val="21"/>
                      <w:szCs w:val="21"/>
                      <w:highlight w:val="none"/>
                      <w:lang w:val="en-US" w:eastAsia="zh-CN"/>
                    </w:rPr>
                    <w:t>9</w:t>
                  </w:r>
                  <w:r>
                    <w:rPr>
                      <w:rFonts w:hint="default" w:ascii="Times New Roman" w:hAnsi="Times New Roman" w:cs="Times New Roman"/>
                      <w:color w:val="auto"/>
                      <w:sz w:val="21"/>
                      <w:szCs w:val="21"/>
                      <w:highlight w:val="none"/>
                      <w:lang w:val="en-US" w:eastAsia="zh-CN"/>
                    </w:rPr>
                    <w:t>废活性炭</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废气治理</w:t>
                  </w:r>
                </w:p>
              </w:tc>
              <w:tc>
                <w:tcPr>
                  <w:tcW w:w="3084"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4"/>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9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w:t>
                  </w:r>
                  <w:r>
                    <w:rPr>
                      <w:rFonts w:hint="eastAsia" w:cs="Times New Roman"/>
                      <w:color w:val="auto"/>
                      <w:sz w:val="21"/>
                      <w:szCs w:val="21"/>
                      <w:highlight w:val="none"/>
                      <w:lang w:val="en-US" w:eastAsia="zh-CN"/>
                    </w:rPr>
                    <w:t>10</w:t>
                  </w:r>
                  <w:r>
                    <w:rPr>
                      <w:rFonts w:hint="default" w:ascii="Times New Roman" w:hAnsi="Times New Roman" w:cs="Times New Roman"/>
                      <w:color w:val="auto"/>
                      <w:sz w:val="21"/>
                      <w:szCs w:val="21"/>
                      <w:highlight w:val="none"/>
                      <w:lang w:val="en-US" w:eastAsia="zh-CN"/>
                    </w:rPr>
                    <w:t>喷淋废液</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废气治理</w:t>
                  </w:r>
                </w:p>
              </w:tc>
              <w:tc>
                <w:tcPr>
                  <w:tcW w:w="3084"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4"/>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9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S1</w:t>
                  </w:r>
                  <w:r>
                    <w:rPr>
                      <w:rFonts w:hint="eastAsia"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val="en-US" w:eastAsia="zh-CN"/>
                    </w:rPr>
                    <w:t>污泥</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废</w:t>
                  </w:r>
                  <w:r>
                    <w:rPr>
                      <w:rFonts w:hint="eastAsia" w:ascii="Times New Roman" w:hAnsi="Times New Roman" w:cs="Times New Roman"/>
                      <w:b w:val="0"/>
                      <w:bCs w:val="0"/>
                      <w:color w:val="auto"/>
                      <w:sz w:val="21"/>
                      <w:szCs w:val="21"/>
                      <w:highlight w:val="none"/>
                      <w:lang w:val="en-US" w:eastAsia="zh-CN"/>
                    </w:rPr>
                    <w:t>水</w:t>
                  </w:r>
                  <w:r>
                    <w:rPr>
                      <w:rFonts w:hint="default" w:ascii="Times New Roman" w:hAnsi="Times New Roman" w:cs="Times New Roman"/>
                      <w:b w:val="0"/>
                      <w:bCs w:val="0"/>
                      <w:color w:val="auto"/>
                      <w:sz w:val="21"/>
                      <w:szCs w:val="21"/>
                      <w:highlight w:val="none"/>
                      <w:lang w:val="en-US" w:eastAsia="zh-CN"/>
                    </w:rPr>
                    <w:t>治理</w:t>
                  </w:r>
                </w:p>
              </w:tc>
              <w:tc>
                <w:tcPr>
                  <w:tcW w:w="3084"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4"/>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9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S1</w:t>
                  </w:r>
                  <w:r>
                    <w:rPr>
                      <w:rFonts w:hint="eastAsia" w:cs="Times New Roman"/>
                      <w:color w:val="auto"/>
                      <w:sz w:val="21"/>
                      <w:szCs w:val="21"/>
                      <w:highlight w:val="none"/>
                      <w:lang w:val="en-US" w:eastAsia="zh-CN"/>
                    </w:rPr>
                    <w:t>2废重金属捕捉器</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重金属（铬、镉、银等）</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废</w:t>
                  </w:r>
                  <w:r>
                    <w:rPr>
                      <w:rFonts w:hint="eastAsia" w:ascii="Times New Roman" w:hAnsi="Times New Roman" w:cs="Times New Roman"/>
                      <w:b w:val="0"/>
                      <w:bCs w:val="0"/>
                      <w:color w:val="auto"/>
                      <w:sz w:val="21"/>
                      <w:szCs w:val="21"/>
                      <w:highlight w:val="none"/>
                      <w:lang w:val="en-US" w:eastAsia="zh-CN"/>
                    </w:rPr>
                    <w:t>水</w:t>
                  </w:r>
                  <w:r>
                    <w:rPr>
                      <w:rFonts w:hint="default" w:ascii="Times New Roman" w:hAnsi="Times New Roman" w:cs="Times New Roman"/>
                      <w:b w:val="0"/>
                      <w:bCs w:val="0"/>
                      <w:color w:val="auto"/>
                      <w:sz w:val="21"/>
                      <w:szCs w:val="21"/>
                      <w:highlight w:val="none"/>
                      <w:lang w:val="en-US" w:eastAsia="zh-CN"/>
                    </w:rPr>
                    <w:t>治理</w:t>
                  </w:r>
                </w:p>
              </w:tc>
              <w:tc>
                <w:tcPr>
                  <w:tcW w:w="3084"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4"/>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9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S1</w:t>
                  </w: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lang w:val="en-US" w:eastAsia="zh-CN"/>
                    </w:rPr>
                    <w:t>废活性炭</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废</w:t>
                  </w:r>
                  <w:r>
                    <w:rPr>
                      <w:rFonts w:hint="eastAsia" w:ascii="Times New Roman" w:hAnsi="Times New Roman" w:cs="Times New Roman"/>
                      <w:b w:val="0"/>
                      <w:bCs w:val="0"/>
                      <w:color w:val="auto"/>
                      <w:sz w:val="21"/>
                      <w:szCs w:val="21"/>
                      <w:highlight w:val="none"/>
                      <w:lang w:val="en-US" w:eastAsia="zh-CN"/>
                    </w:rPr>
                    <w:t>水</w:t>
                  </w:r>
                  <w:r>
                    <w:rPr>
                      <w:rFonts w:hint="default" w:ascii="Times New Roman" w:hAnsi="Times New Roman" w:cs="Times New Roman"/>
                      <w:b w:val="0"/>
                      <w:bCs w:val="0"/>
                      <w:color w:val="auto"/>
                      <w:sz w:val="21"/>
                      <w:szCs w:val="21"/>
                      <w:highlight w:val="none"/>
                      <w:lang w:val="en-US" w:eastAsia="zh-CN"/>
                    </w:rPr>
                    <w:t>治理</w:t>
                  </w:r>
                </w:p>
              </w:tc>
              <w:tc>
                <w:tcPr>
                  <w:tcW w:w="3084"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4"/>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9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S1</w:t>
                  </w: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废</w:t>
                  </w:r>
                  <w:r>
                    <w:rPr>
                      <w:rFonts w:hint="eastAsia" w:ascii="Times New Roman" w:hAnsi="Times New Roman" w:cs="Times New Roman"/>
                      <w:color w:val="auto"/>
                      <w:sz w:val="21"/>
                      <w:szCs w:val="21"/>
                      <w:highlight w:val="none"/>
                      <w:lang w:val="en-US" w:eastAsia="zh-CN"/>
                    </w:rPr>
                    <w:t>石英砂</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废</w:t>
                  </w:r>
                  <w:r>
                    <w:rPr>
                      <w:rFonts w:hint="eastAsia" w:ascii="Times New Roman" w:hAnsi="Times New Roman" w:cs="Times New Roman"/>
                      <w:b w:val="0"/>
                      <w:bCs w:val="0"/>
                      <w:color w:val="auto"/>
                      <w:sz w:val="21"/>
                      <w:szCs w:val="21"/>
                      <w:highlight w:val="none"/>
                      <w:lang w:val="en-US" w:eastAsia="zh-CN"/>
                    </w:rPr>
                    <w:t>水</w:t>
                  </w:r>
                  <w:r>
                    <w:rPr>
                      <w:rFonts w:hint="default" w:ascii="Times New Roman" w:hAnsi="Times New Roman" w:cs="Times New Roman"/>
                      <w:b w:val="0"/>
                      <w:bCs w:val="0"/>
                      <w:color w:val="auto"/>
                      <w:sz w:val="21"/>
                      <w:szCs w:val="21"/>
                      <w:highlight w:val="none"/>
                      <w:lang w:val="en-US" w:eastAsia="zh-CN"/>
                    </w:rPr>
                    <w:t>治理</w:t>
                  </w:r>
                </w:p>
              </w:tc>
              <w:tc>
                <w:tcPr>
                  <w:tcW w:w="3084"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4"/>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9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rPr>
                  </w:pPr>
                </w:p>
              </w:tc>
              <w:tc>
                <w:tcPr>
                  <w:tcW w:w="1629"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S1</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eastAsia="zh-CN"/>
                    </w:rPr>
                    <w:t>生活垃圾</w:t>
                  </w:r>
                </w:p>
              </w:tc>
              <w:tc>
                <w:tcPr>
                  <w:tcW w:w="1666"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w:t>
                  </w:r>
                </w:p>
              </w:tc>
              <w:tc>
                <w:tcPr>
                  <w:tcW w:w="13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日常办公</w:t>
                  </w:r>
                </w:p>
              </w:tc>
              <w:tc>
                <w:tcPr>
                  <w:tcW w:w="3084"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4"/>
                      <w:highlight w:val="none"/>
                      <w:lang w:val="en-US" w:eastAsia="zh-CN"/>
                    </w:rPr>
                  </w:pPr>
                  <w:r>
                    <w:rPr>
                      <w:rFonts w:hint="default" w:ascii="Times New Roman" w:hAnsi="Times New Roman" w:cs="Times New Roman"/>
                      <w:b w:val="0"/>
                      <w:bCs w:val="0"/>
                      <w:color w:val="auto"/>
                      <w:sz w:val="21"/>
                      <w:szCs w:val="21"/>
                      <w:highlight w:val="none"/>
                      <w:lang w:val="en-US" w:eastAsia="zh-CN"/>
                    </w:rPr>
                    <w:t>垃圾桶收集，每日由</w:t>
                  </w:r>
                  <w:r>
                    <w:rPr>
                      <w:rFonts w:hint="default" w:ascii="Times New Roman" w:hAnsi="Times New Roman" w:cs="Times New Roman"/>
                      <w:b w:val="0"/>
                      <w:bCs w:val="0"/>
                      <w:color w:val="auto"/>
                      <w:sz w:val="21"/>
                      <w:szCs w:val="21"/>
                      <w:highlight w:val="none"/>
                    </w:rPr>
                    <w:t>环卫部门</w:t>
                  </w:r>
                  <w:r>
                    <w:rPr>
                      <w:rFonts w:hint="default" w:ascii="Times New Roman" w:hAnsi="Times New Roman" w:cs="Times New Roman"/>
                      <w:b w:val="0"/>
                      <w:bCs w:val="0"/>
                      <w:color w:val="auto"/>
                      <w:sz w:val="21"/>
                      <w:szCs w:val="21"/>
                      <w:highlight w:val="none"/>
                      <w:lang w:val="en-US" w:eastAsia="zh-CN"/>
                    </w:rPr>
                    <w:t>统一清运</w:t>
                  </w:r>
                </w:p>
              </w:tc>
            </w:tr>
            <w:bookmarkEnd w:id="48"/>
          </w:tbl>
          <w:p>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bCs/>
                <w:color w:val="auto"/>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979" w:hRule="atLeast"/>
          <w:jc w:val="center"/>
        </w:trPr>
        <w:tc>
          <w:tcPr>
            <w:tcW w:w="589"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kern w:val="2"/>
                <w:sz w:val="24"/>
                <w:szCs w:val="24"/>
                <w:highlight w:val="none"/>
              </w:rPr>
              <w:t>与项目有关的原有环境污染问题</w:t>
            </w:r>
          </w:p>
        </w:tc>
        <w:tc>
          <w:tcPr>
            <w:tcW w:w="8471" w:type="dxa"/>
            <w:vAlign w:val="center"/>
          </w:tcPr>
          <w:p>
            <w:pPr>
              <w:pStyle w:val="36"/>
              <w:keepNext w:val="0"/>
              <w:keepLines w:val="0"/>
              <w:suppressLineNumbers w:val="0"/>
              <w:bidi w:val="0"/>
              <w:spacing w:before="0" w:beforeAutospacing="0" w:after="0" w:afterAutospacing="0"/>
              <w:ind w:left="0" w:right="0"/>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color w:val="auto"/>
                <w:highlight w:val="none"/>
                <w:lang w:val="en-US" w:eastAsia="zh-CN"/>
              </w:rPr>
              <w:t>无</w:t>
            </w:r>
            <w:r>
              <w:rPr>
                <w:rFonts w:hint="eastAsia" w:ascii="Times New Roman" w:hAnsi="Times New Roman" w:cs="Times New Roman"/>
                <w:color w:val="auto"/>
                <w:highlight w:val="none"/>
                <w:lang w:val="en-US" w:eastAsia="zh-CN"/>
              </w:rPr>
              <w:t>，</w:t>
            </w:r>
            <w:r>
              <w:rPr>
                <w:rFonts w:hint="eastAsia" w:cs="Times New Roman"/>
                <w:color w:val="auto"/>
                <w:highlight w:val="none"/>
                <w:lang w:val="en-US" w:eastAsia="zh-CN"/>
              </w:rPr>
              <w:t>本项目</w:t>
            </w:r>
            <w:r>
              <w:rPr>
                <w:rFonts w:hint="eastAsia" w:ascii="Times New Roman" w:hAnsi="Times New Roman" w:cs="Times New Roman"/>
                <w:color w:val="auto"/>
                <w:highlight w:val="none"/>
                <w:lang w:val="en-US" w:eastAsia="zh-CN"/>
              </w:rPr>
              <w:t>租赁福清洪金机械有限公司办公楼4层、5层</w:t>
            </w:r>
            <w:r>
              <w:rPr>
                <w:rFonts w:hint="eastAsia" w:cs="Times New Roman"/>
                <w:color w:val="auto"/>
                <w:highlight w:val="none"/>
                <w:lang w:val="en-US" w:eastAsia="zh-CN"/>
              </w:rPr>
              <w:t>，该栋办公楼共6层。根据现场踏勘，目前其余楼层均处于空置状态，与</w:t>
            </w:r>
            <w:r>
              <w:rPr>
                <w:rFonts w:hint="eastAsia" w:ascii="Times New Roman" w:hAnsi="Times New Roman" w:cs="Times New Roman"/>
                <w:color w:val="auto"/>
                <w:highlight w:val="none"/>
                <w:lang w:val="en-US" w:eastAsia="zh-CN"/>
              </w:rPr>
              <w:t>福清洪金机械有限公司</w:t>
            </w:r>
            <w:r>
              <w:rPr>
                <w:rFonts w:hint="eastAsia" w:cs="Times New Roman"/>
                <w:color w:val="auto"/>
                <w:highlight w:val="none"/>
                <w:lang w:val="en-US" w:eastAsia="zh-CN"/>
              </w:rPr>
              <w:t>联系得知剩余楼层均租赁于企业办公使用。</w:t>
            </w:r>
          </w:p>
        </w:tc>
      </w:tr>
    </w:tbl>
    <w:p>
      <w:pPr>
        <w:jc w:val="center"/>
        <w:rPr>
          <w:rFonts w:hint="default" w:ascii="Times New Roman" w:hAnsi="Times New Roman" w:eastAsia="黑体" w:cs="Times New Roman"/>
          <w:snapToGrid w:val="0"/>
          <w:color w:val="auto"/>
          <w:sz w:val="36"/>
          <w:szCs w:val="36"/>
          <w:highlight w:val="none"/>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2"/>
        <w:bidi w:val="0"/>
        <w:rPr>
          <w:rFonts w:hint="default"/>
          <w:color w:val="auto"/>
        </w:rPr>
      </w:pPr>
      <w:bookmarkStart w:id="49" w:name="_Toc14452"/>
      <w:bookmarkStart w:id="50" w:name="_Toc22221"/>
      <w:r>
        <w:rPr>
          <w:rFonts w:hint="default"/>
          <w:color w:val="auto"/>
        </w:rPr>
        <w:t>区域环境质量现状、环境保护目标及评价标准</w:t>
      </w:r>
      <w:bookmarkEnd w:id="49"/>
      <w:bookmarkEnd w:id="50"/>
    </w:p>
    <w:tbl>
      <w:tblPr>
        <w:tblStyle w:val="32"/>
        <w:tblW w:w="9061"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05"/>
        <w:gridCol w:w="845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613" w:hRule="atLeast"/>
          <w:jc w:val="center"/>
        </w:trPr>
        <w:tc>
          <w:tcPr>
            <w:tcW w:w="605"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区域</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质量</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现状</w:t>
            </w:r>
          </w:p>
        </w:tc>
        <w:tc>
          <w:tcPr>
            <w:tcW w:w="8456" w:type="dxa"/>
            <w:vAlign w:val="center"/>
          </w:tcPr>
          <w:p>
            <w:pPr>
              <w:pStyle w:val="3"/>
              <w:suppressLineNumbers w:val="0"/>
              <w:bidi w:val="0"/>
              <w:spacing w:beforeAutospacing="0" w:afterAutospacing="0"/>
              <w:ind w:right="0"/>
              <w:rPr>
                <w:rFonts w:hint="default"/>
                <w:color w:val="auto"/>
                <w:lang w:val="en-US" w:eastAsia="zh-CN"/>
              </w:rPr>
            </w:pPr>
            <w:bookmarkStart w:id="51" w:name="_Toc13847"/>
            <w:r>
              <w:rPr>
                <w:rFonts w:hint="eastAsia"/>
                <w:color w:val="auto"/>
                <w:lang w:val="en-US" w:eastAsia="zh-CN"/>
              </w:rPr>
              <w:t>大气环境质量现状</w:t>
            </w:r>
            <w:bookmarkEnd w:id="51"/>
          </w:p>
          <w:p>
            <w:pPr>
              <w:pStyle w:val="4"/>
              <w:suppressLineNumbers w:val="0"/>
              <w:bidi w:val="0"/>
              <w:spacing w:beforeAutospacing="0" w:afterAutospacing="0"/>
              <w:ind w:right="0"/>
              <w:rPr>
                <w:rFonts w:hint="default"/>
                <w:color w:val="auto"/>
                <w:lang w:val="en-US" w:eastAsia="zh-CN"/>
              </w:rPr>
            </w:pPr>
            <w:r>
              <w:rPr>
                <w:rFonts w:hint="eastAsia"/>
                <w:color w:val="auto"/>
                <w:lang w:eastAsia="zh-CN"/>
              </w:rPr>
              <w:t>环境空气质量功能区划</w:t>
            </w:r>
          </w:p>
          <w:p>
            <w:pPr>
              <w:pStyle w:val="36"/>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highlight w:val="none"/>
                <w:lang w:val="en-US" w:eastAsia="zh-CN"/>
              </w:rPr>
            </w:pPr>
            <w:r>
              <w:rPr>
                <w:rFonts w:hint="eastAsia"/>
                <w:color w:val="auto"/>
                <w:lang w:val="en-US" w:eastAsia="zh-CN"/>
              </w:rPr>
              <w:t>项目位于福清市融侨经济技术开发洪宽工业村，</w:t>
            </w:r>
            <w:r>
              <w:rPr>
                <w:rFonts w:hint="default"/>
                <w:color w:val="auto"/>
              </w:rPr>
              <w:t>根据福州市人民政府榕政综</w:t>
            </w:r>
            <w:r>
              <w:rPr>
                <w:rFonts w:hint="eastAsia"/>
                <w:color w:val="auto"/>
                <w:lang w:eastAsia="zh-CN"/>
              </w:rPr>
              <w:t>〔</w:t>
            </w:r>
            <w:r>
              <w:rPr>
                <w:rFonts w:hint="default"/>
                <w:color w:val="auto"/>
              </w:rPr>
              <w:t>2014</w:t>
            </w:r>
            <w:r>
              <w:rPr>
                <w:rFonts w:hint="eastAsia"/>
                <w:color w:val="auto"/>
                <w:lang w:eastAsia="zh-CN"/>
              </w:rPr>
              <w:t>〕</w:t>
            </w:r>
            <w:r>
              <w:rPr>
                <w:rFonts w:hint="default"/>
                <w:color w:val="auto"/>
              </w:rPr>
              <w:t>30号文件正式批准实施《福州市环境空气质量功能区划</w:t>
            </w:r>
            <w:r>
              <w:rPr>
                <w:rFonts w:hint="eastAsia"/>
                <w:color w:val="auto"/>
                <w:lang w:eastAsia="zh-CN"/>
              </w:rPr>
              <w:t>（</w:t>
            </w:r>
            <w:r>
              <w:rPr>
                <w:rFonts w:hint="default"/>
                <w:color w:val="auto"/>
              </w:rPr>
              <w:t>报批稿</w:t>
            </w:r>
            <w:r>
              <w:rPr>
                <w:rFonts w:hint="eastAsia"/>
                <w:color w:val="auto"/>
                <w:lang w:eastAsia="zh-CN"/>
              </w:rPr>
              <w:t>）</w:t>
            </w:r>
            <w:r>
              <w:rPr>
                <w:rFonts w:hint="default"/>
                <w:color w:val="auto"/>
              </w:rPr>
              <w:t>》的规定，项目所在区域环境空气功能规划为二类区，环境空气质量执行《环境空气质量标准》</w:t>
            </w:r>
            <w:r>
              <w:rPr>
                <w:rFonts w:hint="eastAsia"/>
                <w:color w:val="auto"/>
                <w:lang w:eastAsia="zh-CN"/>
              </w:rPr>
              <w:t>（</w:t>
            </w:r>
            <w:r>
              <w:rPr>
                <w:rFonts w:hint="default"/>
                <w:color w:val="auto"/>
              </w:rPr>
              <w:t>GB3095-2012</w:t>
            </w:r>
            <w:r>
              <w:rPr>
                <w:rFonts w:hint="eastAsia"/>
                <w:color w:val="auto"/>
                <w:lang w:eastAsia="zh-CN"/>
              </w:rPr>
              <w:t>）</w:t>
            </w:r>
            <w:r>
              <w:rPr>
                <w:rFonts w:hint="default"/>
                <w:color w:val="auto"/>
              </w:rPr>
              <w:t>及其修改单中的二级标准。非甲烷总烃参照执行《大气污染物综合排放标准详解》</w:t>
            </w:r>
            <w:r>
              <w:rPr>
                <w:rFonts w:hint="eastAsia"/>
                <w:color w:val="auto"/>
                <w:lang w:eastAsia="zh-CN"/>
              </w:rPr>
              <w:t>（</w:t>
            </w:r>
            <w:r>
              <w:rPr>
                <w:rFonts w:hint="default"/>
                <w:color w:val="auto"/>
              </w:rPr>
              <w:t>国家环境保护局科技标准司</w:t>
            </w:r>
            <w:r>
              <w:rPr>
                <w:rFonts w:hint="eastAsia"/>
                <w:color w:val="auto"/>
                <w:lang w:eastAsia="zh-CN"/>
              </w:rPr>
              <w:t>）</w:t>
            </w:r>
            <w:r>
              <w:rPr>
                <w:rFonts w:hint="default"/>
                <w:color w:val="auto"/>
              </w:rPr>
              <w:t>中规定的标准限值，具体详见</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_Ref18834 \n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表3.1-1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t>。</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eastAsia" w:ascii="Times New Roman" w:hAnsi="Times New Roman" w:cs="Times New Roman"/>
                <w:color w:val="auto"/>
                <w:highlight w:val="none"/>
                <w:lang w:val="en-US" w:eastAsia="zh-CN"/>
              </w:rPr>
            </w:pPr>
            <w:bookmarkStart w:id="52" w:name="_Ref18834"/>
            <w:r>
              <w:rPr>
                <w:rFonts w:hint="default" w:ascii="Times New Roman" w:hAnsi="Times New Roman" w:cs="Times New Roman"/>
                <w:color w:val="auto"/>
                <w:highlight w:val="none"/>
                <w:lang w:val="en-US" w:eastAsia="zh-CN"/>
              </w:rPr>
              <w:t>福鼎市区域空气质量现状评价</w:t>
            </w:r>
            <w:bookmarkEnd w:id="52"/>
            <w:r>
              <w:rPr>
                <w:rFonts w:hint="eastAsia" w:ascii="Times New Roman" w:hAnsi="Times New Roman" w:cs="Times New Roman"/>
                <w:color w:val="auto"/>
                <w:highlight w:val="none"/>
                <w:lang w:val="en-US" w:eastAsia="zh-CN"/>
              </w:rPr>
              <w:t>表</w:t>
            </w:r>
          </w:p>
          <w:tbl>
            <w:tblPr>
              <w:tblStyle w:val="32"/>
              <w:tblW w:w="8237" w:type="dxa"/>
              <w:jc w:val="center"/>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
            <w:tblGrid>
              <w:gridCol w:w="1405"/>
              <w:gridCol w:w="1928"/>
              <w:gridCol w:w="1383"/>
              <w:gridCol w:w="3521"/>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cantSplit/>
                <w:trHeight w:val="369" w:hRule="atLeast"/>
                <w:jc w:val="center"/>
              </w:trPr>
              <w:tc>
                <w:tcPr>
                  <w:tcW w:w="1405"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污染物名称</w:t>
                  </w:r>
                </w:p>
              </w:tc>
              <w:tc>
                <w:tcPr>
                  <w:tcW w:w="1928"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取值时间</w:t>
                  </w:r>
                </w:p>
              </w:tc>
              <w:tc>
                <w:tcPr>
                  <w:tcW w:w="1383"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浓度限值</w:t>
                  </w:r>
                </w:p>
              </w:tc>
              <w:tc>
                <w:tcPr>
                  <w:tcW w:w="3521"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标准来源</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cantSplit/>
                <w:trHeight w:val="369" w:hRule="atLeast"/>
                <w:jc w:val="center"/>
              </w:trPr>
              <w:tc>
                <w:tcPr>
                  <w:tcW w:w="1405" w:type="dxa"/>
                  <w:vMerge w:val="restart"/>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PM</w:t>
                  </w:r>
                  <w:r>
                    <w:rPr>
                      <w:rFonts w:hint="default"/>
                      <w:color w:val="auto"/>
                      <w:vertAlign w:val="subscript"/>
                    </w:rPr>
                    <w:t>10</w:t>
                  </w:r>
                </w:p>
              </w:tc>
              <w:tc>
                <w:tcPr>
                  <w:tcW w:w="1928"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年平均</w:t>
                  </w:r>
                </w:p>
              </w:tc>
              <w:tc>
                <w:tcPr>
                  <w:tcW w:w="1383"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70μg/m</w:t>
                  </w:r>
                  <w:r>
                    <w:rPr>
                      <w:rFonts w:hint="default"/>
                      <w:color w:val="auto"/>
                      <w:vertAlign w:val="superscript"/>
                    </w:rPr>
                    <w:t>3</w:t>
                  </w:r>
                </w:p>
              </w:tc>
              <w:tc>
                <w:tcPr>
                  <w:tcW w:w="3521" w:type="dxa"/>
                  <w:vMerge w:val="restart"/>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《环境空气质量标准》</w:t>
                  </w:r>
                  <w:r>
                    <w:rPr>
                      <w:rFonts w:hint="eastAsia"/>
                      <w:color w:val="auto"/>
                      <w:lang w:eastAsia="zh-CN"/>
                    </w:rPr>
                    <w:t>（</w:t>
                  </w:r>
                  <w:r>
                    <w:rPr>
                      <w:rFonts w:hint="default"/>
                      <w:color w:val="auto"/>
                    </w:rPr>
                    <w:t>GB3095-2012</w:t>
                  </w:r>
                  <w:r>
                    <w:rPr>
                      <w:rFonts w:hint="eastAsia"/>
                      <w:color w:val="auto"/>
                      <w:lang w:eastAsia="zh-CN"/>
                    </w:rPr>
                    <w:t>）</w:t>
                  </w:r>
                  <w:r>
                    <w:rPr>
                      <w:rFonts w:hint="default"/>
                      <w:color w:val="auto"/>
                    </w:rPr>
                    <w:t>及其修改</w:t>
                  </w:r>
                </w:p>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单中的二级标准</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cantSplit/>
                <w:trHeight w:val="369" w:hRule="atLeast"/>
                <w:jc w:val="center"/>
              </w:trPr>
              <w:tc>
                <w:tcPr>
                  <w:tcW w:w="1405"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c>
                <w:tcPr>
                  <w:tcW w:w="1928"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24小时平均</w:t>
                  </w:r>
                </w:p>
              </w:tc>
              <w:tc>
                <w:tcPr>
                  <w:tcW w:w="1383"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150μg/m</w:t>
                  </w:r>
                  <w:r>
                    <w:rPr>
                      <w:rFonts w:hint="default"/>
                      <w:color w:val="auto"/>
                      <w:vertAlign w:val="superscript"/>
                    </w:rPr>
                    <w:t>3</w:t>
                  </w:r>
                </w:p>
              </w:tc>
              <w:tc>
                <w:tcPr>
                  <w:tcW w:w="3521"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cantSplit/>
                <w:trHeight w:val="369" w:hRule="atLeast"/>
                <w:jc w:val="center"/>
              </w:trPr>
              <w:tc>
                <w:tcPr>
                  <w:tcW w:w="1405" w:type="dxa"/>
                  <w:vMerge w:val="restart"/>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PM</w:t>
                  </w:r>
                  <w:r>
                    <w:rPr>
                      <w:rFonts w:hint="default"/>
                      <w:color w:val="auto"/>
                      <w:vertAlign w:val="subscript"/>
                    </w:rPr>
                    <w:t>2.5</w:t>
                  </w:r>
                </w:p>
              </w:tc>
              <w:tc>
                <w:tcPr>
                  <w:tcW w:w="1928"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年平均</w:t>
                  </w:r>
                </w:p>
              </w:tc>
              <w:tc>
                <w:tcPr>
                  <w:tcW w:w="1383"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35μg/m</w:t>
                  </w:r>
                  <w:r>
                    <w:rPr>
                      <w:rFonts w:hint="default"/>
                      <w:color w:val="auto"/>
                      <w:vertAlign w:val="superscript"/>
                    </w:rPr>
                    <w:t>3</w:t>
                  </w:r>
                </w:p>
              </w:tc>
              <w:tc>
                <w:tcPr>
                  <w:tcW w:w="3521"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cantSplit/>
                <w:trHeight w:val="369" w:hRule="atLeast"/>
                <w:jc w:val="center"/>
              </w:trPr>
              <w:tc>
                <w:tcPr>
                  <w:tcW w:w="1405"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c>
                <w:tcPr>
                  <w:tcW w:w="1928"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24小时平均</w:t>
                  </w:r>
                </w:p>
              </w:tc>
              <w:tc>
                <w:tcPr>
                  <w:tcW w:w="1383"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75μg/m</w:t>
                  </w:r>
                  <w:r>
                    <w:rPr>
                      <w:rFonts w:hint="default"/>
                      <w:color w:val="auto"/>
                      <w:vertAlign w:val="superscript"/>
                    </w:rPr>
                    <w:t>3</w:t>
                  </w:r>
                </w:p>
              </w:tc>
              <w:tc>
                <w:tcPr>
                  <w:tcW w:w="3521"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cantSplit/>
                <w:trHeight w:val="369" w:hRule="atLeast"/>
                <w:jc w:val="center"/>
              </w:trPr>
              <w:tc>
                <w:tcPr>
                  <w:tcW w:w="1405" w:type="dxa"/>
                  <w:vMerge w:val="restart"/>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SO</w:t>
                  </w:r>
                  <w:r>
                    <w:rPr>
                      <w:rFonts w:hint="default"/>
                      <w:color w:val="auto"/>
                      <w:vertAlign w:val="subscript"/>
                    </w:rPr>
                    <w:t>2</w:t>
                  </w:r>
                </w:p>
              </w:tc>
              <w:tc>
                <w:tcPr>
                  <w:tcW w:w="1928"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年平均</w:t>
                  </w:r>
                </w:p>
              </w:tc>
              <w:tc>
                <w:tcPr>
                  <w:tcW w:w="1383"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60μg/m</w:t>
                  </w:r>
                  <w:r>
                    <w:rPr>
                      <w:rFonts w:hint="default"/>
                      <w:color w:val="auto"/>
                      <w:vertAlign w:val="superscript"/>
                    </w:rPr>
                    <w:t>3</w:t>
                  </w:r>
                </w:p>
              </w:tc>
              <w:tc>
                <w:tcPr>
                  <w:tcW w:w="3521"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cantSplit/>
                <w:trHeight w:val="369" w:hRule="atLeast"/>
                <w:jc w:val="center"/>
              </w:trPr>
              <w:tc>
                <w:tcPr>
                  <w:tcW w:w="1405"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c>
                <w:tcPr>
                  <w:tcW w:w="1928"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24小时平均</w:t>
                  </w:r>
                </w:p>
              </w:tc>
              <w:tc>
                <w:tcPr>
                  <w:tcW w:w="1383"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150μg/m</w:t>
                  </w:r>
                  <w:r>
                    <w:rPr>
                      <w:rFonts w:hint="default"/>
                      <w:color w:val="auto"/>
                      <w:vertAlign w:val="superscript"/>
                    </w:rPr>
                    <w:t>3</w:t>
                  </w:r>
                </w:p>
              </w:tc>
              <w:tc>
                <w:tcPr>
                  <w:tcW w:w="3521"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cantSplit/>
                <w:trHeight w:val="369" w:hRule="atLeast"/>
                <w:jc w:val="center"/>
              </w:trPr>
              <w:tc>
                <w:tcPr>
                  <w:tcW w:w="1405"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c>
                <w:tcPr>
                  <w:tcW w:w="1928"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1小时平均</w:t>
                  </w:r>
                </w:p>
              </w:tc>
              <w:tc>
                <w:tcPr>
                  <w:tcW w:w="1383"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500μg/m</w:t>
                  </w:r>
                  <w:r>
                    <w:rPr>
                      <w:rFonts w:hint="default"/>
                      <w:color w:val="auto"/>
                      <w:vertAlign w:val="superscript"/>
                    </w:rPr>
                    <w:t>3</w:t>
                  </w:r>
                </w:p>
              </w:tc>
              <w:tc>
                <w:tcPr>
                  <w:tcW w:w="3521"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cantSplit/>
                <w:trHeight w:val="369" w:hRule="atLeast"/>
                <w:jc w:val="center"/>
              </w:trPr>
              <w:tc>
                <w:tcPr>
                  <w:tcW w:w="1405" w:type="dxa"/>
                  <w:vMerge w:val="restart"/>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NO</w:t>
                  </w:r>
                  <w:r>
                    <w:rPr>
                      <w:rFonts w:hint="default"/>
                      <w:color w:val="auto"/>
                      <w:vertAlign w:val="subscript"/>
                    </w:rPr>
                    <w:t>2</w:t>
                  </w:r>
                </w:p>
              </w:tc>
              <w:tc>
                <w:tcPr>
                  <w:tcW w:w="1928"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年平均</w:t>
                  </w:r>
                </w:p>
              </w:tc>
              <w:tc>
                <w:tcPr>
                  <w:tcW w:w="1383"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40μg/m</w:t>
                  </w:r>
                  <w:r>
                    <w:rPr>
                      <w:rFonts w:hint="default"/>
                      <w:color w:val="auto"/>
                      <w:vertAlign w:val="superscript"/>
                    </w:rPr>
                    <w:t>3</w:t>
                  </w:r>
                </w:p>
              </w:tc>
              <w:tc>
                <w:tcPr>
                  <w:tcW w:w="3521"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cantSplit/>
                <w:trHeight w:val="369" w:hRule="atLeast"/>
                <w:jc w:val="center"/>
              </w:trPr>
              <w:tc>
                <w:tcPr>
                  <w:tcW w:w="1405"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c>
                <w:tcPr>
                  <w:tcW w:w="1928"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24小时平均</w:t>
                  </w:r>
                </w:p>
              </w:tc>
              <w:tc>
                <w:tcPr>
                  <w:tcW w:w="1383"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80μg/m</w:t>
                  </w:r>
                  <w:r>
                    <w:rPr>
                      <w:rFonts w:hint="default"/>
                      <w:color w:val="auto"/>
                      <w:vertAlign w:val="superscript"/>
                    </w:rPr>
                    <w:t>3</w:t>
                  </w:r>
                </w:p>
              </w:tc>
              <w:tc>
                <w:tcPr>
                  <w:tcW w:w="3521"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cantSplit/>
                <w:trHeight w:val="369" w:hRule="atLeast"/>
                <w:jc w:val="center"/>
              </w:trPr>
              <w:tc>
                <w:tcPr>
                  <w:tcW w:w="1405"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c>
                <w:tcPr>
                  <w:tcW w:w="1928"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1小时平均</w:t>
                  </w:r>
                </w:p>
              </w:tc>
              <w:tc>
                <w:tcPr>
                  <w:tcW w:w="1383"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200μg/m</w:t>
                  </w:r>
                  <w:r>
                    <w:rPr>
                      <w:rFonts w:hint="default"/>
                      <w:color w:val="auto"/>
                      <w:vertAlign w:val="superscript"/>
                    </w:rPr>
                    <w:t>3</w:t>
                  </w:r>
                </w:p>
              </w:tc>
              <w:tc>
                <w:tcPr>
                  <w:tcW w:w="3521"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cantSplit/>
                <w:trHeight w:val="369" w:hRule="atLeast"/>
                <w:jc w:val="center"/>
              </w:trPr>
              <w:tc>
                <w:tcPr>
                  <w:tcW w:w="1405" w:type="dxa"/>
                  <w:vMerge w:val="restart"/>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CO</w:t>
                  </w:r>
                </w:p>
              </w:tc>
              <w:tc>
                <w:tcPr>
                  <w:tcW w:w="1928"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24小时平均</w:t>
                  </w:r>
                </w:p>
              </w:tc>
              <w:tc>
                <w:tcPr>
                  <w:tcW w:w="1383"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4mg/m</w:t>
                  </w:r>
                  <w:r>
                    <w:rPr>
                      <w:rFonts w:hint="default"/>
                      <w:color w:val="auto"/>
                      <w:vertAlign w:val="superscript"/>
                    </w:rPr>
                    <w:t>3</w:t>
                  </w:r>
                </w:p>
              </w:tc>
              <w:tc>
                <w:tcPr>
                  <w:tcW w:w="3521"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cantSplit/>
                <w:trHeight w:val="369" w:hRule="atLeast"/>
                <w:jc w:val="center"/>
              </w:trPr>
              <w:tc>
                <w:tcPr>
                  <w:tcW w:w="1405"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c>
                <w:tcPr>
                  <w:tcW w:w="1928"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1小时平均</w:t>
                  </w:r>
                </w:p>
              </w:tc>
              <w:tc>
                <w:tcPr>
                  <w:tcW w:w="1383"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10mg/m</w:t>
                  </w:r>
                  <w:r>
                    <w:rPr>
                      <w:rFonts w:hint="default"/>
                      <w:color w:val="auto"/>
                      <w:vertAlign w:val="superscript"/>
                    </w:rPr>
                    <w:t>3</w:t>
                  </w:r>
                </w:p>
              </w:tc>
              <w:tc>
                <w:tcPr>
                  <w:tcW w:w="3521"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cantSplit/>
                <w:trHeight w:val="369" w:hRule="atLeast"/>
                <w:jc w:val="center"/>
              </w:trPr>
              <w:tc>
                <w:tcPr>
                  <w:tcW w:w="1405" w:type="dxa"/>
                  <w:vMerge w:val="restart"/>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O</w:t>
                  </w:r>
                  <w:r>
                    <w:rPr>
                      <w:rFonts w:hint="default"/>
                      <w:color w:val="auto"/>
                      <w:vertAlign w:val="subscript"/>
                    </w:rPr>
                    <w:t>3</w:t>
                  </w:r>
                </w:p>
              </w:tc>
              <w:tc>
                <w:tcPr>
                  <w:tcW w:w="1928"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日最大8小时平均</w:t>
                  </w:r>
                </w:p>
              </w:tc>
              <w:tc>
                <w:tcPr>
                  <w:tcW w:w="1383"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160μg/m</w:t>
                  </w:r>
                  <w:r>
                    <w:rPr>
                      <w:rFonts w:hint="default"/>
                      <w:color w:val="auto"/>
                      <w:vertAlign w:val="superscript"/>
                    </w:rPr>
                    <w:t>3</w:t>
                  </w:r>
                </w:p>
              </w:tc>
              <w:tc>
                <w:tcPr>
                  <w:tcW w:w="3521"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cantSplit/>
                <w:trHeight w:val="369" w:hRule="atLeast"/>
                <w:jc w:val="center"/>
              </w:trPr>
              <w:tc>
                <w:tcPr>
                  <w:tcW w:w="1405"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c>
                <w:tcPr>
                  <w:tcW w:w="1928"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1小时平均</w:t>
                  </w:r>
                </w:p>
              </w:tc>
              <w:tc>
                <w:tcPr>
                  <w:tcW w:w="1383"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200μg/m</w:t>
                  </w:r>
                  <w:r>
                    <w:rPr>
                      <w:rFonts w:hint="default"/>
                      <w:color w:val="auto"/>
                      <w:vertAlign w:val="superscript"/>
                    </w:rPr>
                    <w:t>3</w:t>
                  </w:r>
                </w:p>
              </w:tc>
              <w:tc>
                <w:tcPr>
                  <w:tcW w:w="3521"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cantSplit/>
                <w:trHeight w:val="369" w:hRule="atLeast"/>
                <w:jc w:val="center"/>
              </w:trPr>
              <w:tc>
                <w:tcPr>
                  <w:tcW w:w="1405"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非甲烷总烃</w:t>
                  </w:r>
                </w:p>
              </w:tc>
              <w:tc>
                <w:tcPr>
                  <w:tcW w:w="1928"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1小时均值</w:t>
                  </w:r>
                </w:p>
              </w:tc>
              <w:tc>
                <w:tcPr>
                  <w:tcW w:w="1383"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2.0mg/m</w:t>
                  </w:r>
                  <w:r>
                    <w:rPr>
                      <w:rFonts w:hint="default"/>
                      <w:color w:val="auto"/>
                      <w:vertAlign w:val="superscript"/>
                    </w:rPr>
                    <w:t>3</w:t>
                  </w:r>
                </w:p>
              </w:tc>
              <w:tc>
                <w:tcPr>
                  <w:tcW w:w="3521" w:type="dxa"/>
                  <w:vAlign w:val="center"/>
                </w:tcPr>
                <w:p>
                  <w:pPr>
                    <w:pStyle w:val="78"/>
                    <w:keepNext w:val="0"/>
                    <w:keepLines w:val="0"/>
                    <w:suppressLineNumbers w:val="0"/>
                    <w:bidi w:val="0"/>
                    <w:spacing w:before="0" w:beforeAutospacing="0" w:after="0" w:afterAutospacing="0"/>
                    <w:ind w:left="0" w:right="0"/>
                    <w:rPr>
                      <w:rFonts w:hint="eastAsia" w:eastAsia="宋体"/>
                      <w:color w:val="auto"/>
                      <w:lang w:eastAsia="zh-CN"/>
                    </w:rPr>
                  </w:pPr>
                  <w:r>
                    <w:rPr>
                      <w:rFonts w:hint="default"/>
                      <w:color w:val="auto"/>
                    </w:rPr>
                    <w:t>《大气污染物综合排放标准详解》</w:t>
                  </w:r>
                  <w:r>
                    <w:rPr>
                      <w:rFonts w:hint="eastAsia"/>
                      <w:color w:val="auto"/>
                      <w:lang w:eastAsia="zh-CN"/>
                    </w:rPr>
                    <w:t>（</w:t>
                  </w:r>
                  <w:r>
                    <w:rPr>
                      <w:rFonts w:hint="default"/>
                      <w:color w:val="auto"/>
                    </w:rPr>
                    <w:t>GB16297-1996</w:t>
                  </w:r>
                  <w:r>
                    <w:rPr>
                      <w:rFonts w:hint="eastAsia"/>
                      <w:color w:val="auto"/>
                      <w:lang w:eastAsia="zh-CN"/>
                    </w:rPr>
                    <w:t>）</w:t>
                  </w:r>
                </w:p>
              </w:tc>
            </w:tr>
          </w:tbl>
          <w:p>
            <w:pPr>
              <w:pStyle w:val="4"/>
              <w:suppressLineNumbers w:val="0"/>
              <w:bidi w:val="0"/>
              <w:spacing w:beforeAutospacing="0" w:afterAutospacing="0"/>
              <w:ind w:right="0"/>
              <w:rPr>
                <w:rFonts w:hint="eastAsia" w:ascii="Times New Roman" w:hAnsi="Times New Roman" w:cs="Times New Roman"/>
                <w:color w:val="auto"/>
                <w:lang w:eastAsia="zh-CN"/>
              </w:rPr>
            </w:pPr>
            <w:r>
              <w:rPr>
                <w:rFonts w:hint="eastAsia" w:ascii="Times New Roman" w:hAnsi="Times New Roman" w:cs="Times New Roman"/>
                <w:color w:val="auto"/>
                <w:lang w:eastAsia="zh-CN"/>
              </w:rPr>
              <w:t>区域大气环境质量现状</w:t>
            </w:r>
          </w:p>
          <w:p>
            <w:pPr>
              <w:pStyle w:val="18"/>
              <w:keepNext w:val="0"/>
              <w:keepLines w:val="0"/>
              <w:suppressLineNumbers w:val="0"/>
              <w:bidi w:val="0"/>
              <w:spacing w:before="0" w:beforeAutospacing="0" w:after="0" w:afterAutospacing="0"/>
              <w:ind w:left="0" w:right="0" w:firstLine="480" w:firstLineChars="200"/>
              <w:rPr>
                <w:rFonts w:hint="eastAsia"/>
                <w:color w:val="auto"/>
              </w:rPr>
            </w:pPr>
            <w:r>
              <w:rPr>
                <w:rFonts w:hint="eastAsia"/>
                <w:color w:val="auto"/>
                <w:lang w:eastAsia="zh-CN"/>
              </w:rPr>
              <w:t>（</w:t>
            </w:r>
            <w:r>
              <w:rPr>
                <w:rFonts w:hint="default"/>
                <w:color w:val="auto"/>
              </w:rPr>
              <w:t>1</w:t>
            </w:r>
            <w:r>
              <w:rPr>
                <w:rFonts w:hint="eastAsia"/>
                <w:color w:val="auto"/>
                <w:lang w:eastAsia="zh-CN"/>
              </w:rPr>
              <w:t>）</w:t>
            </w:r>
            <w:r>
              <w:rPr>
                <w:rFonts w:hint="default"/>
                <w:color w:val="auto"/>
              </w:rPr>
              <w:t>项目所在区域</w:t>
            </w:r>
            <w:r>
              <w:rPr>
                <w:rFonts w:hint="eastAsia"/>
                <w:color w:val="auto"/>
              </w:rPr>
              <w:t>环境质量现状</w:t>
            </w:r>
          </w:p>
          <w:p>
            <w:pPr>
              <w:pStyle w:val="18"/>
              <w:keepNext w:val="0"/>
              <w:keepLines w:val="0"/>
              <w:suppressLineNumbers w:val="0"/>
              <w:bidi w:val="0"/>
              <w:spacing w:before="0" w:beforeAutospacing="0" w:after="0" w:afterAutospacing="0"/>
              <w:ind w:left="0" w:right="0" w:firstLine="480" w:firstLineChars="20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①</w:t>
            </w:r>
            <w:r>
              <w:rPr>
                <w:rFonts w:hint="eastAsia" w:cs="Times New Roman"/>
                <w:color w:val="auto"/>
                <w:lang w:val="en-US" w:eastAsia="zh-CN"/>
              </w:rPr>
              <w:t>达标区判定</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本次评价收集福清市人民政府发布的202</w:t>
            </w:r>
            <w:r>
              <w:rPr>
                <w:rFonts w:hint="eastAsia" w:ascii="Times New Roman" w:hAnsi="Times New Roman" w:cs="Times New Roman"/>
                <w:color w:val="auto"/>
                <w:sz w:val="24"/>
                <w:lang w:val="en-US" w:eastAsia="zh-CN"/>
              </w:rPr>
              <w:t>4</w:t>
            </w:r>
            <w:r>
              <w:rPr>
                <w:rFonts w:hint="default" w:ascii="Times New Roman" w:hAnsi="Times New Roman" w:cs="Times New Roman"/>
                <w:color w:val="auto"/>
                <w:sz w:val="24"/>
              </w:rPr>
              <w:t>年1月至202</w:t>
            </w:r>
            <w:r>
              <w:rPr>
                <w:rFonts w:hint="eastAsia" w:ascii="Times New Roman" w:hAnsi="Times New Roman" w:cs="Times New Roman"/>
                <w:color w:val="auto"/>
                <w:sz w:val="24"/>
                <w:lang w:val="en-US" w:eastAsia="zh-CN"/>
              </w:rPr>
              <w:t>4</w:t>
            </w:r>
            <w:r>
              <w:rPr>
                <w:rFonts w:hint="default" w:ascii="Times New Roman" w:hAnsi="Times New Roman" w:cs="Times New Roman"/>
                <w:color w:val="auto"/>
                <w:sz w:val="24"/>
              </w:rPr>
              <w:t>年12月空气质量月报数据（http://www.fuqing.gov.cn/xjwz/zwgk/ztzl/sdgjz/dhwrfzgjz/hjzl/）</w:t>
            </w:r>
            <w:r>
              <w:rPr>
                <w:rFonts w:hint="eastAsia" w:cs="Times New Roman"/>
                <w:color w:val="auto"/>
                <w:sz w:val="24"/>
                <w:lang w:eastAsia="zh-CN"/>
              </w:rPr>
              <w:t>。</w:t>
            </w:r>
            <w:r>
              <w:rPr>
                <w:rFonts w:hint="default" w:ascii="Times New Roman" w:hAnsi="Times New Roman" w:cs="Times New Roman"/>
                <w:color w:val="auto"/>
                <w:sz w:val="24"/>
              </w:rPr>
              <w:t>福清市区202</w:t>
            </w:r>
            <w:r>
              <w:rPr>
                <w:rFonts w:hint="eastAsia" w:ascii="Times New Roman" w:hAnsi="Times New Roman" w:cs="Times New Roman"/>
                <w:color w:val="auto"/>
                <w:sz w:val="24"/>
                <w:lang w:val="en-US" w:eastAsia="zh-CN"/>
              </w:rPr>
              <w:t>4</w:t>
            </w:r>
            <w:r>
              <w:rPr>
                <w:rFonts w:hint="default" w:ascii="Times New Roman" w:hAnsi="Times New Roman" w:cs="Times New Roman"/>
                <w:color w:val="auto"/>
                <w:sz w:val="24"/>
              </w:rPr>
              <w:t>年空气环境中SO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、NO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、PM</w:t>
            </w:r>
            <w:r>
              <w:rPr>
                <w:rFonts w:hint="default" w:ascii="Times New Roman" w:hAnsi="Times New Roman" w:cs="Times New Roman"/>
                <w:color w:val="auto"/>
                <w:sz w:val="24"/>
                <w:vertAlign w:val="subscript"/>
              </w:rPr>
              <w:t>10</w:t>
            </w:r>
            <w:r>
              <w:rPr>
                <w:rFonts w:hint="default" w:ascii="Times New Roman" w:hAnsi="Times New Roman" w:cs="Times New Roman"/>
                <w:color w:val="auto"/>
                <w:sz w:val="24"/>
              </w:rPr>
              <w:t>和PM</w:t>
            </w:r>
            <w:r>
              <w:rPr>
                <w:rFonts w:hint="default" w:ascii="Times New Roman" w:hAnsi="Times New Roman" w:cs="Times New Roman"/>
                <w:color w:val="auto"/>
                <w:sz w:val="24"/>
                <w:vertAlign w:val="subscript"/>
              </w:rPr>
              <w:t>2.5</w:t>
            </w:r>
            <w:r>
              <w:rPr>
                <w:rFonts w:hint="default" w:ascii="Times New Roman" w:hAnsi="Times New Roman" w:cs="Times New Roman"/>
                <w:color w:val="auto"/>
                <w:sz w:val="24"/>
              </w:rPr>
              <w:t>均未超过国家二级标准，CO日均值第95百分位数和O</w:t>
            </w:r>
            <w:r>
              <w:rPr>
                <w:rFonts w:hint="default" w:ascii="Times New Roman" w:hAnsi="Times New Roman" w:cs="Times New Roman"/>
                <w:color w:val="auto"/>
                <w:sz w:val="24"/>
                <w:vertAlign w:val="subscript"/>
              </w:rPr>
              <w:t>3</w:t>
            </w:r>
            <w:r>
              <w:rPr>
                <w:rFonts w:hint="default" w:ascii="Times New Roman" w:hAnsi="Times New Roman" w:cs="Times New Roman"/>
                <w:color w:val="auto"/>
                <w:sz w:val="24"/>
              </w:rPr>
              <w:t>日最大8h值第90百分位数未超过国家二级标准。因此，项目所在区域为</w:t>
            </w:r>
            <w:r>
              <w:rPr>
                <w:rFonts w:hint="eastAsia" w:cs="Times New Roman"/>
                <w:color w:val="auto"/>
                <w:sz w:val="24"/>
                <w:lang w:val="en-US" w:eastAsia="zh-CN"/>
              </w:rPr>
              <w:t>达标区</w:t>
            </w:r>
            <w:r>
              <w:rPr>
                <w:rFonts w:hint="default" w:ascii="Times New Roman" w:hAnsi="Times New Roman" w:cs="Times New Roman"/>
                <w:color w:val="auto"/>
                <w:sz w:val="24"/>
              </w:rPr>
              <w:t>。</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福清市202</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lang w:val="en-US" w:eastAsia="zh-CN"/>
              </w:rPr>
              <w:t>年1月-202</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lang w:val="en-US" w:eastAsia="zh-CN"/>
              </w:rPr>
              <w:t>年12月空气质量月报数据</w:t>
            </w:r>
          </w:p>
          <w:tbl>
            <w:tblPr>
              <w:tblStyle w:val="32"/>
              <w:tblW w:w="8235"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8"/>
              <w:gridCol w:w="1140"/>
              <w:gridCol w:w="1138"/>
              <w:gridCol w:w="1140"/>
              <w:gridCol w:w="1140"/>
              <w:gridCol w:w="965"/>
              <w:gridCol w:w="11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25" w:hRule="atLeast"/>
                <w:jc w:val="center"/>
              </w:trPr>
              <w:tc>
                <w:tcPr>
                  <w:tcW w:w="1568"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时间</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SO</w:t>
                  </w:r>
                  <w:r>
                    <w:rPr>
                      <w:rFonts w:hint="default" w:ascii="Times New Roman" w:hAnsi="Times New Roman" w:cs="Times New Roman"/>
                      <w:color w:val="auto"/>
                      <w:kern w:val="0"/>
                      <w:szCs w:val="20"/>
                      <w:vertAlign w:val="subscript"/>
                    </w:rPr>
                    <w:t>2</w:t>
                  </w:r>
                </w:p>
              </w:tc>
              <w:tc>
                <w:tcPr>
                  <w:tcW w:w="1138"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eastAsia" w:ascii="Times New Roman" w:hAnsi="Times New Roman" w:eastAsia="宋体" w:cs="Times New Roman"/>
                      <w:color w:val="auto"/>
                      <w:kern w:val="0"/>
                      <w:szCs w:val="20"/>
                      <w:lang w:eastAsia="zh-CN"/>
                    </w:rPr>
                  </w:pPr>
                  <w:r>
                    <w:rPr>
                      <w:rFonts w:hint="default" w:ascii="Times New Roman" w:hAnsi="Times New Roman" w:cs="Times New Roman"/>
                      <w:color w:val="auto"/>
                      <w:kern w:val="0"/>
                      <w:szCs w:val="20"/>
                    </w:rPr>
                    <w:t>NO</w:t>
                  </w:r>
                  <w:r>
                    <w:rPr>
                      <w:rFonts w:hint="eastAsia" w:cs="Times New Roman"/>
                      <w:color w:val="auto"/>
                      <w:kern w:val="0"/>
                      <w:szCs w:val="20"/>
                      <w:vertAlign w:val="subscript"/>
                      <w:lang w:val="en-US" w:eastAsia="zh-CN"/>
                    </w:rPr>
                    <w:t>2</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PM</w:t>
                  </w:r>
                  <w:r>
                    <w:rPr>
                      <w:rFonts w:hint="default" w:ascii="Times New Roman" w:hAnsi="Times New Roman" w:cs="Times New Roman"/>
                      <w:color w:val="auto"/>
                      <w:kern w:val="0"/>
                      <w:szCs w:val="20"/>
                      <w:vertAlign w:val="subscript"/>
                    </w:rPr>
                    <w:t>10</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PM</w:t>
                  </w:r>
                  <w:r>
                    <w:rPr>
                      <w:rFonts w:hint="default" w:ascii="Times New Roman" w:hAnsi="Times New Roman" w:cs="Times New Roman"/>
                      <w:color w:val="auto"/>
                      <w:kern w:val="0"/>
                      <w:szCs w:val="20"/>
                      <w:vertAlign w:val="subscript"/>
                    </w:rPr>
                    <w:t>2.5</w:t>
                  </w:r>
                </w:p>
              </w:tc>
              <w:tc>
                <w:tcPr>
                  <w:tcW w:w="965"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CO</w:t>
                  </w:r>
                </w:p>
              </w:tc>
              <w:tc>
                <w:tcPr>
                  <w:tcW w:w="1144"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O</w:t>
                  </w:r>
                  <w:r>
                    <w:rPr>
                      <w:rFonts w:hint="default" w:ascii="Times New Roman" w:hAnsi="Times New Roman" w:cs="Times New Roman"/>
                      <w:color w:val="auto"/>
                      <w:kern w:val="0"/>
                      <w:szCs w:val="20"/>
                      <w:vertAlign w:val="sub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25" w:hRule="atLeast"/>
                <w:jc w:val="center"/>
              </w:trPr>
              <w:tc>
                <w:tcPr>
                  <w:tcW w:w="1568"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202</w:t>
                  </w:r>
                  <w:r>
                    <w:rPr>
                      <w:rFonts w:hint="eastAsia" w:ascii="Times New Roman" w:hAnsi="Times New Roman" w:cs="Times New Roman"/>
                      <w:color w:val="auto"/>
                      <w:kern w:val="0"/>
                      <w:szCs w:val="20"/>
                      <w:lang w:val="en-US" w:eastAsia="zh-CN"/>
                    </w:rPr>
                    <w:t>4</w:t>
                  </w:r>
                  <w:r>
                    <w:rPr>
                      <w:rFonts w:hint="default" w:ascii="Times New Roman" w:hAnsi="Times New Roman" w:cs="Times New Roman"/>
                      <w:color w:val="auto"/>
                      <w:kern w:val="0"/>
                      <w:szCs w:val="20"/>
                    </w:rPr>
                    <w:t>年1月</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0.003</w:t>
                  </w:r>
                </w:p>
              </w:tc>
              <w:tc>
                <w:tcPr>
                  <w:tcW w:w="1138"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0.022</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0.048</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0.03</w:t>
                  </w:r>
                </w:p>
              </w:tc>
              <w:tc>
                <w:tcPr>
                  <w:tcW w:w="965"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0.9</w:t>
                  </w:r>
                </w:p>
              </w:tc>
              <w:tc>
                <w:tcPr>
                  <w:tcW w:w="1144"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94" w:hRule="atLeast"/>
                <w:jc w:val="center"/>
              </w:trPr>
              <w:tc>
                <w:tcPr>
                  <w:tcW w:w="15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202</w:t>
                  </w:r>
                  <w:r>
                    <w:rPr>
                      <w:rFonts w:hint="eastAsia" w:ascii="Times New Roman" w:hAnsi="Times New Roman" w:cs="Times New Roman"/>
                      <w:color w:val="auto"/>
                      <w:lang w:val="en-US" w:eastAsia="zh-CN"/>
                    </w:rPr>
                    <w:t>4</w:t>
                  </w:r>
                  <w:r>
                    <w:rPr>
                      <w:rFonts w:hint="default" w:ascii="Times New Roman" w:hAnsi="Times New Roman" w:cs="Times New Roman"/>
                      <w:color w:val="auto"/>
                    </w:rPr>
                    <w:t>年2月</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0.003</w:t>
                  </w:r>
                </w:p>
              </w:tc>
              <w:tc>
                <w:tcPr>
                  <w:tcW w:w="1138"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0.009</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0.038</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0.023</w:t>
                  </w:r>
                </w:p>
              </w:tc>
              <w:tc>
                <w:tcPr>
                  <w:tcW w:w="965"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1.2</w:t>
                  </w:r>
                </w:p>
              </w:tc>
              <w:tc>
                <w:tcPr>
                  <w:tcW w:w="1144"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0.112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94" w:hRule="atLeast"/>
                <w:jc w:val="center"/>
              </w:trPr>
              <w:tc>
                <w:tcPr>
                  <w:tcW w:w="15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202</w:t>
                  </w:r>
                  <w:r>
                    <w:rPr>
                      <w:rFonts w:hint="eastAsia" w:ascii="Times New Roman" w:hAnsi="Times New Roman" w:cs="Times New Roman"/>
                      <w:color w:val="auto"/>
                      <w:lang w:val="en-US" w:eastAsia="zh-CN"/>
                    </w:rPr>
                    <w:t>4</w:t>
                  </w:r>
                  <w:r>
                    <w:rPr>
                      <w:rFonts w:hint="default" w:ascii="Times New Roman" w:hAnsi="Times New Roman" w:cs="Times New Roman"/>
                      <w:color w:val="auto"/>
                    </w:rPr>
                    <w:t>年3月</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0.002</w:t>
                  </w:r>
                </w:p>
              </w:tc>
              <w:tc>
                <w:tcPr>
                  <w:tcW w:w="1138"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0.018</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0.05</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0.023</w:t>
                  </w:r>
                </w:p>
              </w:tc>
              <w:tc>
                <w:tcPr>
                  <w:tcW w:w="965"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1</w:t>
                  </w:r>
                </w:p>
              </w:tc>
              <w:tc>
                <w:tcPr>
                  <w:tcW w:w="1144"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0.121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94" w:hRule="atLeast"/>
                <w:jc w:val="center"/>
              </w:trPr>
              <w:tc>
                <w:tcPr>
                  <w:tcW w:w="15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202</w:t>
                  </w:r>
                  <w:r>
                    <w:rPr>
                      <w:rFonts w:hint="eastAsia" w:ascii="Times New Roman" w:hAnsi="Times New Roman" w:cs="Times New Roman"/>
                      <w:color w:val="auto"/>
                      <w:lang w:val="en-US" w:eastAsia="zh-CN"/>
                    </w:rPr>
                    <w:t>4</w:t>
                  </w:r>
                  <w:r>
                    <w:rPr>
                      <w:rFonts w:hint="default" w:ascii="Times New Roman" w:hAnsi="Times New Roman" w:cs="Times New Roman"/>
                      <w:color w:val="auto"/>
                    </w:rPr>
                    <w:t>年4月</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0.003</w:t>
                  </w:r>
                </w:p>
              </w:tc>
              <w:tc>
                <w:tcPr>
                  <w:tcW w:w="1138"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0.016</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0.041</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0.02</w:t>
                  </w:r>
                </w:p>
              </w:tc>
              <w:tc>
                <w:tcPr>
                  <w:tcW w:w="965"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0.8</w:t>
                  </w:r>
                </w:p>
              </w:tc>
              <w:tc>
                <w:tcPr>
                  <w:tcW w:w="1144"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0.122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94" w:hRule="atLeast"/>
                <w:jc w:val="center"/>
              </w:trPr>
              <w:tc>
                <w:tcPr>
                  <w:tcW w:w="15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202</w:t>
                  </w:r>
                  <w:r>
                    <w:rPr>
                      <w:rFonts w:hint="eastAsia" w:ascii="Times New Roman" w:hAnsi="Times New Roman" w:cs="Times New Roman"/>
                      <w:color w:val="auto"/>
                      <w:lang w:val="en-US" w:eastAsia="zh-CN"/>
                    </w:rPr>
                    <w:t>4</w:t>
                  </w:r>
                  <w:r>
                    <w:rPr>
                      <w:rFonts w:hint="default" w:ascii="Times New Roman" w:hAnsi="Times New Roman" w:cs="Times New Roman"/>
                      <w:color w:val="auto"/>
                    </w:rPr>
                    <w:t>年5月</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0.002</w:t>
                  </w:r>
                </w:p>
              </w:tc>
              <w:tc>
                <w:tcPr>
                  <w:tcW w:w="1138"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0.011</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0.028</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0.013</w:t>
                  </w:r>
                </w:p>
              </w:tc>
              <w:tc>
                <w:tcPr>
                  <w:tcW w:w="965"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0.6</w:t>
                  </w:r>
                </w:p>
              </w:tc>
              <w:tc>
                <w:tcPr>
                  <w:tcW w:w="1144"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94" w:hRule="atLeast"/>
                <w:jc w:val="center"/>
              </w:trPr>
              <w:tc>
                <w:tcPr>
                  <w:tcW w:w="15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202</w:t>
                  </w:r>
                  <w:r>
                    <w:rPr>
                      <w:rFonts w:hint="eastAsia" w:ascii="Times New Roman" w:hAnsi="Times New Roman" w:cs="Times New Roman"/>
                      <w:color w:val="auto"/>
                      <w:lang w:val="en-US" w:eastAsia="zh-CN"/>
                    </w:rPr>
                    <w:t>4</w:t>
                  </w:r>
                  <w:r>
                    <w:rPr>
                      <w:rFonts w:hint="default" w:ascii="Times New Roman" w:hAnsi="Times New Roman" w:cs="Times New Roman"/>
                      <w:color w:val="auto"/>
                    </w:rPr>
                    <w:t>年6月</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0.002</w:t>
                  </w:r>
                </w:p>
              </w:tc>
              <w:tc>
                <w:tcPr>
                  <w:tcW w:w="1138"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0.01</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0.022</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0.01</w:t>
                  </w:r>
                </w:p>
              </w:tc>
              <w:tc>
                <w:tcPr>
                  <w:tcW w:w="965"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0.6</w:t>
                  </w:r>
                </w:p>
              </w:tc>
              <w:tc>
                <w:tcPr>
                  <w:tcW w:w="1144"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0.112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94" w:hRule="atLeast"/>
                <w:jc w:val="center"/>
              </w:trPr>
              <w:tc>
                <w:tcPr>
                  <w:tcW w:w="15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202</w:t>
                  </w:r>
                  <w:r>
                    <w:rPr>
                      <w:rFonts w:hint="eastAsia" w:ascii="Times New Roman" w:hAnsi="Times New Roman" w:cs="Times New Roman"/>
                      <w:color w:val="auto"/>
                      <w:lang w:val="en-US" w:eastAsia="zh-CN"/>
                    </w:rPr>
                    <w:t>4</w:t>
                  </w:r>
                  <w:r>
                    <w:rPr>
                      <w:rFonts w:hint="default" w:ascii="Times New Roman" w:hAnsi="Times New Roman" w:cs="Times New Roman"/>
                      <w:color w:val="auto"/>
                    </w:rPr>
                    <w:t>年7月</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0.002</w:t>
                  </w:r>
                </w:p>
              </w:tc>
              <w:tc>
                <w:tcPr>
                  <w:tcW w:w="1138"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0.008</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0.02</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0.009</w:t>
                  </w:r>
                </w:p>
              </w:tc>
              <w:tc>
                <w:tcPr>
                  <w:tcW w:w="965"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0.4</w:t>
                  </w:r>
                </w:p>
              </w:tc>
              <w:tc>
                <w:tcPr>
                  <w:tcW w:w="1144"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0.108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94" w:hRule="atLeast"/>
                <w:jc w:val="center"/>
              </w:trPr>
              <w:tc>
                <w:tcPr>
                  <w:tcW w:w="15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202</w:t>
                  </w:r>
                  <w:r>
                    <w:rPr>
                      <w:rFonts w:hint="eastAsia" w:ascii="Times New Roman" w:hAnsi="Times New Roman" w:cs="Times New Roman"/>
                      <w:color w:val="auto"/>
                      <w:lang w:val="en-US" w:eastAsia="zh-CN"/>
                    </w:rPr>
                    <w:t>4</w:t>
                  </w:r>
                  <w:r>
                    <w:rPr>
                      <w:rFonts w:hint="default" w:ascii="Times New Roman" w:hAnsi="Times New Roman" w:cs="Times New Roman"/>
                      <w:color w:val="auto"/>
                    </w:rPr>
                    <w:t>年8月</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0.004</w:t>
                  </w:r>
                </w:p>
              </w:tc>
              <w:tc>
                <w:tcPr>
                  <w:tcW w:w="1138"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0.009</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0.032</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0.017</w:t>
                  </w:r>
                </w:p>
              </w:tc>
              <w:tc>
                <w:tcPr>
                  <w:tcW w:w="965"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0.5</w:t>
                  </w:r>
                </w:p>
              </w:tc>
              <w:tc>
                <w:tcPr>
                  <w:tcW w:w="1144"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0.144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94" w:hRule="atLeast"/>
                <w:jc w:val="center"/>
              </w:trPr>
              <w:tc>
                <w:tcPr>
                  <w:tcW w:w="15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202</w:t>
                  </w:r>
                  <w:r>
                    <w:rPr>
                      <w:rFonts w:hint="eastAsia" w:ascii="Times New Roman" w:hAnsi="Times New Roman" w:cs="Times New Roman"/>
                      <w:color w:val="auto"/>
                      <w:lang w:val="en-US" w:eastAsia="zh-CN"/>
                    </w:rPr>
                    <w:t>4</w:t>
                  </w:r>
                  <w:r>
                    <w:rPr>
                      <w:rFonts w:hint="default" w:ascii="Times New Roman" w:hAnsi="Times New Roman" w:cs="Times New Roman"/>
                      <w:color w:val="auto"/>
                    </w:rPr>
                    <w:t>年9月</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0.002</w:t>
                  </w:r>
                </w:p>
              </w:tc>
              <w:tc>
                <w:tcPr>
                  <w:tcW w:w="1138"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0.007</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0.02</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0.01</w:t>
                  </w:r>
                </w:p>
              </w:tc>
              <w:tc>
                <w:tcPr>
                  <w:tcW w:w="965"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0.4</w:t>
                  </w:r>
                </w:p>
              </w:tc>
              <w:tc>
                <w:tcPr>
                  <w:tcW w:w="1144"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94" w:hRule="atLeast"/>
                <w:jc w:val="center"/>
              </w:trPr>
              <w:tc>
                <w:tcPr>
                  <w:tcW w:w="15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202</w:t>
                  </w:r>
                  <w:r>
                    <w:rPr>
                      <w:rFonts w:hint="eastAsia" w:ascii="Times New Roman" w:hAnsi="Times New Roman" w:cs="Times New Roman"/>
                      <w:color w:val="auto"/>
                      <w:lang w:val="en-US" w:eastAsia="zh-CN"/>
                    </w:rPr>
                    <w:t>4</w:t>
                  </w:r>
                  <w:r>
                    <w:rPr>
                      <w:rFonts w:hint="default" w:ascii="Times New Roman" w:hAnsi="Times New Roman" w:cs="Times New Roman"/>
                      <w:color w:val="auto"/>
                    </w:rPr>
                    <w:t>年10月</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0.002</w:t>
                  </w:r>
                </w:p>
              </w:tc>
              <w:tc>
                <w:tcPr>
                  <w:tcW w:w="1138"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0.005</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0.022</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0.013</w:t>
                  </w:r>
                </w:p>
              </w:tc>
              <w:tc>
                <w:tcPr>
                  <w:tcW w:w="965"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0.4</w:t>
                  </w:r>
                </w:p>
              </w:tc>
              <w:tc>
                <w:tcPr>
                  <w:tcW w:w="1144"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0.106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94" w:hRule="atLeast"/>
                <w:jc w:val="center"/>
              </w:trPr>
              <w:tc>
                <w:tcPr>
                  <w:tcW w:w="15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202</w:t>
                  </w:r>
                  <w:r>
                    <w:rPr>
                      <w:rFonts w:hint="eastAsia" w:ascii="Times New Roman" w:hAnsi="Times New Roman" w:cs="Times New Roman"/>
                      <w:color w:val="auto"/>
                      <w:lang w:val="en-US" w:eastAsia="zh-CN"/>
                    </w:rPr>
                    <w:t>4</w:t>
                  </w:r>
                  <w:r>
                    <w:rPr>
                      <w:rFonts w:hint="default" w:ascii="Times New Roman" w:hAnsi="Times New Roman" w:cs="Times New Roman"/>
                      <w:color w:val="auto"/>
                    </w:rPr>
                    <w:t>年11月</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0.002</w:t>
                  </w:r>
                </w:p>
              </w:tc>
              <w:tc>
                <w:tcPr>
                  <w:tcW w:w="1138"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0.008</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0.023</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0.012</w:t>
                  </w:r>
                </w:p>
              </w:tc>
              <w:tc>
                <w:tcPr>
                  <w:tcW w:w="965"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0.4</w:t>
                  </w:r>
                </w:p>
              </w:tc>
              <w:tc>
                <w:tcPr>
                  <w:tcW w:w="1144"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94" w:hRule="atLeast"/>
                <w:jc w:val="center"/>
              </w:trPr>
              <w:tc>
                <w:tcPr>
                  <w:tcW w:w="15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202</w:t>
                  </w:r>
                  <w:r>
                    <w:rPr>
                      <w:rFonts w:hint="eastAsia" w:ascii="Times New Roman" w:hAnsi="Times New Roman" w:cs="Times New Roman"/>
                      <w:color w:val="auto"/>
                      <w:lang w:val="en-US" w:eastAsia="zh-CN"/>
                    </w:rPr>
                    <w:t>4</w:t>
                  </w:r>
                  <w:r>
                    <w:rPr>
                      <w:rFonts w:hint="default" w:ascii="Times New Roman" w:hAnsi="Times New Roman" w:cs="Times New Roman"/>
                      <w:color w:val="auto"/>
                    </w:rPr>
                    <w:t>年12月</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0.002</w:t>
                  </w:r>
                </w:p>
              </w:tc>
              <w:tc>
                <w:tcPr>
                  <w:tcW w:w="1138"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0.014</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0.036</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0.019</w:t>
                  </w:r>
                </w:p>
              </w:tc>
              <w:tc>
                <w:tcPr>
                  <w:tcW w:w="965"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0.6</w:t>
                  </w:r>
                </w:p>
              </w:tc>
              <w:tc>
                <w:tcPr>
                  <w:tcW w:w="1144"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eastAsia" w:ascii="Times New Roman" w:hAnsi="Times New Roman" w:cs="Times New Roman"/>
                      <w:color w:val="auto"/>
                      <w:kern w:val="0"/>
                      <w:szCs w:val="20"/>
                      <w:lang w:val="en-US" w:eastAsia="zh-CN"/>
                    </w:rPr>
                    <w:t>0.104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94" w:hRule="atLeast"/>
                <w:jc w:val="center"/>
              </w:trPr>
              <w:tc>
                <w:tcPr>
                  <w:tcW w:w="15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国家二级标准</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0.06</w:t>
                  </w:r>
                </w:p>
              </w:tc>
              <w:tc>
                <w:tcPr>
                  <w:tcW w:w="1138"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0.04</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0.07</w:t>
                  </w:r>
                </w:p>
              </w:tc>
              <w:tc>
                <w:tcPr>
                  <w:tcW w:w="1140"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0.035</w:t>
                  </w:r>
                </w:p>
              </w:tc>
              <w:tc>
                <w:tcPr>
                  <w:tcW w:w="965"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4</w:t>
                  </w:r>
                </w:p>
              </w:tc>
              <w:tc>
                <w:tcPr>
                  <w:tcW w:w="1144"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25" w:hRule="atLeast"/>
                <w:jc w:val="center"/>
              </w:trPr>
              <w:tc>
                <w:tcPr>
                  <w:tcW w:w="1568"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达标情况</w:t>
                  </w:r>
                </w:p>
              </w:tc>
              <w:tc>
                <w:tcPr>
                  <w:tcW w:w="6667" w:type="dxa"/>
                  <w:gridSpan w:val="6"/>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1568" w:type="dxa"/>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备注</w:t>
                  </w:r>
                </w:p>
              </w:tc>
              <w:tc>
                <w:tcPr>
                  <w:tcW w:w="6667" w:type="dxa"/>
                  <w:gridSpan w:val="6"/>
                  <w:tcBorders>
                    <w:tl2br w:val="nil"/>
                    <w:tr2bl w:val="nil"/>
                  </w:tcBorders>
                  <w:vAlign w:val="center"/>
                </w:tcPr>
                <w:p>
                  <w:pPr>
                    <w:keepNext w:val="0"/>
                    <w:keepLines w:val="0"/>
                    <w:suppressLineNumbers w:val="0"/>
                    <w:adjustRightInd w:val="0"/>
                    <w:snapToGrid w:val="0"/>
                    <w:spacing w:before="24" w:beforeLines="10" w:beforeAutospacing="0" w:after="24" w:afterLines="10" w:afterAutospacing="0"/>
                    <w:ind w:left="0" w:right="0"/>
                    <w:jc w:val="center"/>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CO为日均值第95百分位数，O</w:t>
                  </w:r>
                  <w:r>
                    <w:rPr>
                      <w:rFonts w:hint="default" w:ascii="Times New Roman" w:hAnsi="Times New Roman" w:cs="Times New Roman"/>
                      <w:color w:val="auto"/>
                      <w:kern w:val="0"/>
                      <w:szCs w:val="20"/>
                      <w:vertAlign w:val="subscript"/>
                    </w:rPr>
                    <w:t>3</w:t>
                  </w:r>
                  <w:r>
                    <w:rPr>
                      <w:rFonts w:hint="default" w:ascii="Times New Roman" w:hAnsi="Times New Roman" w:cs="Times New Roman"/>
                      <w:color w:val="auto"/>
                      <w:kern w:val="0"/>
                      <w:szCs w:val="20"/>
                    </w:rPr>
                    <w:t>为日最大8小时值第90百分位数</w:t>
                  </w:r>
                </w:p>
              </w:tc>
            </w:tr>
          </w:tbl>
          <w:p>
            <w:pPr>
              <w:pStyle w:val="18"/>
              <w:keepNext w:val="0"/>
              <w:keepLines w:val="0"/>
              <w:suppressLineNumbers w:val="0"/>
              <w:bidi w:val="0"/>
              <w:spacing w:before="0" w:beforeAutospacing="0" w:after="0" w:afterAutospacing="0"/>
              <w:ind w:left="0" w:right="0" w:firstLine="480" w:firstLineChars="200"/>
              <w:rPr>
                <w:rFonts w:hint="default"/>
                <w:color w:val="auto"/>
                <w:lang w:val="en-US" w:eastAsia="zh-CN"/>
              </w:rPr>
            </w:pPr>
            <w:r>
              <w:rPr>
                <w:rFonts w:hint="eastAsia"/>
                <w:color w:val="auto"/>
                <w:lang w:val="en-US" w:eastAsia="zh-CN"/>
              </w:rPr>
              <w:t>②其他污染因子现状调查</w:t>
            </w:r>
          </w:p>
          <w:p>
            <w:pPr>
              <w:keepNext w:val="0"/>
              <w:keepLines w:val="0"/>
              <w:suppressLineNumbers w:val="0"/>
              <w:adjustRightInd w:val="0"/>
              <w:spacing w:before="0" w:beforeAutospacing="0" w:after="0" w:afterAutospacing="0" w:line="360" w:lineRule="auto"/>
              <w:ind w:left="0" w:right="0" w:firstLine="480" w:firstLineChars="200"/>
              <w:contextualSpacing/>
              <w:rPr>
                <w:rFonts w:hint="default"/>
                <w:color w:val="auto"/>
                <w:sz w:val="24"/>
              </w:rPr>
            </w:pPr>
            <w:r>
              <w:rPr>
                <w:rFonts w:hint="default"/>
                <w:bCs/>
                <w:color w:val="auto"/>
                <w:sz w:val="24"/>
              </w:rPr>
              <w:t>根据《关于&lt;建设项目环境影响报告表&gt;内容、格式及编制技术指南常见问题解答》（生态环境部环境工程评估中心）</w:t>
            </w:r>
            <w:r>
              <w:rPr>
                <w:rFonts w:hint="eastAsia"/>
                <w:bCs/>
                <w:color w:val="auto"/>
                <w:sz w:val="24"/>
              </w:rPr>
              <w:t>：</w:t>
            </w:r>
            <w:r>
              <w:rPr>
                <w:rFonts w:hint="eastAsia"/>
                <w:color w:val="auto"/>
                <w:sz w:val="24"/>
                <w:lang w:eastAsia="zh-CN"/>
              </w:rPr>
              <w:t>“</w:t>
            </w:r>
            <w:r>
              <w:rPr>
                <w:rFonts w:hint="default"/>
                <w:color w:val="auto"/>
                <w:sz w:val="24"/>
              </w:rPr>
              <w:t>技术指南中提到</w:t>
            </w:r>
            <w:r>
              <w:rPr>
                <w:rFonts w:hint="eastAsia"/>
                <w:color w:val="auto"/>
                <w:sz w:val="24"/>
              </w:rPr>
              <w:t>‘</w:t>
            </w:r>
            <w:r>
              <w:rPr>
                <w:rFonts w:hint="default"/>
                <w:color w:val="auto"/>
                <w:sz w:val="24"/>
              </w:rPr>
              <w:t>排放国家、地方环境空气质量标准中有标准限值要求的特征污染物</w:t>
            </w:r>
            <w:r>
              <w:rPr>
                <w:rFonts w:hint="eastAsia"/>
                <w:color w:val="auto"/>
                <w:sz w:val="24"/>
              </w:rPr>
              <w:t>’</w:t>
            </w:r>
            <w:r>
              <w:rPr>
                <w:rFonts w:hint="default"/>
                <w:color w:val="auto"/>
                <w:sz w:val="24"/>
              </w:rPr>
              <w:t>，其中环境空气质量标准指《环境空气质量标准》(GB3095)和地方的环境空气质量标准，不包括《环境影响评价技术导则 大气环境》(HJ2.2-2018)附录D、《工业企业设计卫生标准》(TJ36-97)、《前苏联居住区标准》(CH245-71)、《环境影响评价技术导则 制药建设项目》(HJ611-2011)、《大气污染物综合排放标准详解》等导则或参考资料。排放的特征污染物需要在国家、地方环境空气质量标准中有限值要求才涉及现状监测，且优先引用现有监测数据</w:t>
            </w:r>
            <w:r>
              <w:rPr>
                <w:rFonts w:hint="eastAsia"/>
                <w:color w:val="auto"/>
                <w:sz w:val="24"/>
                <w:lang w:eastAsia="zh-CN"/>
              </w:rPr>
              <w:t>”</w:t>
            </w:r>
            <w:r>
              <w:rPr>
                <w:rFonts w:hint="default"/>
                <w:color w:val="auto"/>
                <w:sz w:val="24"/>
              </w:rPr>
              <w:t>。</w:t>
            </w:r>
          </w:p>
          <w:p>
            <w:pPr>
              <w:keepNext w:val="0"/>
              <w:keepLines w:val="0"/>
              <w:suppressLineNumbers w:val="0"/>
              <w:adjustRightInd w:val="0"/>
              <w:spacing w:before="0" w:beforeAutospacing="0" w:after="0" w:afterAutospacing="0" w:line="360" w:lineRule="auto"/>
              <w:ind w:left="0" w:right="0" w:firstLine="480" w:firstLineChars="200"/>
              <w:contextualSpacing/>
              <w:rPr>
                <w:rFonts w:hint="default"/>
                <w:bCs/>
                <w:color w:val="auto"/>
                <w:sz w:val="24"/>
              </w:rPr>
            </w:pPr>
            <w:r>
              <w:rPr>
                <w:rFonts w:hint="eastAsia"/>
                <w:bCs/>
                <w:color w:val="auto"/>
                <w:sz w:val="24"/>
              </w:rPr>
              <w:t>本评价常规污染因子选取福清市人民政府发布的环境空气质量现状信息，且未排放国家、地方环境空气质量标准中有标准限值要求的特征污染物，无需补充监测数据，符合《建设项目环境影响报告表编制技术指南(污染影响类)(试行)》(环办环评〔2020〕33号)的要求</w:t>
            </w:r>
            <w:r>
              <w:rPr>
                <w:rFonts w:hint="default"/>
                <w:bCs/>
                <w:color w:val="auto"/>
                <w:sz w:val="24"/>
              </w:rPr>
              <w:t>。</w:t>
            </w:r>
          </w:p>
          <w:p>
            <w:pPr>
              <w:pStyle w:val="3"/>
              <w:suppressLineNumbers w:val="0"/>
              <w:bidi w:val="0"/>
              <w:spacing w:beforeAutospacing="0" w:afterAutospacing="0"/>
              <w:ind w:right="0"/>
              <w:rPr>
                <w:rFonts w:hint="eastAsia" w:ascii="Times New Roman" w:hAnsi="Times New Roman" w:cs="Times New Roman"/>
                <w:color w:val="auto"/>
                <w:lang w:val="en-US" w:eastAsia="zh-CN"/>
              </w:rPr>
            </w:pPr>
            <w:bookmarkStart w:id="53" w:name="_Toc20470"/>
            <w:r>
              <w:rPr>
                <w:rFonts w:hint="eastAsia" w:ascii="Times New Roman" w:hAnsi="Times New Roman" w:cs="Times New Roman"/>
                <w:color w:val="auto"/>
                <w:lang w:val="en-US" w:eastAsia="zh-CN"/>
              </w:rPr>
              <w:t>地表水环境质量现状</w:t>
            </w:r>
            <w:bookmarkEnd w:id="53"/>
          </w:p>
          <w:p>
            <w:pPr>
              <w:pStyle w:val="4"/>
              <w:suppressLineNumbers w:val="0"/>
              <w:bidi w:val="0"/>
              <w:spacing w:beforeAutospacing="0" w:afterAutospacing="0"/>
              <w:ind w:right="0"/>
              <w:rPr>
                <w:rFonts w:hint="eastAsia" w:ascii="Times New Roman" w:hAnsi="Times New Roman" w:cs="Times New Roman"/>
                <w:color w:val="auto"/>
                <w:lang w:eastAsia="zh-CN"/>
              </w:rPr>
            </w:pPr>
            <w:r>
              <w:rPr>
                <w:rFonts w:hint="eastAsia" w:ascii="Times New Roman" w:hAnsi="Times New Roman" w:cs="Times New Roman"/>
                <w:color w:val="auto"/>
                <w:lang w:eastAsia="zh-CN"/>
              </w:rPr>
              <w:t>地表水功能区划</w:t>
            </w:r>
          </w:p>
          <w:p>
            <w:pPr>
              <w:pStyle w:val="18"/>
              <w:keepNext w:val="0"/>
              <w:keepLines w:val="0"/>
              <w:suppressLineNumbers w:val="0"/>
              <w:bidi w:val="0"/>
              <w:spacing w:before="0" w:beforeAutospacing="0" w:after="0" w:afterAutospacing="0"/>
              <w:ind w:left="0" w:right="0" w:firstLine="480" w:firstLineChars="20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本项目器皿清洗废水经废水处理设施处理后排入市政污水管网，</w:t>
            </w:r>
            <w:r>
              <w:rPr>
                <w:rFonts w:hint="eastAsia" w:cs="Times New Roman"/>
                <w:color w:val="auto"/>
                <w:lang w:val="en-US" w:eastAsia="zh-CN"/>
              </w:rPr>
              <w:t>进入福清市融元污水处理厂</w:t>
            </w:r>
            <w:r>
              <w:rPr>
                <w:rFonts w:hint="eastAsia" w:ascii="Times New Roman" w:hAnsi="Times New Roman" w:cs="Times New Roman"/>
                <w:color w:val="auto"/>
                <w:lang w:val="en-US" w:eastAsia="zh-CN"/>
              </w:rPr>
              <w:t>进行处理，</w:t>
            </w:r>
            <w:r>
              <w:rPr>
                <w:rFonts w:hint="eastAsia" w:cs="Times New Roman"/>
                <w:color w:val="auto"/>
                <w:lang w:val="en-US" w:eastAsia="zh-CN"/>
              </w:rPr>
              <w:t>污水处理厂</w:t>
            </w:r>
            <w:r>
              <w:rPr>
                <w:rFonts w:hint="eastAsia" w:ascii="Times New Roman" w:hAnsi="Times New Roman" w:cs="Times New Roman"/>
                <w:color w:val="auto"/>
                <w:lang w:val="en-US" w:eastAsia="zh-CN"/>
              </w:rPr>
              <w:t>尾水排入大北溪（龙江）。</w:t>
            </w:r>
          </w:p>
          <w:p>
            <w:pPr>
              <w:pStyle w:val="18"/>
              <w:keepNext w:val="0"/>
              <w:keepLines w:val="0"/>
              <w:suppressLineNumbers w:val="0"/>
              <w:bidi w:val="0"/>
              <w:spacing w:before="0" w:beforeAutospacing="0" w:after="0" w:afterAutospacing="0"/>
              <w:ind w:left="0" w:right="0" w:firstLine="480" w:firstLineChars="200"/>
              <w:rPr>
                <w:rFonts w:hint="default"/>
                <w:color w:val="auto"/>
                <w:szCs w:val="21"/>
              </w:rPr>
            </w:pPr>
            <w:r>
              <w:rPr>
                <w:rFonts w:hint="eastAsia" w:ascii="Times New Roman" w:hAnsi="Times New Roman" w:cs="Times New Roman"/>
                <w:color w:val="auto"/>
                <w:lang w:val="en-US" w:eastAsia="zh-CN"/>
              </w:rPr>
              <w:t>根据福州市水功能区划批复（榕政综</w:t>
            </w:r>
            <w:r>
              <w:rPr>
                <w:rFonts w:hint="eastAsia" w:cs="Times New Roman"/>
                <w:color w:val="auto"/>
                <w:lang w:val="en-US" w:eastAsia="zh-CN"/>
              </w:rPr>
              <w:t>〔2019〕316号</w:t>
            </w:r>
            <w:r>
              <w:rPr>
                <w:rFonts w:hint="eastAsia" w:ascii="Times New Roman" w:hAnsi="Times New Roman" w:cs="Times New Roman"/>
                <w:color w:val="auto"/>
                <w:lang w:val="en-US" w:eastAsia="zh-CN"/>
              </w:rPr>
              <w:t>）批准的《福州市水功能区划》，项目纳污水域主要功能为农业、工业、景观用水，环境功能类别为Ⅳ类，详见表3.2-1。</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地表水环境质量标准(GB3838-2002)(摘录)  单位：mg/L(pH除外)</w:t>
            </w:r>
          </w:p>
          <w:tbl>
            <w:tblPr>
              <w:tblStyle w:val="32"/>
              <w:tblW w:w="8240"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28" w:type="dxa"/>
                <w:bottom w:w="0" w:type="dxa"/>
                <w:right w:w="28" w:type="dxa"/>
              </w:tblCellMar>
            </w:tblPr>
            <w:tblGrid>
              <w:gridCol w:w="956"/>
              <w:gridCol w:w="2446"/>
              <w:gridCol w:w="1259"/>
              <w:gridCol w:w="1220"/>
              <w:gridCol w:w="1179"/>
              <w:gridCol w:w="1180"/>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28" w:type="dxa"/>
                  <w:bottom w:w="0" w:type="dxa"/>
                  <w:right w:w="28" w:type="dxa"/>
                </w:tblCellMar>
              </w:tblPrEx>
              <w:trPr>
                <w:cantSplit/>
                <w:trHeight w:val="363" w:hRule="exact"/>
                <w:jc w:val="center"/>
              </w:trPr>
              <w:tc>
                <w:tcPr>
                  <w:tcW w:w="956" w:type="dxa"/>
                  <w:shd w:val="clear" w:color="auto" w:fill="auto"/>
                  <w:vAlign w:val="center"/>
                </w:tcPr>
                <w:p>
                  <w:pPr>
                    <w:keepNext w:val="0"/>
                    <w:keepLines w:val="0"/>
                    <w:suppressLineNumbers w:val="0"/>
                    <w:spacing w:before="0" w:beforeAutospacing="0" w:after="0" w:afterAutospacing="0"/>
                    <w:ind w:left="0" w:right="0"/>
                    <w:jc w:val="center"/>
                    <w:rPr>
                      <w:rFonts w:hint="default"/>
                      <w:b/>
                      <w:bCs/>
                      <w:color w:val="auto"/>
                      <w:szCs w:val="21"/>
                    </w:rPr>
                  </w:pPr>
                  <w:r>
                    <w:rPr>
                      <w:rFonts w:hint="default"/>
                      <w:b/>
                      <w:bCs/>
                      <w:color w:val="auto"/>
                      <w:szCs w:val="21"/>
                    </w:rPr>
                    <w:t>序号</w:t>
                  </w:r>
                </w:p>
              </w:tc>
              <w:tc>
                <w:tcPr>
                  <w:tcW w:w="2446" w:type="dxa"/>
                  <w:shd w:val="clear" w:color="auto" w:fill="auto"/>
                  <w:vAlign w:val="center"/>
                </w:tcPr>
                <w:p>
                  <w:pPr>
                    <w:keepNext w:val="0"/>
                    <w:keepLines w:val="0"/>
                    <w:suppressLineNumbers w:val="0"/>
                    <w:spacing w:before="0" w:beforeAutospacing="0" w:after="0" w:afterAutospacing="0"/>
                    <w:ind w:left="0" w:right="0"/>
                    <w:jc w:val="center"/>
                    <w:rPr>
                      <w:rFonts w:hint="default"/>
                      <w:b/>
                      <w:bCs/>
                      <w:color w:val="auto"/>
                      <w:szCs w:val="21"/>
                    </w:rPr>
                  </w:pPr>
                  <w:r>
                    <w:rPr>
                      <w:rFonts w:hint="default"/>
                      <w:b/>
                      <w:bCs/>
                      <w:color w:val="auto"/>
                      <w:szCs w:val="21"/>
                    </w:rPr>
                    <w:t>项目</w:t>
                  </w:r>
                </w:p>
              </w:tc>
              <w:tc>
                <w:tcPr>
                  <w:tcW w:w="1259" w:type="dxa"/>
                  <w:shd w:val="clear" w:color="auto" w:fill="auto"/>
                  <w:vAlign w:val="center"/>
                </w:tcPr>
                <w:p>
                  <w:pPr>
                    <w:keepNext w:val="0"/>
                    <w:keepLines w:val="0"/>
                    <w:suppressLineNumbers w:val="0"/>
                    <w:spacing w:before="0" w:beforeAutospacing="0" w:after="0" w:afterAutospacing="0"/>
                    <w:ind w:left="0" w:right="0"/>
                    <w:jc w:val="center"/>
                    <w:rPr>
                      <w:rFonts w:hint="default"/>
                      <w:b/>
                      <w:bCs/>
                      <w:color w:val="auto"/>
                      <w:szCs w:val="21"/>
                    </w:rPr>
                  </w:pPr>
                  <w:r>
                    <w:rPr>
                      <w:rFonts w:hint="default"/>
                      <w:b/>
                      <w:bCs/>
                      <w:color w:val="auto"/>
                      <w:szCs w:val="21"/>
                    </w:rPr>
                    <w:t>Ⅱ类</w:t>
                  </w:r>
                </w:p>
              </w:tc>
              <w:tc>
                <w:tcPr>
                  <w:tcW w:w="1220" w:type="dxa"/>
                  <w:shd w:val="clear" w:color="auto" w:fill="auto"/>
                  <w:vAlign w:val="center"/>
                </w:tcPr>
                <w:p>
                  <w:pPr>
                    <w:keepNext w:val="0"/>
                    <w:keepLines w:val="0"/>
                    <w:suppressLineNumbers w:val="0"/>
                    <w:spacing w:before="0" w:beforeAutospacing="0" w:after="0" w:afterAutospacing="0"/>
                    <w:ind w:left="0" w:right="0"/>
                    <w:jc w:val="center"/>
                    <w:rPr>
                      <w:rFonts w:hint="default"/>
                      <w:b/>
                      <w:bCs/>
                      <w:color w:val="auto"/>
                      <w:szCs w:val="21"/>
                    </w:rPr>
                  </w:pPr>
                  <w:r>
                    <w:rPr>
                      <w:rFonts w:hint="default"/>
                      <w:b/>
                      <w:bCs/>
                      <w:color w:val="auto"/>
                      <w:szCs w:val="21"/>
                    </w:rPr>
                    <w:t>Ⅲ类</w:t>
                  </w:r>
                </w:p>
              </w:tc>
              <w:tc>
                <w:tcPr>
                  <w:tcW w:w="1179" w:type="dxa"/>
                  <w:shd w:val="clear" w:color="auto" w:fill="D7D7D7" w:themeFill="background1" w:themeFillShade="D8"/>
                  <w:vAlign w:val="center"/>
                </w:tcPr>
                <w:p>
                  <w:pPr>
                    <w:keepNext w:val="0"/>
                    <w:keepLines w:val="0"/>
                    <w:suppressLineNumbers w:val="0"/>
                    <w:spacing w:before="0" w:beforeAutospacing="0" w:after="0" w:afterAutospacing="0"/>
                    <w:ind w:left="0" w:right="0"/>
                    <w:jc w:val="center"/>
                    <w:rPr>
                      <w:rFonts w:hint="default"/>
                      <w:b/>
                      <w:bCs/>
                      <w:color w:val="auto"/>
                      <w:szCs w:val="21"/>
                    </w:rPr>
                  </w:pPr>
                  <w:r>
                    <w:rPr>
                      <w:rFonts w:hint="default"/>
                      <w:b/>
                      <w:bCs/>
                      <w:color w:val="auto"/>
                      <w:szCs w:val="21"/>
                    </w:rPr>
                    <w:t>Ⅳ类</w:t>
                  </w:r>
                </w:p>
              </w:tc>
              <w:tc>
                <w:tcPr>
                  <w:tcW w:w="1180" w:type="dxa"/>
                  <w:shd w:val="clear" w:color="auto" w:fill="auto"/>
                  <w:vAlign w:val="center"/>
                </w:tcPr>
                <w:p>
                  <w:pPr>
                    <w:keepNext w:val="0"/>
                    <w:keepLines w:val="0"/>
                    <w:suppressLineNumbers w:val="0"/>
                    <w:spacing w:before="0" w:beforeAutospacing="0" w:after="0" w:afterAutospacing="0"/>
                    <w:ind w:left="0" w:right="0"/>
                    <w:jc w:val="center"/>
                    <w:rPr>
                      <w:rFonts w:hint="default"/>
                      <w:b/>
                      <w:bCs/>
                      <w:color w:val="auto"/>
                      <w:szCs w:val="21"/>
                    </w:rPr>
                  </w:pPr>
                  <w:r>
                    <w:rPr>
                      <w:rFonts w:hint="default"/>
                      <w:b/>
                      <w:bCs/>
                      <w:color w:val="auto"/>
                      <w:szCs w:val="21"/>
                    </w:rPr>
                    <w:t>Ⅴ类</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28" w:type="dxa"/>
                  <w:bottom w:w="0" w:type="dxa"/>
                  <w:right w:w="28" w:type="dxa"/>
                </w:tblCellMar>
              </w:tblPrEx>
              <w:trPr>
                <w:cantSplit/>
                <w:trHeight w:val="363" w:hRule="exact"/>
                <w:jc w:val="center"/>
              </w:trPr>
              <w:tc>
                <w:tcPr>
                  <w:tcW w:w="956" w:type="dxa"/>
                  <w:shd w:val="clear" w:color="auto" w:fill="auto"/>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1</w:t>
                  </w:r>
                </w:p>
              </w:tc>
              <w:tc>
                <w:tcPr>
                  <w:tcW w:w="2446" w:type="dxa"/>
                  <w:shd w:val="clear" w:color="auto" w:fill="auto"/>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pH(无量纲)</w:t>
                  </w:r>
                </w:p>
              </w:tc>
              <w:tc>
                <w:tcPr>
                  <w:tcW w:w="4838" w:type="dxa"/>
                  <w:gridSpan w:val="4"/>
                  <w:shd w:val="clear" w:color="auto" w:fill="D7D7D7" w:themeFill="background1" w:themeFillShade="D8"/>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6</w:t>
                  </w:r>
                  <w:r>
                    <w:rPr>
                      <w:rFonts w:hint="eastAsia"/>
                      <w:color w:val="auto"/>
                      <w:szCs w:val="21"/>
                      <w:lang w:eastAsia="zh-CN"/>
                    </w:rPr>
                    <w:t>~</w:t>
                  </w:r>
                  <w:r>
                    <w:rPr>
                      <w:rFonts w:hint="default"/>
                      <w:color w:val="auto"/>
                      <w:szCs w:val="21"/>
                    </w:rPr>
                    <w:t>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28" w:type="dxa"/>
                  <w:bottom w:w="0" w:type="dxa"/>
                  <w:right w:w="28" w:type="dxa"/>
                </w:tblCellMar>
              </w:tblPrEx>
              <w:trPr>
                <w:cantSplit/>
                <w:trHeight w:val="363" w:hRule="exact"/>
                <w:jc w:val="center"/>
              </w:trPr>
              <w:tc>
                <w:tcPr>
                  <w:tcW w:w="956" w:type="dxa"/>
                  <w:shd w:val="clear" w:color="auto" w:fill="auto"/>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2</w:t>
                  </w:r>
                </w:p>
              </w:tc>
              <w:tc>
                <w:tcPr>
                  <w:tcW w:w="2446" w:type="dxa"/>
                  <w:shd w:val="clear" w:color="auto" w:fill="auto"/>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COD</w:t>
                  </w:r>
                  <w:r>
                    <w:rPr>
                      <w:rFonts w:hint="default"/>
                      <w:color w:val="auto"/>
                      <w:szCs w:val="21"/>
                      <w:vertAlign w:val="subscript"/>
                    </w:rPr>
                    <w:t>Mn</w:t>
                  </w:r>
                </w:p>
              </w:tc>
              <w:tc>
                <w:tcPr>
                  <w:tcW w:w="1259" w:type="dxa"/>
                  <w:tcBorders>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4</w:t>
                  </w:r>
                </w:p>
              </w:tc>
              <w:tc>
                <w:tcPr>
                  <w:tcW w:w="1220" w:type="dxa"/>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6</w:t>
                  </w:r>
                </w:p>
              </w:tc>
              <w:tc>
                <w:tcPr>
                  <w:tcW w:w="1179" w:type="dxa"/>
                  <w:tcBorders>
                    <w:left w:val="single" w:color="auto" w:sz="4" w:space="0"/>
                    <w:right w:val="single" w:color="auto" w:sz="4" w:space="0"/>
                  </w:tcBorders>
                  <w:shd w:val="clear" w:color="auto" w:fill="D7D7D7" w:themeFill="background1" w:themeFillShade="D8"/>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10</w:t>
                  </w:r>
                </w:p>
              </w:tc>
              <w:tc>
                <w:tcPr>
                  <w:tcW w:w="1180" w:type="dxa"/>
                  <w:tcBorders>
                    <w:lef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1</w:t>
                  </w:r>
                  <w:r>
                    <w:rPr>
                      <w:rFonts w:hint="default"/>
                      <w:color w:val="auto"/>
                      <w:szCs w:val="21"/>
                    </w:rPr>
                    <w:cr/>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28" w:type="dxa"/>
                  <w:bottom w:w="0" w:type="dxa"/>
                  <w:right w:w="28" w:type="dxa"/>
                </w:tblCellMar>
              </w:tblPrEx>
              <w:trPr>
                <w:cantSplit/>
                <w:trHeight w:val="363" w:hRule="exact"/>
                <w:jc w:val="center"/>
              </w:trPr>
              <w:tc>
                <w:tcPr>
                  <w:tcW w:w="956" w:type="dxa"/>
                  <w:shd w:val="clear" w:color="auto" w:fill="auto"/>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3</w:t>
                  </w:r>
                </w:p>
              </w:tc>
              <w:tc>
                <w:tcPr>
                  <w:tcW w:w="2446" w:type="dxa"/>
                  <w:shd w:val="clear" w:color="auto" w:fill="auto"/>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DO</w:t>
                  </w:r>
                </w:p>
              </w:tc>
              <w:tc>
                <w:tcPr>
                  <w:tcW w:w="1259" w:type="dxa"/>
                  <w:shd w:val="clear" w:color="auto" w:fill="auto"/>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6</w:t>
                  </w:r>
                </w:p>
              </w:tc>
              <w:tc>
                <w:tcPr>
                  <w:tcW w:w="1220" w:type="dxa"/>
                  <w:shd w:val="clear" w:color="auto" w:fill="auto"/>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5</w:t>
                  </w:r>
                </w:p>
              </w:tc>
              <w:tc>
                <w:tcPr>
                  <w:tcW w:w="1179" w:type="dxa"/>
                  <w:shd w:val="clear" w:color="auto" w:fill="D7D7D7" w:themeFill="background1" w:themeFillShade="D8"/>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3</w:t>
                  </w:r>
                </w:p>
              </w:tc>
              <w:tc>
                <w:tcPr>
                  <w:tcW w:w="1180" w:type="dxa"/>
                  <w:shd w:val="clear" w:color="auto" w:fill="auto"/>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28" w:type="dxa"/>
                  <w:bottom w:w="0" w:type="dxa"/>
                  <w:right w:w="28" w:type="dxa"/>
                </w:tblCellMar>
              </w:tblPrEx>
              <w:trPr>
                <w:cantSplit/>
                <w:trHeight w:val="363" w:hRule="exact"/>
                <w:jc w:val="center"/>
              </w:trPr>
              <w:tc>
                <w:tcPr>
                  <w:tcW w:w="956" w:type="dxa"/>
                  <w:shd w:val="clear" w:color="auto" w:fill="auto"/>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4</w:t>
                  </w:r>
                </w:p>
              </w:tc>
              <w:tc>
                <w:tcPr>
                  <w:tcW w:w="2446" w:type="dxa"/>
                  <w:shd w:val="clear" w:color="auto" w:fill="auto"/>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NH</w:t>
                  </w:r>
                  <w:r>
                    <w:rPr>
                      <w:rFonts w:hint="default"/>
                      <w:color w:val="auto"/>
                      <w:szCs w:val="21"/>
                      <w:vertAlign w:val="subscript"/>
                    </w:rPr>
                    <w:t>3</w:t>
                  </w:r>
                  <w:r>
                    <w:rPr>
                      <w:rFonts w:hint="default"/>
                      <w:color w:val="auto"/>
                      <w:szCs w:val="21"/>
                    </w:rPr>
                    <w:t>-N</w:t>
                  </w:r>
                </w:p>
              </w:tc>
              <w:tc>
                <w:tcPr>
                  <w:tcW w:w="1259" w:type="dxa"/>
                  <w:shd w:val="clear" w:color="auto" w:fill="auto"/>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0.5</w:t>
                  </w:r>
                </w:p>
              </w:tc>
              <w:tc>
                <w:tcPr>
                  <w:tcW w:w="1220" w:type="dxa"/>
                  <w:shd w:val="clear" w:color="auto" w:fill="auto"/>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1.0</w:t>
                  </w:r>
                </w:p>
              </w:tc>
              <w:tc>
                <w:tcPr>
                  <w:tcW w:w="1179" w:type="dxa"/>
                  <w:shd w:val="clear" w:color="auto" w:fill="D7D7D7" w:themeFill="background1" w:themeFillShade="D8"/>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1.5</w:t>
                  </w:r>
                </w:p>
              </w:tc>
              <w:tc>
                <w:tcPr>
                  <w:tcW w:w="1180" w:type="dxa"/>
                  <w:shd w:val="clear" w:color="auto" w:fill="auto"/>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2.0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28" w:type="dxa"/>
                  <w:bottom w:w="0" w:type="dxa"/>
                  <w:right w:w="28" w:type="dxa"/>
                </w:tblCellMar>
              </w:tblPrEx>
              <w:trPr>
                <w:cantSplit/>
                <w:trHeight w:val="363" w:hRule="exact"/>
                <w:jc w:val="center"/>
              </w:trPr>
              <w:tc>
                <w:tcPr>
                  <w:tcW w:w="956" w:type="dxa"/>
                  <w:shd w:val="clear" w:color="auto" w:fill="auto"/>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5</w:t>
                  </w:r>
                </w:p>
              </w:tc>
              <w:tc>
                <w:tcPr>
                  <w:tcW w:w="2446" w:type="dxa"/>
                  <w:shd w:val="clear" w:color="auto" w:fill="auto"/>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BOD</w:t>
                  </w:r>
                  <w:r>
                    <w:rPr>
                      <w:rFonts w:hint="default"/>
                      <w:color w:val="auto"/>
                      <w:szCs w:val="21"/>
                      <w:vertAlign w:val="subscript"/>
                    </w:rPr>
                    <w:t>5</w:t>
                  </w:r>
                </w:p>
              </w:tc>
              <w:tc>
                <w:tcPr>
                  <w:tcW w:w="1259" w:type="dxa"/>
                  <w:shd w:val="clear" w:color="auto" w:fill="auto"/>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3</w:t>
                  </w:r>
                </w:p>
              </w:tc>
              <w:tc>
                <w:tcPr>
                  <w:tcW w:w="1220" w:type="dxa"/>
                  <w:shd w:val="clear" w:color="auto" w:fill="auto"/>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4</w:t>
                  </w:r>
                </w:p>
              </w:tc>
              <w:tc>
                <w:tcPr>
                  <w:tcW w:w="1179" w:type="dxa"/>
                  <w:shd w:val="clear" w:color="auto" w:fill="D7D7D7" w:themeFill="background1" w:themeFillShade="D8"/>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6</w:t>
                  </w:r>
                </w:p>
              </w:tc>
              <w:tc>
                <w:tcPr>
                  <w:tcW w:w="1180" w:type="dxa"/>
                  <w:shd w:val="clear" w:color="auto" w:fill="auto"/>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10</w:t>
                  </w:r>
                </w:p>
              </w:tc>
            </w:tr>
          </w:tbl>
          <w:p>
            <w:pPr>
              <w:pStyle w:val="4"/>
              <w:suppressLineNumbers w:val="0"/>
              <w:bidi w:val="0"/>
              <w:spacing w:beforeAutospacing="0" w:afterAutospacing="0"/>
              <w:ind w:right="0"/>
              <w:rPr>
                <w:rFonts w:hint="eastAsia" w:ascii="Times New Roman" w:hAnsi="Times New Roman" w:cs="Times New Roman"/>
                <w:color w:val="auto"/>
                <w:lang w:eastAsia="zh-CN"/>
              </w:rPr>
            </w:pPr>
            <w:r>
              <w:rPr>
                <w:rFonts w:hint="eastAsia" w:ascii="Times New Roman" w:hAnsi="Times New Roman" w:cs="Times New Roman"/>
                <w:color w:val="auto"/>
                <w:lang w:eastAsia="zh-CN"/>
              </w:rPr>
              <w:t>地表水环境质量现状</w:t>
            </w:r>
          </w:p>
          <w:p>
            <w:pPr>
              <w:pStyle w:val="18"/>
              <w:keepNext w:val="0"/>
              <w:keepLines w:val="0"/>
              <w:suppressLineNumbers w:val="0"/>
              <w:bidi w:val="0"/>
              <w:spacing w:before="0" w:beforeAutospacing="0" w:after="0" w:afterAutospacing="0"/>
              <w:ind w:left="0" w:right="0" w:firstLine="480" w:firstLineChars="200"/>
              <w:rPr>
                <w:rFonts w:hint="default"/>
                <w:color w:val="auto"/>
              </w:rPr>
            </w:pPr>
            <w:r>
              <w:rPr>
                <w:rFonts w:hint="eastAsia"/>
                <w:color w:val="auto"/>
                <w:lang w:eastAsia="zh-CN"/>
              </w:rPr>
              <w:t>（</w:t>
            </w:r>
            <w:r>
              <w:rPr>
                <w:rFonts w:hint="default"/>
                <w:color w:val="auto"/>
              </w:rPr>
              <w:t>1</w:t>
            </w:r>
            <w:r>
              <w:rPr>
                <w:rFonts w:hint="eastAsia"/>
                <w:color w:val="auto"/>
                <w:lang w:eastAsia="zh-CN"/>
              </w:rPr>
              <w:t>）</w:t>
            </w:r>
            <w:r>
              <w:rPr>
                <w:rFonts w:hint="default"/>
                <w:color w:val="auto"/>
              </w:rPr>
              <w:t>地表水水质现状调查</w:t>
            </w:r>
          </w:p>
          <w:p>
            <w:pPr>
              <w:pStyle w:val="18"/>
              <w:keepNext w:val="0"/>
              <w:keepLines w:val="0"/>
              <w:suppressLineNumbers w:val="0"/>
              <w:bidi w:val="0"/>
              <w:spacing w:before="0" w:beforeAutospacing="0" w:after="0" w:afterAutospacing="0"/>
              <w:ind w:left="0" w:right="0"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为了解</w:t>
            </w:r>
            <w:r>
              <w:rPr>
                <w:rFonts w:hint="eastAsia" w:ascii="Times New Roman" w:hAnsi="Times New Roman" w:eastAsia="宋体" w:cs="Times New Roman"/>
                <w:color w:val="auto"/>
                <w:lang w:val="en-US" w:eastAsia="zh-CN"/>
              </w:rPr>
              <w:t>项目</w:t>
            </w:r>
            <w:r>
              <w:rPr>
                <w:rFonts w:hint="default" w:ascii="Times New Roman" w:hAnsi="Times New Roman" w:eastAsia="宋体" w:cs="Times New Roman"/>
                <w:color w:val="auto"/>
              </w:rPr>
              <w:t>所在地表水水质情况，评价引用福建省地表水水质状况公告，2024年1―11月，全省主要流域总体水质为优，国控断面Ⅰ～Ⅲ类水质比例100％,Ⅰ～Ⅱ类水质比例77.1％；国控及省控断面Ⅰ～Ⅲ类水质比例99.7％，其中Ⅰ～Ⅱ类水质比例78.9％，各类水质比例如下：Ⅰ类占2.4％，Ⅱ类占76.5％，Ⅲ类占20.8％，Ⅳ类占0.3％，无Ⅴ类和劣Ⅴ类水。全省主要流域总体水质从相对较好开始排名，具体为：闽江、交溪、霍童溪、萩芦溪、汀江（韩江）、九龙江、晋江、木兰溪、敖江、东西溪、诏安东溪、龙江、漳江、鹿溪。由此可知龙江水质可达到《地表水环境质量标准》(GB3838-2002)Ⅴ类水标准，详见图</w:t>
            </w:r>
            <w:r>
              <w:rPr>
                <w:rFonts w:hint="default" w:ascii="Times New Roman" w:hAnsi="Times New Roman" w:eastAsia="宋体" w:cs="Times New Roman"/>
                <w:color w:val="auto"/>
                <w:lang w:val="en-US" w:eastAsia="zh-CN"/>
              </w:rPr>
              <w:t>3.2-1</w:t>
            </w:r>
            <w:r>
              <w:rPr>
                <w:rFonts w:hint="default" w:ascii="Times New Roman" w:hAnsi="Times New Roman" w:eastAsia="宋体" w:cs="Times New Roman"/>
                <w:color w:val="auto"/>
              </w:rPr>
              <w:t>。</w:t>
            </w:r>
          </w:p>
          <w:p>
            <w:pPr>
              <w:keepNext w:val="0"/>
              <w:keepLines w:val="0"/>
              <w:suppressLineNumbers w:val="0"/>
              <w:autoSpaceDE w:val="0"/>
              <w:autoSpaceDN w:val="0"/>
              <w:spacing w:before="0" w:beforeAutospacing="0" w:after="0" w:afterAutospacing="0" w:line="360" w:lineRule="auto"/>
              <w:ind w:left="0" w:right="0"/>
              <w:jc w:val="center"/>
              <w:textAlignment w:val="bottom"/>
              <w:rPr>
                <w:rFonts w:hint="default" w:ascii="Times New Roman" w:hAnsi="Times New Roman" w:cs="Times New Roman"/>
                <w:color w:val="auto"/>
                <w:sz w:val="24"/>
                <w:highlight w:val="none"/>
              </w:rPr>
            </w:pPr>
            <w:r>
              <w:rPr>
                <w:rFonts w:hint="default"/>
                <w:color w:val="auto"/>
              </w:rPr>
              <w:drawing>
                <wp:inline distT="0" distB="0" distL="114300" distR="114300">
                  <wp:extent cx="3837940" cy="2127250"/>
                  <wp:effectExtent l="0" t="0" r="10160" b="6350"/>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22"/>
                          <a:srcRect t="6479" b="5955"/>
                          <a:stretch>
                            <a:fillRect/>
                          </a:stretch>
                        </pic:blipFill>
                        <pic:spPr>
                          <a:xfrm>
                            <a:off x="0" y="0"/>
                            <a:ext cx="3837940" cy="2127250"/>
                          </a:xfrm>
                          <a:prstGeom prst="rect">
                            <a:avLst/>
                          </a:prstGeom>
                          <a:noFill/>
                          <a:ln>
                            <a:noFill/>
                          </a:ln>
                        </pic:spPr>
                      </pic:pic>
                    </a:graphicData>
                  </a:graphic>
                </wp:inline>
              </w:drawing>
            </w:r>
          </w:p>
          <w:p>
            <w:pPr>
              <w:pStyle w:val="88"/>
              <w:keepNext w:val="0"/>
              <w:keepLines w:val="0"/>
              <w:pageBreakBefore w:val="0"/>
              <w:widowControl w:val="0"/>
              <w:suppressLineNumbers w:val="0"/>
              <w:kinsoku/>
              <w:wordWrap/>
              <w:overflowPunct/>
              <w:topLinePunct w:val="0"/>
              <w:autoSpaceDE/>
              <w:autoSpaceDN/>
              <w:bidi w:val="0"/>
              <w:adjustRightInd/>
              <w:snapToGrid/>
              <w:spacing w:before="0" w:beforeAutospacing="0" w:after="157" w:afterLines="50" w:afterAutospacing="0"/>
              <w:ind w:left="0" w:right="0"/>
              <w:textAlignment w:val="auto"/>
              <w:rPr>
                <w:rFonts w:hint="eastAsia"/>
                <w:color w:val="auto"/>
                <w:sz w:val="24"/>
                <w:szCs w:val="24"/>
                <w:lang w:val="en-US" w:eastAsia="zh-CN"/>
              </w:rPr>
            </w:pPr>
            <w:r>
              <w:rPr>
                <w:rFonts w:hint="default" w:ascii="Times New Roman" w:hAnsi="Times New Roman" w:eastAsia="宋体" w:cs="Times New Roman"/>
                <w:b/>
                <w:bCs/>
                <w:color w:val="auto"/>
                <w:sz w:val="24"/>
                <w:szCs w:val="24"/>
                <w:lang w:eastAsia="zh-CN"/>
              </w:rPr>
              <w:t>图</w:t>
            </w:r>
            <w:r>
              <w:rPr>
                <w:rFonts w:hint="default" w:ascii="Times New Roman" w:hAnsi="Times New Roman" w:eastAsia="宋体" w:cs="Times New Roman"/>
                <w:b/>
                <w:bCs/>
                <w:color w:val="auto"/>
                <w:sz w:val="24"/>
                <w:szCs w:val="24"/>
                <w:lang w:val="en-US" w:eastAsia="zh-CN"/>
              </w:rPr>
              <w:t>3.2-1福建省流域水环境质量状况（202</w:t>
            </w:r>
            <w:r>
              <w:rPr>
                <w:rFonts w:hint="eastAsia"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lang w:val="en-US" w:eastAsia="zh-CN"/>
              </w:rPr>
              <w:t>年1-1</w:t>
            </w:r>
            <w:r>
              <w:rPr>
                <w:rFonts w:hint="eastAsia"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lang w:val="en-US" w:eastAsia="zh-CN"/>
              </w:rPr>
              <w:t>月）截图</w:t>
            </w:r>
          </w:p>
          <w:p>
            <w:pPr>
              <w:pStyle w:val="18"/>
              <w:keepNext w:val="0"/>
              <w:keepLines w:val="0"/>
              <w:suppressLineNumbers w:val="0"/>
              <w:bidi w:val="0"/>
              <w:spacing w:before="0" w:beforeAutospacing="0" w:after="0" w:afterAutospacing="0"/>
              <w:ind w:left="0" w:right="0" w:firstLine="480" w:firstLineChars="200"/>
              <w:rPr>
                <w:rFonts w:hint="eastAsia" w:ascii="Times New Roman" w:hAnsi="Times New Roman" w:cs="Times New Roman"/>
                <w:color w:val="auto"/>
                <w:lang w:eastAsia="zh-CN"/>
              </w:rPr>
            </w:pPr>
            <w:r>
              <w:rPr>
                <w:rFonts w:hint="eastAsia" w:ascii="Times New Roman" w:hAnsi="Times New Roman" w:cs="Times New Roman"/>
                <w:color w:val="auto"/>
                <w:lang w:val="en-US" w:eastAsia="zh-CN"/>
              </w:rPr>
              <w:t>（2</w:t>
            </w:r>
            <w:r>
              <w:rPr>
                <w:rFonts w:hint="eastAsia" w:ascii="Times New Roman" w:hAnsi="Times New Roman" w:cs="Times New Roman"/>
                <w:color w:val="auto"/>
                <w:lang w:eastAsia="zh-CN"/>
              </w:rPr>
              <w:t>）引用资料的有效性分析</w:t>
            </w:r>
          </w:p>
          <w:p>
            <w:pPr>
              <w:pStyle w:val="18"/>
              <w:keepNext w:val="0"/>
              <w:keepLines w:val="0"/>
              <w:suppressLineNumbers w:val="0"/>
              <w:bidi w:val="0"/>
              <w:spacing w:before="0" w:beforeAutospacing="0" w:after="0" w:afterAutospacing="0"/>
              <w:ind w:left="0" w:right="0" w:firstLine="480" w:firstLineChars="200"/>
              <w:rPr>
                <w:rFonts w:hint="eastAsia" w:ascii="Times New Roman" w:hAnsi="Times New Roman" w:cs="Times New Roman"/>
                <w:color w:val="auto"/>
                <w:lang w:eastAsia="zh-CN"/>
              </w:rPr>
            </w:pPr>
            <w:r>
              <w:rPr>
                <w:rFonts w:hint="eastAsia" w:ascii="Times New Roman" w:hAnsi="Times New Roman" w:cs="Times New Roman"/>
                <w:color w:val="auto"/>
                <w:lang w:eastAsia="zh-CN"/>
              </w:rPr>
              <w:t>根据《建设项目环境影响报告表编制技术指南(污染影响类)(试行)》(环办环评〔2020〕33号)的要求：“地表水环境区域环境质量现状引用与建设项目距离近的有效数据，包括近3年的规划环境影响评价的监测数据，所在流域控制单元内国家、地方控制断面监测数据，生态环境主管部门发布的水环境质量数据或地表水达标情况的结论”，本</w:t>
            </w:r>
            <w:r>
              <w:rPr>
                <w:rFonts w:hint="eastAsia" w:ascii="Times New Roman" w:hAnsi="Times New Roman" w:cs="Times New Roman"/>
                <w:color w:val="auto"/>
                <w:lang w:val="en-US" w:eastAsia="zh-CN"/>
              </w:rPr>
              <w:t>次</w:t>
            </w:r>
            <w:r>
              <w:rPr>
                <w:rFonts w:hint="eastAsia" w:ascii="Times New Roman" w:hAnsi="Times New Roman" w:cs="Times New Roman"/>
                <w:color w:val="auto"/>
                <w:lang w:eastAsia="zh-CN"/>
              </w:rPr>
              <w:t>评价选取福建省生态环境厅网站发</w:t>
            </w:r>
            <w:r>
              <w:rPr>
                <w:rFonts w:hint="eastAsia" w:cs="Times New Roman"/>
                <w:color w:val="auto"/>
                <w:lang w:eastAsia="zh-CN"/>
              </w:rPr>
              <w:t>布的</w:t>
            </w:r>
            <w:r>
              <w:rPr>
                <w:rFonts w:hint="eastAsia" w:ascii="Times New Roman" w:hAnsi="Times New Roman" w:cs="Times New Roman"/>
                <w:color w:val="auto"/>
                <w:lang w:eastAsia="zh-CN"/>
              </w:rPr>
              <w:t>水环境状况信息，符合《建设项目环境影响报告表编制技术指南(污染影响类)(试行)》(环办环评〔2020〕33号)的要求。</w:t>
            </w:r>
          </w:p>
          <w:p>
            <w:pPr>
              <w:pStyle w:val="3"/>
              <w:suppressLineNumbers w:val="0"/>
              <w:bidi w:val="0"/>
              <w:spacing w:beforeAutospacing="0" w:afterAutospacing="0"/>
              <w:ind w:right="0"/>
              <w:rPr>
                <w:rFonts w:hint="eastAsia" w:ascii="Times New Roman" w:hAnsi="Times New Roman" w:cs="Times New Roman"/>
                <w:color w:val="auto"/>
                <w:lang w:val="en-US" w:eastAsia="zh-CN"/>
              </w:rPr>
            </w:pPr>
            <w:bookmarkStart w:id="54" w:name="_Toc11762"/>
            <w:r>
              <w:rPr>
                <w:rFonts w:hint="eastAsia" w:ascii="Times New Roman" w:hAnsi="Times New Roman" w:cs="Times New Roman"/>
                <w:color w:val="auto"/>
                <w:lang w:val="en-US" w:eastAsia="zh-CN"/>
              </w:rPr>
              <w:t>声环境质量现状</w:t>
            </w:r>
            <w:bookmarkEnd w:id="54"/>
          </w:p>
          <w:p>
            <w:pPr>
              <w:pStyle w:val="4"/>
              <w:suppressLineNumbers w:val="0"/>
              <w:bidi w:val="0"/>
              <w:spacing w:beforeAutospacing="0" w:afterAutospacing="0"/>
              <w:ind w:right="0"/>
              <w:rPr>
                <w:rFonts w:hint="default"/>
                <w:color w:val="auto"/>
              </w:rPr>
            </w:pPr>
            <w:r>
              <w:rPr>
                <w:rFonts w:hint="default"/>
                <w:color w:val="auto"/>
              </w:rPr>
              <w:t>声环境功能区</w:t>
            </w:r>
          </w:p>
          <w:p>
            <w:pPr>
              <w:pStyle w:val="18"/>
              <w:keepNext w:val="0"/>
              <w:keepLines w:val="0"/>
              <w:suppressLineNumbers w:val="0"/>
              <w:bidi w:val="0"/>
              <w:spacing w:before="0" w:beforeAutospacing="0" w:after="0" w:afterAutospacing="0"/>
              <w:ind w:left="0" w:right="0" w:firstLine="480" w:firstLineChars="200"/>
              <w:rPr>
                <w:rFonts w:hint="default"/>
                <w:color w:val="auto"/>
              </w:rPr>
            </w:pPr>
            <w:r>
              <w:rPr>
                <w:rFonts w:hint="default"/>
                <w:color w:val="auto"/>
              </w:rPr>
              <w:t>本项目位于</w:t>
            </w:r>
            <w:r>
              <w:rPr>
                <w:rFonts w:hint="eastAsia"/>
                <w:color w:val="auto"/>
                <w:lang w:val="en-US" w:eastAsia="zh-CN"/>
              </w:rPr>
              <w:t>福清市融侨经济技术开发洪宽工业村</w:t>
            </w:r>
            <w:r>
              <w:rPr>
                <w:rFonts w:hint="default"/>
                <w:color w:val="auto"/>
              </w:rPr>
              <w:t>，项目周边以工业生产、仓储物流为主要功能的区域，项目所在区域声环境为3类功能区，声环境功能执行《声环境质量标准》</w:t>
            </w:r>
            <w:r>
              <w:rPr>
                <w:rFonts w:hint="eastAsia"/>
                <w:color w:val="auto"/>
                <w:lang w:eastAsia="zh-CN"/>
              </w:rPr>
              <w:t>（</w:t>
            </w:r>
            <w:r>
              <w:rPr>
                <w:rFonts w:hint="default"/>
                <w:color w:val="auto"/>
              </w:rPr>
              <w:t>GB3096-2008</w:t>
            </w:r>
            <w:r>
              <w:rPr>
                <w:rFonts w:hint="eastAsia"/>
                <w:color w:val="auto"/>
                <w:lang w:eastAsia="zh-CN"/>
              </w:rPr>
              <w:t>）</w:t>
            </w:r>
            <w:r>
              <w:rPr>
                <w:rFonts w:hint="default"/>
                <w:color w:val="auto"/>
              </w:rPr>
              <w:t>表1中3类标准。</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eastAsia"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《声环境质量</w:t>
            </w:r>
            <w:r>
              <w:rPr>
                <w:rFonts w:hint="default" w:ascii="Times New Roman" w:hAnsi="Times New Roman" w:cs="Times New Roman"/>
                <w:color w:val="auto"/>
                <w:highlight w:val="none"/>
                <w:lang w:val="en-US" w:eastAsia="zh-CN"/>
              </w:rPr>
              <w:tab/>
            </w:r>
            <w:r>
              <w:rPr>
                <w:rFonts w:hint="default" w:ascii="Times New Roman" w:hAnsi="Times New Roman" w:cs="Times New Roman"/>
                <w:color w:val="auto"/>
                <w:highlight w:val="none"/>
                <w:lang w:val="en-US" w:eastAsia="zh-CN"/>
              </w:rPr>
              <w:t>标准》</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GB3096-2008</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摘录</w:t>
            </w:r>
            <w:r>
              <w:rPr>
                <w:rFonts w:hint="eastAsia" w:ascii="Times New Roman" w:hAnsi="Times New Roman" w:cs="Times New Roman"/>
                <w:color w:val="auto"/>
                <w:highlight w:val="none"/>
                <w:lang w:val="en-US" w:eastAsia="zh-CN"/>
              </w:rPr>
              <w:t>）</w:t>
            </w:r>
          </w:p>
          <w:tbl>
            <w:tblPr>
              <w:tblStyle w:val="32"/>
              <w:tblW w:w="8237" w:type="dxa"/>
              <w:jc w:val="center"/>
              <w:tblInd w:w="0" w:type="dxa"/>
              <w:tblBorders>
                <w:top w:val="none" w:color="auto" w:sz="0" w:space="0"/>
                <w:left w:val="none" w:color="auto" w:sz="0" w:space="0"/>
                <w:bottom w:val="none" w:color="auto" w:sz="0"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114"/>
              <w:gridCol w:w="4385"/>
              <w:gridCol w:w="1209"/>
              <w:gridCol w:w="1529"/>
            </w:tblGrid>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114" w:type="dxa"/>
                  <w:vMerge w:val="restart"/>
                  <w:tcBorders>
                    <w:top w:val="single" w:color="000000" w:sz="12" w:space="0"/>
                    <w:left w:val="nil"/>
                    <w:bottom w:val="single" w:color="000000" w:sz="6" w:space="0"/>
                    <w:right w:val="single" w:color="000000" w:sz="4" w:space="0"/>
                  </w:tcBorders>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标准类别</w:t>
                  </w:r>
                </w:p>
              </w:tc>
              <w:tc>
                <w:tcPr>
                  <w:tcW w:w="4385" w:type="dxa"/>
                  <w:vMerge w:val="restart"/>
                  <w:tcBorders>
                    <w:top w:val="single" w:color="000000" w:sz="12" w:space="0"/>
                    <w:left w:val="single" w:color="000000" w:sz="4" w:space="0"/>
                    <w:bottom w:val="single" w:color="000000" w:sz="6" w:space="0"/>
                    <w:right w:val="single" w:color="000000" w:sz="4" w:space="0"/>
                  </w:tcBorders>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适用区域</w:t>
                  </w:r>
                </w:p>
              </w:tc>
              <w:tc>
                <w:tcPr>
                  <w:tcW w:w="2738" w:type="dxa"/>
                  <w:gridSpan w:val="2"/>
                  <w:tcBorders>
                    <w:top w:val="single" w:color="000000" w:sz="12" w:space="0"/>
                    <w:left w:val="single" w:color="000000" w:sz="4" w:space="0"/>
                    <w:bottom w:val="single" w:color="000000" w:sz="6" w:space="0"/>
                    <w:right w:val="nil"/>
                  </w:tcBorders>
                  <w:vAlign w:val="center"/>
                </w:tcPr>
                <w:p>
                  <w:pPr>
                    <w:pStyle w:val="78"/>
                    <w:keepNext w:val="0"/>
                    <w:keepLines w:val="0"/>
                    <w:suppressLineNumbers w:val="0"/>
                    <w:bidi w:val="0"/>
                    <w:spacing w:before="0" w:beforeAutospacing="0" w:after="0" w:afterAutospacing="0"/>
                    <w:ind w:left="0" w:right="0"/>
                    <w:rPr>
                      <w:rFonts w:hint="eastAsia" w:eastAsia="宋体"/>
                      <w:color w:val="auto"/>
                      <w:lang w:eastAsia="zh-CN"/>
                    </w:rPr>
                  </w:pPr>
                  <w:r>
                    <w:rPr>
                      <w:rFonts w:hint="default"/>
                      <w:color w:val="auto"/>
                    </w:rPr>
                    <w:t>等效声级Leq</w:t>
                  </w:r>
                  <w:r>
                    <w:rPr>
                      <w:rFonts w:hint="eastAsia"/>
                      <w:color w:val="auto"/>
                      <w:lang w:eastAsia="zh-CN"/>
                    </w:rPr>
                    <w:t>（</w:t>
                  </w:r>
                  <w:r>
                    <w:rPr>
                      <w:rFonts w:hint="default"/>
                      <w:color w:val="auto"/>
                    </w:rPr>
                    <w:t>dB</w:t>
                  </w:r>
                  <w:r>
                    <w:rPr>
                      <w:rFonts w:hint="eastAsia"/>
                      <w:color w:val="auto"/>
                      <w:lang w:eastAsia="zh-CN"/>
                    </w:rPr>
                    <w:t>（</w:t>
                  </w:r>
                  <w:r>
                    <w:rPr>
                      <w:rFonts w:hint="default"/>
                      <w:color w:val="auto"/>
                    </w:rPr>
                    <w:t>A</w:t>
                  </w:r>
                  <w:r>
                    <w:rPr>
                      <w:rFonts w:hint="eastAsia"/>
                      <w:color w:val="auto"/>
                      <w:lang w:eastAsia="zh-CN"/>
                    </w:rPr>
                    <w:t>））</w:t>
                  </w:r>
                </w:p>
              </w:tc>
            </w:tr>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90" w:hRule="atLeast"/>
                <w:jc w:val="center"/>
              </w:trPr>
              <w:tc>
                <w:tcPr>
                  <w:tcW w:w="1114" w:type="dxa"/>
                  <w:vMerge w:val="continue"/>
                  <w:tcBorders>
                    <w:top w:val="single" w:color="000000" w:sz="6" w:space="0"/>
                    <w:left w:val="nil"/>
                    <w:bottom w:val="single" w:color="000000" w:sz="6" w:space="0"/>
                    <w:right w:val="single" w:color="000000" w:sz="4" w:space="0"/>
                  </w:tcBorders>
                  <w:vAlign w:val="center"/>
                </w:tcPr>
                <w:p>
                  <w:pPr>
                    <w:pStyle w:val="78"/>
                    <w:keepNext w:val="0"/>
                    <w:keepLines w:val="0"/>
                    <w:suppressLineNumbers w:val="0"/>
                    <w:bidi w:val="0"/>
                    <w:spacing w:before="0" w:beforeAutospacing="0" w:after="0" w:afterAutospacing="0"/>
                    <w:ind w:left="0" w:right="0"/>
                    <w:rPr>
                      <w:rFonts w:hint="default"/>
                      <w:color w:val="auto"/>
                    </w:rPr>
                  </w:pPr>
                </w:p>
              </w:tc>
              <w:tc>
                <w:tcPr>
                  <w:tcW w:w="4385" w:type="dxa"/>
                  <w:vMerge w:val="continue"/>
                  <w:tcBorders>
                    <w:top w:val="single" w:color="000000" w:sz="6" w:space="0"/>
                    <w:left w:val="single" w:color="000000" w:sz="4" w:space="0"/>
                    <w:bottom w:val="single" w:color="000000" w:sz="6" w:space="0"/>
                    <w:right w:val="single" w:color="000000" w:sz="4" w:space="0"/>
                  </w:tcBorders>
                  <w:vAlign w:val="center"/>
                </w:tcPr>
                <w:p>
                  <w:pPr>
                    <w:pStyle w:val="78"/>
                    <w:keepNext w:val="0"/>
                    <w:keepLines w:val="0"/>
                    <w:suppressLineNumbers w:val="0"/>
                    <w:bidi w:val="0"/>
                    <w:spacing w:before="0" w:beforeAutospacing="0" w:after="0" w:afterAutospacing="0"/>
                    <w:ind w:left="0" w:right="0"/>
                    <w:rPr>
                      <w:rFonts w:hint="default"/>
                      <w:color w:val="auto"/>
                    </w:rPr>
                  </w:pPr>
                </w:p>
              </w:tc>
              <w:tc>
                <w:tcPr>
                  <w:tcW w:w="1209" w:type="dxa"/>
                  <w:tcBorders>
                    <w:top w:val="single" w:color="000000" w:sz="6" w:space="0"/>
                    <w:left w:val="single" w:color="000000" w:sz="4" w:space="0"/>
                    <w:bottom w:val="single" w:color="000000" w:sz="6" w:space="0"/>
                    <w:right w:val="nil"/>
                  </w:tcBorders>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昼间</w:t>
                  </w:r>
                </w:p>
              </w:tc>
              <w:tc>
                <w:tcPr>
                  <w:tcW w:w="1529" w:type="dxa"/>
                  <w:tcBorders>
                    <w:top w:val="single" w:color="000000" w:sz="6" w:space="0"/>
                    <w:left w:val="single" w:color="000000" w:sz="4" w:space="0"/>
                    <w:bottom w:val="single" w:color="000000" w:sz="6" w:space="0"/>
                    <w:right w:val="nil"/>
                  </w:tcBorders>
                  <w:vAlign w:val="center"/>
                </w:tcPr>
                <w:p>
                  <w:pPr>
                    <w:pStyle w:val="78"/>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夜间</w:t>
                  </w:r>
                </w:p>
              </w:tc>
            </w:tr>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114" w:type="dxa"/>
                  <w:tcBorders>
                    <w:top w:val="single" w:color="000000" w:sz="6" w:space="0"/>
                    <w:left w:val="nil"/>
                    <w:bottom w:val="single" w:color="000000" w:sz="12" w:space="0"/>
                    <w:right w:val="single" w:color="000000" w:sz="4" w:space="0"/>
                  </w:tcBorders>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3</w:t>
                  </w:r>
                </w:p>
              </w:tc>
              <w:tc>
                <w:tcPr>
                  <w:tcW w:w="4385" w:type="dxa"/>
                  <w:tcBorders>
                    <w:top w:val="single" w:color="000000" w:sz="6" w:space="0"/>
                    <w:left w:val="single" w:color="000000" w:sz="4" w:space="0"/>
                    <w:bottom w:val="single" w:color="000000" w:sz="12" w:space="0"/>
                    <w:right w:val="single" w:color="000000" w:sz="4" w:space="0"/>
                  </w:tcBorders>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指以工业生产、仓储物流为主要功能，需要防止工业噪声对周围环境产生严重影响的区域。</w:t>
                  </w:r>
                </w:p>
              </w:tc>
              <w:tc>
                <w:tcPr>
                  <w:tcW w:w="1209" w:type="dxa"/>
                  <w:tcBorders>
                    <w:top w:val="single" w:color="000000" w:sz="6" w:space="0"/>
                    <w:left w:val="single" w:color="000000" w:sz="4" w:space="0"/>
                    <w:bottom w:val="single" w:color="000000" w:sz="12" w:space="0"/>
                    <w:right w:val="nil"/>
                  </w:tcBorders>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≤65</w:t>
                  </w:r>
                </w:p>
              </w:tc>
              <w:tc>
                <w:tcPr>
                  <w:tcW w:w="1529" w:type="dxa"/>
                  <w:tcBorders>
                    <w:top w:val="single" w:color="000000" w:sz="6" w:space="0"/>
                    <w:left w:val="single" w:color="000000" w:sz="4" w:space="0"/>
                    <w:bottom w:val="single" w:color="000000" w:sz="12" w:space="0"/>
                    <w:right w:val="nil"/>
                  </w:tcBorders>
                  <w:vAlign w:val="center"/>
                </w:tcPr>
                <w:p>
                  <w:pPr>
                    <w:pStyle w:val="78"/>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w:t>
                  </w:r>
                  <w:r>
                    <w:rPr>
                      <w:rFonts w:hint="eastAsia"/>
                      <w:color w:val="auto"/>
                      <w:lang w:val="en-US" w:eastAsia="zh-CN"/>
                    </w:rPr>
                    <w:t>55</w:t>
                  </w:r>
                </w:p>
              </w:tc>
            </w:tr>
          </w:tbl>
          <w:p>
            <w:pPr>
              <w:pStyle w:val="4"/>
              <w:suppressLineNumbers w:val="0"/>
              <w:bidi w:val="0"/>
              <w:spacing w:beforeAutospacing="0" w:afterAutospacing="0"/>
              <w:ind w:right="0"/>
              <w:rPr>
                <w:rFonts w:hint="default"/>
                <w:color w:val="auto"/>
              </w:rPr>
            </w:pPr>
            <w:r>
              <w:rPr>
                <w:rFonts w:hint="default"/>
                <w:color w:val="auto"/>
              </w:rPr>
              <w:t>声环境质量现状</w:t>
            </w:r>
          </w:p>
          <w:p>
            <w:pPr>
              <w:pStyle w:val="18"/>
              <w:keepNext w:val="0"/>
              <w:keepLines w:val="0"/>
              <w:suppressLineNumbers w:val="0"/>
              <w:bidi w:val="0"/>
              <w:spacing w:before="0" w:beforeAutospacing="0" w:after="0" w:afterAutospacing="0"/>
              <w:ind w:left="0" w:right="0" w:firstLine="480" w:firstLineChars="200"/>
              <w:rPr>
                <w:rFonts w:hint="default"/>
                <w:color w:val="auto"/>
              </w:rPr>
            </w:pPr>
            <w:r>
              <w:rPr>
                <w:rFonts w:hint="default"/>
                <w:color w:val="auto"/>
              </w:rPr>
              <w:t>根据生态环境部环境工程评估中心《建设项目环境影响报告表》内容、格式及编制技术指南常见问题解答厂界外周边50米范围内存在声环境保护目标的建设项目，应监测声环境质量现状，监测点位为声环境保护目标处。厂界外周边50米范围内无声环境保护目标的建设项目，不再要求提供声环境质量现状监测数据。</w:t>
            </w:r>
          </w:p>
          <w:p>
            <w:pPr>
              <w:pStyle w:val="18"/>
              <w:keepNext w:val="0"/>
              <w:keepLines w:val="0"/>
              <w:suppressLineNumbers w:val="0"/>
              <w:bidi w:val="0"/>
              <w:spacing w:before="0" w:beforeAutospacing="0" w:after="0" w:afterAutospacing="0"/>
              <w:ind w:left="0" w:right="0" w:firstLine="480" w:firstLineChars="200"/>
              <w:rPr>
                <w:rFonts w:hint="default"/>
                <w:color w:val="auto"/>
              </w:rPr>
            </w:pPr>
            <w:r>
              <w:rPr>
                <w:rFonts w:hint="default"/>
                <w:color w:val="auto"/>
              </w:rPr>
              <w:t>根据现场踏勘可知，项目周边50米范围内无声环境保护目标，可不进行声环境质量现状的监测。</w:t>
            </w:r>
          </w:p>
          <w:p>
            <w:pPr>
              <w:pStyle w:val="3"/>
              <w:suppressLineNumbers w:val="0"/>
              <w:bidi w:val="0"/>
              <w:spacing w:beforeAutospacing="0" w:afterAutospacing="0"/>
              <w:ind w:right="0"/>
              <w:rPr>
                <w:rFonts w:hint="default" w:ascii="Times New Roman" w:hAnsi="Times New Roman" w:cs="Times New Roman"/>
                <w:color w:val="auto"/>
                <w:lang w:val="en-US" w:eastAsia="zh-CN"/>
              </w:rPr>
            </w:pPr>
            <w:bookmarkStart w:id="55" w:name="_Toc9577"/>
            <w:r>
              <w:rPr>
                <w:rFonts w:hint="default" w:ascii="Times New Roman" w:hAnsi="Times New Roman" w:cs="Times New Roman"/>
                <w:color w:val="auto"/>
                <w:lang w:val="en-US" w:eastAsia="zh-CN"/>
              </w:rPr>
              <w:t>生态环境</w:t>
            </w:r>
            <w:bookmarkEnd w:id="55"/>
          </w:p>
          <w:p>
            <w:pPr>
              <w:pStyle w:val="36"/>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本项目位于工业园区内，租赁现有办公楼作为运营场所，不新增用地，且不含有生态环境保护目标，根据《建设项目环境影响报告表编制技术指南（污染影响类）（试行）》，本项目无需</w:t>
            </w:r>
            <w:r>
              <w:rPr>
                <w:rFonts w:hint="eastAsia" w:cs="Times New Roman"/>
                <w:color w:val="auto"/>
                <w:highlight w:val="none"/>
                <w:lang w:val="en-US" w:eastAsia="zh-CN"/>
              </w:rPr>
              <w:t>进行</w:t>
            </w:r>
            <w:r>
              <w:rPr>
                <w:rFonts w:hint="default" w:ascii="Times New Roman" w:hAnsi="Times New Roman" w:cs="Times New Roman"/>
                <w:color w:val="auto"/>
                <w:highlight w:val="none"/>
                <w:lang w:val="en-US" w:eastAsia="zh-CN"/>
              </w:rPr>
              <w:t>生态环境现状调查。</w:t>
            </w:r>
          </w:p>
          <w:p>
            <w:pPr>
              <w:pStyle w:val="3"/>
              <w:suppressLineNumbers w:val="0"/>
              <w:bidi w:val="0"/>
              <w:spacing w:beforeAutospacing="0" w:afterAutospacing="0"/>
              <w:ind w:right="0"/>
              <w:rPr>
                <w:rFonts w:hint="default" w:ascii="Times New Roman" w:hAnsi="Times New Roman" w:cs="Times New Roman"/>
                <w:color w:val="auto"/>
                <w:lang w:val="en-US" w:eastAsia="zh-CN"/>
              </w:rPr>
            </w:pPr>
            <w:bookmarkStart w:id="56" w:name="_Toc3637"/>
            <w:r>
              <w:rPr>
                <w:rFonts w:hint="default" w:ascii="Times New Roman" w:hAnsi="Times New Roman" w:cs="Times New Roman"/>
                <w:color w:val="auto"/>
                <w:lang w:val="en-US" w:eastAsia="zh-CN"/>
              </w:rPr>
              <w:t>地下水、土壤</w:t>
            </w:r>
            <w:bookmarkEnd w:id="56"/>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根据《建设项目环境影响报告表编制技术指南（污染影响类）（试行）》中表明：原则上不开展地下水、土壤环境质量现状调查</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本项目位于</w:t>
            </w:r>
            <w:r>
              <w:rPr>
                <w:rFonts w:hint="eastAsia" w:cs="Times New Roman"/>
                <w:color w:val="auto"/>
                <w:highlight w:val="none"/>
                <w:lang w:val="en-US" w:eastAsia="zh-CN"/>
              </w:rPr>
              <w:t>现有厂房已建</w:t>
            </w:r>
            <w:r>
              <w:rPr>
                <w:rFonts w:hint="default" w:ascii="Times New Roman" w:hAnsi="Times New Roman" w:cs="Times New Roman"/>
                <w:color w:val="auto"/>
                <w:highlight w:val="none"/>
                <w:lang w:val="en-US" w:eastAsia="zh-CN"/>
              </w:rPr>
              <w:t>地上二层构筑物内，在采取必要防渗措施后，项目基本不会对土壤、地下水产生影响</w:t>
            </w:r>
            <w:r>
              <w:rPr>
                <w:rFonts w:hint="eastAsia" w:cs="Times New Roman"/>
                <w:color w:val="auto"/>
                <w:highlight w:val="none"/>
                <w:lang w:val="en-US" w:eastAsia="zh-CN"/>
              </w:rPr>
              <w:t>；项目场地已完成全面硬化，现状不存在土壤和地下水污染情况。</w:t>
            </w:r>
            <w:r>
              <w:rPr>
                <w:rFonts w:hint="default" w:ascii="Times New Roman" w:hAnsi="Times New Roman" w:cs="Times New Roman"/>
                <w:color w:val="auto"/>
                <w:highlight w:val="none"/>
                <w:lang w:val="en-US" w:eastAsia="zh-CN"/>
              </w:rPr>
              <w:t>而且项目</w:t>
            </w:r>
            <w:r>
              <w:rPr>
                <w:rFonts w:hint="default" w:ascii="Times New Roman" w:hAnsi="Times New Roman" w:cs="Times New Roman"/>
                <w:color w:val="auto"/>
                <w:highlight w:val="none"/>
              </w:rPr>
              <w:t>厂界外500</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rPr>
              <w:t>范围内无地下水集中式饮用水水源和热水、矿泉水、泉水等特殊地下水资源。因此，本项目不</w:t>
            </w:r>
            <w:r>
              <w:rPr>
                <w:rFonts w:hint="default" w:ascii="Times New Roman" w:hAnsi="Times New Roman" w:cs="Times New Roman"/>
                <w:color w:val="auto"/>
                <w:highlight w:val="none"/>
                <w:lang w:val="en-US" w:eastAsia="zh-CN"/>
              </w:rPr>
              <w:t>开展</w:t>
            </w:r>
            <w:r>
              <w:rPr>
                <w:rFonts w:hint="default" w:ascii="Times New Roman" w:hAnsi="Times New Roman" w:cs="Times New Roman"/>
                <w:color w:val="auto"/>
                <w:highlight w:val="none"/>
              </w:rPr>
              <w:t>地下水、土壤环境质量现状</w:t>
            </w:r>
            <w:r>
              <w:rPr>
                <w:rFonts w:hint="default" w:ascii="Times New Roman" w:hAnsi="Times New Roman" w:cs="Times New Roman"/>
                <w:color w:val="auto"/>
                <w:highlight w:val="none"/>
                <w:lang w:val="en-US" w:eastAsia="zh-CN"/>
              </w:rPr>
              <w:t>调查</w:t>
            </w:r>
            <w:r>
              <w:rPr>
                <w:rFonts w:hint="default" w:ascii="Times New Roman" w:hAnsi="Times New Roman" w:cs="Times New Roman"/>
                <w:color w:val="auto"/>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981" w:hRule="atLeast"/>
          <w:jc w:val="center"/>
        </w:trPr>
        <w:tc>
          <w:tcPr>
            <w:tcW w:w="605"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szCs w:val="24"/>
                <w:highlight w:val="none"/>
              </w:rPr>
              <w:t>环境保护目标</w:t>
            </w:r>
          </w:p>
        </w:tc>
        <w:tc>
          <w:tcPr>
            <w:tcW w:w="8456" w:type="dxa"/>
            <w:vAlign w:val="center"/>
          </w:tcPr>
          <w:p>
            <w:pPr>
              <w:pStyle w:val="3"/>
              <w:suppressLineNumbers w:val="0"/>
              <w:bidi w:val="0"/>
              <w:spacing w:beforeAutospacing="0" w:afterAutospacing="0"/>
              <w:ind w:right="0"/>
              <w:rPr>
                <w:rFonts w:hint="default"/>
                <w:color w:val="auto"/>
                <w:lang w:val="en-US" w:eastAsia="zh-CN"/>
              </w:rPr>
            </w:pPr>
            <w:bookmarkStart w:id="57" w:name="_Toc7146"/>
            <w:r>
              <w:rPr>
                <w:rFonts w:hint="eastAsia"/>
                <w:color w:val="auto"/>
                <w:lang w:val="en-US" w:eastAsia="zh-CN"/>
              </w:rPr>
              <w:t>环境保护目标</w:t>
            </w:r>
            <w:bookmarkEnd w:id="57"/>
          </w:p>
          <w:p>
            <w:pPr>
              <w:pStyle w:val="4"/>
              <w:suppressLineNumbers w:val="0"/>
              <w:bidi w:val="0"/>
              <w:spacing w:beforeAutospacing="0" w:afterAutospacing="0"/>
              <w:ind w:right="0"/>
              <w:rPr>
                <w:rFonts w:hint="default"/>
                <w:color w:val="auto"/>
              </w:rPr>
            </w:pPr>
            <w:r>
              <w:rPr>
                <w:rFonts w:hint="default"/>
                <w:color w:val="auto"/>
              </w:rPr>
              <w:t>大气环境、地表水环境、声环境</w:t>
            </w:r>
          </w:p>
          <w:p>
            <w:pPr>
              <w:pStyle w:val="18"/>
              <w:keepNext w:val="0"/>
              <w:keepLines w:val="0"/>
              <w:suppressLineNumbers w:val="0"/>
              <w:bidi w:val="0"/>
              <w:spacing w:before="0" w:beforeAutospacing="0" w:after="0" w:afterAutospacing="0"/>
              <w:ind w:left="0" w:right="0" w:firstLine="480" w:firstLineChars="200"/>
              <w:rPr>
                <w:rFonts w:hint="default"/>
                <w:color w:val="auto"/>
              </w:rPr>
            </w:pPr>
            <w:r>
              <w:rPr>
                <w:rFonts w:hint="default"/>
                <w:color w:val="auto"/>
              </w:rPr>
              <w:t>根据《建设项目环境影响报告表编制技术指南</w:t>
            </w:r>
            <w:r>
              <w:rPr>
                <w:rFonts w:hint="eastAsia"/>
                <w:color w:val="auto"/>
                <w:lang w:eastAsia="zh-CN"/>
              </w:rPr>
              <w:t>（</w:t>
            </w:r>
            <w:r>
              <w:rPr>
                <w:rFonts w:hint="default"/>
                <w:color w:val="auto"/>
              </w:rPr>
              <w:t>污染影响类</w:t>
            </w:r>
            <w:r>
              <w:rPr>
                <w:rFonts w:hint="eastAsia"/>
                <w:color w:val="auto"/>
                <w:lang w:eastAsia="zh-CN"/>
              </w:rPr>
              <w:t>）（</w:t>
            </w:r>
            <w:r>
              <w:rPr>
                <w:rFonts w:hint="default"/>
                <w:color w:val="auto"/>
              </w:rPr>
              <w:t>试行</w:t>
            </w:r>
            <w:r>
              <w:rPr>
                <w:rFonts w:hint="eastAsia"/>
                <w:color w:val="auto"/>
                <w:lang w:eastAsia="zh-CN"/>
              </w:rPr>
              <w:t>）</w:t>
            </w:r>
            <w:r>
              <w:rPr>
                <w:rFonts w:hint="default"/>
                <w:color w:val="auto"/>
              </w:rPr>
              <w:t>》</w:t>
            </w:r>
            <w:r>
              <w:rPr>
                <w:rFonts w:hint="eastAsia"/>
                <w:color w:val="auto"/>
                <w:lang w:eastAsia="zh-CN"/>
              </w:rPr>
              <w:t>（</w:t>
            </w:r>
            <w:r>
              <w:rPr>
                <w:rFonts w:hint="default"/>
                <w:color w:val="auto"/>
              </w:rPr>
              <w:t>环办环评〔2020〕33号</w:t>
            </w:r>
            <w:r>
              <w:rPr>
                <w:rFonts w:hint="eastAsia"/>
                <w:color w:val="auto"/>
                <w:lang w:eastAsia="zh-CN"/>
              </w:rPr>
              <w:t>）</w:t>
            </w:r>
            <w:r>
              <w:rPr>
                <w:rFonts w:hint="default"/>
                <w:color w:val="auto"/>
              </w:rPr>
              <w:t>要求以及对项目周边环境的调查，本项目大气环境</w:t>
            </w:r>
            <w:r>
              <w:rPr>
                <w:rFonts w:hint="eastAsia"/>
                <w:color w:val="auto"/>
                <w:lang w:eastAsia="zh-CN"/>
              </w:rPr>
              <w:t>（</w:t>
            </w:r>
            <w:r>
              <w:rPr>
                <w:rFonts w:hint="eastAsia"/>
                <w:color w:val="auto"/>
              </w:rPr>
              <w:t>厂界外500m范围内</w:t>
            </w:r>
            <w:r>
              <w:rPr>
                <w:rFonts w:hint="eastAsia"/>
                <w:color w:val="auto"/>
                <w:lang w:eastAsia="zh-CN"/>
              </w:rPr>
              <w:t>）</w:t>
            </w:r>
            <w:r>
              <w:rPr>
                <w:rFonts w:hint="default"/>
                <w:color w:val="auto"/>
              </w:rPr>
              <w:t>、地表水环境、声环境</w:t>
            </w:r>
            <w:r>
              <w:rPr>
                <w:rFonts w:hint="eastAsia"/>
                <w:color w:val="auto"/>
                <w:lang w:eastAsia="zh-CN"/>
              </w:rPr>
              <w:t>（</w:t>
            </w:r>
            <w:r>
              <w:rPr>
                <w:rFonts w:hint="eastAsia"/>
                <w:color w:val="auto"/>
              </w:rPr>
              <w:t>厂界外50m范围内</w:t>
            </w:r>
            <w:r>
              <w:rPr>
                <w:rFonts w:hint="eastAsia"/>
                <w:color w:val="auto"/>
                <w:lang w:eastAsia="zh-CN"/>
              </w:rPr>
              <w:t>）</w:t>
            </w:r>
            <w:r>
              <w:rPr>
                <w:rFonts w:hint="eastAsia"/>
                <w:color w:val="auto"/>
              </w:rPr>
              <w:t>保护目标</w:t>
            </w:r>
            <w:r>
              <w:rPr>
                <w:rFonts w:hint="default"/>
                <w:color w:val="auto"/>
              </w:rPr>
              <w:t>见表3.</w:t>
            </w:r>
            <w:r>
              <w:rPr>
                <w:rFonts w:hint="eastAsia"/>
                <w:color w:val="auto"/>
              </w:rPr>
              <w:t>6-1</w:t>
            </w:r>
            <w:r>
              <w:rPr>
                <w:rFonts w:hint="default"/>
                <w:color w:val="auto"/>
              </w:rPr>
              <w:t>和</w:t>
            </w:r>
            <w:r>
              <w:rPr>
                <w:rFonts w:hint="default"/>
                <w:color w:val="auto"/>
                <w:highlight w:val="none"/>
              </w:rPr>
              <w:t>附图</w:t>
            </w:r>
            <w:r>
              <w:rPr>
                <w:rFonts w:hint="eastAsia"/>
                <w:color w:val="auto"/>
                <w:highlight w:val="none"/>
                <w:lang w:val="en-US" w:eastAsia="zh-CN"/>
              </w:rPr>
              <w:t>2</w:t>
            </w:r>
            <w:r>
              <w:rPr>
                <w:rFonts w:hint="default"/>
                <w:color w:val="auto"/>
                <w:highlight w:val="none"/>
              </w:rPr>
              <w:t>。</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环境保护目标一览表</w:t>
            </w:r>
          </w:p>
          <w:tbl>
            <w:tblPr>
              <w:tblStyle w:val="32"/>
              <w:tblW w:w="8237"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89"/>
              <w:gridCol w:w="1264"/>
              <w:gridCol w:w="1783"/>
              <w:gridCol w:w="1567"/>
              <w:gridCol w:w="273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889"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环境</w:t>
                  </w:r>
                </w:p>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要素</w:t>
                  </w:r>
                </w:p>
              </w:tc>
              <w:tc>
                <w:tcPr>
                  <w:tcW w:w="1264"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环境保护</w:t>
                  </w:r>
                </w:p>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对象名称</w:t>
                  </w:r>
                </w:p>
              </w:tc>
              <w:tc>
                <w:tcPr>
                  <w:tcW w:w="1783"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与项目厂界的方位和最近距离</w:t>
                  </w:r>
                </w:p>
              </w:tc>
              <w:tc>
                <w:tcPr>
                  <w:tcW w:w="1567"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环境基本特征</w:t>
                  </w:r>
                </w:p>
              </w:tc>
              <w:tc>
                <w:tcPr>
                  <w:tcW w:w="2734"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环境功能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26" w:hRule="atLeast"/>
                <w:jc w:val="center"/>
              </w:trPr>
              <w:tc>
                <w:tcPr>
                  <w:tcW w:w="889" w:type="dxa"/>
                  <w:vMerge w:val="restart"/>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环境</w:t>
                  </w:r>
                </w:p>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空气</w:t>
                  </w:r>
                </w:p>
              </w:tc>
              <w:tc>
                <w:tcPr>
                  <w:tcW w:w="1264" w:type="dxa"/>
                  <w:vAlign w:val="center"/>
                </w:tcPr>
                <w:p>
                  <w:pPr>
                    <w:pStyle w:val="78"/>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val="en-US" w:eastAsia="zh-CN"/>
                    </w:rPr>
                    <w:t>刘下村</w:t>
                  </w:r>
                </w:p>
              </w:tc>
              <w:tc>
                <w:tcPr>
                  <w:tcW w:w="1783"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西</w:t>
                  </w:r>
                  <w:r>
                    <w:rPr>
                      <w:rFonts w:hint="eastAsia"/>
                      <w:color w:val="auto"/>
                    </w:rPr>
                    <w:t>侧</w:t>
                  </w:r>
                  <w:r>
                    <w:rPr>
                      <w:rFonts w:hint="eastAsia"/>
                      <w:color w:val="auto"/>
                      <w:lang w:val="en-US" w:eastAsia="zh-CN"/>
                    </w:rPr>
                    <w:t>140</w:t>
                  </w:r>
                  <w:r>
                    <w:rPr>
                      <w:rFonts w:hint="eastAsia"/>
                      <w:color w:val="auto"/>
                    </w:rPr>
                    <w:t>m</w:t>
                  </w:r>
                </w:p>
              </w:tc>
              <w:tc>
                <w:tcPr>
                  <w:tcW w:w="1567"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601</w:t>
                  </w:r>
                  <w:r>
                    <w:rPr>
                      <w:rFonts w:hint="default"/>
                      <w:color w:val="auto"/>
                    </w:rPr>
                    <w:t>户/</w:t>
                  </w:r>
                  <w:r>
                    <w:rPr>
                      <w:rFonts w:hint="eastAsia"/>
                      <w:color w:val="auto"/>
                      <w:lang w:val="en-US" w:eastAsia="zh-CN"/>
                    </w:rPr>
                    <w:t>1862</w:t>
                  </w:r>
                  <w:r>
                    <w:rPr>
                      <w:rFonts w:hint="default"/>
                      <w:color w:val="auto"/>
                    </w:rPr>
                    <w:t>人</w:t>
                  </w:r>
                </w:p>
              </w:tc>
              <w:tc>
                <w:tcPr>
                  <w:tcW w:w="2734" w:type="dxa"/>
                  <w:vMerge w:val="restart"/>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《环境空气质量标准》</w:t>
                  </w:r>
                  <w:r>
                    <w:rPr>
                      <w:rFonts w:hint="eastAsia"/>
                      <w:color w:val="auto"/>
                      <w:lang w:eastAsia="zh-CN"/>
                    </w:rPr>
                    <w:t>（</w:t>
                  </w:r>
                  <w:r>
                    <w:rPr>
                      <w:rFonts w:hint="default"/>
                      <w:color w:val="auto"/>
                    </w:rPr>
                    <w:t>GB3095-2012</w:t>
                  </w:r>
                  <w:r>
                    <w:rPr>
                      <w:rFonts w:hint="eastAsia"/>
                      <w:color w:val="auto"/>
                      <w:lang w:eastAsia="zh-CN"/>
                    </w:rPr>
                    <w:t>）</w:t>
                  </w:r>
                  <w:r>
                    <w:rPr>
                      <w:rFonts w:hint="default"/>
                      <w:color w:val="auto"/>
                    </w:rPr>
                    <w:t>及其修改单二级标准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10" w:hRule="atLeast"/>
                <w:jc w:val="center"/>
              </w:trPr>
              <w:tc>
                <w:tcPr>
                  <w:tcW w:w="889"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c>
                <w:tcPr>
                  <w:tcW w:w="1264" w:type="dxa"/>
                  <w:vAlign w:val="center"/>
                </w:tcPr>
                <w:p>
                  <w:pPr>
                    <w:pStyle w:val="78"/>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溪头村</w:t>
                  </w:r>
                </w:p>
              </w:tc>
              <w:tc>
                <w:tcPr>
                  <w:tcW w:w="1783" w:type="dxa"/>
                  <w:vAlign w:val="center"/>
                </w:tcPr>
                <w:p>
                  <w:pPr>
                    <w:pStyle w:val="78"/>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东南</w:t>
                  </w:r>
                  <w:r>
                    <w:rPr>
                      <w:rFonts w:hint="eastAsia"/>
                      <w:color w:val="auto"/>
                    </w:rPr>
                    <w:t>侧</w:t>
                  </w:r>
                  <w:r>
                    <w:rPr>
                      <w:rFonts w:hint="eastAsia"/>
                      <w:color w:val="auto"/>
                      <w:lang w:val="en-US" w:eastAsia="zh-CN"/>
                    </w:rPr>
                    <w:t>280</w:t>
                  </w:r>
                  <w:r>
                    <w:rPr>
                      <w:rFonts w:hint="eastAsia"/>
                      <w:color w:val="auto"/>
                    </w:rPr>
                    <w:t>m</w:t>
                  </w:r>
                </w:p>
              </w:tc>
              <w:tc>
                <w:tcPr>
                  <w:tcW w:w="1567" w:type="dxa"/>
                  <w:vAlign w:val="center"/>
                </w:tcPr>
                <w:p>
                  <w:pPr>
                    <w:pStyle w:val="78"/>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46</w:t>
                  </w:r>
                  <w:r>
                    <w:rPr>
                      <w:rFonts w:hint="default"/>
                      <w:color w:val="auto"/>
                    </w:rPr>
                    <w:t>户/</w:t>
                  </w:r>
                  <w:r>
                    <w:rPr>
                      <w:rFonts w:hint="eastAsia"/>
                      <w:color w:val="auto"/>
                      <w:lang w:val="en-US" w:eastAsia="zh-CN"/>
                    </w:rPr>
                    <w:t>184</w:t>
                  </w:r>
                  <w:r>
                    <w:rPr>
                      <w:rFonts w:hint="default"/>
                      <w:color w:val="auto"/>
                    </w:rPr>
                    <w:t>人</w:t>
                  </w:r>
                </w:p>
              </w:tc>
              <w:tc>
                <w:tcPr>
                  <w:tcW w:w="2734"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7" w:hRule="atLeast"/>
                <w:jc w:val="center"/>
              </w:trPr>
              <w:tc>
                <w:tcPr>
                  <w:tcW w:w="889"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c>
                <w:tcPr>
                  <w:tcW w:w="1264" w:type="dxa"/>
                  <w:vAlign w:val="center"/>
                </w:tcPr>
                <w:p>
                  <w:pPr>
                    <w:pStyle w:val="78"/>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融侨新城泷郡</w:t>
                  </w:r>
                </w:p>
              </w:tc>
              <w:tc>
                <w:tcPr>
                  <w:tcW w:w="1783" w:type="dxa"/>
                  <w:vAlign w:val="center"/>
                </w:tcPr>
                <w:p>
                  <w:pPr>
                    <w:pStyle w:val="78"/>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东北侧231</w:t>
                  </w:r>
                  <w:r>
                    <w:rPr>
                      <w:rFonts w:hint="eastAsia"/>
                      <w:color w:val="auto"/>
                    </w:rPr>
                    <w:t>m</w:t>
                  </w:r>
                </w:p>
              </w:tc>
              <w:tc>
                <w:tcPr>
                  <w:tcW w:w="1567" w:type="dxa"/>
                  <w:vAlign w:val="center"/>
                </w:tcPr>
                <w:p>
                  <w:pPr>
                    <w:pStyle w:val="78"/>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450</w:t>
                  </w:r>
                  <w:r>
                    <w:rPr>
                      <w:rFonts w:hint="default"/>
                      <w:color w:val="auto"/>
                    </w:rPr>
                    <w:t>户/</w:t>
                  </w:r>
                  <w:r>
                    <w:rPr>
                      <w:rFonts w:hint="eastAsia"/>
                      <w:color w:val="auto"/>
                      <w:lang w:val="en-US" w:eastAsia="zh-CN"/>
                    </w:rPr>
                    <w:t>1350</w:t>
                  </w:r>
                  <w:r>
                    <w:rPr>
                      <w:rFonts w:hint="default"/>
                      <w:color w:val="auto"/>
                    </w:rPr>
                    <w:t>人</w:t>
                  </w:r>
                </w:p>
              </w:tc>
              <w:tc>
                <w:tcPr>
                  <w:tcW w:w="2734" w:type="dxa"/>
                  <w:vMerge w:val="continue"/>
                  <w:vAlign w:val="center"/>
                </w:tcPr>
                <w:p>
                  <w:pPr>
                    <w:pStyle w:val="78"/>
                    <w:keepNext w:val="0"/>
                    <w:keepLines w:val="0"/>
                    <w:suppressLineNumbers w:val="0"/>
                    <w:bidi w:val="0"/>
                    <w:spacing w:before="0" w:beforeAutospacing="0" w:after="0" w:afterAutospacing="0"/>
                    <w:ind w:left="0" w:right="0"/>
                    <w:rPr>
                      <w:rFonts w:hint="default"/>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590" w:hRule="atLeast"/>
                <w:jc w:val="center"/>
              </w:trPr>
              <w:tc>
                <w:tcPr>
                  <w:tcW w:w="889"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地表水</w:t>
                  </w:r>
                </w:p>
              </w:tc>
              <w:tc>
                <w:tcPr>
                  <w:tcW w:w="1264"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大北溪</w:t>
                  </w:r>
                </w:p>
              </w:tc>
              <w:tc>
                <w:tcPr>
                  <w:tcW w:w="1783" w:type="dxa"/>
                  <w:tcBorders>
                    <w:right w:val="single" w:color="auto" w:sz="4" w:space="0"/>
                  </w:tcBorders>
                  <w:vAlign w:val="center"/>
                </w:tcPr>
                <w:p>
                  <w:pPr>
                    <w:pStyle w:val="78"/>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东</w:t>
                  </w:r>
                  <w:r>
                    <w:rPr>
                      <w:rFonts w:hint="default"/>
                      <w:color w:val="auto"/>
                    </w:rPr>
                    <w:t>侧</w:t>
                  </w:r>
                  <w:r>
                    <w:rPr>
                      <w:rFonts w:hint="eastAsia"/>
                      <w:color w:val="auto"/>
                      <w:lang w:val="en-US" w:eastAsia="zh-CN"/>
                    </w:rPr>
                    <w:t>70</w:t>
                  </w:r>
                  <w:r>
                    <w:rPr>
                      <w:rFonts w:hint="default"/>
                      <w:color w:val="auto"/>
                    </w:rPr>
                    <w:t>m</w:t>
                  </w:r>
                </w:p>
              </w:tc>
              <w:tc>
                <w:tcPr>
                  <w:tcW w:w="1567" w:type="dxa"/>
                  <w:tcBorders>
                    <w:left w:val="single" w:color="auto" w:sz="4" w:space="0"/>
                    <w:right w:val="single" w:color="auto" w:sz="4" w:space="0"/>
                  </w:tcBorders>
                  <w:vAlign w:val="center"/>
                </w:tcPr>
                <w:p>
                  <w:pPr>
                    <w:pStyle w:val="78"/>
                    <w:keepNext w:val="0"/>
                    <w:keepLines w:val="0"/>
                    <w:suppressLineNumbers w:val="0"/>
                    <w:bidi w:val="0"/>
                    <w:spacing w:before="0" w:beforeAutospacing="0" w:after="0" w:afterAutospacing="0"/>
                    <w:ind w:left="0" w:right="0"/>
                    <w:rPr>
                      <w:rFonts w:hint="eastAsia"/>
                      <w:color w:val="auto"/>
                    </w:rPr>
                  </w:pPr>
                  <w:r>
                    <w:rPr>
                      <w:rFonts w:hint="default"/>
                      <w:color w:val="auto"/>
                    </w:rPr>
                    <w:t>景观、工业用水</w:t>
                  </w:r>
                </w:p>
              </w:tc>
              <w:tc>
                <w:tcPr>
                  <w:tcW w:w="2734" w:type="dxa"/>
                  <w:tcBorders>
                    <w:left w:val="single" w:color="auto" w:sz="4" w:space="0"/>
                    <w:bottom w:val="single" w:color="auto" w:sz="4" w:space="0"/>
                  </w:tcBorders>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《地表水环境质量标准》</w:t>
                  </w:r>
                  <w:r>
                    <w:rPr>
                      <w:rFonts w:hint="eastAsia"/>
                      <w:color w:val="auto"/>
                      <w:lang w:eastAsia="zh-CN"/>
                    </w:rPr>
                    <w:t>（</w:t>
                  </w:r>
                  <w:r>
                    <w:rPr>
                      <w:rFonts w:hint="default"/>
                      <w:color w:val="auto"/>
                    </w:rPr>
                    <w:t>GB3838-2002</w:t>
                  </w:r>
                  <w:r>
                    <w:rPr>
                      <w:rFonts w:hint="eastAsia"/>
                      <w:color w:val="auto"/>
                      <w:lang w:eastAsia="zh-CN"/>
                    </w:rPr>
                    <w:t>）</w:t>
                  </w:r>
                  <w:r>
                    <w:rPr>
                      <w:rFonts w:hint="default"/>
                      <w:color w:val="auto"/>
                    </w:rPr>
                    <w:t>Ⅳ类标准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539" w:hRule="atLeast"/>
                <w:jc w:val="center"/>
              </w:trPr>
              <w:tc>
                <w:tcPr>
                  <w:tcW w:w="889" w:type="dxa"/>
                  <w:vAlign w:val="center"/>
                </w:tcPr>
                <w:p>
                  <w:pPr>
                    <w:pStyle w:val="78"/>
                    <w:keepNext w:val="0"/>
                    <w:keepLines w:val="0"/>
                    <w:suppressLineNumbers w:val="0"/>
                    <w:bidi w:val="0"/>
                    <w:spacing w:before="0" w:beforeAutospacing="0" w:after="0" w:afterAutospacing="0"/>
                    <w:ind w:left="0" w:right="0"/>
                    <w:rPr>
                      <w:rFonts w:hint="default"/>
                      <w:color w:val="auto"/>
                    </w:rPr>
                  </w:pPr>
                  <w:r>
                    <w:rPr>
                      <w:rFonts w:hint="default"/>
                      <w:color w:val="auto"/>
                    </w:rPr>
                    <w:t>声环境</w:t>
                  </w:r>
                </w:p>
              </w:tc>
              <w:tc>
                <w:tcPr>
                  <w:tcW w:w="7348" w:type="dxa"/>
                  <w:gridSpan w:val="4"/>
                  <w:vAlign w:val="center"/>
                </w:tcPr>
                <w:p>
                  <w:pPr>
                    <w:pStyle w:val="78"/>
                    <w:keepNext w:val="0"/>
                    <w:keepLines w:val="0"/>
                    <w:suppressLineNumbers w:val="0"/>
                    <w:bidi w:val="0"/>
                    <w:spacing w:before="0" w:beforeAutospacing="0" w:after="0" w:afterAutospacing="0"/>
                    <w:ind w:left="0" w:right="0"/>
                    <w:rPr>
                      <w:rFonts w:hint="default"/>
                      <w:color w:val="auto"/>
                    </w:rPr>
                  </w:pPr>
                  <w:r>
                    <w:rPr>
                      <w:rFonts w:hint="eastAsia"/>
                      <w:color w:val="auto"/>
                    </w:rPr>
                    <w:t>项目厂界50m范围内无声环境保护目标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665" w:hRule="atLeast"/>
                <w:jc w:val="center"/>
              </w:trPr>
              <w:tc>
                <w:tcPr>
                  <w:tcW w:w="889" w:type="dxa"/>
                  <w:vAlign w:val="center"/>
                </w:tcPr>
                <w:p>
                  <w:pPr>
                    <w:pStyle w:val="78"/>
                    <w:keepNext w:val="0"/>
                    <w:keepLines w:val="0"/>
                    <w:suppressLineNumbers w:val="0"/>
                    <w:bidi w:val="0"/>
                    <w:spacing w:before="0" w:beforeAutospacing="0" w:after="0" w:afterAutospacing="0"/>
                    <w:ind w:left="0" w:right="0"/>
                    <w:rPr>
                      <w:rFonts w:hint="eastAsia"/>
                      <w:color w:val="auto"/>
                    </w:rPr>
                  </w:pPr>
                  <w:r>
                    <w:rPr>
                      <w:rFonts w:hint="eastAsia"/>
                      <w:color w:val="auto"/>
                    </w:rPr>
                    <w:t>地下水</w:t>
                  </w:r>
                </w:p>
              </w:tc>
              <w:tc>
                <w:tcPr>
                  <w:tcW w:w="7348" w:type="dxa"/>
                  <w:gridSpan w:val="4"/>
                  <w:vAlign w:val="center"/>
                </w:tcPr>
                <w:p>
                  <w:pPr>
                    <w:pStyle w:val="78"/>
                    <w:keepNext w:val="0"/>
                    <w:keepLines w:val="0"/>
                    <w:suppressLineNumbers w:val="0"/>
                    <w:bidi w:val="0"/>
                    <w:spacing w:before="0" w:beforeAutospacing="0" w:after="0" w:afterAutospacing="0"/>
                    <w:ind w:left="0" w:right="0"/>
                    <w:rPr>
                      <w:rFonts w:hint="eastAsia"/>
                      <w:color w:val="auto"/>
                    </w:rPr>
                  </w:pPr>
                  <w:r>
                    <w:rPr>
                      <w:rFonts w:hint="eastAsia"/>
                      <w:color w:val="auto"/>
                    </w:rPr>
                    <w:t>项目厂界外500米范围内的地下水集中式饮用水水源和热水、矿泉水、温泉等特殊地下水资源</w:t>
                  </w:r>
                </w:p>
              </w:tc>
            </w:tr>
          </w:tbl>
          <w:p>
            <w:pPr>
              <w:pStyle w:val="4"/>
              <w:suppressLineNumbers w:val="0"/>
              <w:bidi w:val="0"/>
              <w:spacing w:beforeAutospacing="0" w:afterAutospacing="0"/>
              <w:ind w:right="0"/>
              <w:rPr>
                <w:rFonts w:hint="default"/>
                <w:color w:val="auto"/>
              </w:rPr>
            </w:pPr>
            <w:r>
              <w:rPr>
                <w:rFonts w:hint="default"/>
                <w:color w:val="auto"/>
              </w:rPr>
              <w:t>生态环境</w:t>
            </w:r>
          </w:p>
          <w:p>
            <w:pPr>
              <w:pStyle w:val="36"/>
              <w:keepNext w:val="0"/>
              <w:keepLines w:val="0"/>
              <w:suppressLineNumbers w:val="0"/>
              <w:bidi w:val="0"/>
              <w:spacing w:before="0" w:beforeAutospacing="0" w:after="0" w:afterAutospacing="0"/>
              <w:ind w:left="0" w:right="0"/>
              <w:rPr>
                <w:rFonts w:hint="default"/>
                <w:color w:val="auto"/>
              </w:rPr>
            </w:pPr>
            <w:r>
              <w:rPr>
                <w:rFonts w:hint="eastAsia" w:ascii="Times New Roman" w:hAnsi="Times New Roman" w:eastAsia="宋体"/>
                <w:color w:val="auto"/>
                <w:szCs w:val="24"/>
              </w:rPr>
              <w:t>根据《建设项目环境影响报告表编制技术指南（污染影响类）（试行）》</w:t>
            </w:r>
            <w:r>
              <w:rPr>
                <w:rFonts w:hint="eastAsia" w:ascii="Times New Roman" w:hAnsi="Times New Roman" w:eastAsia="宋体"/>
                <w:color w:val="auto"/>
              </w:rPr>
              <w:t>：产业园区外建设项目新增用地且用地范围内含有生态环境保护目标时，应进行生态现状调查。</w:t>
            </w:r>
            <w:r>
              <w:rPr>
                <w:rFonts w:hint="default"/>
                <w:color w:val="auto"/>
              </w:rPr>
              <w:t>本项目位于</w:t>
            </w:r>
            <w:r>
              <w:rPr>
                <w:rFonts w:hint="eastAsia" w:cs="Times New Roman"/>
                <w:color w:val="auto"/>
                <w:sz w:val="24"/>
                <w:szCs w:val="24"/>
                <w:highlight w:val="none"/>
                <w:u w:val="none"/>
                <w:lang w:eastAsia="zh-CN"/>
              </w:rPr>
              <w:t>福清市融侨经济技术开发洪宽工业村</w:t>
            </w:r>
            <w:r>
              <w:rPr>
                <w:rFonts w:hint="default"/>
                <w:color w:val="auto"/>
              </w:rPr>
              <w:t>，</w:t>
            </w:r>
            <w:r>
              <w:rPr>
                <w:rFonts w:hint="eastAsia"/>
                <w:color w:val="auto"/>
                <w:lang w:val="en-US" w:eastAsia="zh-CN"/>
              </w:rPr>
              <w:t>租赁福清洪金机械有限公司的办公室</w:t>
            </w:r>
            <w:r>
              <w:rPr>
                <w:rFonts w:hint="eastAsia"/>
                <w:color w:val="auto"/>
                <w:lang w:eastAsia="zh-CN"/>
              </w:rPr>
              <w:t>，</w:t>
            </w:r>
            <w:r>
              <w:rPr>
                <w:rFonts w:hint="default"/>
                <w:color w:val="auto"/>
              </w:rPr>
              <w:t>用地性质属于工业用地，不新增用地，用地范围内无生态环境保护目标。</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229" w:hRule="atLeast"/>
          <w:jc w:val="center"/>
        </w:trPr>
        <w:tc>
          <w:tcPr>
            <w:tcW w:w="605" w:type="dxa"/>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szCs w:val="24"/>
                <w:highlight w:val="none"/>
              </w:rPr>
              <w:t>污染物排放控制标准</w:t>
            </w:r>
          </w:p>
        </w:tc>
        <w:tc>
          <w:tcPr>
            <w:tcW w:w="8456" w:type="dxa"/>
            <w:vAlign w:val="center"/>
          </w:tcPr>
          <w:p>
            <w:pPr>
              <w:pStyle w:val="3"/>
              <w:suppressLineNumbers w:val="0"/>
              <w:bidi w:val="0"/>
              <w:spacing w:beforeAutospacing="0" w:afterAutospacing="0"/>
              <w:ind w:right="0"/>
              <w:rPr>
                <w:rFonts w:hint="default"/>
                <w:color w:val="auto"/>
              </w:rPr>
            </w:pPr>
            <w:bookmarkStart w:id="58" w:name="_Toc14700"/>
            <w:r>
              <w:rPr>
                <w:rFonts w:hint="eastAsia"/>
                <w:color w:val="auto"/>
                <w:lang w:val="en-US" w:eastAsia="zh-CN"/>
              </w:rPr>
              <w:t>污染物排放控制标准</w:t>
            </w:r>
            <w:bookmarkEnd w:id="58"/>
          </w:p>
          <w:p>
            <w:pPr>
              <w:pStyle w:val="4"/>
              <w:suppressLineNumbers w:val="0"/>
              <w:bidi w:val="0"/>
              <w:spacing w:beforeAutospacing="0" w:afterAutospacing="0"/>
              <w:ind w:right="0"/>
              <w:rPr>
                <w:rFonts w:hint="default"/>
                <w:color w:val="auto"/>
              </w:rPr>
            </w:pPr>
            <w:r>
              <w:rPr>
                <w:rFonts w:hint="default"/>
                <w:color w:val="auto"/>
              </w:rPr>
              <w:t>废气排放标准</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（1）有组织</w:t>
            </w:r>
            <w:r>
              <w:rPr>
                <w:rFonts w:hint="eastAsia"/>
                <w:color w:val="auto"/>
              </w:rPr>
              <w:t>废气</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项目进行理化试验、消解处理等挥发性试剂配制过程均在通风橱中操作，会产生极少量</w:t>
            </w:r>
            <w:r>
              <w:rPr>
                <w:rFonts w:hint="eastAsia"/>
                <w:color w:val="auto"/>
                <w:lang w:val="en-US" w:eastAsia="zh-CN"/>
              </w:rPr>
              <w:t>废气</w:t>
            </w:r>
            <w:r>
              <w:rPr>
                <w:rFonts w:hint="default"/>
                <w:color w:val="auto"/>
                <w:lang w:val="en-US" w:eastAsia="zh-CN"/>
              </w:rPr>
              <w:t>，</w:t>
            </w:r>
            <w:r>
              <w:rPr>
                <w:rFonts w:hint="eastAsia"/>
                <w:color w:val="auto"/>
                <w:lang w:val="en-US" w:eastAsia="zh-CN"/>
              </w:rPr>
              <w:t>包含酸性</w:t>
            </w:r>
            <w:r>
              <w:rPr>
                <w:rFonts w:hint="default"/>
                <w:color w:val="auto"/>
                <w:lang w:val="en-US" w:eastAsia="zh-CN"/>
              </w:rPr>
              <w:t>气体（以氯化氢、硫酸雾计）及有机废气（以非甲烷总烃计）。氯化氢、硫酸雾</w:t>
            </w:r>
            <w:r>
              <w:rPr>
                <w:rFonts w:hint="eastAsia"/>
                <w:color w:val="auto"/>
                <w:lang w:val="en-US" w:eastAsia="zh-CN"/>
              </w:rPr>
              <w:t>、非甲烷总烃</w:t>
            </w:r>
            <w:r>
              <w:rPr>
                <w:rFonts w:hint="default"/>
                <w:color w:val="auto"/>
                <w:lang w:val="en-US" w:eastAsia="zh-CN"/>
              </w:rPr>
              <w:t>排放执行《大气污染物综合排放标准》（GB16297-1996）表2标准。</w:t>
            </w:r>
            <w:r>
              <w:rPr>
                <w:rFonts w:hint="eastAsia"/>
                <w:color w:val="auto"/>
                <w:lang w:val="en-US" w:eastAsia="zh-CN"/>
              </w:rPr>
              <w:t>氨、臭气浓度执行《恶臭污染物排放标准》（</w:t>
            </w:r>
            <w:r>
              <w:rPr>
                <w:rFonts w:hint="default"/>
                <w:color w:val="auto"/>
                <w:lang w:val="en-US" w:eastAsia="zh-CN"/>
              </w:rPr>
              <w:t>GB14554-93</w:t>
            </w:r>
            <w:r>
              <w:rPr>
                <w:rFonts w:hint="eastAsia"/>
                <w:color w:val="auto"/>
                <w:lang w:val="en-US" w:eastAsia="zh-CN"/>
              </w:rPr>
              <w:t>）中的二级排放标准浓度限值，</w:t>
            </w:r>
            <w:r>
              <w:rPr>
                <w:rFonts w:hint="default"/>
                <w:color w:val="auto"/>
                <w:lang w:val="en-US" w:eastAsia="zh-CN"/>
              </w:rPr>
              <w:t>具体标准限值见下表。</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大气污染物有组织排放执行标准</w:t>
            </w:r>
          </w:p>
          <w:tbl>
            <w:tblPr>
              <w:tblStyle w:val="33"/>
              <w:tblW w:w="823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7"/>
              <w:gridCol w:w="1170"/>
              <w:gridCol w:w="1380"/>
              <w:gridCol w:w="1350"/>
              <w:gridCol w:w="30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07" w:type="dxa"/>
                  <w:vAlign w:val="center"/>
                </w:tcPr>
                <w:p>
                  <w:pPr>
                    <w:pStyle w:val="37"/>
                    <w:keepNext w:val="0"/>
                    <w:keepLines w:val="0"/>
                    <w:widowControl/>
                    <w:suppressLineNumbers w:val="0"/>
                    <w:bidi w:val="0"/>
                    <w:spacing w:before="0" w:beforeAutospacing="0" w:after="0" w:afterAutospacing="0"/>
                    <w:ind w:right="0"/>
                    <w:jc w:val="center"/>
                    <w:rPr>
                      <w:rFonts w:hint="default"/>
                      <w:color w:val="auto"/>
                      <w:szCs w:val="20"/>
                      <w:lang w:val="en-US" w:eastAsia="zh-CN"/>
                    </w:rPr>
                  </w:pPr>
                  <w:r>
                    <w:rPr>
                      <w:rFonts w:hint="eastAsia"/>
                      <w:color w:val="auto"/>
                      <w:szCs w:val="20"/>
                      <w:lang w:val="en-US" w:eastAsia="zh-CN"/>
                    </w:rPr>
                    <w:t>污染物</w:t>
                  </w:r>
                </w:p>
              </w:tc>
              <w:tc>
                <w:tcPr>
                  <w:tcW w:w="1170" w:type="dxa"/>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排气筒高度m</w:t>
                  </w:r>
                </w:p>
              </w:tc>
              <w:tc>
                <w:tcPr>
                  <w:tcW w:w="1380" w:type="dxa"/>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最高允许排放速率kg/h</w:t>
                  </w:r>
                </w:p>
              </w:tc>
              <w:tc>
                <w:tcPr>
                  <w:tcW w:w="1350" w:type="dxa"/>
                  <w:vAlign w:val="center"/>
                </w:tcPr>
                <w:p>
                  <w:pPr>
                    <w:pStyle w:val="37"/>
                    <w:keepNext w:val="0"/>
                    <w:keepLines w:val="0"/>
                    <w:widowControl/>
                    <w:suppressLineNumbers w:val="0"/>
                    <w:bidi w:val="0"/>
                    <w:spacing w:before="0" w:beforeAutospacing="0" w:after="0" w:afterAutospacing="0"/>
                    <w:ind w:right="0"/>
                    <w:jc w:val="center"/>
                    <w:rPr>
                      <w:rFonts w:hint="eastAsia"/>
                      <w:color w:val="auto"/>
                      <w:szCs w:val="20"/>
                      <w:lang w:val="en-US" w:eastAsia="zh-CN"/>
                    </w:rPr>
                  </w:pPr>
                  <w:r>
                    <w:rPr>
                      <w:rFonts w:hint="eastAsia"/>
                      <w:color w:val="auto"/>
                      <w:szCs w:val="20"/>
                      <w:lang w:val="en-US" w:eastAsia="zh-CN"/>
                    </w:rPr>
                    <w:t>排放浓度mg/m</w:t>
                  </w:r>
                  <w:r>
                    <w:rPr>
                      <w:rFonts w:hint="eastAsia"/>
                      <w:color w:val="auto"/>
                      <w:szCs w:val="20"/>
                      <w:vertAlign w:val="superscript"/>
                      <w:lang w:val="en-US" w:eastAsia="zh-CN"/>
                    </w:rPr>
                    <w:t>3</w:t>
                  </w:r>
                </w:p>
              </w:tc>
              <w:tc>
                <w:tcPr>
                  <w:tcW w:w="3030" w:type="dxa"/>
                  <w:vAlign w:val="center"/>
                </w:tcPr>
                <w:p>
                  <w:pPr>
                    <w:pStyle w:val="37"/>
                    <w:keepNext w:val="0"/>
                    <w:keepLines w:val="0"/>
                    <w:widowControl/>
                    <w:suppressLineNumbers w:val="0"/>
                    <w:bidi w:val="0"/>
                    <w:spacing w:before="0" w:beforeAutospacing="0" w:after="0" w:afterAutospacing="0"/>
                    <w:ind w:right="0"/>
                    <w:jc w:val="center"/>
                    <w:rPr>
                      <w:rFonts w:hint="default"/>
                      <w:color w:val="auto"/>
                      <w:szCs w:val="20"/>
                      <w:lang w:val="en-US" w:eastAsia="zh-CN"/>
                    </w:rPr>
                  </w:pPr>
                  <w:r>
                    <w:rPr>
                      <w:rFonts w:hint="eastAsia"/>
                      <w:color w:val="auto"/>
                      <w:szCs w:val="20"/>
                      <w:lang w:val="en-US" w:eastAsia="zh-CN"/>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07"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eastAsia"/>
                      <w:color w:val="auto"/>
                      <w:szCs w:val="20"/>
                      <w:lang w:val="en-US" w:eastAsia="zh-CN"/>
                    </w:rPr>
                  </w:pPr>
                  <w:r>
                    <w:rPr>
                      <w:rFonts w:hint="default" w:ascii="Times New Roman" w:hAnsi="Times New Roman" w:cs="Times New Roman"/>
                      <w:color w:val="auto"/>
                      <w:sz w:val="21"/>
                      <w:szCs w:val="21"/>
                    </w:rPr>
                    <w:t>氯化氢</w:t>
                  </w:r>
                </w:p>
              </w:tc>
              <w:tc>
                <w:tcPr>
                  <w:tcW w:w="1170"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color w:val="auto"/>
                      <w:szCs w:val="20"/>
                      <w:lang w:val="en-US" w:eastAsia="zh-CN"/>
                    </w:rPr>
                  </w:pPr>
                  <w:r>
                    <w:rPr>
                      <w:rFonts w:hint="eastAsia" w:cs="Times New Roman"/>
                      <w:color w:val="auto"/>
                      <w:sz w:val="21"/>
                      <w:szCs w:val="20"/>
                      <w:lang w:val="en-US" w:eastAsia="zh-CN"/>
                    </w:rPr>
                    <w:t>20</w:t>
                  </w:r>
                </w:p>
              </w:tc>
              <w:tc>
                <w:tcPr>
                  <w:tcW w:w="1380"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cs="Times New Roman"/>
                      <w:color w:val="auto"/>
                      <w:sz w:val="21"/>
                      <w:szCs w:val="20"/>
                      <w:lang w:val="en-US" w:eastAsia="zh-CN"/>
                    </w:rPr>
                  </w:pPr>
                  <w:r>
                    <w:rPr>
                      <w:rFonts w:hint="eastAsia" w:cs="Times New Roman"/>
                      <w:color w:val="auto"/>
                      <w:sz w:val="21"/>
                      <w:szCs w:val="20"/>
                      <w:lang w:val="en-US" w:eastAsia="zh-CN"/>
                    </w:rPr>
                    <w:t>0.43</w:t>
                  </w:r>
                </w:p>
              </w:tc>
              <w:tc>
                <w:tcPr>
                  <w:tcW w:w="1350"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cs="Times New Roman"/>
                      <w:color w:val="auto"/>
                      <w:sz w:val="21"/>
                      <w:szCs w:val="20"/>
                      <w:lang w:val="en-US" w:eastAsia="zh-CN"/>
                    </w:rPr>
                  </w:pPr>
                  <w:r>
                    <w:rPr>
                      <w:rFonts w:hint="eastAsia" w:cs="Times New Roman"/>
                      <w:color w:val="auto"/>
                      <w:sz w:val="21"/>
                      <w:szCs w:val="20"/>
                      <w:lang w:val="en-US" w:eastAsia="zh-CN"/>
                    </w:rPr>
                    <w:t>100</w:t>
                  </w:r>
                </w:p>
              </w:tc>
              <w:tc>
                <w:tcPr>
                  <w:tcW w:w="3030" w:type="dxa"/>
                  <w:vMerge w:val="restart"/>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eastAsia"/>
                      <w:color w:val="auto"/>
                      <w:szCs w:val="20"/>
                      <w:lang w:val="en-US" w:eastAsia="zh-CN"/>
                    </w:rPr>
                  </w:pPr>
                  <w:r>
                    <w:rPr>
                      <w:rFonts w:hint="default"/>
                      <w:color w:val="auto"/>
                      <w:szCs w:val="20"/>
                      <w:lang w:val="en-US" w:eastAsia="zh-CN"/>
                    </w:rPr>
                    <w:t>《大气污染物综合排放标准》（GB16297-1996）表2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07"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硫酸雾</w:t>
                  </w:r>
                </w:p>
              </w:tc>
              <w:tc>
                <w:tcPr>
                  <w:tcW w:w="1170" w:type="dxa"/>
                  <w:vAlign w:val="center"/>
                </w:tcPr>
                <w:p>
                  <w:pPr>
                    <w:keepNext w:val="0"/>
                    <w:keepLines w:val="0"/>
                    <w:suppressLineNumbers w:val="0"/>
                    <w:bidi w:val="0"/>
                    <w:spacing w:before="0" w:beforeAutospacing="0" w:after="0" w:afterAutospacing="0"/>
                    <w:ind w:left="0" w:leftChars="0" w:right="0" w:firstLine="0" w:firstLineChars="0"/>
                    <w:jc w:val="center"/>
                    <w:rPr>
                      <w:rFonts w:hint="eastAsia" w:cs="Times New Roman"/>
                      <w:color w:val="auto"/>
                      <w:sz w:val="21"/>
                      <w:lang w:val="en-US" w:eastAsia="zh-CN"/>
                    </w:rPr>
                  </w:pPr>
                  <w:r>
                    <w:rPr>
                      <w:rFonts w:hint="eastAsia" w:cs="Times New Roman"/>
                      <w:color w:val="auto"/>
                      <w:sz w:val="21"/>
                      <w:lang w:val="en-US" w:eastAsia="zh-CN"/>
                    </w:rPr>
                    <w:t>20</w:t>
                  </w:r>
                </w:p>
              </w:tc>
              <w:tc>
                <w:tcPr>
                  <w:tcW w:w="1380"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cs="Times New Roman"/>
                      <w:color w:val="auto"/>
                      <w:sz w:val="21"/>
                      <w:szCs w:val="20"/>
                      <w:lang w:val="en-US" w:eastAsia="zh-CN"/>
                    </w:rPr>
                  </w:pPr>
                  <w:r>
                    <w:rPr>
                      <w:rFonts w:hint="eastAsia" w:cs="Times New Roman"/>
                      <w:color w:val="auto"/>
                      <w:sz w:val="21"/>
                      <w:szCs w:val="20"/>
                      <w:lang w:val="en-US" w:eastAsia="zh-CN"/>
                    </w:rPr>
                    <w:t>2.6</w:t>
                  </w:r>
                </w:p>
              </w:tc>
              <w:tc>
                <w:tcPr>
                  <w:tcW w:w="1350" w:type="dxa"/>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21"/>
                      <w:lang w:val="en-US" w:eastAsia="zh-CN"/>
                    </w:rPr>
                  </w:pPr>
                  <w:r>
                    <w:rPr>
                      <w:rFonts w:hint="default" w:ascii="Times New Roman" w:hAnsi="Times New Roman" w:cs="Times New Roman"/>
                      <w:color w:val="auto"/>
                      <w:sz w:val="21"/>
                      <w:szCs w:val="21"/>
                    </w:rPr>
                    <w:t>45</w:t>
                  </w:r>
                </w:p>
              </w:tc>
              <w:tc>
                <w:tcPr>
                  <w:tcW w:w="3030" w:type="dxa"/>
                  <w:vMerge w:val="continue"/>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eastAsia"/>
                      <w:color w:val="auto"/>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40" w:hRule="atLeast"/>
              </w:trPr>
              <w:tc>
                <w:tcPr>
                  <w:tcW w:w="1307"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非甲烷总烃</w:t>
                  </w:r>
                </w:p>
              </w:tc>
              <w:tc>
                <w:tcPr>
                  <w:tcW w:w="1170" w:type="dxa"/>
                  <w:vAlign w:val="center"/>
                </w:tcPr>
                <w:p>
                  <w:pPr>
                    <w:keepNext w:val="0"/>
                    <w:keepLines w:val="0"/>
                    <w:suppressLineNumbers w:val="0"/>
                    <w:bidi w:val="0"/>
                    <w:spacing w:before="0" w:beforeAutospacing="0" w:after="0" w:afterAutospacing="0"/>
                    <w:ind w:left="0" w:leftChars="0" w:right="0" w:firstLine="0" w:firstLineChars="0"/>
                    <w:jc w:val="center"/>
                    <w:rPr>
                      <w:rFonts w:hint="eastAsia" w:cs="Times New Roman"/>
                      <w:color w:val="auto"/>
                      <w:sz w:val="21"/>
                      <w:lang w:val="en-US" w:eastAsia="zh-CN"/>
                    </w:rPr>
                  </w:pPr>
                  <w:r>
                    <w:rPr>
                      <w:rFonts w:hint="eastAsia" w:cs="Times New Roman"/>
                      <w:color w:val="auto"/>
                      <w:sz w:val="21"/>
                      <w:lang w:val="en-US" w:eastAsia="zh-CN"/>
                    </w:rPr>
                    <w:t>20</w:t>
                  </w:r>
                </w:p>
              </w:tc>
              <w:tc>
                <w:tcPr>
                  <w:tcW w:w="1380"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cs="Times New Roman"/>
                      <w:color w:val="auto"/>
                      <w:sz w:val="21"/>
                      <w:szCs w:val="20"/>
                      <w:lang w:val="en-US" w:eastAsia="zh-CN"/>
                    </w:rPr>
                  </w:pPr>
                  <w:r>
                    <w:rPr>
                      <w:rFonts w:hint="eastAsia" w:cs="Times New Roman"/>
                      <w:color w:val="auto"/>
                      <w:sz w:val="21"/>
                      <w:szCs w:val="20"/>
                      <w:lang w:val="en-US" w:eastAsia="zh-CN"/>
                    </w:rPr>
                    <w:t>17</w:t>
                  </w:r>
                </w:p>
              </w:tc>
              <w:tc>
                <w:tcPr>
                  <w:tcW w:w="1350" w:type="dxa"/>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21"/>
                      <w:lang w:val="en-US" w:eastAsia="zh-CN"/>
                    </w:rPr>
                  </w:pPr>
                  <w:r>
                    <w:rPr>
                      <w:rFonts w:hint="default" w:ascii="Times New Roman" w:hAnsi="Times New Roman" w:cs="Times New Roman"/>
                      <w:color w:val="auto"/>
                      <w:sz w:val="21"/>
                      <w:szCs w:val="21"/>
                    </w:rPr>
                    <w:t>120</w:t>
                  </w:r>
                </w:p>
              </w:tc>
              <w:tc>
                <w:tcPr>
                  <w:tcW w:w="3030" w:type="dxa"/>
                  <w:vMerge w:val="continue"/>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eastAsia"/>
                      <w:color w:val="auto"/>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95" w:hRule="atLeast"/>
              </w:trPr>
              <w:tc>
                <w:tcPr>
                  <w:tcW w:w="1307"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氨</w:t>
                  </w:r>
                </w:p>
              </w:tc>
              <w:tc>
                <w:tcPr>
                  <w:tcW w:w="1170"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cs="Times New Roman"/>
                      <w:color w:val="auto"/>
                      <w:sz w:val="21"/>
                      <w:lang w:val="en-US" w:eastAsia="zh-CN"/>
                    </w:rPr>
                  </w:pPr>
                  <w:r>
                    <w:rPr>
                      <w:rFonts w:hint="eastAsia" w:cs="Times New Roman"/>
                      <w:color w:val="auto"/>
                      <w:sz w:val="21"/>
                      <w:lang w:val="en-US" w:eastAsia="zh-CN"/>
                    </w:rPr>
                    <w:t>20</w:t>
                  </w:r>
                </w:p>
              </w:tc>
              <w:tc>
                <w:tcPr>
                  <w:tcW w:w="1380"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cs="Times New Roman"/>
                      <w:color w:val="auto"/>
                      <w:sz w:val="21"/>
                      <w:szCs w:val="20"/>
                      <w:lang w:val="en-US" w:eastAsia="zh-CN"/>
                    </w:rPr>
                  </w:pPr>
                  <w:r>
                    <w:rPr>
                      <w:rFonts w:hint="eastAsia" w:cs="Times New Roman"/>
                      <w:color w:val="auto"/>
                      <w:sz w:val="21"/>
                      <w:szCs w:val="20"/>
                      <w:lang w:val="en-US" w:eastAsia="zh-CN"/>
                    </w:rPr>
                    <w:t>8.7</w:t>
                  </w:r>
                </w:p>
              </w:tc>
              <w:tc>
                <w:tcPr>
                  <w:tcW w:w="1350" w:type="dxa"/>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3030" w:type="dxa"/>
                  <w:vMerge w:val="restart"/>
                  <w:vAlign w:val="center"/>
                </w:tcPr>
                <w:p>
                  <w:pPr>
                    <w:pStyle w:val="37"/>
                    <w:keepNext w:val="0"/>
                    <w:keepLines w:val="0"/>
                    <w:widowControl/>
                    <w:suppressLineNumbers w:val="0"/>
                    <w:bidi w:val="0"/>
                    <w:spacing w:before="0" w:beforeAutospacing="0" w:after="0" w:afterAutospacing="0"/>
                    <w:ind w:left="0" w:leftChars="0" w:right="0" w:rightChars="0" w:firstLine="0" w:firstLineChars="0"/>
                    <w:jc w:val="center"/>
                    <w:rPr>
                      <w:rFonts w:hint="eastAsia" w:ascii="Times New Roman" w:hAnsi="Times New Roman" w:eastAsia="宋体" w:cs="Times New Roman"/>
                      <w:color w:val="auto"/>
                      <w:sz w:val="21"/>
                      <w:szCs w:val="20"/>
                      <w:lang w:val="en-US" w:eastAsia="zh-CN"/>
                    </w:rPr>
                  </w:pPr>
                  <w:r>
                    <w:rPr>
                      <w:rFonts w:hint="eastAsia"/>
                      <w:color w:val="auto"/>
                      <w:szCs w:val="20"/>
                      <w:lang w:val="en-US" w:eastAsia="zh-CN"/>
                    </w:rPr>
                    <w:t>《恶臭污染物排放标准》（</w:t>
                  </w:r>
                  <w:r>
                    <w:rPr>
                      <w:rFonts w:hint="default"/>
                      <w:color w:val="auto"/>
                      <w:szCs w:val="20"/>
                      <w:lang w:val="en-US" w:eastAsia="zh-CN"/>
                    </w:rPr>
                    <w:t>GB14554-93</w:t>
                  </w:r>
                  <w:r>
                    <w:rPr>
                      <w:rFonts w:hint="eastAsia"/>
                      <w:color w:val="auto"/>
                      <w:szCs w:val="20"/>
                      <w:lang w:val="en-US" w:eastAsia="zh-CN"/>
                    </w:rPr>
                    <w:t>）表2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44" w:hRule="atLeast"/>
              </w:trPr>
              <w:tc>
                <w:tcPr>
                  <w:tcW w:w="1307" w:type="dxa"/>
                  <w:shd w:val="clear" w:color="auto" w:fill="auto"/>
                  <w:vAlign w:val="center"/>
                </w:tcPr>
                <w:p>
                  <w:pPr>
                    <w:pStyle w:val="37"/>
                    <w:keepNext w:val="0"/>
                    <w:keepLines w:val="0"/>
                    <w:widowControl/>
                    <w:suppressLineNumbers w:val="0"/>
                    <w:bidi w:val="0"/>
                    <w:spacing w:before="0" w:beforeAutospacing="0" w:after="0" w:afterAutospacing="0"/>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臭气浓度</w:t>
                  </w:r>
                </w:p>
              </w:tc>
              <w:tc>
                <w:tcPr>
                  <w:tcW w:w="1170" w:type="dxa"/>
                  <w:shd w:val="clear" w:color="auto" w:fill="auto"/>
                  <w:vAlign w:val="center"/>
                </w:tcPr>
                <w:p>
                  <w:pPr>
                    <w:keepNext w:val="0"/>
                    <w:keepLines w:val="0"/>
                    <w:suppressLineNumbers w:val="0"/>
                    <w:bidi w:val="0"/>
                    <w:spacing w:before="0" w:beforeAutospacing="0" w:after="0" w:afterAutospacing="0"/>
                    <w:ind w:left="0" w:leftChars="0" w:right="0" w:rightChars="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cs="Times New Roman"/>
                      <w:color w:val="auto"/>
                      <w:sz w:val="21"/>
                      <w:lang w:val="en-US" w:eastAsia="zh-CN"/>
                    </w:rPr>
                    <w:t>20</w:t>
                  </w:r>
                </w:p>
              </w:tc>
              <w:tc>
                <w:tcPr>
                  <w:tcW w:w="1380" w:type="dxa"/>
                  <w:shd w:val="clear" w:color="auto" w:fill="auto"/>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eastAsia" w:cs="Times New Roman"/>
                      <w:color w:val="auto"/>
                      <w:sz w:val="21"/>
                      <w:szCs w:val="20"/>
                      <w:lang w:val="en-US" w:eastAsia="zh-CN"/>
                    </w:rPr>
                  </w:pPr>
                  <w:r>
                    <w:rPr>
                      <w:rFonts w:hint="eastAsia" w:cs="Times New Roman"/>
                      <w:color w:val="auto"/>
                      <w:sz w:val="21"/>
                      <w:szCs w:val="20"/>
                      <w:lang w:val="en-US" w:eastAsia="zh-CN"/>
                    </w:rPr>
                    <w:t>6000</w:t>
                  </w:r>
                </w:p>
                <w:p>
                  <w:pPr>
                    <w:pStyle w:val="37"/>
                    <w:keepNext w:val="0"/>
                    <w:keepLines w:val="0"/>
                    <w:widowControl/>
                    <w:suppressLineNumbers w:val="0"/>
                    <w:bidi w:val="0"/>
                    <w:spacing w:before="0" w:beforeAutospacing="0" w:after="0" w:afterAutospacing="0"/>
                    <w:ind w:left="0" w:leftChars="0" w:right="0" w:rightChars="0" w:firstLine="0" w:firstLineChars="0"/>
                    <w:jc w:val="center"/>
                    <w:rPr>
                      <w:rFonts w:hint="eastAsia" w:ascii="Times New Roman" w:hAnsi="Times New Roman" w:eastAsia="宋体" w:cs="Times New Roman"/>
                      <w:color w:val="auto"/>
                      <w:sz w:val="21"/>
                      <w:szCs w:val="20"/>
                      <w:lang w:val="en-US" w:eastAsia="zh-CN"/>
                    </w:rPr>
                  </w:pPr>
                  <w:r>
                    <w:rPr>
                      <w:rFonts w:hint="eastAsia" w:cs="Times New Roman"/>
                      <w:color w:val="auto"/>
                      <w:sz w:val="21"/>
                      <w:szCs w:val="20"/>
                      <w:lang w:val="en-US" w:eastAsia="zh-CN"/>
                    </w:rPr>
                    <w:t>（无量纲）</w:t>
                  </w:r>
                </w:p>
              </w:tc>
              <w:tc>
                <w:tcPr>
                  <w:tcW w:w="1350" w:type="dxa"/>
                  <w:shd w:val="clear" w:color="auto" w:fill="auto"/>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21"/>
                      <w:szCs w:val="21"/>
                      <w:lang w:val="en-US" w:eastAsia="zh-CN" w:bidi="zh-CN"/>
                    </w:rPr>
                  </w:pPr>
                  <w:r>
                    <w:rPr>
                      <w:rFonts w:hint="eastAsia" w:ascii="Times New Roman" w:hAnsi="Times New Roman" w:cs="Times New Roman"/>
                      <w:color w:val="auto"/>
                      <w:sz w:val="21"/>
                      <w:szCs w:val="21"/>
                      <w:lang w:val="en-US" w:eastAsia="zh-CN"/>
                    </w:rPr>
                    <w:t>/</w:t>
                  </w:r>
                </w:p>
              </w:tc>
              <w:tc>
                <w:tcPr>
                  <w:tcW w:w="3030" w:type="dxa"/>
                  <w:vMerge w:val="continue"/>
                  <w:shd w:val="clear" w:color="auto" w:fill="auto"/>
                  <w:vAlign w:val="center"/>
                </w:tcPr>
                <w:p>
                  <w:pPr>
                    <w:pStyle w:val="37"/>
                    <w:keepNext w:val="0"/>
                    <w:keepLines w:val="0"/>
                    <w:widowControl/>
                    <w:suppressLineNumbers w:val="0"/>
                    <w:bidi w:val="0"/>
                    <w:spacing w:before="0" w:beforeAutospacing="0" w:after="0" w:afterAutospacing="0"/>
                    <w:ind w:left="0" w:leftChars="0" w:right="0" w:rightChars="0" w:firstLine="0" w:firstLineChars="0"/>
                    <w:jc w:val="center"/>
                    <w:rPr>
                      <w:rFonts w:hint="eastAsia" w:ascii="Times New Roman" w:hAnsi="Times New Roman" w:eastAsia="宋体" w:cs="Times New Roman"/>
                      <w:color w:val="auto"/>
                      <w:sz w:val="21"/>
                      <w:szCs w:val="20"/>
                      <w:lang w:val="en-US" w:eastAsia="zh-CN"/>
                    </w:rPr>
                  </w:pPr>
                </w:p>
              </w:tc>
            </w:tr>
          </w:tbl>
          <w:p>
            <w:pPr>
              <w:pStyle w:val="69"/>
              <w:keepNext w:val="0"/>
              <w:keepLines w:val="0"/>
              <w:suppressLineNumbers w:val="0"/>
              <w:bidi w:val="0"/>
              <w:spacing w:beforeAutospacing="0" w:after="0" w:afterAutospacing="0"/>
              <w:ind w:left="0" w:right="0"/>
              <w:rPr>
                <w:rFonts w:hint="eastAsia"/>
                <w:color w:val="auto"/>
              </w:rPr>
            </w:pPr>
            <w:r>
              <w:rPr>
                <w:rFonts w:hint="eastAsia"/>
                <w:color w:val="auto"/>
              </w:rPr>
              <w:t>（2）无组织废气</w:t>
            </w:r>
          </w:p>
          <w:p>
            <w:pPr>
              <w:pStyle w:val="36"/>
              <w:keepNext w:val="0"/>
              <w:keepLines w:val="0"/>
              <w:suppressLineNumbers w:val="0"/>
              <w:bidi w:val="0"/>
              <w:spacing w:before="0" w:beforeAutospacing="0" w:after="0" w:afterAutospacing="0"/>
              <w:ind w:left="0" w:right="0"/>
              <w:rPr>
                <w:rFonts w:hint="default" w:ascii="Times New Roman" w:hAnsi="Times New Roman"/>
                <w:color w:val="auto"/>
                <w:lang w:val="en-US" w:eastAsia="zh-CN"/>
              </w:rPr>
            </w:pPr>
            <w:r>
              <w:rPr>
                <w:rFonts w:hint="eastAsia" w:ascii="Times New Roman" w:hAnsi="Times New Roman"/>
                <w:color w:val="auto"/>
                <w:lang w:val="en-US" w:eastAsia="zh-CN"/>
              </w:rPr>
              <w:t>少量未完全收集的</w:t>
            </w:r>
            <w:r>
              <w:rPr>
                <w:rFonts w:hint="default" w:ascii="Times New Roman" w:hAnsi="Times New Roman"/>
                <w:color w:val="auto"/>
                <w:lang w:val="en-US" w:eastAsia="zh-CN"/>
              </w:rPr>
              <w:t>氯化氢</w:t>
            </w:r>
            <w:r>
              <w:rPr>
                <w:rFonts w:hint="eastAsia" w:ascii="Times New Roman" w:hAnsi="Times New Roman"/>
                <w:color w:val="auto"/>
                <w:lang w:val="en-US" w:eastAsia="zh-CN"/>
              </w:rPr>
              <w:t>、</w:t>
            </w:r>
            <w:r>
              <w:rPr>
                <w:rFonts w:hint="default" w:ascii="Times New Roman" w:hAnsi="Times New Roman"/>
                <w:color w:val="auto"/>
                <w:lang w:val="en-US" w:eastAsia="zh-CN"/>
              </w:rPr>
              <w:t>硫酸雾</w:t>
            </w:r>
            <w:r>
              <w:rPr>
                <w:rFonts w:hint="eastAsia" w:ascii="Times New Roman" w:hAnsi="Times New Roman"/>
                <w:color w:val="auto"/>
                <w:lang w:val="en-US" w:eastAsia="zh-CN"/>
              </w:rPr>
              <w:t>、非甲烷总烃以无组织形式排放，执行《大气污染物综合排放标准》（GB 16297-1996），厂界</w:t>
            </w:r>
            <w:r>
              <w:rPr>
                <w:rFonts w:hint="eastAsia"/>
                <w:color w:val="auto"/>
                <w:lang w:val="en-US" w:eastAsia="zh-CN"/>
              </w:rPr>
              <w:t>氨、臭气浓度</w:t>
            </w:r>
            <w:r>
              <w:rPr>
                <w:rFonts w:hint="eastAsia" w:ascii="Times New Roman" w:hAnsi="Times New Roman"/>
                <w:color w:val="auto"/>
                <w:lang w:val="en-US" w:eastAsia="zh-CN"/>
              </w:rPr>
              <w:t>执行</w:t>
            </w:r>
            <w:r>
              <w:rPr>
                <w:rFonts w:hint="eastAsia"/>
                <w:color w:val="auto"/>
                <w:lang w:val="en-US" w:eastAsia="zh-CN"/>
              </w:rPr>
              <w:t>《恶臭污染物排放标准》（</w:t>
            </w:r>
            <w:r>
              <w:rPr>
                <w:rFonts w:hint="default"/>
                <w:color w:val="auto"/>
                <w:lang w:val="en-US" w:eastAsia="zh-CN"/>
              </w:rPr>
              <w:t>GB14554-93</w:t>
            </w:r>
            <w:r>
              <w:rPr>
                <w:rFonts w:hint="eastAsia"/>
                <w:color w:val="auto"/>
                <w:lang w:val="en-US" w:eastAsia="zh-CN"/>
              </w:rPr>
              <w:t>）表1标准。</w:t>
            </w:r>
          </w:p>
          <w:p>
            <w:pPr>
              <w:pStyle w:val="35"/>
              <w:keepNext w:val="0"/>
              <w:keepLines w:val="0"/>
              <w:pageBreakBefore w:val="0"/>
              <w:widowControl w:val="0"/>
              <w:suppressLineNumbers w:val="0"/>
              <w:kinsoku/>
              <w:wordWrap/>
              <w:overflowPunct/>
              <w:topLinePunct w:val="0"/>
              <w:autoSpaceDE w:val="0"/>
              <w:autoSpaceDN w:val="0"/>
              <w:bidi w:val="0"/>
              <w:adjustRightInd/>
              <w:snapToGrid/>
              <w:spacing w:before="0" w:beforeLines="0" w:beforeAutospacing="0" w:after="0" w:afterAutospacing="0"/>
              <w:ind w:left="0" w:leftChars="0" w:right="0" w:firstLine="0" w:firstLineChars="0"/>
              <w:textAlignment w:val="auto"/>
              <w:rPr>
                <w:rFonts w:hint="default"/>
                <w:color w:val="auto"/>
                <w:lang w:val="en-US" w:eastAsia="zh-CN"/>
              </w:rPr>
            </w:pPr>
            <w:bookmarkStart w:id="59" w:name="_Ref3954"/>
            <w:r>
              <w:rPr>
                <w:rFonts w:hint="eastAsia"/>
                <w:color w:val="auto"/>
                <w:lang w:val="en-US" w:eastAsia="zh-CN"/>
              </w:rPr>
              <w:t>无组织大气污染物排放标准限值一览表</w:t>
            </w:r>
            <w:bookmarkEnd w:id="59"/>
          </w:p>
          <w:tbl>
            <w:tblPr>
              <w:tblStyle w:val="33"/>
              <w:tblW w:w="8237"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87"/>
              <w:gridCol w:w="2100"/>
              <w:gridCol w:w="1215"/>
              <w:gridCol w:w="36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93" w:hRule="atLeast"/>
              </w:trPr>
              <w:tc>
                <w:tcPr>
                  <w:tcW w:w="1287" w:type="dxa"/>
                  <w:vAlign w:val="center"/>
                </w:tcPr>
                <w:p>
                  <w:pPr>
                    <w:pStyle w:val="37"/>
                    <w:keepNext w:val="0"/>
                    <w:keepLines w:val="0"/>
                    <w:widowControl/>
                    <w:suppressLineNumbers w:val="0"/>
                    <w:bidi w:val="0"/>
                    <w:spacing w:before="0" w:beforeAutospacing="0" w:after="0" w:afterAutospacing="0"/>
                    <w:ind w:right="0"/>
                    <w:jc w:val="center"/>
                    <w:rPr>
                      <w:rFonts w:hint="eastAsia" w:eastAsia="宋体"/>
                      <w:color w:val="auto"/>
                      <w:szCs w:val="20"/>
                      <w:lang w:val="en-US" w:eastAsia="zh-CN"/>
                    </w:rPr>
                  </w:pPr>
                  <w:r>
                    <w:rPr>
                      <w:rFonts w:hint="eastAsia"/>
                      <w:color w:val="auto"/>
                      <w:szCs w:val="20"/>
                      <w:lang w:val="en-US" w:eastAsia="zh-CN"/>
                    </w:rPr>
                    <w:t>污染物</w:t>
                  </w:r>
                </w:p>
              </w:tc>
              <w:tc>
                <w:tcPr>
                  <w:tcW w:w="2100" w:type="dxa"/>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监控点</w:t>
                  </w:r>
                </w:p>
              </w:tc>
              <w:tc>
                <w:tcPr>
                  <w:tcW w:w="1215" w:type="dxa"/>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排放限值mg/m</w:t>
                  </w:r>
                  <w:r>
                    <w:rPr>
                      <w:rFonts w:hint="eastAsia"/>
                      <w:color w:val="auto"/>
                      <w:szCs w:val="20"/>
                      <w:vertAlign w:val="superscript"/>
                      <w:lang w:val="en-US" w:eastAsia="zh-CN"/>
                    </w:rPr>
                    <w:t>3</w:t>
                  </w:r>
                </w:p>
              </w:tc>
              <w:tc>
                <w:tcPr>
                  <w:tcW w:w="3635" w:type="dxa"/>
                  <w:vAlign w:val="center"/>
                </w:tcPr>
                <w:p>
                  <w:pPr>
                    <w:pStyle w:val="37"/>
                    <w:keepNext w:val="0"/>
                    <w:keepLines w:val="0"/>
                    <w:widowControl/>
                    <w:suppressLineNumbers w:val="0"/>
                    <w:bidi w:val="0"/>
                    <w:spacing w:before="0" w:beforeAutospacing="0" w:after="0" w:afterAutospacing="0"/>
                    <w:ind w:right="0"/>
                    <w:jc w:val="center"/>
                    <w:rPr>
                      <w:rFonts w:hint="eastAsia" w:eastAsia="宋体"/>
                      <w:color w:val="auto"/>
                      <w:szCs w:val="20"/>
                      <w:lang w:val="en-US" w:eastAsia="zh-CN"/>
                    </w:rPr>
                  </w:pPr>
                  <w:r>
                    <w:rPr>
                      <w:rFonts w:hint="eastAsia"/>
                      <w:color w:val="auto"/>
                      <w:szCs w:val="20"/>
                      <w:lang w:val="en-US" w:eastAsia="zh-CN"/>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287"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eastAsia" w:eastAsia="宋体"/>
                      <w:color w:val="auto"/>
                      <w:szCs w:val="20"/>
                      <w:lang w:val="en-US" w:eastAsia="zh-CN"/>
                    </w:rPr>
                  </w:pPr>
                  <w:r>
                    <w:rPr>
                      <w:rFonts w:hint="default" w:ascii="Times New Roman" w:hAnsi="Times New Roman" w:cs="Times New Roman"/>
                      <w:color w:val="auto"/>
                      <w:sz w:val="21"/>
                      <w:szCs w:val="21"/>
                    </w:rPr>
                    <w:t>氯化氢</w:t>
                  </w:r>
                </w:p>
              </w:tc>
              <w:tc>
                <w:tcPr>
                  <w:tcW w:w="2100" w:type="dxa"/>
                  <w:vAlign w:val="center"/>
                </w:tcPr>
                <w:p>
                  <w:pPr>
                    <w:pStyle w:val="37"/>
                    <w:keepNext w:val="0"/>
                    <w:keepLines w:val="0"/>
                    <w:widowControl/>
                    <w:suppressLineNumbers w:val="0"/>
                    <w:bidi w:val="0"/>
                    <w:spacing w:before="0" w:beforeAutospacing="0" w:after="0" w:afterAutospacing="0"/>
                    <w:ind w:right="0"/>
                    <w:jc w:val="center"/>
                    <w:rPr>
                      <w:rFonts w:hint="default"/>
                      <w:color w:val="auto"/>
                      <w:szCs w:val="20"/>
                      <w:lang w:val="en-US" w:eastAsia="zh-CN"/>
                    </w:rPr>
                  </w:pPr>
                  <w:r>
                    <w:rPr>
                      <w:rFonts w:hint="eastAsia"/>
                      <w:color w:val="auto"/>
                      <w:szCs w:val="20"/>
                      <w:lang w:val="en-US" w:eastAsia="zh-CN"/>
                    </w:rPr>
                    <w:t>周界外浓度最高点</w:t>
                  </w:r>
                </w:p>
              </w:tc>
              <w:tc>
                <w:tcPr>
                  <w:tcW w:w="1215" w:type="dxa"/>
                  <w:vAlign w:val="center"/>
                </w:tcPr>
                <w:p>
                  <w:pPr>
                    <w:pStyle w:val="37"/>
                    <w:keepNext w:val="0"/>
                    <w:keepLines w:val="0"/>
                    <w:widowControl/>
                    <w:suppressLineNumbers w:val="0"/>
                    <w:bidi w:val="0"/>
                    <w:spacing w:before="0" w:beforeAutospacing="0" w:after="0" w:afterAutospacing="0"/>
                    <w:ind w:right="0"/>
                    <w:jc w:val="center"/>
                    <w:rPr>
                      <w:rFonts w:hint="default"/>
                      <w:color w:val="auto"/>
                      <w:szCs w:val="20"/>
                      <w:lang w:val="en-US" w:eastAsia="zh-CN"/>
                    </w:rPr>
                  </w:pPr>
                  <w:r>
                    <w:rPr>
                      <w:rFonts w:hint="eastAsia"/>
                      <w:color w:val="auto"/>
                      <w:szCs w:val="20"/>
                      <w:lang w:val="en-US" w:eastAsia="zh-CN"/>
                    </w:rPr>
                    <w:t>0.2</w:t>
                  </w:r>
                </w:p>
              </w:tc>
              <w:tc>
                <w:tcPr>
                  <w:tcW w:w="3635" w:type="dxa"/>
                  <w:vMerge w:val="restart"/>
                  <w:vAlign w:val="center"/>
                </w:tcPr>
                <w:p>
                  <w:pPr>
                    <w:pStyle w:val="37"/>
                    <w:keepNext w:val="0"/>
                    <w:keepLines w:val="0"/>
                    <w:widowControl/>
                    <w:suppressLineNumbers w:val="0"/>
                    <w:bidi w:val="0"/>
                    <w:spacing w:before="0" w:beforeAutospacing="0" w:after="0" w:afterAutospacing="0"/>
                    <w:ind w:right="0"/>
                    <w:jc w:val="center"/>
                    <w:rPr>
                      <w:rFonts w:hint="default" w:eastAsia="宋体"/>
                      <w:color w:val="auto"/>
                      <w:szCs w:val="20"/>
                      <w:lang w:val="en-US" w:eastAsia="zh-CN"/>
                    </w:rPr>
                  </w:pPr>
                  <w:r>
                    <w:rPr>
                      <w:rFonts w:hint="eastAsia"/>
                      <w:color w:val="auto"/>
                      <w:szCs w:val="20"/>
                    </w:rPr>
                    <w:t>《大气污染物综合排放标准》（GB 16297-1996）</w:t>
                  </w:r>
                  <w:r>
                    <w:rPr>
                      <w:rFonts w:hint="eastAsia"/>
                      <w:color w:val="auto"/>
                      <w:szCs w:val="20"/>
                      <w:lang w:val="en-US" w:eastAsia="zh-CN"/>
                    </w:rPr>
                    <w:t>表2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287"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eastAsia"/>
                      <w:color w:val="auto"/>
                      <w:szCs w:val="20"/>
                      <w:lang w:val="en-US" w:eastAsia="zh-CN"/>
                    </w:rPr>
                  </w:pPr>
                  <w:r>
                    <w:rPr>
                      <w:rFonts w:hint="default" w:ascii="Times New Roman" w:hAnsi="Times New Roman" w:cs="Times New Roman"/>
                      <w:color w:val="auto"/>
                      <w:sz w:val="21"/>
                      <w:szCs w:val="21"/>
                    </w:rPr>
                    <w:t>硫酸雾</w:t>
                  </w:r>
                </w:p>
              </w:tc>
              <w:tc>
                <w:tcPr>
                  <w:tcW w:w="2100" w:type="dxa"/>
                  <w:vAlign w:val="center"/>
                </w:tcPr>
                <w:p>
                  <w:pPr>
                    <w:pStyle w:val="37"/>
                    <w:keepNext w:val="0"/>
                    <w:keepLines w:val="0"/>
                    <w:widowControl/>
                    <w:suppressLineNumbers w:val="0"/>
                    <w:bidi w:val="0"/>
                    <w:spacing w:before="0" w:beforeAutospacing="0" w:after="0" w:afterAutospacing="0"/>
                    <w:ind w:right="0"/>
                    <w:jc w:val="center"/>
                    <w:rPr>
                      <w:rFonts w:hint="eastAsia"/>
                      <w:color w:val="auto"/>
                      <w:szCs w:val="20"/>
                      <w:lang w:val="en-US" w:eastAsia="zh-CN"/>
                    </w:rPr>
                  </w:pPr>
                  <w:r>
                    <w:rPr>
                      <w:rFonts w:hint="eastAsia"/>
                      <w:color w:val="auto"/>
                      <w:szCs w:val="20"/>
                      <w:lang w:val="en-US" w:eastAsia="zh-CN"/>
                    </w:rPr>
                    <w:t>周界外浓度最高点</w:t>
                  </w:r>
                </w:p>
              </w:tc>
              <w:tc>
                <w:tcPr>
                  <w:tcW w:w="1215" w:type="dxa"/>
                  <w:vAlign w:val="center"/>
                </w:tcPr>
                <w:p>
                  <w:pPr>
                    <w:pStyle w:val="37"/>
                    <w:keepNext w:val="0"/>
                    <w:keepLines w:val="0"/>
                    <w:widowControl/>
                    <w:suppressLineNumbers w:val="0"/>
                    <w:bidi w:val="0"/>
                    <w:spacing w:before="0" w:beforeAutospacing="0" w:after="0" w:afterAutospacing="0"/>
                    <w:ind w:right="0"/>
                    <w:jc w:val="center"/>
                    <w:rPr>
                      <w:rFonts w:hint="default"/>
                      <w:color w:val="auto"/>
                      <w:szCs w:val="20"/>
                      <w:lang w:val="en-US" w:eastAsia="zh-CN"/>
                    </w:rPr>
                  </w:pPr>
                  <w:r>
                    <w:rPr>
                      <w:rFonts w:hint="eastAsia"/>
                      <w:color w:val="auto"/>
                      <w:szCs w:val="20"/>
                      <w:lang w:val="en-US" w:eastAsia="zh-CN"/>
                    </w:rPr>
                    <w:t>1.2</w:t>
                  </w:r>
                </w:p>
              </w:tc>
              <w:tc>
                <w:tcPr>
                  <w:tcW w:w="3635" w:type="dxa"/>
                  <w:vMerge w:val="continue"/>
                  <w:vAlign w:val="center"/>
                </w:tcPr>
                <w:p>
                  <w:pPr>
                    <w:pStyle w:val="37"/>
                    <w:keepNext w:val="0"/>
                    <w:keepLines w:val="0"/>
                    <w:widowControl/>
                    <w:suppressLineNumbers w:val="0"/>
                    <w:bidi w:val="0"/>
                    <w:spacing w:before="0" w:beforeAutospacing="0" w:after="0" w:afterAutospacing="0"/>
                    <w:ind w:right="0"/>
                    <w:jc w:val="center"/>
                    <w:rPr>
                      <w:rFonts w:hint="eastAsia"/>
                      <w:color w:val="auto"/>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287"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eastAsia"/>
                      <w:color w:val="auto"/>
                      <w:szCs w:val="20"/>
                      <w:lang w:val="en-US" w:eastAsia="zh-CN"/>
                    </w:rPr>
                  </w:pPr>
                  <w:r>
                    <w:rPr>
                      <w:rFonts w:hint="default" w:ascii="Times New Roman" w:hAnsi="Times New Roman" w:cs="Times New Roman"/>
                      <w:color w:val="auto"/>
                      <w:sz w:val="21"/>
                      <w:szCs w:val="21"/>
                    </w:rPr>
                    <w:t>非甲烷总烃</w:t>
                  </w:r>
                </w:p>
              </w:tc>
              <w:tc>
                <w:tcPr>
                  <w:tcW w:w="2100" w:type="dxa"/>
                  <w:vAlign w:val="center"/>
                </w:tcPr>
                <w:p>
                  <w:pPr>
                    <w:pStyle w:val="37"/>
                    <w:keepNext w:val="0"/>
                    <w:keepLines w:val="0"/>
                    <w:widowControl/>
                    <w:suppressLineNumbers w:val="0"/>
                    <w:bidi w:val="0"/>
                    <w:spacing w:before="0" w:beforeAutospacing="0" w:after="0" w:afterAutospacing="0"/>
                    <w:ind w:right="0"/>
                    <w:jc w:val="center"/>
                    <w:rPr>
                      <w:rFonts w:hint="eastAsia"/>
                      <w:color w:val="auto"/>
                      <w:szCs w:val="20"/>
                      <w:lang w:val="en-US" w:eastAsia="zh-CN"/>
                    </w:rPr>
                  </w:pPr>
                  <w:r>
                    <w:rPr>
                      <w:rFonts w:hint="eastAsia"/>
                      <w:color w:val="auto"/>
                      <w:szCs w:val="20"/>
                      <w:lang w:val="en-US" w:eastAsia="zh-CN"/>
                    </w:rPr>
                    <w:t>周界外浓度最高点</w:t>
                  </w:r>
                </w:p>
              </w:tc>
              <w:tc>
                <w:tcPr>
                  <w:tcW w:w="1215" w:type="dxa"/>
                  <w:vAlign w:val="center"/>
                </w:tcPr>
                <w:p>
                  <w:pPr>
                    <w:pStyle w:val="37"/>
                    <w:keepNext w:val="0"/>
                    <w:keepLines w:val="0"/>
                    <w:widowControl/>
                    <w:suppressLineNumbers w:val="0"/>
                    <w:bidi w:val="0"/>
                    <w:spacing w:before="0" w:beforeAutospacing="0" w:after="0" w:afterAutospacing="0"/>
                    <w:ind w:right="0"/>
                    <w:jc w:val="center"/>
                    <w:rPr>
                      <w:rFonts w:hint="default"/>
                      <w:color w:val="auto"/>
                      <w:szCs w:val="20"/>
                      <w:lang w:val="en-US" w:eastAsia="zh-CN"/>
                    </w:rPr>
                  </w:pPr>
                  <w:r>
                    <w:rPr>
                      <w:rFonts w:hint="eastAsia"/>
                      <w:color w:val="auto"/>
                      <w:szCs w:val="20"/>
                      <w:lang w:val="en-US" w:eastAsia="zh-CN"/>
                    </w:rPr>
                    <w:t>4.0</w:t>
                  </w:r>
                </w:p>
              </w:tc>
              <w:tc>
                <w:tcPr>
                  <w:tcW w:w="3635" w:type="dxa"/>
                  <w:vMerge w:val="continue"/>
                  <w:vAlign w:val="center"/>
                </w:tcPr>
                <w:p>
                  <w:pPr>
                    <w:pStyle w:val="37"/>
                    <w:keepNext w:val="0"/>
                    <w:keepLines w:val="0"/>
                    <w:widowControl/>
                    <w:suppressLineNumbers w:val="0"/>
                    <w:bidi w:val="0"/>
                    <w:spacing w:before="0" w:beforeAutospacing="0" w:after="0" w:afterAutospacing="0"/>
                    <w:ind w:right="0"/>
                    <w:jc w:val="center"/>
                    <w:rPr>
                      <w:rFonts w:hint="eastAsia"/>
                      <w:color w:val="auto"/>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287"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颗粒物</w:t>
                  </w:r>
                </w:p>
              </w:tc>
              <w:tc>
                <w:tcPr>
                  <w:tcW w:w="2100" w:type="dxa"/>
                  <w:vAlign w:val="center"/>
                </w:tcPr>
                <w:p>
                  <w:pPr>
                    <w:pStyle w:val="37"/>
                    <w:keepNext w:val="0"/>
                    <w:keepLines w:val="0"/>
                    <w:widowControl/>
                    <w:suppressLineNumbers w:val="0"/>
                    <w:bidi w:val="0"/>
                    <w:spacing w:before="0" w:beforeAutospacing="0" w:after="0" w:afterAutospacing="0"/>
                    <w:ind w:right="0"/>
                    <w:jc w:val="center"/>
                    <w:rPr>
                      <w:rFonts w:hint="eastAsia"/>
                      <w:color w:val="auto"/>
                      <w:szCs w:val="20"/>
                      <w:lang w:val="en-US" w:eastAsia="zh-CN"/>
                    </w:rPr>
                  </w:pPr>
                  <w:r>
                    <w:rPr>
                      <w:rFonts w:hint="eastAsia"/>
                      <w:color w:val="auto"/>
                      <w:szCs w:val="20"/>
                      <w:lang w:val="en-US" w:eastAsia="zh-CN"/>
                    </w:rPr>
                    <w:t>周界外浓度最高点</w:t>
                  </w:r>
                </w:p>
              </w:tc>
              <w:tc>
                <w:tcPr>
                  <w:tcW w:w="1215" w:type="dxa"/>
                  <w:vAlign w:val="center"/>
                </w:tcPr>
                <w:p>
                  <w:pPr>
                    <w:pStyle w:val="37"/>
                    <w:keepNext w:val="0"/>
                    <w:keepLines w:val="0"/>
                    <w:widowControl/>
                    <w:suppressLineNumbers w:val="0"/>
                    <w:bidi w:val="0"/>
                    <w:spacing w:before="0" w:beforeAutospacing="0" w:after="0" w:afterAutospacing="0"/>
                    <w:ind w:right="0"/>
                    <w:jc w:val="center"/>
                    <w:rPr>
                      <w:rFonts w:hint="default"/>
                      <w:color w:val="auto"/>
                      <w:szCs w:val="20"/>
                      <w:lang w:val="en-US" w:eastAsia="zh-CN"/>
                    </w:rPr>
                  </w:pPr>
                  <w:r>
                    <w:rPr>
                      <w:rFonts w:hint="eastAsia"/>
                      <w:color w:val="auto"/>
                      <w:szCs w:val="20"/>
                      <w:lang w:val="en-US" w:eastAsia="zh-CN"/>
                    </w:rPr>
                    <w:t>1.0</w:t>
                  </w:r>
                </w:p>
              </w:tc>
              <w:tc>
                <w:tcPr>
                  <w:tcW w:w="3635" w:type="dxa"/>
                  <w:vMerge w:val="continue"/>
                  <w:vAlign w:val="center"/>
                </w:tcPr>
                <w:p>
                  <w:pPr>
                    <w:pStyle w:val="37"/>
                    <w:keepNext w:val="0"/>
                    <w:keepLines w:val="0"/>
                    <w:widowControl/>
                    <w:suppressLineNumbers w:val="0"/>
                    <w:bidi w:val="0"/>
                    <w:spacing w:before="0" w:beforeAutospacing="0" w:after="0" w:afterAutospacing="0"/>
                    <w:ind w:right="0"/>
                    <w:jc w:val="center"/>
                    <w:rPr>
                      <w:rFonts w:hint="eastAsia"/>
                      <w:color w:val="auto"/>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287"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氨</w:t>
                  </w:r>
                </w:p>
              </w:tc>
              <w:tc>
                <w:tcPr>
                  <w:tcW w:w="2100" w:type="dxa"/>
                  <w:vAlign w:val="center"/>
                </w:tcPr>
                <w:p>
                  <w:pPr>
                    <w:pStyle w:val="37"/>
                    <w:keepNext w:val="0"/>
                    <w:keepLines w:val="0"/>
                    <w:widowControl/>
                    <w:suppressLineNumbers w:val="0"/>
                    <w:bidi w:val="0"/>
                    <w:spacing w:before="0" w:beforeAutospacing="0" w:after="0" w:afterAutospacing="0"/>
                    <w:ind w:right="0"/>
                    <w:jc w:val="center"/>
                    <w:rPr>
                      <w:rFonts w:hint="eastAsia"/>
                      <w:color w:val="auto"/>
                      <w:szCs w:val="20"/>
                      <w:lang w:val="en-US" w:eastAsia="zh-CN"/>
                    </w:rPr>
                  </w:pPr>
                  <w:r>
                    <w:rPr>
                      <w:rFonts w:hint="eastAsia"/>
                      <w:color w:val="auto"/>
                      <w:szCs w:val="20"/>
                      <w:lang w:val="en-US" w:eastAsia="zh-CN"/>
                    </w:rPr>
                    <w:t>厂界浓度</w:t>
                  </w:r>
                </w:p>
              </w:tc>
              <w:tc>
                <w:tcPr>
                  <w:tcW w:w="1215" w:type="dxa"/>
                  <w:vAlign w:val="center"/>
                </w:tcPr>
                <w:p>
                  <w:pPr>
                    <w:pStyle w:val="37"/>
                    <w:keepNext w:val="0"/>
                    <w:keepLines w:val="0"/>
                    <w:widowControl/>
                    <w:suppressLineNumbers w:val="0"/>
                    <w:bidi w:val="0"/>
                    <w:spacing w:before="0" w:beforeAutospacing="0" w:after="0" w:afterAutospacing="0"/>
                    <w:ind w:right="0"/>
                    <w:jc w:val="center"/>
                    <w:rPr>
                      <w:rFonts w:hint="default"/>
                      <w:color w:val="auto"/>
                      <w:szCs w:val="20"/>
                      <w:lang w:val="en-US" w:eastAsia="zh-CN"/>
                    </w:rPr>
                  </w:pPr>
                  <w:r>
                    <w:rPr>
                      <w:rFonts w:hint="eastAsia"/>
                      <w:color w:val="auto"/>
                      <w:szCs w:val="20"/>
                      <w:lang w:val="en-US" w:eastAsia="zh-CN"/>
                    </w:rPr>
                    <w:t>1.5</w:t>
                  </w:r>
                </w:p>
              </w:tc>
              <w:tc>
                <w:tcPr>
                  <w:tcW w:w="3635" w:type="dxa"/>
                  <w:vMerge w:val="restart"/>
                  <w:vAlign w:val="center"/>
                </w:tcPr>
                <w:p>
                  <w:pPr>
                    <w:pStyle w:val="37"/>
                    <w:keepNext w:val="0"/>
                    <w:keepLines w:val="0"/>
                    <w:widowControl/>
                    <w:suppressLineNumbers w:val="0"/>
                    <w:bidi w:val="0"/>
                    <w:spacing w:before="0" w:beforeAutospacing="0" w:after="0" w:afterAutospacing="0"/>
                    <w:ind w:right="0"/>
                    <w:jc w:val="center"/>
                    <w:rPr>
                      <w:rFonts w:hint="eastAsia"/>
                      <w:color w:val="auto"/>
                      <w:szCs w:val="20"/>
                    </w:rPr>
                  </w:pPr>
                  <w:r>
                    <w:rPr>
                      <w:rFonts w:hint="eastAsia"/>
                      <w:color w:val="auto"/>
                      <w:szCs w:val="20"/>
                      <w:lang w:val="en-US" w:eastAsia="zh-CN"/>
                    </w:rPr>
                    <w:t>《恶臭污染物排放标准》（</w:t>
                  </w:r>
                  <w:r>
                    <w:rPr>
                      <w:rFonts w:hint="default"/>
                      <w:color w:val="auto"/>
                      <w:szCs w:val="20"/>
                      <w:lang w:val="en-US" w:eastAsia="zh-CN"/>
                    </w:rPr>
                    <w:t>GB14554-93</w:t>
                  </w:r>
                  <w:r>
                    <w:rPr>
                      <w:rFonts w:hint="eastAsia"/>
                      <w:color w:val="auto"/>
                      <w:szCs w:val="20"/>
                      <w:lang w:val="en-US" w:eastAsia="zh-CN"/>
                    </w:rPr>
                    <w:t>）表1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287"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恶臭浓度</w:t>
                  </w:r>
                </w:p>
              </w:tc>
              <w:tc>
                <w:tcPr>
                  <w:tcW w:w="2100" w:type="dxa"/>
                  <w:vAlign w:val="center"/>
                </w:tcPr>
                <w:p>
                  <w:pPr>
                    <w:pStyle w:val="37"/>
                    <w:keepNext w:val="0"/>
                    <w:keepLines w:val="0"/>
                    <w:widowControl/>
                    <w:suppressLineNumbers w:val="0"/>
                    <w:bidi w:val="0"/>
                    <w:spacing w:before="0" w:beforeAutospacing="0" w:after="0" w:afterAutospacing="0"/>
                    <w:ind w:right="0"/>
                    <w:jc w:val="center"/>
                    <w:rPr>
                      <w:rFonts w:hint="default"/>
                      <w:color w:val="auto"/>
                      <w:szCs w:val="20"/>
                      <w:lang w:val="en-US" w:eastAsia="zh-CN"/>
                    </w:rPr>
                  </w:pPr>
                  <w:r>
                    <w:rPr>
                      <w:rFonts w:hint="eastAsia"/>
                      <w:color w:val="auto"/>
                      <w:szCs w:val="20"/>
                      <w:lang w:val="en-US" w:eastAsia="zh-CN"/>
                    </w:rPr>
                    <w:t>厂界浓度</w:t>
                  </w:r>
                </w:p>
              </w:tc>
              <w:tc>
                <w:tcPr>
                  <w:tcW w:w="1215" w:type="dxa"/>
                  <w:vAlign w:val="center"/>
                </w:tcPr>
                <w:p>
                  <w:pPr>
                    <w:pStyle w:val="37"/>
                    <w:keepNext w:val="0"/>
                    <w:keepLines w:val="0"/>
                    <w:widowControl/>
                    <w:suppressLineNumbers w:val="0"/>
                    <w:bidi w:val="0"/>
                    <w:spacing w:before="0" w:beforeAutospacing="0" w:after="0" w:afterAutospacing="0"/>
                    <w:ind w:right="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w:t>
                  </w:r>
                </w:p>
                <w:p>
                  <w:pPr>
                    <w:pStyle w:val="37"/>
                    <w:keepNext w:val="0"/>
                    <w:keepLines w:val="0"/>
                    <w:widowControl/>
                    <w:suppressLineNumbers w:val="0"/>
                    <w:bidi w:val="0"/>
                    <w:spacing w:before="0" w:beforeAutospacing="0" w:after="0" w:afterAutospacing="0"/>
                    <w:ind w:right="0"/>
                    <w:jc w:val="center"/>
                    <w:rPr>
                      <w:rFonts w:hint="eastAsia"/>
                      <w:color w:val="auto"/>
                      <w:szCs w:val="20"/>
                      <w:lang w:val="en-US" w:eastAsia="zh-CN"/>
                    </w:rPr>
                  </w:pPr>
                  <w:r>
                    <w:rPr>
                      <w:rFonts w:hint="default" w:ascii="Times New Roman" w:hAnsi="Times New Roman" w:cs="Times New Roman"/>
                      <w:b w:val="0"/>
                      <w:bCs w:val="0"/>
                      <w:color w:val="auto"/>
                      <w:sz w:val="21"/>
                      <w:szCs w:val="21"/>
                    </w:rPr>
                    <w:t>（</w:t>
                  </w:r>
                  <w:r>
                    <w:rPr>
                      <w:rFonts w:hint="eastAsia" w:ascii="Times New Roman" w:hAnsi="Times New Roman" w:eastAsia="宋体" w:cs="Times New Roman"/>
                      <w:b w:val="0"/>
                      <w:bCs w:val="0"/>
                      <w:color w:val="auto"/>
                      <w:sz w:val="21"/>
                      <w:szCs w:val="21"/>
                      <w:lang w:val="en-US" w:eastAsia="zh-CN"/>
                    </w:rPr>
                    <w:t>无量纲</w:t>
                  </w:r>
                  <w:r>
                    <w:rPr>
                      <w:rFonts w:hint="default" w:ascii="Times New Roman" w:hAnsi="Times New Roman" w:cs="Times New Roman"/>
                      <w:b w:val="0"/>
                      <w:bCs w:val="0"/>
                      <w:color w:val="auto"/>
                      <w:sz w:val="21"/>
                      <w:szCs w:val="21"/>
                    </w:rPr>
                    <w:t>）</w:t>
                  </w:r>
                </w:p>
              </w:tc>
              <w:tc>
                <w:tcPr>
                  <w:tcW w:w="3635" w:type="dxa"/>
                  <w:vMerge w:val="continue"/>
                  <w:vAlign w:val="center"/>
                </w:tcPr>
                <w:p>
                  <w:pPr>
                    <w:pStyle w:val="37"/>
                    <w:keepNext w:val="0"/>
                    <w:keepLines w:val="0"/>
                    <w:widowControl/>
                    <w:suppressLineNumbers w:val="0"/>
                    <w:bidi w:val="0"/>
                    <w:spacing w:before="0" w:beforeAutospacing="0" w:after="0" w:afterAutospacing="0"/>
                    <w:ind w:right="0"/>
                    <w:jc w:val="center"/>
                    <w:rPr>
                      <w:rFonts w:hint="eastAsia"/>
                      <w:color w:val="auto"/>
                      <w:szCs w:val="20"/>
                    </w:rPr>
                  </w:pPr>
                </w:p>
              </w:tc>
            </w:tr>
          </w:tbl>
          <w:p>
            <w:pPr>
              <w:pStyle w:val="4"/>
              <w:suppressLineNumbers w:val="0"/>
              <w:bidi w:val="0"/>
              <w:spacing w:beforeAutospacing="0" w:afterAutospacing="0"/>
              <w:ind w:right="0"/>
              <w:rPr>
                <w:rFonts w:hint="default"/>
                <w:color w:val="auto"/>
              </w:rPr>
            </w:pPr>
            <w:r>
              <w:rPr>
                <w:rFonts w:hint="default"/>
                <w:color w:val="auto"/>
              </w:rPr>
              <w:t>废水排放标准</w:t>
            </w:r>
          </w:p>
          <w:p>
            <w:pPr>
              <w:pStyle w:val="36"/>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项目废水主要为</w:t>
            </w:r>
            <w:r>
              <w:rPr>
                <w:rFonts w:hint="default" w:ascii="Times New Roman" w:hAnsi="Times New Roman" w:cs="Times New Roman"/>
                <w:color w:val="auto"/>
                <w:lang w:val="en-US" w:eastAsia="zh-CN"/>
              </w:rPr>
              <w:t>清洗废水</w:t>
            </w:r>
            <w:r>
              <w:rPr>
                <w:rFonts w:hint="eastAsia" w:cs="Times New Roman"/>
                <w:color w:val="auto"/>
                <w:lang w:val="en-US" w:eastAsia="zh-CN"/>
              </w:rPr>
              <w:t>、纯水机浓水</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仪器排水</w:t>
            </w:r>
            <w:r>
              <w:rPr>
                <w:rFonts w:hint="default" w:ascii="Times New Roman" w:hAnsi="Times New Roman" w:eastAsia="宋体" w:cs="Times New Roman"/>
                <w:color w:val="auto"/>
                <w:lang w:val="en-US" w:eastAsia="zh-CN"/>
              </w:rPr>
              <w:t>和生活污水。</w:t>
            </w:r>
            <w:r>
              <w:rPr>
                <w:rFonts w:hint="eastAsia" w:cs="Times New Roman"/>
                <w:color w:val="auto"/>
                <w:lang w:val="en-US" w:eastAsia="zh-CN"/>
              </w:rPr>
              <w:t>其中仪器排水</w:t>
            </w:r>
            <w:r>
              <w:rPr>
                <w:rFonts w:hint="default" w:ascii="Times New Roman" w:hAnsi="Times New Roman" w:cs="Times New Roman"/>
                <w:color w:val="auto"/>
                <w:lang w:val="en-US" w:eastAsia="zh-CN"/>
              </w:rPr>
              <w:t>、清洗废水</w:t>
            </w:r>
            <w:r>
              <w:rPr>
                <w:rFonts w:hint="default" w:ascii="Times New Roman" w:hAnsi="Times New Roman" w:eastAsia="宋体" w:cs="Times New Roman"/>
                <w:color w:val="auto"/>
                <w:lang w:val="en-US" w:eastAsia="zh-CN"/>
              </w:rPr>
              <w:t>经</w:t>
            </w:r>
            <w:r>
              <w:rPr>
                <w:rFonts w:hint="eastAsia" w:cs="Times New Roman"/>
                <w:color w:val="auto"/>
                <w:lang w:val="en-US" w:eastAsia="zh-CN"/>
              </w:rPr>
              <w:t>废水处理设施处理后，与纯水机浓水、</w:t>
            </w:r>
            <w:r>
              <w:rPr>
                <w:rFonts w:hint="default" w:ascii="Times New Roman" w:hAnsi="Times New Roman" w:eastAsia="宋体" w:cs="Times New Roman"/>
                <w:color w:val="auto"/>
                <w:lang w:val="en-US" w:eastAsia="zh-CN"/>
              </w:rPr>
              <w:t>生活污水</w:t>
            </w:r>
            <w:r>
              <w:rPr>
                <w:rFonts w:hint="eastAsia" w:cs="Times New Roman"/>
                <w:color w:val="auto"/>
                <w:lang w:val="en-US" w:eastAsia="zh-CN"/>
              </w:rPr>
              <w:t>一起</w:t>
            </w:r>
            <w:r>
              <w:rPr>
                <w:rFonts w:hint="default" w:ascii="Times New Roman" w:hAnsi="Times New Roman" w:eastAsia="宋体" w:cs="Times New Roman"/>
                <w:color w:val="auto"/>
                <w:lang w:val="en-US" w:eastAsia="zh-CN"/>
              </w:rPr>
              <w:t>经化粪池处理后排入市政污水管网</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最终</w:t>
            </w:r>
            <w:r>
              <w:rPr>
                <w:rFonts w:hint="default" w:ascii="Times New Roman" w:hAnsi="Times New Roman" w:eastAsia="宋体" w:cs="Times New Roman"/>
                <w:color w:val="auto"/>
                <w:lang w:val="en-US" w:eastAsia="zh-CN"/>
              </w:rPr>
              <w:t>进入</w:t>
            </w:r>
            <w:r>
              <w:rPr>
                <w:rFonts w:hint="eastAsia" w:cs="Times New Roman"/>
                <w:color w:val="auto"/>
                <w:lang w:val="en-US" w:eastAsia="zh-CN"/>
              </w:rPr>
              <w:t>福清市融元污水处理厂</w:t>
            </w:r>
            <w:r>
              <w:rPr>
                <w:rFonts w:hint="default" w:ascii="Times New Roman" w:hAnsi="Times New Roman" w:eastAsia="宋体" w:cs="Times New Roman"/>
                <w:color w:val="auto"/>
                <w:lang w:val="en-US" w:eastAsia="zh-CN"/>
              </w:rPr>
              <w:t>深度处理</w:t>
            </w:r>
            <w:r>
              <w:rPr>
                <w:rFonts w:hint="eastAsia" w:cs="Times New Roman"/>
                <w:color w:val="auto"/>
                <w:lang w:val="en-US" w:eastAsia="zh-CN"/>
              </w:rPr>
              <w:t>，</w:t>
            </w:r>
            <w:r>
              <w:rPr>
                <w:rFonts w:hint="eastAsia"/>
                <w:color w:val="auto"/>
                <w:highlight w:val="none"/>
                <w:lang w:eastAsia="zh-CN" w:bidi="ar"/>
              </w:rPr>
              <w:t>污水处理厂</w:t>
            </w:r>
            <w:r>
              <w:rPr>
                <w:rFonts w:hint="eastAsia"/>
                <w:color w:val="auto"/>
                <w:highlight w:val="none"/>
                <w:lang w:val="en-US" w:eastAsia="zh-CN"/>
              </w:rPr>
              <w:t>尾水</w:t>
            </w:r>
            <w:r>
              <w:rPr>
                <w:rFonts w:hint="eastAsia"/>
                <w:color w:val="auto"/>
                <w:szCs w:val="28"/>
                <w:highlight w:val="none"/>
                <w:lang w:bidi="ar"/>
              </w:rPr>
              <w:t>执行</w:t>
            </w:r>
            <w:r>
              <w:rPr>
                <w:rFonts w:hint="eastAsia" w:cs="Times New Roman"/>
                <w:color w:val="auto"/>
                <w:lang w:val="en-US" w:eastAsia="zh-CN"/>
              </w:rPr>
              <w:t>《城镇污水处理厂污染物排放标准》（GB18918-2002）中的一级A标准</w:t>
            </w:r>
            <w:r>
              <w:rPr>
                <w:rFonts w:hint="default" w:ascii="Times New Roman" w:hAnsi="Times New Roman" w:eastAsia="宋体" w:cs="Times New Roman"/>
                <w:color w:val="auto"/>
                <w:lang w:val="en-US" w:eastAsia="zh-CN"/>
              </w:rPr>
              <w:t>。</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eastAsia="宋体" w:cs="Times New Roman"/>
                <w:color w:val="auto"/>
                <w:lang w:val="en-US" w:eastAsia="zh-CN"/>
              </w:rPr>
              <w:t>污水</w:t>
            </w:r>
            <w:r>
              <w:rPr>
                <w:rFonts w:hint="default" w:ascii="Times New Roman" w:hAnsi="Times New Roman" w:cs="Times New Roman"/>
                <w:color w:val="auto"/>
                <w:lang w:val="en-US" w:eastAsia="zh-CN"/>
              </w:rPr>
              <w:t>排放</w:t>
            </w:r>
            <w:r>
              <w:rPr>
                <w:rFonts w:hint="default" w:ascii="Times New Roman" w:hAnsi="Times New Roman" w:eastAsia="宋体" w:cs="Times New Roman"/>
                <w:color w:val="auto"/>
                <w:lang w:val="en-US" w:eastAsia="zh-CN"/>
              </w:rPr>
              <w:t>执行《污水综合排放标准》</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GB8978－1996</w:t>
            </w:r>
            <w:r>
              <w:rPr>
                <w:rFonts w:hint="default" w:ascii="Times New Roman" w:hAnsi="Times New Roman" w:cs="Times New Roman"/>
                <w:color w:val="auto"/>
                <w:szCs w:val="21"/>
                <w:highlight w:val="none"/>
                <w:lang w:eastAsia="zh-CN"/>
              </w:rPr>
              <w:t>）</w:t>
            </w:r>
            <w:r>
              <w:rPr>
                <w:rFonts w:hint="default" w:ascii="Times New Roman" w:hAnsi="Times New Roman" w:eastAsia="宋体" w:cs="Times New Roman"/>
                <w:color w:val="auto"/>
                <w:lang w:val="en-US" w:eastAsia="zh-CN"/>
              </w:rPr>
              <w:t>表4中的三级标准（氨氮参考执行《污水排入城镇下水道水质标准》</w:t>
            </w:r>
            <w:r>
              <w:rPr>
                <w:rFonts w:hint="eastAsia" w:cs="Times New Roman"/>
                <w:color w:val="auto"/>
                <w:lang w:val="en-US" w:eastAsia="zh-CN"/>
              </w:rPr>
              <w:t>（</w:t>
            </w:r>
            <w:r>
              <w:rPr>
                <w:rFonts w:hint="default" w:ascii="Times New Roman" w:hAnsi="Times New Roman" w:eastAsia="宋体" w:cs="Times New Roman"/>
                <w:color w:val="auto"/>
                <w:lang w:val="en-US" w:eastAsia="zh-CN"/>
              </w:rPr>
              <w:t>GB/T31962-2015</w:t>
            </w:r>
            <w:r>
              <w:rPr>
                <w:rFonts w:hint="eastAsia" w:cs="Times New Roman"/>
                <w:color w:val="auto"/>
                <w:lang w:val="en-US" w:eastAsia="zh-CN"/>
              </w:rPr>
              <w:t>）</w:t>
            </w:r>
            <w:r>
              <w:rPr>
                <w:rFonts w:hint="default" w:ascii="Times New Roman" w:hAnsi="Times New Roman" w:eastAsia="宋体" w:cs="Times New Roman"/>
                <w:color w:val="auto"/>
                <w:lang w:val="en-US" w:eastAsia="zh-CN"/>
              </w:rPr>
              <w:t>表1B级标准）</w:t>
            </w:r>
            <w:r>
              <w:rPr>
                <w:rFonts w:hint="default" w:ascii="Times New Roman" w:hAnsi="Times New Roman" w:cs="Times New Roman"/>
                <w:color w:val="auto"/>
                <w:lang w:val="en-US" w:eastAsia="zh-CN"/>
              </w:rPr>
              <w:t>，</w:t>
            </w:r>
            <w:r>
              <w:rPr>
                <w:rFonts w:hint="default" w:ascii="Times New Roman" w:hAnsi="Times New Roman" w:cs="Times New Roman"/>
                <w:color w:val="auto"/>
                <w:highlight w:val="none"/>
                <w:lang w:val="en-US" w:eastAsia="zh-CN"/>
              </w:rPr>
              <w:t>具体</w:t>
            </w:r>
            <w:r>
              <w:rPr>
                <w:rFonts w:hint="default" w:ascii="Times New Roman" w:hAnsi="Times New Roman" w:cs="Times New Roman"/>
                <w:color w:val="auto"/>
                <w:highlight w:val="none"/>
              </w:rPr>
              <w:t>详见</w:t>
            </w:r>
            <w:r>
              <w:rPr>
                <w:rFonts w:hint="default" w:ascii="Times New Roman" w:hAnsi="Times New Roman" w:cs="Times New Roman"/>
                <w:color w:val="auto"/>
                <w:highlight w:val="none"/>
                <w:lang w:val="en-US" w:eastAsia="zh-CN"/>
              </w:rPr>
              <w:t>下表</w:t>
            </w:r>
            <w:r>
              <w:rPr>
                <w:rFonts w:hint="default" w:ascii="Times New Roman" w:hAnsi="Times New Roman" w:cs="Times New Roman"/>
                <w:color w:val="auto"/>
                <w:highlight w:val="none"/>
              </w:rPr>
              <w:t>。</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ascii="Times New Roman" w:hAnsi="Times New Roman" w:cs="Times New Roman"/>
                <w:color w:val="auto"/>
                <w:highlight w:val="none"/>
              </w:rPr>
            </w:pPr>
            <w:bookmarkStart w:id="60" w:name="_Ref11605"/>
            <w:r>
              <w:rPr>
                <w:rFonts w:hint="default" w:ascii="Times New Roman" w:hAnsi="Times New Roman" w:cs="Times New Roman"/>
                <w:color w:val="auto"/>
                <w:highlight w:val="none"/>
              </w:rPr>
              <w:t>项目污水排放标准</w:t>
            </w:r>
            <w:bookmarkEnd w:id="60"/>
          </w:p>
          <w:tbl>
            <w:tblPr>
              <w:tblStyle w:val="32"/>
              <w:tblW w:w="8237" w:type="dxa"/>
              <w:jc w:val="center"/>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
            <w:tblGrid>
              <w:gridCol w:w="723"/>
              <w:gridCol w:w="1987"/>
              <w:gridCol w:w="1860"/>
              <w:gridCol w:w="3667"/>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trHeight w:val="340" w:hRule="atLeast"/>
                <w:tblHeader/>
                <w:jc w:val="center"/>
              </w:trPr>
              <w:tc>
                <w:tcPr>
                  <w:tcW w:w="723" w:type="dxa"/>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序号</w:t>
                  </w:r>
                </w:p>
              </w:tc>
              <w:tc>
                <w:tcPr>
                  <w:tcW w:w="1987" w:type="dxa"/>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w:t>
                  </w:r>
                </w:p>
              </w:tc>
              <w:tc>
                <w:tcPr>
                  <w:tcW w:w="1860" w:type="dxa"/>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排放标准</w:t>
                  </w:r>
                </w:p>
              </w:tc>
              <w:tc>
                <w:tcPr>
                  <w:tcW w:w="3667" w:type="dxa"/>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标准来源</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trHeight w:val="340" w:hRule="atLeast"/>
                <w:jc w:val="center"/>
              </w:trPr>
              <w:tc>
                <w:tcPr>
                  <w:tcW w:w="723" w:type="dxa"/>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1987" w:type="dxa"/>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pH</w:t>
                  </w:r>
                </w:p>
              </w:tc>
              <w:tc>
                <w:tcPr>
                  <w:tcW w:w="1860" w:type="dxa"/>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6-9</w:t>
                  </w:r>
                </w:p>
              </w:tc>
              <w:tc>
                <w:tcPr>
                  <w:tcW w:w="3667" w:type="dxa"/>
                  <w:vMerge w:val="restart"/>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《污水综合排放标准》</w:t>
                  </w:r>
                </w:p>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GB8978－1996</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表4三级</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trHeight w:val="340" w:hRule="atLeast"/>
                <w:jc w:val="center"/>
              </w:trPr>
              <w:tc>
                <w:tcPr>
                  <w:tcW w:w="723" w:type="dxa"/>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1987" w:type="dxa"/>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COD</w:t>
                  </w:r>
                  <w:r>
                    <w:rPr>
                      <w:rFonts w:hint="default" w:ascii="Times New Roman" w:hAnsi="Times New Roman" w:cs="Times New Roman"/>
                      <w:color w:val="auto"/>
                      <w:szCs w:val="21"/>
                      <w:highlight w:val="none"/>
                      <w:vertAlign w:val="subscript"/>
                    </w:rPr>
                    <w:t>Cr</w:t>
                  </w:r>
                </w:p>
              </w:tc>
              <w:tc>
                <w:tcPr>
                  <w:tcW w:w="1860" w:type="dxa"/>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500mg/L</w:t>
                  </w:r>
                </w:p>
              </w:tc>
              <w:tc>
                <w:tcPr>
                  <w:tcW w:w="3667" w:type="dxa"/>
                  <w:vMerge w:val="continue"/>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trHeight w:val="340" w:hRule="atLeast"/>
                <w:jc w:val="center"/>
              </w:trPr>
              <w:tc>
                <w:tcPr>
                  <w:tcW w:w="723" w:type="dxa"/>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w:t>
                  </w:r>
                </w:p>
              </w:tc>
              <w:tc>
                <w:tcPr>
                  <w:tcW w:w="1987" w:type="dxa"/>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BOD</w:t>
                  </w:r>
                  <w:r>
                    <w:rPr>
                      <w:rFonts w:hint="default" w:ascii="Times New Roman" w:hAnsi="Times New Roman" w:cs="Times New Roman"/>
                      <w:color w:val="auto"/>
                      <w:szCs w:val="21"/>
                      <w:highlight w:val="none"/>
                      <w:vertAlign w:val="subscript"/>
                    </w:rPr>
                    <w:t>5</w:t>
                  </w:r>
                </w:p>
              </w:tc>
              <w:tc>
                <w:tcPr>
                  <w:tcW w:w="1860" w:type="dxa"/>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300mg/L</w:t>
                  </w:r>
                </w:p>
              </w:tc>
              <w:tc>
                <w:tcPr>
                  <w:tcW w:w="3667" w:type="dxa"/>
                  <w:vMerge w:val="continue"/>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trHeight w:val="340" w:hRule="atLeast"/>
                <w:jc w:val="center"/>
              </w:trPr>
              <w:tc>
                <w:tcPr>
                  <w:tcW w:w="723" w:type="dxa"/>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1987" w:type="dxa"/>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SS</w:t>
                  </w:r>
                </w:p>
              </w:tc>
              <w:tc>
                <w:tcPr>
                  <w:tcW w:w="1860" w:type="dxa"/>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400mg/L</w:t>
                  </w:r>
                </w:p>
              </w:tc>
              <w:tc>
                <w:tcPr>
                  <w:tcW w:w="3667" w:type="dxa"/>
                  <w:vMerge w:val="continue"/>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trHeight w:val="619" w:hRule="atLeast"/>
                <w:jc w:val="center"/>
              </w:trPr>
              <w:tc>
                <w:tcPr>
                  <w:tcW w:w="723" w:type="dxa"/>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w:t>
                  </w:r>
                </w:p>
              </w:tc>
              <w:tc>
                <w:tcPr>
                  <w:tcW w:w="1987" w:type="dxa"/>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氨氮</w:t>
                  </w:r>
                </w:p>
              </w:tc>
              <w:tc>
                <w:tcPr>
                  <w:tcW w:w="1860" w:type="dxa"/>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45mg/L</w:t>
                  </w:r>
                </w:p>
              </w:tc>
              <w:tc>
                <w:tcPr>
                  <w:tcW w:w="3667" w:type="dxa"/>
                  <w:tcMar>
                    <w:top w:w="0" w:type="dxa"/>
                    <w:left w:w="108" w:type="dxa"/>
                    <w:bottom w:w="0" w:type="dxa"/>
                    <w:right w:w="108"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《污水排入城镇下水道水质标准》</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GB/T 31962-2015</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表1的B等级</w:t>
                  </w:r>
                </w:p>
              </w:tc>
            </w:tr>
          </w:tbl>
          <w:p>
            <w:pPr>
              <w:pStyle w:val="4"/>
              <w:suppressLineNumbers w:val="0"/>
              <w:bidi w:val="0"/>
              <w:spacing w:beforeAutospacing="0" w:afterAutospacing="0"/>
              <w:ind w:right="0"/>
              <w:rPr>
                <w:rFonts w:hint="default"/>
                <w:color w:val="auto"/>
              </w:rPr>
            </w:pPr>
            <w:r>
              <w:rPr>
                <w:rFonts w:hint="default"/>
                <w:color w:val="auto"/>
              </w:rPr>
              <w:t>噪声排放标准</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本项目位于</w:t>
            </w:r>
            <w:r>
              <w:rPr>
                <w:rFonts w:hint="eastAsia"/>
                <w:color w:val="auto"/>
                <w:lang w:val="en-US" w:eastAsia="zh-CN"/>
              </w:rPr>
              <w:t>福清市融侨经济技术开发洪宽工业村</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厂界噪声执行《工业企业厂界环境噪声排放标准》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GB12348-2008</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中的</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类标准。</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《工业企业厂界环境噪声排放标准》(GB12348-2008)</w:t>
            </w:r>
            <w:r>
              <w:rPr>
                <w:rFonts w:hint="eastAsia" w:cs="Times New Roman"/>
                <w:color w:val="auto"/>
                <w:highlight w:val="none"/>
                <w:lang w:eastAsia="zh-CN"/>
              </w:rPr>
              <w:t>（</w:t>
            </w:r>
            <w:r>
              <w:rPr>
                <w:rFonts w:hint="default" w:ascii="Times New Roman" w:hAnsi="Times New Roman" w:cs="Times New Roman"/>
                <w:color w:val="auto"/>
                <w:highlight w:val="none"/>
              </w:rPr>
              <w:t>摘录</w:t>
            </w:r>
            <w:r>
              <w:rPr>
                <w:rFonts w:hint="eastAsia" w:cs="Times New Roman"/>
                <w:color w:val="auto"/>
                <w:highlight w:val="none"/>
                <w:lang w:eastAsia="zh-CN"/>
              </w:rPr>
              <w:t>）</w:t>
            </w:r>
            <w:r>
              <w:rPr>
                <w:rFonts w:hint="default" w:ascii="Times New Roman" w:hAnsi="Times New Roman" w:cs="Times New Roman"/>
                <w:color w:val="auto"/>
                <w:highlight w:val="none"/>
              </w:rPr>
              <w:t xml:space="preserve"> </w:t>
            </w:r>
          </w:p>
          <w:tbl>
            <w:tblPr>
              <w:tblStyle w:val="32"/>
              <w:tblW w:w="8237"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46"/>
              <w:gridCol w:w="2747"/>
              <w:gridCol w:w="27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2746"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类 别</w:t>
                  </w:r>
                </w:p>
              </w:tc>
              <w:tc>
                <w:tcPr>
                  <w:tcW w:w="2747"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昼 间</w:t>
                  </w:r>
                </w:p>
              </w:tc>
              <w:tc>
                <w:tcPr>
                  <w:tcW w:w="2744"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夜 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10" w:hRule="atLeast"/>
                <w:jc w:val="center"/>
              </w:trPr>
              <w:tc>
                <w:tcPr>
                  <w:tcW w:w="2746"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3类</w:t>
                  </w:r>
                </w:p>
              </w:tc>
              <w:tc>
                <w:tcPr>
                  <w:tcW w:w="2747"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65</w:t>
                  </w:r>
                  <w:r>
                    <w:rPr>
                      <w:rFonts w:hint="default" w:ascii="Times New Roman" w:hAnsi="Times New Roman" w:cs="Times New Roman"/>
                      <w:color w:val="auto"/>
                      <w:highlight w:val="none"/>
                    </w:rPr>
                    <w:t>dB(A)</w:t>
                  </w:r>
                </w:p>
              </w:tc>
              <w:tc>
                <w:tcPr>
                  <w:tcW w:w="2744"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55</w:t>
                  </w:r>
                  <w:r>
                    <w:rPr>
                      <w:rFonts w:hint="default" w:ascii="Times New Roman" w:hAnsi="Times New Roman" w:cs="Times New Roman"/>
                      <w:color w:val="auto"/>
                      <w:highlight w:val="none"/>
                    </w:rPr>
                    <w:t>dB(A)</w:t>
                  </w:r>
                </w:p>
              </w:tc>
            </w:tr>
          </w:tbl>
          <w:p>
            <w:pPr>
              <w:pStyle w:val="4"/>
              <w:suppressLineNumbers w:val="0"/>
              <w:bidi w:val="0"/>
              <w:spacing w:beforeAutospacing="0" w:afterAutospacing="0"/>
              <w:ind w:right="0"/>
              <w:rPr>
                <w:rFonts w:hint="default"/>
                <w:color w:val="auto"/>
              </w:rPr>
            </w:pPr>
            <w:r>
              <w:rPr>
                <w:rFonts w:hint="default"/>
                <w:color w:val="auto"/>
              </w:rPr>
              <w:t>固体废物执行标准</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本项目一般工业固体废物执行《一般工业固体废物贮存和填埋污染控制标准》（GB18599-2020）；危险废物执行《危险废物贮存污染控制标准》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GB18597-20</w:t>
            </w:r>
            <w:r>
              <w:rPr>
                <w:rFonts w:hint="eastAsia" w:cs="Times New Roman"/>
                <w:color w:val="auto"/>
                <w:highlight w:val="none"/>
                <w:lang w:val="en-US" w:eastAsia="zh-CN"/>
              </w:rPr>
              <w:t>2</w:t>
            </w:r>
            <w:r>
              <w:rPr>
                <w:rFonts w:hint="eastAsia"/>
                <w:color w:val="auto"/>
                <w:lang w:val="en-US" w:eastAsia="zh-CN"/>
              </w:rPr>
              <w:t>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910" w:hRule="atLeast"/>
          <w:jc w:val="center"/>
        </w:trPr>
        <w:tc>
          <w:tcPr>
            <w:tcW w:w="605" w:type="dxa"/>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总量控制指标</w:t>
            </w:r>
          </w:p>
        </w:tc>
        <w:tc>
          <w:tcPr>
            <w:tcW w:w="8456" w:type="dxa"/>
            <w:vAlign w:val="center"/>
          </w:tcPr>
          <w:p>
            <w:pPr>
              <w:pStyle w:val="3"/>
              <w:suppressLineNumbers w:val="0"/>
              <w:bidi w:val="0"/>
              <w:spacing w:beforeAutospacing="0" w:afterAutospacing="0"/>
              <w:ind w:right="0"/>
              <w:rPr>
                <w:rFonts w:hint="default" w:ascii="Times New Roman" w:hAnsi="Times New Roman" w:cs="Times New Roman"/>
                <w:color w:val="auto"/>
                <w:highlight w:val="none"/>
              </w:rPr>
            </w:pPr>
            <w:bookmarkStart w:id="61" w:name="_Toc22536"/>
            <w:bookmarkStart w:id="62" w:name="_Toc24101"/>
            <w:bookmarkStart w:id="63" w:name="_Toc551"/>
            <w:bookmarkStart w:id="64" w:name="_Toc18142"/>
            <w:bookmarkStart w:id="65" w:name="_Toc28727"/>
            <w:r>
              <w:rPr>
                <w:rFonts w:hint="default"/>
                <w:color w:val="auto"/>
              </w:rPr>
              <w:t>总量控制因子</w:t>
            </w:r>
            <w:bookmarkEnd w:id="61"/>
            <w:bookmarkEnd w:id="62"/>
            <w:bookmarkEnd w:id="63"/>
            <w:bookmarkEnd w:id="64"/>
            <w:bookmarkEnd w:id="65"/>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szCs w:val="24"/>
                <w:highlight w:val="none"/>
                <w:lang w:bidi="ar"/>
              </w:rPr>
            </w:pPr>
            <w:r>
              <w:rPr>
                <w:rFonts w:hint="default" w:ascii="Times New Roman" w:hAnsi="Times New Roman" w:cs="Times New Roman"/>
                <w:color w:val="auto"/>
                <w:highlight w:val="none"/>
                <w:lang w:val="en-US" w:eastAsia="zh-CN"/>
              </w:rPr>
              <w:t>根据《福建</w:t>
            </w:r>
            <w:r>
              <w:rPr>
                <w:rFonts w:hint="eastAsia" w:ascii="宋体" w:hAnsi="宋体" w:eastAsia="宋体" w:cs="宋体"/>
                <w:color w:val="auto"/>
                <w:highlight w:val="none"/>
                <w:lang w:val="en-US" w:eastAsia="zh-CN"/>
              </w:rPr>
              <w:t>省“十四五”生态</w:t>
            </w:r>
            <w:r>
              <w:rPr>
                <w:rFonts w:hint="default" w:ascii="Times New Roman" w:hAnsi="Times New Roman" w:cs="Times New Roman"/>
                <w:color w:val="auto"/>
                <w:highlight w:val="none"/>
                <w:lang w:val="en-US" w:eastAsia="zh-CN"/>
              </w:rPr>
              <w:t>环境保护规划》（闽政办〔2021〕59号）、《福建省人民政府关于印发福建省</w:t>
            </w:r>
            <w:r>
              <w:rPr>
                <w:rFonts w:hint="eastAsia" w:ascii="宋体" w:hAnsi="宋体" w:eastAsia="宋体" w:cs="宋体"/>
                <w:color w:val="auto"/>
                <w:highlight w:val="none"/>
                <w:lang w:val="en-US" w:eastAsia="zh-CN"/>
              </w:rPr>
              <w:t>“十四五”节</w:t>
            </w:r>
            <w:r>
              <w:rPr>
                <w:rFonts w:hint="default" w:ascii="Times New Roman" w:hAnsi="Times New Roman" w:cs="Times New Roman"/>
                <w:color w:val="auto"/>
                <w:highlight w:val="none"/>
                <w:lang w:val="en-US" w:eastAsia="zh-CN"/>
              </w:rPr>
              <w:t>能减排综合性工作方案的通知》（闽政〔2022〕17号），</w:t>
            </w:r>
            <w:r>
              <w:rPr>
                <w:rFonts w:hint="default" w:ascii="Times New Roman" w:hAnsi="Times New Roman" w:cs="Times New Roman"/>
                <w:color w:val="auto"/>
                <w:highlight w:val="none"/>
              </w:rPr>
              <w:t>有关主要污染物排放总量控制计划的要求，</w:t>
            </w:r>
            <w:r>
              <w:rPr>
                <w:rFonts w:hint="default" w:ascii="Times New Roman" w:hAnsi="Times New Roman" w:cs="Times New Roman"/>
                <w:color w:val="auto"/>
                <w:szCs w:val="24"/>
                <w:highlight w:val="none"/>
                <w:lang w:bidi="ar"/>
              </w:rPr>
              <w:t>结合本项目排污特征，确定本项目总量控制因子为</w:t>
            </w:r>
            <w:r>
              <w:rPr>
                <w:rFonts w:hint="default" w:ascii="Times New Roman" w:hAnsi="Times New Roman" w:cs="Times New Roman"/>
                <w:color w:val="auto"/>
                <w:szCs w:val="24"/>
                <w:highlight w:val="none"/>
                <w:lang w:val="en-US" w:eastAsia="zh-CN" w:bidi="ar"/>
              </w:rPr>
              <w:t>COD、氨氮、</w:t>
            </w:r>
            <w:r>
              <w:rPr>
                <w:rFonts w:hint="default" w:ascii="Times New Roman" w:hAnsi="Times New Roman" w:cs="Times New Roman"/>
                <w:color w:val="auto"/>
                <w:szCs w:val="24"/>
                <w:highlight w:val="none"/>
                <w:lang w:bidi="ar"/>
              </w:rPr>
              <w:t>挥发性有机物（以非甲烷总烃计）。</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szCs w:val="24"/>
                <w:highlight w:val="none"/>
                <w:lang w:bidi="ar"/>
              </w:rPr>
            </w:pPr>
            <w:r>
              <w:rPr>
                <w:rFonts w:hint="default" w:ascii="Times New Roman" w:hAnsi="Times New Roman" w:cs="Times New Roman"/>
                <w:color w:val="auto"/>
                <w:szCs w:val="24"/>
                <w:highlight w:val="none"/>
                <w:lang w:bidi="ar"/>
              </w:rPr>
              <w:t>（1）水污染物排放总量控制</w:t>
            </w:r>
          </w:p>
          <w:p>
            <w:pPr>
              <w:keepNext w:val="0"/>
              <w:keepLines w:val="0"/>
              <w:suppressLineNumbers w:val="0"/>
              <w:spacing w:before="0" w:beforeAutospacing="0" w:after="0" w:afterAutospacing="0" w:line="360" w:lineRule="auto"/>
              <w:ind w:left="0" w:right="0" w:firstLine="480" w:firstLineChars="200"/>
              <w:rPr>
                <w:rFonts w:hint="eastAsia" w:cs="Times New Roman"/>
                <w:color w:val="auto"/>
                <w:sz w:val="24"/>
                <w:szCs w:val="20"/>
                <w:highlight w:val="none"/>
                <w:lang w:val="en-US" w:eastAsia="zh-CN"/>
              </w:rPr>
            </w:pPr>
            <w:r>
              <w:rPr>
                <w:rFonts w:hint="default" w:ascii="Times New Roman" w:hAnsi="Times New Roman" w:cs="Times New Roman"/>
                <w:color w:val="auto"/>
                <w:sz w:val="24"/>
                <w:szCs w:val="20"/>
                <w:highlight w:val="none"/>
              </w:rPr>
              <w:t>根据工程分析可知，本项目</w:t>
            </w:r>
            <w:r>
              <w:rPr>
                <w:rFonts w:hint="default" w:ascii="Times New Roman" w:hAnsi="Times New Roman" w:cs="Times New Roman"/>
                <w:color w:val="auto"/>
                <w:sz w:val="24"/>
                <w:szCs w:val="20"/>
                <w:highlight w:val="none"/>
                <w:lang w:val="en-US" w:eastAsia="zh-CN"/>
              </w:rPr>
              <w:t>排放的水污染物主要来自实验废水、清洗废水</w:t>
            </w:r>
            <w:r>
              <w:rPr>
                <w:rFonts w:hint="eastAsia" w:cs="Times New Roman"/>
                <w:color w:val="auto"/>
                <w:sz w:val="24"/>
                <w:szCs w:val="20"/>
                <w:highlight w:val="none"/>
                <w:lang w:val="en-US" w:eastAsia="zh-CN"/>
              </w:rPr>
              <w:t>、纯水机浓水</w:t>
            </w:r>
            <w:r>
              <w:rPr>
                <w:rFonts w:hint="default" w:ascii="Times New Roman" w:hAnsi="Times New Roman" w:cs="Times New Roman"/>
                <w:color w:val="auto"/>
                <w:sz w:val="24"/>
                <w:szCs w:val="20"/>
                <w:highlight w:val="none"/>
                <w:lang w:val="en-US" w:eastAsia="zh-CN"/>
              </w:rPr>
              <w:t>和生活污水</w:t>
            </w:r>
            <w:r>
              <w:rPr>
                <w:rFonts w:hint="default" w:ascii="Times New Roman" w:hAnsi="Times New Roman" w:cs="Times New Roman"/>
                <w:color w:val="auto"/>
                <w:sz w:val="24"/>
                <w:szCs w:val="20"/>
                <w:highlight w:val="none"/>
              </w:rPr>
              <w:t>，</w:t>
            </w:r>
            <w:r>
              <w:rPr>
                <w:rFonts w:hint="default" w:ascii="Times New Roman" w:hAnsi="Times New Roman" w:cs="Times New Roman"/>
                <w:color w:val="auto"/>
                <w:sz w:val="24"/>
                <w:szCs w:val="20"/>
                <w:highlight w:val="none"/>
                <w:lang w:val="en-US" w:eastAsia="zh-CN"/>
              </w:rPr>
              <w:t>实验废水</w:t>
            </w:r>
            <w:r>
              <w:rPr>
                <w:rFonts w:hint="eastAsia" w:cs="Times New Roman"/>
                <w:color w:val="auto"/>
                <w:sz w:val="24"/>
                <w:szCs w:val="20"/>
                <w:highlight w:val="none"/>
                <w:lang w:val="en-US" w:eastAsia="zh-CN"/>
              </w:rPr>
              <w:t>、清洗废水</w:t>
            </w:r>
            <w:r>
              <w:rPr>
                <w:rFonts w:hint="default" w:ascii="Times New Roman" w:hAnsi="Times New Roman" w:cs="Times New Roman"/>
                <w:color w:val="auto"/>
                <w:sz w:val="24"/>
                <w:szCs w:val="20"/>
                <w:highlight w:val="none"/>
                <w:lang w:val="en-US" w:eastAsia="zh-CN"/>
              </w:rPr>
              <w:t>经</w:t>
            </w:r>
            <w:r>
              <w:rPr>
                <w:rFonts w:hint="eastAsia" w:ascii="Times New Roman" w:hAnsi="Times New Roman" w:cs="Times New Roman"/>
                <w:color w:val="auto"/>
                <w:sz w:val="24"/>
                <w:szCs w:val="20"/>
                <w:highlight w:val="none"/>
                <w:lang w:val="en-US" w:eastAsia="zh-CN"/>
              </w:rPr>
              <w:t>废水处理设施处理</w:t>
            </w:r>
            <w:r>
              <w:rPr>
                <w:rFonts w:hint="default" w:ascii="Times New Roman" w:hAnsi="Times New Roman" w:cs="Times New Roman"/>
                <w:color w:val="auto"/>
                <w:sz w:val="24"/>
                <w:szCs w:val="20"/>
                <w:highlight w:val="none"/>
                <w:lang w:val="en-US" w:eastAsia="zh-CN"/>
              </w:rPr>
              <w:t>后</w:t>
            </w:r>
            <w:r>
              <w:rPr>
                <w:rFonts w:hint="eastAsia" w:cs="Times New Roman"/>
                <w:color w:val="auto"/>
                <w:sz w:val="24"/>
                <w:szCs w:val="20"/>
                <w:highlight w:val="none"/>
                <w:lang w:val="en-US" w:eastAsia="zh-CN"/>
              </w:rPr>
              <w:t>，</w:t>
            </w:r>
            <w:r>
              <w:rPr>
                <w:rFonts w:hint="default" w:ascii="Times New Roman" w:hAnsi="Times New Roman" w:cs="Times New Roman"/>
                <w:color w:val="auto"/>
                <w:sz w:val="24"/>
                <w:szCs w:val="20"/>
                <w:highlight w:val="none"/>
                <w:lang w:val="en-US" w:eastAsia="zh-CN"/>
              </w:rPr>
              <w:t>与</w:t>
            </w:r>
            <w:r>
              <w:rPr>
                <w:rFonts w:hint="default" w:ascii="Times New Roman" w:hAnsi="Times New Roman" w:cs="Times New Roman"/>
                <w:color w:val="auto"/>
                <w:sz w:val="24"/>
                <w:szCs w:val="20"/>
                <w:highlight w:val="none"/>
              </w:rPr>
              <w:t>生活污水进入市政污水管网，纳入</w:t>
            </w:r>
            <w:r>
              <w:rPr>
                <w:rFonts w:hint="eastAsia" w:cs="Times New Roman"/>
                <w:color w:val="auto"/>
                <w:sz w:val="24"/>
                <w:szCs w:val="20"/>
                <w:highlight w:val="none"/>
                <w:lang w:val="en-US" w:eastAsia="zh-CN"/>
              </w:rPr>
              <w:t>福清市融元污水处理厂</w:t>
            </w:r>
            <w:r>
              <w:rPr>
                <w:rFonts w:hint="default" w:ascii="Times New Roman" w:hAnsi="Times New Roman" w:cs="Times New Roman"/>
                <w:color w:val="auto"/>
                <w:sz w:val="24"/>
                <w:szCs w:val="20"/>
                <w:highlight w:val="none"/>
              </w:rPr>
              <w:t>集中处理。</w:t>
            </w:r>
            <w:r>
              <w:rPr>
                <w:rFonts w:hint="eastAsia" w:cs="Times New Roman"/>
                <w:color w:val="auto"/>
                <w:sz w:val="24"/>
                <w:szCs w:val="20"/>
                <w:highlight w:val="none"/>
                <w:lang w:val="en-US" w:eastAsia="zh-CN"/>
              </w:rPr>
              <w:t>本项目污水排放量为668.5t/a，按照福清市融元污水处理厂出水水质进行核算（COD 50mg/L，氨氮 5mg/L），水污染物排放总量为：COD 0.334t/a、氨氮0.033t/a。</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szCs w:val="20"/>
                <w:highlight w:val="none"/>
              </w:rPr>
            </w:pPr>
            <w:r>
              <w:rPr>
                <w:rFonts w:hint="default" w:ascii="Times New Roman" w:hAnsi="Times New Roman" w:cs="Times New Roman"/>
                <w:color w:val="auto"/>
                <w:sz w:val="24"/>
                <w:szCs w:val="20"/>
                <w:highlight w:val="none"/>
              </w:rPr>
              <w:t>根据《福建省环保厅关于进一步加快推进排污权有偿使用和交易工作的意见》（闽环发〔2015〕6号）中的相关规定，</w:t>
            </w:r>
            <w:r>
              <w:rPr>
                <w:rFonts w:hint="default" w:ascii="Times New Roman" w:hAnsi="Times New Roman" w:cs="Times New Roman"/>
                <w:color w:val="auto"/>
                <w:sz w:val="24"/>
                <w:szCs w:val="20"/>
                <w:highlight w:val="none"/>
                <w:lang w:val="en-US" w:eastAsia="zh-CN"/>
              </w:rPr>
              <w:t>本项目</w:t>
            </w:r>
            <w:r>
              <w:rPr>
                <w:rFonts w:hint="eastAsia" w:cs="Times New Roman"/>
                <w:color w:val="auto"/>
                <w:sz w:val="24"/>
                <w:szCs w:val="20"/>
                <w:highlight w:val="none"/>
                <w:lang w:val="en-US" w:eastAsia="zh-CN"/>
              </w:rPr>
              <w:t>属于</w:t>
            </w:r>
            <w:r>
              <w:rPr>
                <w:rFonts w:hint="default" w:ascii="Times New Roman" w:hAnsi="Times New Roman" w:cs="Times New Roman"/>
                <w:color w:val="auto"/>
                <w:sz w:val="24"/>
                <w:szCs w:val="20"/>
                <w:highlight w:val="none"/>
                <w:lang w:val="en-US" w:eastAsia="zh-CN"/>
              </w:rPr>
              <w:t>检测服务行业，不在纳入建设项目主要污染物排放总量指标管理范围的项目之列，其新增的化学需氧量、氨氮主要污染物排放总量指标的来源无需通过排污权交易、政府储备排污权出让等方式有偿取得，但应保证上述污染物的达标排放。</w:t>
            </w:r>
          </w:p>
          <w:p>
            <w:pPr>
              <w:pStyle w:val="36"/>
              <w:keepNext w:val="0"/>
              <w:keepLines w:val="0"/>
              <w:numPr>
                <w:ilvl w:val="0"/>
                <w:numId w:val="6"/>
              </w:numPr>
              <w:suppressLineNumbers w:val="0"/>
              <w:spacing w:before="0" w:beforeAutospacing="0" w:after="0" w:afterAutospacing="0"/>
              <w:ind w:left="0" w:right="0" w:firstLine="480"/>
              <w:rPr>
                <w:rFonts w:hint="default" w:ascii="Times New Roman" w:hAnsi="Times New Roman" w:cs="Times New Roman"/>
                <w:color w:val="auto"/>
                <w:szCs w:val="24"/>
                <w:highlight w:val="none"/>
                <w:lang w:bidi="ar"/>
              </w:rPr>
            </w:pPr>
            <w:r>
              <w:rPr>
                <w:rFonts w:hint="default" w:ascii="Times New Roman" w:hAnsi="Times New Roman" w:cs="Times New Roman"/>
                <w:color w:val="auto"/>
                <w:szCs w:val="24"/>
                <w:highlight w:val="none"/>
                <w:lang w:bidi="ar"/>
              </w:rPr>
              <w:t>大气污染物总量控制</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kern w:val="2"/>
                <w:szCs w:val="21"/>
                <w:highlight w:val="none"/>
                <w:lang w:val="en-US" w:eastAsia="zh-CN" w:bidi="ar"/>
              </w:rPr>
            </w:pPr>
            <w:r>
              <w:rPr>
                <w:rFonts w:hint="default" w:ascii="Times New Roman" w:hAnsi="Times New Roman" w:cs="Times New Roman"/>
                <w:color w:val="auto"/>
                <w:highlight w:val="none"/>
              </w:rPr>
              <w:t>本项目不涉及SO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排放</w:t>
            </w:r>
            <w:r>
              <w:rPr>
                <w:rFonts w:hint="eastAsia" w:cs="Times New Roman"/>
                <w:color w:val="auto"/>
                <w:highlight w:val="none"/>
                <w:vertAlign w:val="baseline"/>
                <w:lang w:val="en-US" w:eastAsia="zh-CN"/>
              </w:rPr>
              <w:t>，</w:t>
            </w:r>
            <w:r>
              <w:rPr>
                <w:rFonts w:hint="eastAsia" w:cs="Times New Roman"/>
                <w:color w:val="auto"/>
                <w:highlight w:val="none"/>
                <w:lang w:val="en-US" w:eastAsia="zh-CN"/>
              </w:rPr>
              <w:t>NO</w:t>
            </w:r>
            <w:r>
              <w:rPr>
                <w:rFonts w:hint="eastAsia" w:cs="Times New Roman"/>
                <w:color w:val="auto"/>
                <w:highlight w:val="none"/>
                <w:vertAlign w:val="subscript"/>
                <w:lang w:val="en-US" w:eastAsia="zh-CN"/>
              </w:rPr>
              <w:t>x</w:t>
            </w:r>
            <w:r>
              <w:rPr>
                <w:rFonts w:hint="eastAsia" w:cs="Times New Roman"/>
                <w:color w:val="auto"/>
                <w:highlight w:val="none"/>
                <w:vertAlign w:val="baseline"/>
                <w:lang w:val="en-US" w:eastAsia="zh-CN"/>
              </w:rPr>
              <w:t>排放量少，</w:t>
            </w:r>
            <w:r>
              <w:rPr>
                <w:rFonts w:hint="eastAsia" w:cs="Times New Roman"/>
                <w:color w:val="auto"/>
                <w:highlight w:val="none"/>
                <w:lang w:val="en-US" w:eastAsia="zh-CN"/>
              </w:rPr>
              <w:t>不做定量分析</w:t>
            </w:r>
            <w:r>
              <w:rPr>
                <w:rFonts w:hint="eastAsia" w:cs="Times New Roman"/>
                <w:color w:val="auto"/>
                <w:highlight w:val="none"/>
                <w:lang w:eastAsia="zh-CN"/>
              </w:rPr>
              <w:t>。</w:t>
            </w:r>
            <w:r>
              <w:rPr>
                <w:rFonts w:hint="default" w:ascii="Times New Roman" w:hAnsi="Times New Roman" w:cs="Times New Roman"/>
                <w:color w:val="auto"/>
                <w:highlight w:val="none"/>
              </w:rPr>
              <w:t>主要</w:t>
            </w:r>
            <w:r>
              <w:rPr>
                <w:rFonts w:hint="default" w:ascii="Times New Roman" w:hAnsi="Times New Roman" w:cs="Times New Roman"/>
                <w:color w:val="auto"/>
                <w:highlight w:val="none"/>
                <w:lang w:val="en-US" w:eastAsia="zh-CN"/>
              </w:rPr>
              <w:t>大气污染物</w:t>
            </w:r>
            <w:r>
              <w:rPr>
                <w:rFonts w:hint="default" w:ascii="Times New Roman" w:hAnsi="Times New Roman" w:cs="Times New Roman"/>
                <w:color w:val="auto"/>
                <w:highlight w:val="none"/>
              </w:rPr>
              <w:t>是</w:t>
            </w:r>
            <w:r>
              <w:rPr>
                <w:rFonts w:hint="default" w:ascii="Times New Roman" w:hAnsi="Times New Roman" w:cs="Times New Roman"/>
                <w:color w:val="auto"/>
                <w:kern w:val="2"/>
                <w:szCs w:val="21"/>
                <w:highlight w:val="none"/>
                <w:lang w:bidi="ar"/>
              </w:rPr>
              <w:t>挥发性有机物（以</w:t>
            </w:r>
            <w:r>
              <w:rPr>
                <w:rFonts w:hint="default" w:ascii="Times New Roman" w:hAnsi="Times New Roman" w:cs="Times New Roman"/>
                <w:color w:val="auto"/>
                <w:highlight w:val="none"/>
              </w:rPr>
              <w:t>非甲烷总</w:t>
            </w:r>
            <w:r>
              <w:rPr>
                <w:rFonts w:hint="default" w:ascii="Times New Roman" w:hAnsi="Times New Roman" w:eastAsia="宋体" w:cs="Times New Roman"/>
                <w:color w:val="auto"/>
                <w:kern w:val="2"/>
                <w:szCs w:val="21"/>
                <w:highlight w:val="none"/>
                <w:lang w:bidi="ar"/>
              </w:rPr>
              <w:t>烃计），排放量为</w:t>
            </w:r>
            <w:r>
              <w:rPr>
                <w:rFonts w:hint="eastAsia" w:cs="Times New Roman"/>
                <w:color w:val="auto"/>
                <w:kern w:val="2"/>
                <w:szCs w:val="21"/>
                <w:highlight w:val="none"/>
                <w:lang w:val="en-US" w:eastAsia="zh-CN" w:bidi="ar"/>
              </w:rPr>
              <w:t>0.0159</w:t>
            </w:r>
            <w:r>
              <w:rPr>
                <w:rFonts w:hint="default" w:ascii="Times New Roman" w:hAnsi="Times New Roman" w:eastAsia="宋体" w:cs="Times New Roman"/>
                <w:color w:val="auto"/>
                <w:kern w:val="2"/>
                <w:szCs w:val="21"/>
                <w:highlight w:val="none"/>
                <w:lang w:bidi="ar"/>
              </w:rPr>
              <w:t>t/a</w:t>
            </w:r>
            <w:r>
              <w:rPr>
                <w:rFonts w:hint="default" w:ascii="Times New Roman" w:hAnsi="Times New Roman" w:eastAsia="宋体" w:cs="Times New Roman"/>
                <w:color w:val="auto"/>
                <w:kern w:val="2"/>
                <w:szCs w:val="21"/>
                <w:highlight w:val="none"/>
                <w:lang w:val="en-US" w:eastAsia="zh-CN" w:bidi="ar"/>
              </w:rPr>
              <w:t>，由建设单位向生态环境主管部门申请区域削减替代。</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kern w:val="2"/>
                <w:szCs w:val="21"/>
                <w:highlight w:val="none"/>
                <w:lang w:val="en-US" w:eastAsia="zh-CN" w:bidi="ar"/>
              </w:rPr>
            </w:pP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kern w:val="2"/>
                <w:szCs w:val="21"/>
                <w:highlight w:val="none"/>
                <w:lang w:val="en-US" w:eastAsia="zh-CN" w:bidi="ar"/>
              </w:rPr>
            </w:pP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kern w:val="2"/>
                <w:szCs w:val="21"/>
                <w:highlight w:val="none"/>
                <w:lang w:val="en-US" w:eastAsia="zh-CN" w:bidi="ar"/>
              </w:rPr>
            </w:pP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kern w:val="2"/>
                <w:szCs w:val="21"/>
                <w:highlight w:val="none"/>
                <w:lang w:val="en-US" w:eastAsia="zh-CN" w:bidi="ar"/>
              </w:rPr>
            </w:pP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kern w:val="2"/>
                <w:szCs w:val="21"/>
                <w:highlight w:val="none"/>
                <w:lang w:val="en-US" w:eastAsia="zh-CN" w:bidi="ar"/>
              </w:rPr>
            </w:pPr>
          </w:p>
          <w:p>
            <w:pPr>
              <w:pStyle w:val="36"/>
              <w:keepNext w:val="0"/>
              <w:keepLines w:val="0"/>
              <w:suppressLineNumbers w:val="0"/>
              <w:spacing w:before="0" w:beforeAutospacing="0" w:after="0" w:afterAutospacing="0"/>
              <w:ind w:left="0" w:leftChars="0" w:right="0" w:firstLine="0" w:firstLineChars="0"/>
              <w:rPr>
                <w:rFonts w:hint="default" w:ascii="Times New Roman" w:hAnsi="Times New Roman" w:cs="Times New Roman"/>
                <w:color w:val="auto"/>
                <w:kern w:val="2"/>
                <w:szCs w:val="21"/>
                <w:highlight w:val="none"/>
                <w:lang w:val="en-US" w:eastAsia="zh-CN" w:bidi="ar"/>
              </w:rPr>
            </w:pPr>
          </w:p>
        </w:tc>
      </w:tr>
    </w:tbl>
    <w:p>
      <w:pPr>
        <w:keepNext/>
        <w:keepLines w:val="0"/>
        <w:pageBreakBefore w:val="0"/>
        <w:widowControl w:val="0"/>
        <w:numPr>
          <w:ilvl w:val="0"/>
          <w:numId w:val="0"/>
        </w:numPr>
        <w:tabs>
          <w:tab w:val="left" w:pos="420"/>
        </w:tabs>
        <w:kinsoku/>
        <w:wordWrap/>
        <w:overflowPunct w:val="0"/>
        <w:topLinePunct w:val="0"/>
        <w:autoSpaceDE/>
        <w:autoSpaceDN/>
        <w:bidi w:val="0"/>
        <w:adjustRightInd/>
        <w:snapToGrid w:val="0"/>
        <w:ind w:leftChars="0"/>
        <w:jc w:val="center"/>
        <w:textAlignment w:val="auto"/>
        <w:outlineLvl w:val="9"/>
        <w:rPr>
          <w:rFonts w:hint="default" w:ascii="Times New Roman" w:hAnsi="Times New Roman" w:cs="Times New Roman"/>
          <w:snapToGrid w:val="0"/>
          <w:color w:val="auto"/>
          <w:sz w:val="36"/>
          <w:szCs w:val="36"/>
          <w:highlight w:val="none"/>
        </w:rPr>
      </w:pPr>
      <w:r>
        <w:rPr>
          <w:rFonts w:hint="default" w:ascii="Times New Roman" w:hAnsi="Times New Roman" w:cs="Times New Roman"/>
          <w:snapToGrid w:val="0"/>
          <w:color w:val="auto"/>
          <w:sz w:val="36"/>
          <w:szCs w:val="36"/>
          <w:highlight w:val="none"/>
        </w:rPr>
        <w:br w:type="page"/>
      </w:r>
      <w:bookmarkStart w:id="66" w:name="_Toc24717"/>
    </w:p>
    <w:p>
      <w:pPr>
        <w:pStyle w:val="2"/>
        <w:bidi w:val="0"/>
        <w:spacing w:before="0" w:after="0" w:line="360" w:lineRule="auto"/>
        <w:ind w:left="432" w:leftChars="0" w:hanging="432" w:firstLineChars="0"/>
        <w:rPr>
          <w:rFonts w:hint="default" w:eastAsia="宋体"/>
          <w:b/>
          <w:color w:val="auto"/>
        </w:rPr>
      </w:pPr>
      <w:bookmarkStart w:id="67" w:name="_Toc13390"/>
      <w:r>
        <w:rPr>
          <w:rStyle w:val="50"/>
          <w:rFonts w:hint="default"/>
          <w:b/>
          <w:bCs/>
          <w:color w:val="auto"/>
          <w:lang w:val="en-US" w:eastAsia="zh-CN"/>
        </w:rPr>
        <w:t>主要环境影响和保护措施</w:t>
      </w:r>
      <w:bookmarkEnd w:id="67"/>
    </w:p>
    <w:bookmarkEnd w:id="66"/>
    <w:tbl>
      <w:tblPr>
        <w:tblStyle w:val="32"/>
        <w:tblW w:w="8981"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64"/>
        <w:gridCol w:w="831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457" w:hRule="atLeast"/>
          <w:jc w:val="center"/>
        </w:trPr>
        <w:tc>
          <w:tcPr>
            <w:tcW w:w="664" w:type="dxa"/>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kern w:val="2"/>
                <w:sz w:val="21"/>
                <w:szCs w:val="21"/>
                <w:highlight w:val="none"/>
              </w:rPr>
            </w:pPr>
            <w:r>
              <w:rPr>
                <w:rFonts w:hint="default" w:ascii="Times New Roman" w:hAnsi="Times New Roman" w:cs="Times New Roman"/>
                <w:color w:val="auto"/>
                <w:kern w:val="2"/>
                <w:sz w:val="24"/>
                <w:szCs w:val="24"/>
                <w:highlight w:val="none"/>
              </w:rPr>
              <w:t>施工期环境保护措施</w:t>
            </w:r>
          </w:p>
        </w:tc>
        <w:tc>
          <w:tcPr>
            <w:tcW w:w="8317" w:type="dxa"/>
            <w:vAlign w:val="center"/>
          </w:tcPr>
          <w:p>
            <w:pPr>
              <w:pStyle w:val="3"/>
              <w:suppressLineNumbers w:val="0"/>
              <w:bidi w:val="0"/>
              <w:spacing w:beforeAutospacing="0" w:afterAutospacing="0"/>
              <w:ind w:right="0"/>
              <w:rPr>
                <w:rFonts w:hint="default" w:ascii="Times New Roman" w:hAnsi="Times New Roman" w:eastAsia="宋体" w:cs="Times New Roman"/>
                <w:color w:val="auto"/>
                <w:highlight w:val="none"/>
                <w:lang w:val="en-US" w:eastAsia="zh-CN"/>
              </w:rPr>
            </w:pPr>
            <w:bookmarkStart w:id="68" w:name="_Toc11092"/>
            <w:bookmarkStart w:id="69" w:name="_Toc20233"/>
            <w:r>
              <w:rPr>
                <w:rFonts w:hint="eastAsia" w:cs="Times New Roman"/>
                <w:color w:val="auto"/>
                <w:highlight w:val="none"/>
                <w:lang w:val="en-US" w:eastAsia="zh-CN"/>
              </w:rPr>
              <w:t>施工期环境保护措施</w:t>
            </w:r>
            <w:bookmarkEnd w:id="68"/>
          </w:p>
          <w:p>
            <w:pPr>
              <w:pStyle w:val="4"/>
              <w:suppressLineNumbers w:val="0"/>
              <w:bidi w:val="0"/>
              <w:spacing w:beforeAutospacing="0" w:afterAutospacing="0"/>
              <w:ind w:right="0"/>
              <w:rPr>
                <w:rFonts w:hint="default"/>
                <w:color w:val="auto"/>
                <w:lang w:val="en-US" w:eastAsia="zh-CN"/>
              </w:rPr>
            </w:pPr>
            <w:r>
              <w:rPr>
                <w:rFonts w:hint="default"/>
                <w:color w:val="auto"/>
                <w:lang w:val="en-US" w:eastAsia="zh-CN"/>
              </w:rPr>
              <w:t>施工期污染源强</w:t>
            </w:r>
            <w:bookmarkEnd w:id="69"/>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0"/>
                <w:highlight w:val="none"/>
                <w:lang w:val="en-US" w:eastAsia="zh-CN" w:bidi="ar-SA"/>
              </w:rPr>
            </w:pPr>
            <w:bookmarkStart w:id="70" w:name="_Toc12491"/>
            <w:bookmarkStart w:id="71" w:name="_Toc2516"/>
            <w:r>
              <w:rPr>
                <w:rFonts w:hint="default" w:ascii="Times New Roman" w:hAnsi="Times New Roman" w:eastAsia="宋体" w:cs="Times New Roman"/>
                <w:color w:val="auto"/>
                <w:kern w:val="2"/>
                <w:sz w:val="24"/>
                <w:szCs w:val="20"/>
                <w:highlight w:val="none"/>
                <w:lang w:val="en-US" w:eastAsia="zh-CN" w:bidi="ar-SA"/>
              </w:rPr>
              <w:t>本项目选址于</w:t>
            </w:r>
            <w:r>
              <w:rPr>
                <w:rFonts w:hint="eastAsia" w:cs="Times New Roman"/>
                <w:color w:val="auto"/>
                <w:kern w:val="2"/>
                <w:sz w:val="24"/>
                <w:szCs w:val="20"/>
                <w:highlight w:val="none"/>
                <w:lang w:val="en-US" w:eastAsia="zh-CN" w:bidi="ar-SA"/>
              </w:rPr>
              <w:t>福清市融侨经济技术开发洪宽工业村</w:t>
            </w:r>
            <w:r>
              <w:rPr>
                <w:rFonts w:hint="eastAsia" w:cs="Times New Roman"/>
                <w:color w:val="auto"/>
                <w:sz w:val="24"/>
                <w:szCs w:val="24"/>
                <w:highlight w:val="none"/>
                <w:lang w:val="en-US" w:eastAsia="zh-CN"/>
              </w:rPr>
              <w:t>福清洪金机械有限公司</w:t>
            </w:r>
            <w:r>
              <w:rPr>
                <w:rFonts w:hint="eastAsia" w:cs="Times New Roman"/>
                <w:color w:val="auto"/>
                <w:kern w:val="2"/>
                <w:sz w:val="24"/>
                <w:szCs w:val="20"/>
                <w:highlight w:val="none"/>
                <w:lang w:val="en-US" w:eastAsia="zh-CN" w:bidi="ar-SA"/>
              </w:rPr>
              <w:t>4</w:t>
            </w:r>
            <w:r>
              <w:rPr>
                <w:rFonts w:hint="default" w:ascii="Times New Roman" w:hAnsi="Times New Roman" w:eastAsia="宋体" w:cs="Times New Roman"/>
                <w:color w:val="auto"/>
                <w:kern w:val="2"/>
                <w:sz w:val="24"/>
                <w:szCs w:val="20"/>
                <w:highlight w:val="none"/>
                <w:lang w:val="en-US" w:eastAsia="zh-CN" w:bidi="ar-SA"/>
              </w:rPr>
              <w:t>层</w:t>
            </w:r>
            <w:r>
              <w:rPr>
                <w:rFonts w:hint="eastAsia" w:cs="Times New Roman"/>
                <w:color w:val="auto"/>
                <w:kern w:val="2"/>
                <w:sz w:val="24"/>
                <w:szCs w:val="20"/>
                <w:highlight w:val="none"/>
                <w:lang w:val="en-US" w:eastAsia="zh-CN" w:bidi="ar-SA"/>
              </w:rPr>
              <w:t>、5</w:t>
            </w:r>
            <w:r>
              <w:rPr>
                <w:rFonts w:hint="default" w:ascii="Times New Roman" w:hAnsi="Times New Roman" w:eastAsia="宋体" w:cs="Times New Roman"/>
                <w:color w:val="auto"/>
                <w:kern w:val="2"/>
                <w:sz w:val="24"/>
                <w:szCs w:val="20"/>
                <w:highlight w:val="none"/>
                <w:lang w:val="en-US" w:eastAsia="zh-CN" w:bidi="ar-SA"/>
              </w:rPr>
              <w:t>层</w:t>
            </w:r>
            <w:r>
              <w:rPr>
                <w:rFonts w:hint="eastAsia" w:cs="Times New Roman"/>
                <w:color w:val="auto"/>
                <w:kern w:val="2"/>
                <w:sz w:val="24"/>
                <w:szCs w:val="20"/>
                <w:highlight w:val="none"/>
                <w:lang w:val="en-US" w:eastAsia="zh-CN" w:bidi="ar-SA"/>
              </w:rPr>
              <w:t>厂房</w:t>
            </w:r>
            <w:r>
              <w:rPr>
                <w:rFonts w:hint="default" w:ascii="Times New Roman" w:hAnsi="Times New Roman" w:eastAsia="宋体" w:cs="Times New Roman"/>
                <w:color w:val="auto"/>
                <w:kern w:val="2"/>
                <w:sz w:val="24"/>
                <w:szCs w:val="20"/>
                <w:highlight w:val="none"/>
                <w:lang w:val="en-US" w:eastAsia="zh-CN" w:bidi="ar-SA"/>
              </w:rPr>
              <w:t>，仅对租赁的楼层进行装修及进行设备、电气线路布设作业。装修工序是在室内进行，主要污染源如下：</w:t>
            </w:r>
            <w:bookmarkEnd w:id="70"/>
            <w:bookmarkEnd w:id="71"/>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0"/>
                <w:highlight w:val="none"/>
                <w:lang w:val="en-US" w:eastAsia="zh-CN" w:bidi="ar-SA"/>
              </w:rPr>
            </w:pPr>
            <w:bookmarkStart w:id="72" w:name="_Toc26879"/>
            <w:bookmarkStart w:id="73" w:name="_Toc26840"/>
            <w:r>
              <w:rPr>
                <w:rFonts w:hint="default" w:ascii="Times New Roman" w:hAnsi="Times New Roman" w:eastAsia="宋体" w:cs="Times New Roman"/>
                <w:color w:val="auto"/>
                <w:kern w:val="2"/>
                <w:sz w:val="24"/>
                <w:szCs w:val="20"/>
                <w:highlight w:val="none"/>
                <w:lang w:val="en-US" w:eastAsia="zh-CN" w:bidi="ar-SA"/>
              </w:rPr>
              <w:t>施工过程主要废气为装修场地电抛、粉刷及切割的扬尘，以及在装修过程中所造成的二次扬尘污染；其次，室内装修时使用涂料、油漆时产生的挥发性有机废气（主要为甲苯、二甲苯）污染。</w:t>
            </w:r>
            <w:bookmarkEnd w:id="72"/>
            <w:bookmarkEnd w:id="73"/>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施工人员作业期间产生的少量生活污水</w:t>
            </w:r>
            <w:r>
              <w:rPr>
                <w:rFonts w:hint="eastAsia" w:cs="Times New Roman"/>
                <w:color w:val="auto"/>
                <w:kern w:val="2"/>
                <w:sz w:val="24"/>
                <w:szCs w:val="20"/>
                <w:highlight w:val="none"/>
                <w:lang w:val="en-US" w:eastAsia="zh-CN" w:bidi="ar-SA"/>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0"/>
                <w:highlight w:val="none"/>
                <w:lang w:val="en-US" w:eastAsia="zh-CN" w:bidi="ar-SA"/>
              </w:rPr>
            </w:pPr>
            <w:bookmarkStart w:id="74" w:name="_Toc26509"/>
            <w:bookmarkStart w:id="75" w:name="_Toc4378"/>
            <w:r>
              <w:rPr>
                <w:rFonts w:hint="default" w:ascii="Times New Roman" w:hAnsi="Times New Roman" w:eastAsia="宋体" w:cs="Times New Roman"/>
                <w:color w:val="auto"/>
                <w:kern w:val="2"/>
                <w:sz w:val="24"/>
                <w:szCs w:val="20"/>
                <w:highlight w:val="none"/>
                <w:lang w:val="en-US" w:eastAsia="zh-CN" w:bidi="ar-SA"/>
              </w:rPr>
              <w:t>施工过程各类装修机械会产生一定的噪声，这些机械的单台声级一般均在65dB(A</w:t>
            </w:r>
            <w:r>
              <w:rPr>
                <w:rFonts w:hint="eastAsia" w:cs="Times New Roman"/>
                <w:color w:val="auto"/>
                <w:kern w:val="2"/>
                <w:sz w:val="24"/>
                <w:szCs w:val="20"/>
                <w:highlight w:val="none"/>
                <w:lang w:val="en-US" w:eastAsia="zh-CN" w:bidi="ar-SA"/>
              </w:rPr>
              <w:t>）</w:t>
            </w:r>
            <w:r>
              <w:rPr>
                <w:rFonts w:hint="default" w:ascii="Times New Roman" w:hAnsi="Times New Roman" w:eastAsia="宋体" w:cs="Times New Roman"/>
                <w:color w:val="auto"/>
                <w:kern w:val="2"/>
                <w:sz w:val="24"/>
                <w:szCs w:val="20"/>
                <w:highlight w:val="none"/>
                <w:lang w:val="en-US" w:eastAsia="zh-CN" w:bidi="ar-SA"/>
              </w:rPr>
              <w:t>以上。</w:t>
            </w:r>
            <w:bookmarkEnd w:id="74"/>
            <w:bookmarkEnd w:id="75"/>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0"/>
                <w:highlight w:val="none"/>
                <w:lang w:val="en-US" w:eastAsia="zh-CN" w:bidi="ar-SA"/>
              </w:rPr>
            </w:pPr>
            <w:bookmarkStart w:id="76" w:name="_Toc3595"/>
            <w:bookmarkStart w:id="77" w:name="_Toc12325"/>
            <w:r>
              <w:rPr>
                <w:rFonts w:hint="default" w:ascii="Times New Roman" w:hAnsi="Times New Roman" w:eastAsia="宋体" w:cs="Times New Roman"/>
                <w:color w:val="auto"/>
                <w:kern w:val="2"/>
                <w:sz w:val="24"/>
                <w:szCs w:val="20"/>
                <w:highlight w:val="none"/>
                <w:lang w:val="en-US" w:eastAsia="zh-CN" w:bidi="ar-SA"/>
              </w:rPr>
              <w:t>施工固体废物主要是施工中碎砖头、水泥块、沙子等固体废物。</w:t>
            </w:r>
            <w:bookmarkEnd w:id="76"/>
            <w:bookmarkEnd w:id="77"/>
          </w:p>
          <w:p>
            <w:pPr>
              <w:pStyle w:val="4"/>
              <w:suppressLineNumbers w:val="0"/>
              <w:bidi w:val="0"/>
              <w:spacing w:beforeAutospacing="0" w:afterAutospacing="0"/>
              <w:ind w:right="0"/>
              <w:rPr>
                <w:rFonts w:hint="default"/>
                <w:color w:val="auto"/>
                <w:lang w:val="en-US" w:eastAsia="zh-CN"/>
              </w:rPr>
            </w:pPr>
            <w:bookmarkStart w:id="78" w:name="_Toc17318"/>
            <w:r>
              <w:rPr>
                <w:rFonts w:hint="default"/>
                <w:color w:val="auto"/>
                <w:lang w:val="en-US" w:eastAsia="zh-CN"/>
              </w:rPr>
              <w:t>施工期环境影响分析</w:t>
            </w:r>
            <w:bookmarkEnd w:id="78"/>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0"/>
                <w:highlight w:val="none"/>
                <w:lang w:val="en-US" w:eastAsia="zh-CN" w:bidi="ar-SA"/>
              </w:rPr>
            </w:pPr>
            <w:bookmarkStart w:id="79" w:name="_Toc26780"/>
            <w:bookmarkStart w:id="80" w:name="_Toc19777"/>
            <w:r>
              <w:rPr>
                <w:rFonts w:hint="default" w:ascii="Times New Roman" w:hAnsi="Times New Roman" w:eastAsia="宋体" w:cs="Times New Roman"/>
                <w:color w:val="auto"/>
                <w:kern w:val="2"/>
                <w:sz w:val="24"/>
                <w:szCs w:val="20"/>
                <w:highlight w:val="none"/>
                <w:lang w:val="en-US" w:eastAsia="zh-CN" w:bidi="ar-SA"/>
              </w:rPr>
              <w:t>本项目仅对租赁的楼层进行简单装修及进行设备、电气线路布设作业。在施工过程中，主要为扬尘、噪声等影响问题。项目施工期环境影响因素分析见下表。</w:t>
            </w:r>
            <w:bookmarkEnd w:id="79"/>
            <w:bookmarkEnd w:id="80"/>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施工期环境影响因素一览表</w:t>
            </w:r>
          </w:p>
          <w:tbl>
            <w:tblPr>
              <w:tblStyle w:val="33"/>
              <w:tblW w:w="809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3"/>
              <w:gridCol w:w="1235"/>
              <w:gridCol w:w="2187"/>
              <w:gridCol w:w="33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trPr>
              <w:tc>
                <w:tcPr>
                  <w:tcW w:w="1293"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环境要素</w:t>
                  </w:r>
                </w:p>
              </w:tc>
              <w:tc>
                <w:tcPr>
                  <w:tcW w:w="1235"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影响因子</w:t>
                  </w:r>
                </w:p>
              </w:tc>
              <w:tc>
                <w:tcPr>
                  <w:tcW w:w="2187"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产生源</w:t>
                  </w:r>
                </w:p>
              </w:tc>
              <w:tc>
                <w:tcPr>
                  <w:tcW w:w="3383"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排放及影响特征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12" w:hRule="atLeast"/>
              </w:trPr>
              <w:tc>
                <w:tcPr>
                  <w:tcW w:w="1293"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声环境</w:t>
                  </w:r>
                </w:p>
              </w:tc>
              <w:tc>
                <w:tcPr>
                  <w:tcW w:w="1235"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设备噪声</w:t>
                  </w:r>
                </w:p>
              </w:tc>
              <w:tc>
                <w:tcPr>
                  <w:tcW w:w="2187"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电钻、开孔机等设备</w:t>
                  </w:r>
                </w:p>
              </w:tc>
              <w:tc>
                <w:tcPr>
                  <w:tcW w:w="3383"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无指向性，不连续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5" w:hRule="atLeast"/>
              </w:trPr>
              <w:tc>
                <w:tcPr>
                  <w:tcW w:w="1293"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环境空气</w:t>
                  </w:r>
                </w:p>
              </w:tc>
              <w:tc>
                <w:tcPr>
                  <w:tcW w:w="1235"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扬尘</w:t>
                  </w:r>
                </w:p>
              </w:tc>
              <w:tc>
                <w:tcPr>
                  <w:tcW w:w="2187"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钻孔、开槽等</w:t>
                  </w:r>
                </w:p>
              </w:tc>
              <w:tc>
                <w:tcPr>
                  <w:tcW w:w="3383"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时限性明显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4" w:hRule="atLeast"/>
              </w:trPr>
              <w:tc>
                <w:tcPr>
                  <w:tcW w:w="1293"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水环境</w:t>
                  </w:r>
                </w:p>
              </w:tc>
              <w:tc>
                <w:tcPr>
                  <w:tcW w:w="1235"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生活污水</w:t>
                  </w:r>
                </w:p>
              </w:tc>
              <w:tc>
                <w:tcPr>
                  <w:tcW w:w="2187"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施工人员</w:t>
                  </w:r>
                </w:p>
              </w:tc>
              <w:tc>
                <w:tcPr>
                  <w:tcW w:w="3383"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依托大楼现有的污水排放系统，不另行单独外排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5" w:hRule="atLeast"/>
              </w:trPr>
              <w:tc>
                <w:tcPr>
                  <w:tcW w:w="1293"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固体废物</w:t>
                  </w:r>
                </w:p>
              </w:tc>
              <w:tc>
                <w:tcPr>
                  <w:tcW w:w="1235"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一般</w:t>
                  </w:r>
                  <w:r>
                    <w:rPr>
                      <w:rFonts w:hint="eastAsia"/>
                      <w:color w:val="auto"/>
                      <w:szCs w:val="20"/>
                      <w:lang w:val="en-US" w:eastAsia="zh-CN"/>
                    </w:rPr>
                    <w:t>固体废物</w:t>
                  </w:r>
                </w:p>
              </w:tc>
              <w:tc>
                <w:tcPr>
                  <w:tcW w:w="2187"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设备安装</w:t>
                  </w:r>
                </w:p>
              </w:tc>
              <w:tc>
                <w:tcPr>
                  <w:tcW w:w="3383"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安装设备产生的包装袋等一般</w:t>
                  </w:r>
                  <w:r>
                    <w:rPr>
                      <w:rFonts w:hint="eastAsia"/>
                      <w:color w:val="auto"/>
                      <w:szCs w:val="20"/>
                      <w:lang w:val="en-US" w:eastAsia="zh-CN"/>
                    </w:rPr>
                    <w:t>固体废物</w:t>
                  </w:r>
                </w:p>
              </w:tc>
            </w:tr>
          </w:tbl>
          <w:p>
            <w:pPr>
              <w:pStyle w:val="69"/>
              <w:keepNext w:val="0"/>
              <w:keepLines w:val="0"/>
              <w:suppressLineNumbers w:val="0"/>
              <w:bidi w:val="0"/>
              <w:spacing w:beforeAutospacing="0" w:after="0" w:afterAutospacing="0"/>
              <w:ind w:left="0" w:right="0"/>
              <w:rPr>
                <w:rFonts w:hint="default"/>
                <w:color w:val="auto"/>
                <w:lang w:val="en-US" w:eastAsia="zh-CN"/>
              </w:rPr>
            </w:pPr>
            <w:r>
              <w:rPr>
                <w:rFonts w:hint="eastAsia"/>
                <w:color w:val="auto"/>
                <w:lang w:val="en-US" w:eastAsia="zh-CN"/>
              </w:rPr>
              <w:t>（1）</w:t>
            </w:r>
            <w:r>
              <w:rPr>
                <w:rFonts w:hint="default"/>
                <w:color w:val="auto"/>
                <w:lang w:val="en-US" w:eastAsia="zh-CN"/>
              </w:rPr>
              <w:t>噪声影响</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装修施工过程</w:t>
            </w:r>
            <w:r>
              <w:rPr>
                <w:rFonts w:hint="default"/>
                <w:color w:val="auto"/>
                <w:lang w:val="en-US" w:eastAsia="zh-CN"/>
              </w:rPr>
              <w:t>主要为电钻、开孔机等设备噪声的影响，这种影响是间歇性、短期、暂时的，具有局部区域特性，随施工期结束而消失，对周边区域环境影响不大。</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0"/>
                <w:highlight w:val="none"/>
                <w:lang w:val="en-US" w:eastAsia="zh-CN" w:bidi="ar-SA"/>
              </w:rPr>
            </w:pPr>
            <w:r>
              <w:rPr>
                <w:rFonts w:hint="eastAsia" w:cs="Times New Roman"/>
                <w:color w:val="auto"/>
                <w:kern w:val="2"/>
                <w:sz w:val="24"/>
                <w:szCs w:val="20"/>
                <w:highlight w:val="none"/>
                <w:lang w:val="en-US" w:eastAsia="zh-CN" w:bidi="ar-SA"/>
              </w:rPr>
              <w:t>（2）扬尘影响</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装修施工过程</w:t>
            </w:r>
            <w:r>
              <w:rPr>
                <w:rFonts w:hint="default" w:ascii="Times New Roman" w:hAnsi="Times New Roman" w:eastAsia="宋体" w:cs="Times New Roman"/>
                <w:color w:val="auto"/>
                <w:kern w:val="2"/>
                <w:sz w:val="24"/>
                <w:szCs w:val="20"/>
                <w:highlight w:val="none"/>
                <w:lang w:val="en-US" w:eastAsia="zh-CN" w:bidi="ar-SA"/>
              </w:rPr>
              <w:t>中扬尘主要来源于：装修过程墙壁开槽、钻孔产生的扬尘。项目在室内进行施工，施工扬尘对外环境的影响大大降低，故本项目施工期产生的扬尘对周边环境没有明显影响。</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0"/>
                <w:highlight w:val="none"/>
                <w:lang w:val="en-US" w:eastAsia="zh-CN" w:bidi="ar-SA"/>
              </w:rPr>
            </w:pPr>
            <w:r>
              <w:rPr>
                <w:rFonts w:hint="eastAsia" w:cs="Times New Roman"/>
                <w:color w:val="auto"/>
                <w:kern w:val="2"/>
                <w:sz w:val="24"/>
                <w:szCs w:val="20"/>
                <w:highlight w:val="none"/>
                <w:lang w:val="en-US" w:eastAsia="zh-CN" w:bidi="ar-SA"/>
              </w:rPr>
              <w:t>（3）施工废水影响</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0"/>
                <w:highlight w:val="none"/>
                <w:lang w:val="en-US" w:eastAsia="zh-CN" w:bidi="ar-SA"/>
              </w:rPr>
            </w:pPr>
            <w:r>
              <w:rPr>
                <w:rFonts w:hint="default" w:ascii="Times New Roman" w:hAnsi="Times New Roman" w:eastAsia="宋体" w:cs="Times New Roman"/>
                <w:color w:val="auto"/>
                <w:kern w:val="2"/>
                <w:sz w:val="24"/>
                <w:szCs w:val="20"/>
                <w:highlight w:val="none"/>
                <w:lang w:val="en-US" w:eastAsia="zh-CN" w:bidi="ar-SA"/>
              </w:rPr>
              <w:t>本项目施工人员生活污水依托大楼现有的污水排放系统，不另行单独外排。</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（4）</w:t>
            </w:r>
            <w:r>
              <w:rPr>
                <w:rFonts w:hint="default" w:ascii="Times New Roman" w:hAnsi="Times New Roman" w:eastAsia="宋体" w:cs="Times New Roman"/>
                <w:color w:val="auto"/>
                <w:kern w:val="2"/>
                <w:sz w:val="24"/>
                <w:szCs w:val="20"/>
                <w:highlight w:val="none"/>
                <w:lang w:val="en-US" w:eastAsia="zh-CN" w:bidi="ar-SA"/>
              </w:rPr>
              <w:t>固体废物</w:t>
            </w:r>
            <w:r>
              <w:rPr>
                <w:rFonts w:hint="eastAsia" w:ascii="Times New Roman" w:hAnsi="Times New Roman" w:eastAsia="宋体" w:cs="Times New Roman"/>
                <w:color w:val="auto"/>
                <w:kern w:val="2"/>
                <w:sz w:val="24"/>
                <w:szCs w:val="20"/>
                <w:highlight w:val="none"/>
                <w:lang w:val="en-US" w:eastAsia="zh-CN" w:bidi="ar-SA"/>
              </w:rPr>
              <w:t>影响</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color w:val="auto"/>
                <w:kern w:val="2"/>
                <w:sz w:val="24"/>
                <w:szCs w:val="20"/>
                <w:highlight w:val="none"/>
                <w:lang w:val="en-US" w:eastAsia="zh-CN" w:bidi="ar-SA"/>
              </w:rPr>
              <w:t>施工固体废物主要是设备的包装及装修的边角料等固体废物，收集后由环卫</w:t>
            </w:r>
            <w:r>
              <w:rPr>
                <w:rFonts w:hint="default" w:ascii="Times New Roman" w:hAnsi="Times New Roman" w:eastAsia="宋体" w:cs="Times New Roman"/>
                <w:b w:val="0"/>
                <w:bCs w:val="0"/>
                <w:color w:val="auto"/>
                <w:kern w:val="2"/>
                <w:sz w:val="24"/>
                <w:szCs w:val="24"/>
                <w:lang w:val="en-US" w:eastAsia="zh-CN" w:bidi="ar-SA"/>
              </w:rPr>
              <w:t>部门统一处理。</w:t>
            </w:r>
          </w:p>
          <w:p>
            <w:pPr>
              <w:pStyle w:val="4"/>
              <w:suppressLineNumbers w:val="0"/>
              <w:bidi w:val="0"/>
              <w:spacing w:beforeAutospacing="0" w:afterAutospacing="0"/>
              <w:ind w:right="0"/>
              <w:rPr>
                <w:rFonts w:hint="default"/>
                <w:color w:val="auto"/>
                <w:lang w:val="en-US" w:eastAsia="zh-CN"/>
              </w:rPr>
            </w:pPr>
            <w:bookmarkStart w:id="81" w:name="_Toc25460"/>
            <w:r>
              <w:rPr>
                <w:rFonts w:hint="default"/>
                <w:color w:val="auto"/>
                <w:lang w:val="en-US" w:eastAsia="zh-CN"/>
              </w:rPr>
              <w:t>施工期环境保护措施</w:t>
            </w:r>
            <w:bookmarkEnd w:id="81"/>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0"/>
                <w:highlight w:val="none"/>
                <w:lang w:val="en-US" w:eastAsia="zh-CN" w:bidi="ar-SA"/>
              </w:rPr>
            </w:pPr>
            <w:r>
              <w:rPr>
                <w:rFonts w:hint="default" w:ascii="Times New Roman" w:hAnsi="Times New Roman" w:eastAsia="宋体" w:cs="Times New Roman"/>
                <w:color w:val="auto"/>
                <w:kern w:val="2"/>
                <w:sz w:val="24"/>
                <w:szCs w:val="20"/>
                <w:highlight w:val="none"/>
                <w:lang w:val="en-US" w:eastAsia="zh-CN" w:bidi="ar-SA"/>
              </w:rPr>
              <w:t>本项目仅对租赁的楼层进行简单装修及进行设备、电气线路布设作业。该装修在室内进行，装修过程产生的废气、噪声</w:t>
            </w:r>
            <w:r>
              <w:rPr>
                <w:rFonts w:hint="eastAsia" w:cs="Times New Roman"/>
                <w:color w:val="auto"/>
                <w:kern w:val="2"/>
                <w:sz w:val="24"/>
                <w:szCs w:val="20"/>
                <w:highlight w:val="none"/>
                <w:lang w:val="en-US" w:eastAsia="zh-CN" w:bidi="ar-SA"/>
              </w:rPr>
              <w:t>经墙体等隔离和衰减后</w:t>
            </w:r>
            <w:r>
              <w:rPr>
                <w:rFonts w:hint="default" w:ascii="Times New Roman" w:hAnsi="Times New Roman" w:eastAsia="宋体" w:cs="Times New Roman"/>
                <w:color w:val="auto"/>
                <w:kern w:val="2"/>
                <w:sz w:val="24"/>
                <w:szCs w:val="20"/>
                <w:highlight w:val="none"/>
                <w:lang w:val="en-US" w:eastAsia="zh-CN" w:bidi="ar-SA"/>
              </w:rPr>
              <w:t>不会对周围环境产生明显的影响，施工期较短，对外界环境影响是暂时的，施工期环境保护措施主要如下：</w:t>
            </w:r>
          </w:p>
          <w:p>
            <w:pPr>
              <w:pStyle w:val="36"/>
              <w:keepNext w:val="0"/>
              <w:keepLines w:val="0"/>
              <w:suppressLineNumbers w:val="0"/>
              <w:bidi w:val="0"/>
              <w:spacing w:before="0" w:beforeAutospacing="0" w:after="0" w:afterAutospacing="0"/>
              <w:ind w:left="0" w:right="0"/>
              <w:rPr>
                <w:rFonts w:hint="default" w:eastAsia="宋体" w:cs="Times New Roman"/>
                <w:color w:val="auto"/>
                <w:kern w:val="2"/>
                <w:sz w:val="24"/>
                <w:szCs w:val="20"/>
                <w:highlight w:val="none"/>
                <w:lang w:val="en-US" w:eastAsia="zh-CN" w:bidi="ar-SA"/>
              </w:rPr>
            </w:pPr>
            <w:r>
              <w:rPr>
                <w:rFonts w:hint="eastAsia" w:cs="Times New Roman"/>
                <w:color w:val="auto"/>
                <w:kern w:val="2"/>
                <w:sz w:val="24"/>
                <w:szCs w:val="20"/>
                <w:highlight w:val="none"/>
                <w:lang w:val="en-US" w:eastAsia="zh-CN" w:bidi="ar-SA"/>
              </w:rPr>
              <w:t>（1）</w:t>
            </w:r>
            <w:r>
              <w:rPr>
                <w:rFonts w:hint="eastAsia"/>
                <w:color w:val="auto"/>
              </w:rPr>
              <w:t>合理安排施工时间，禁止在午间（12时至14时）和夜间（22时至次日6时）进行</w:t>
            </w:r>
            <w:r>
              <w:rPr>
                <w:rFonts w:hint="eastAsia"/>
                <w:color w:val="auto"/>
                <w:lang w:val="en-US" w:eastAsia="zh-CN"/>
              </w:rPr>
              <w:t>高噪声的装修作业活动。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0"/>
                <w:highlight w:val="none"/>
                <w:lang w:val="en-US" w:eastAsia="zh-CN" w:bidi="ar-SA"/>
              </w:rPr>
            </w:pPr>
            <w:r>
              <w:rPr>
                <w:rFonts w:hint="eastAsia" w:cs="Times New Roman"/>
                <w:color w:val="auto"/>
                <w:kern w:val="2"/>
                <w:sz w:val="24"/>
                <w:szCs w:val="20"/>
                <w:highlight w:val="none"/>
                <w:lang w:val="en-US" w:eastAsia="zh-CN" w:bidi="ar-SA"/>
              </w:rPr>
              <w:t>（2）</w:t>
            </w:r>
            <w:r>
              <w:rPr>
                <w:rFonts w:hint="default" w:ascii="Times New Roman" w:hAnsi="Times New Roman" w:eastAsia="宋体" w:cs="Times New Roman"/>
                <w:color w:val="auto"/>
                <w:kern w:val="2"/>
                <w:sz w:val="24"/>
                <w:szCs w:val="20"/>
                <w:highlight w:val="none"/>
                <w:lang w:val="en-US" w:eastAsia="zh-CN" w:bidi="ar-SA"/>
              </w:rPr>
              <w:t>装修过程墙壁开槽、钻孔产生的扬尘，在室内进行施工</w:t>
            </w:r>
            <w:r>
              <w:rPr>
                <w:rFonts w:hint="eastAsia" w:cs="Times New Roman"/>
                <w:color w:val="auto"/>
                <w:kern w:val="2"/>
                <w:sz w:val="24"/>
                <w:szCs w:val="20"/>
                <w:highlight w:val="none"/>
                <w:lang w:val="en-US" w:eastAsia="zh-CN" w:bidi="ar-SA"/>
              </w:rPr>
              <w:t>，关闭门窗</w:t>
            </w:r>
            <w:r>
              <w:rPr>
                <w:rFonts w:hint="default" w:ascii="Times New Roman" w:hAnsi="Times New Roman" w:eastAsia="宋体" w:cs="Times New Roman"/>
                <w:color w:val="auto"/>
                <w:kern w:val="2"/>
                <w:sz w:val="24"/>
                <w:szCs w:val="20"/>
                <w:highlight w:val="none"/>
                <w:lang w:val="en-US" w:eastAsia="zh-CN" w:bidi="ar-SA"/>
              </w:rPr>
              <w:t>，施工扬尘对外环境的影响大大降低。</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0"/>
                <w:highlight w:val="none"/>
                <w:lang w:val="en-US" w:eastAsia="zh-CN" w:bidi="ar-SA"/>
              </w:rPr>
            </w:pPr>
            <w:r>
              <w:rPr>
                <w:rFonts w:hint="eastAsia" w:cs="Times New Roman"/>
                <w:color w:val="auto"/>
                <w:kern w:val="2"/>
                <w:sz w:val="24"/>
                <w:szCs w:val="20"/>
                <w:highlight w:val="none"/>
                <w:lang w:val="en-US" w:eastAsia="zh-CN" w:bidi="ar-SA"/>
              </w:rPr>
              <w:t>（3）</w:t>
            </w:r>
            <w:r>
              <w:rPr>
                <w:rFonts w:hint="default" w:ascii="Times New Roman" w:hAnsi="Times New Roman" w:eastAsia="宋体" w:cs="Times New Roman"/>
                <w:color w:val="auto"/>
                <w:kern w:val="2"/>
                <w:sz w:val="24"/>
                <w:szCs w:val="20"/>
                <w:highlight w:val="none"/>
                <w:lang w:val="en-US" w:eastAsia="zh-CN" w:bidi="ar-SA"/>
              </w:rPr>
              <w:t>施工人员的生活污水</w:t>
            </w:r>
            <w:r>
              <w:rPr>
                <w:rFonts w:hint="eastAsia" w:cs="Times New Roman"/>
                <w:color w:val="auto"/>
                <w:kern w:val="2"/>
                <w:sz w:val="24"/>
                <w:szCs w:val="20"/>
                <w:highlight w:val="none"/>
                <w:lang w:val="en-US" w:eastAsia="zh-CN" w:bidi="ar-SA"/>
              </w:rPr>
              <w:t>依托</w:t>
            </w:r>
            <w:r>
              <w:rPr>
                <w:rFonts w:hint="default" w:ascii="Times New Roman" w:hAnsi="Times New Roman" w:eastAsia="宋体" w:cs="Times New Roman"/>
                <w:color w:val="auto"/>
                <w:kern w:val="2"/>
                <w:sz w:val="24"/>
                <w:szCs w:val="20"/>
                <w:highlight w:val="none"/>
                <w:lang w:val="en-US" w:eastAsia="zh-CN" w:bidi="ar-SA"/>
              </w:rPr>
              <w:t>大楼现有的污水排放系统，不另行单独外排。</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0"/>
                <w:highlight w:val="none"/>
                <w:lang w:val="en-US" w:eastAsia="zh-CN" w:bidi="ar-SA"/>
              </w:rPr>
            </w:pPr>
            <w:r>
              <w:rPr>
                <w:rFonts w:hint="eastAsia" w:cs="Times New Roman"/>
                <w:color w:val="auto"/>
                <w:kern w:val="2"/>
                <w:sz w:val="24"/>
                <w:szCs w:val="20"/>
                <w:highlight w:val="none"/>
                <w:lang w:val="en-US" w:eastAsia="zh-CN" w:bidi="ar-SA"/>
              </w:rPr>
              <w:t>（4）</w:t>
            </w:r>
            <w:r>
              <w:rPr>
                <w:rFonts w:hint="default" w:ascii="Times New Roman" w:hAnsi="Times New Roman" w:eastAsia="宋体" w:cs="Times New Roman"/>
                <w:color w:val="auto"/>
                <w:kern w:val="2"/>
                <w:sz w:val="24"/>
                <w:szCs w:val="20"/>
                <w:highlight w:val="none"/>
                <w:lang w:val="en-US" w:eastAsia="zh-CN" w:bidi="ar-SA"/>
              </w:rPr>
              <w:t>施工产生的包装及装修的边角料等固体废物，收集后由环卫部门统一处理。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4"/>
                <w:szCs w:val="20"/>
                <w:highlight w:val="none"/>
                <w:lang w:val="en-US" w:eastAsia="zh-CN" w:bidi="ar-SA"/>
              </w:rPr>
              <w:t>施工期建设单位在采取以上污染防治措施的情况下，项目施工期间对周边环境不会产生明显的影响。</w:t>
            </w:r>
          </w:p>
        </w:tc>
      </w:tr>
    </w:tbl>
    <w:p>
      <w:pPr>
        <w:rPr>
          <w:rFonts w:hint="default" w:ascii="Times New Roman" w:hAnsi="Times New Roman" w:cs="Times New Roman"/>
          <w:color w:val="auto"/>
          <w:highlight w:val="none"/>
        </w:rPr>
        <w:sectPr>
          <w:pgSz w:w="11907" w:h="16840"/>
          <w:pgMar w:top="1701" w:right="1531" w:bottom="2127"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tbl>
      <w:tblPr>
        <w:tblStyle w:val="32"/>
        <w:tblW w:w="13149"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9"/>
        <w:gridCol w:w="126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8385" w:hRule="atLeast"/>
          <w:jc w:val="center"/>
        </w:trPr>
        <w:tc>
          <w:tcPr>
            <w:tcW w:w="459" w:type="dxa"/>
            <w:tcBorders>
              <w:top w:val="single" w:color="auto" w:sz="8" w:space="0"/>
              <w:left w:val="single" w:color="auto" w:sz="8" w:space="0"/>
              <w:bottom w:val="single" w:color="auto" w:sz="8" w:space="0"/>
              <w:right w:val="single" w:color="auto" w:sz="4" w:space="0"/>
            </w:tcBorders>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szCs w:val="24"/>
                <w:highlight w:val="none"/>
                <w:lang w:val="en-US"/>
              </w:rPr>
            </w:pPr>
            <w:r>
              <w:rPr>
                <w:rFonts w:hint="default" w:ascii="Times New Roman" w:hAnsi="Times New Roman" w:cs="Times New Roman"/>
                <w:bCs/>
                <w:color w:val="auto"/>
                <w:sz w:val="24"/>
                <w:szCs w:val="24"/>
                <w:highlight w:val="none"/>
                <w:lang w:val="en-US" w:eastAsia="zh-CN"/>
              </w:rPr>
              <w:t>运营</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szCs w:val="24"/>
                <w:highlight w:val="none"/>
                <w:lang w:val="en-US"/>
              </w:rPr>
            </w:pPr>
            <w:r>
              <w:rPr>
                <w:rFonts w:hint="default" w:ascii="Times New Roman" w:hAnsi="Times New Roman" w:cs="Times New Roman"/>
                <w:bCs/>
                <w:color w:val="auto"/>
                <w:sz w:val="24"/>
                <w:szCs w:val="24"/>
                <w:highlight w:val="none"/>
                <w:lang w:val="en-US" w:eastAsia="zh-CN"/>
              </w:rPr>
              <w:t>期环</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szCs w:val="24"/>
                <w:highlight w:val="none"/>
                <w:lang w:val="en-US"/>
              </w:rPr>
            </w:pPr>
            <w:r>
              <w:rPr>
                <w:rFonts w:hint="default" w:ascii="Times New Roman" w:hAnsi="Times New Roman" w:cs="Times New Roman"/>
                <w:bCs/>
                <w:color w:val="auto"/>
                <w:sz w:val="24"/>
                <w:szCs w:val="24"/>
                <w:highlight w:val="none"/>
                <w:lang w:val="en-US" w:eastAsia="zh-CN"/>
              </w:rPr>
              <w:t>境影</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szCs w:val="24"/>
                <w:highlight w:val="none"/>
                <w:lang w:val="en-US"/>
              </w:rPr>
            </w:pPr>
            <w:r>
              <w:rPr>
                <w:rFonts w:hint="default" w:ascii="Times New Roman" w:hAnsi="Times New Roman" w:cs="Times New Roman"/>
                <w:bCs/>
                <w:color w:val="auto"/>
                <w:sz w:val="24"/>
                <w:szCs w:val="24"/>
                <w:highlight w:val="none"/>
                <w:lang w:val="en-US" w:eastAsia="zh-CN"/>
              </w:rPr>
              <w:t>响和</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szCs w:val="24"/>
                <w:highlight w:val="none"/>
                <w:lang w:val="en-US"/>
              </w:rPr>
            </w:pPr>
            <w:r>
              <w:rPr>
                <w:rFonts w:hint="default" w:ascii="Times New Roman" w:hAnsi="Times New Roman" w:cs="Times New Roman"/>
                <w:bCs/>
                <w:color w:val="auto"/>
                <w:sz w:val="24"/>
                <w:szCs w:val="24"/>
                <w:highlight w:val="none"/>
                <w:lang w:val="en-US" w:eastAsia="zh-CN"/>
              </w:rPr>
              <w:t>保护</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rPr>
            </w:pPr>
            <w:r>
              <w:rPr>
                <w:rFonts w:hint="default" w:ascii="Times New Roman" w:hAnsi="Times New Roman" w:cs="Times New Roman"/>
                <w:bCs/>
                <w:color w:val="auto"/>
                <w:sz w:val="24"/>
                <w:szCs w:val="24"/>
                <w:highlight w:val="none"/>
                <w:lang w:val="en-US" w:eastAsia="zh-CN"/>
              </w:rPr>
              <w:t>措施</w:t>
            </w:r>
          </w:p>
        </w:tc>
        <w:tc>
          <w:tcPr>
            <w:tcW w:w="12690" w:type="dxa"/>
            <w:tcBorders>
              <w:top w:val="single" w:color="auto" w:sz="8" w:space="0"/>
              <w:left w:val="single" w:color="auto" w:sz="4" w:space="0"/>
              <w:bottom w:val="single" w:color="auto" w:sz="8" w:space="0"/>
              <w:right w:val="single" w:color="auto" w:sz="8" w:space="0"/>
            </w:tcBorders>
            <w:vAlign w:val="top"/>
          </w:tcPr>
          <w:p>
            <w:pPr>
              <w:pStyle w:val="3"/>
              <w:suppressLineNumbers w:val="0"/>
              <w:bidi w:val="0"/>
              <w:spacing w:beforeAutospacing="0" w:afterAutospacing="0"/>
              <w:ind w:right="0"/>
              <w:rPr>
                <w:rFonts w:hint="default" w:cs="Times New Roman"/>
                <w:color w:val="auto"/>
                <w:highlight w:val="none"/>
                <w:lang w:val="en-US" w:eastAsia="zh-CN"/>
              </w:rPr>
            </w:pPr>
            <w:bookmarkStart w:id="82" w:name="_Toc18004"/>
            <w:r>
              <w:rPr>
                <w:rFonts w:hint="default" w:cs="Times New Roman"/>
                <w:color w:val="auto"/>
                <w:highlight w:val="none"/>
                <w:lang w:val="en-US" w:eastAsia="zh-CN"/>
              </w:rPr>
              <w:t>运营期废气影响和保护措施</w:t>
            </w:r>
            <w:bookmarkEnd w:id="82"/>
          </w:p>
          <w:p>
            <w:pPr>
              <w:pStyle w:val="4"/>
              <w:suppressLineNumbers w:val="0"/>
              <w:bidi w:val="0"/>
              <w:spacing w:beforeAutospacing="0" w:afterAutospacing="0"/>
              <w:ind w:right="0"/>
              <w:rPr>
                <w:rFonts w:hint="default"/>
                <w:color w:val="auto"/>
              </w:rPr>
            </w:pPr>
            <w:r>
              <w:rPr>
                <w:rFonts w:hint="default"/>
                <w:color w:val="auto"/>
              </w:rPr>
              <w:t>大气污染源</w:t>
            </w:r>
            <w:r>
              <w:rPr>
                <w:rFonts w:hint="eastAsia"/>
                <w:color w:val="auto"/>
                <w:lang w:val="en-US" w:eastAsia="zh-CN"/>
              </w:rPr>
              <w:t>分析</w:t>
            </w:r>
          </w:p>
          <w:p>
            <w:pPr>
              <w:pStyle w:val="3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both"/>
              <w:textAlignment w:val="auto"/>
              <w:rPr>
                <w:rFonts w:hint="eastAsia"/>
                <w:strike w:val="0"/>
                <w:dstrike w:val="0"/>
                <w:color w:val="auto"/>
                <w:highlight w:val="none"/>
                <w:lang w:eastAsia="zh-CN"/>
              </w:rPr>
            </w:pPr>
            <w:r>
              <w:rPr>
                <w:rFonts w:hint="eastAsia"/>
                <w:strike w:val="0"/>
                <w:dstrike w:val="0"/>
                <w:color w:val="auto"/>
                <w:highlight w:val="none"/>
              </w:rPr>
              <w:t>项目废气治理设施</w:t>
            </w:r>
            <w:r>
              <w:rPr>
                <w:rFonts w:hint="eastAsia"/>
                <w:strike w:val="0"/>
                <w:dstrike w:val="0"/>
                <w:color w:val="auto"/>
                <w:highlight w:val="none"/>
                <w:lang w:val="en-US" w:eastAsia="zh-CN"/>
              </w:rPr>
              <w:t>及</w:t>
            </w:r>
            <w:r>
              <w:rPr>
                <w:rFonts w:hint="eastAsia"/>
                <w:strike w:val="0"/>
                <w:dstrike w:val="0"/>
                <w:color w:val="auto"/>
                <w:highlight w:val="none"/>
              </w:rPr>
              <w:t>排放口基本情况、</w:t>
            </w:r>
            <w:r>
              <w:rPr>
                <w:rFonts w:hint="eastAsia"/>
                <w:color w:val="auto"/>
              </w:rPr>
              <w:t>废气污染物</w:t>
            </w:r>
            <w:r>
              <w:rPr>
                <w:rFonts w:hint="eastAsia"/>
                <w:color w:val="auto"/>
                <w:lang w:val="en-US" w:eastAsia="zh-CN"/>
              </w:rPr>
              <w:t>产排情况</w:t>
            </w:r>
            <w:r>
              <w:rPr>
                <w:rFonts w:hint="eastAsia"/>
                <w:strike w:val="0"/>
                <w:dstrike w:val="0"/>
                <w:color w:val="auto"/>
                <w:highlight w:val="none"/>
              </w:rPr>
              <w:t>详见</w:t>
            </w:r>
            <w:r>
              <w:rPr>
                <w:rFonts w:hint="eastAsia"/>
                <w:strike w:val="0"/>
                <w:dstrike w:val="0"/>
                <w:color w:val="auto"/>
                <w:highlight w:val="none"/>
                <w:lang w:eastAsia="zh-CN"/>
              </w:rPr>
              <w:fldChar w:fldCharType="begin"/>
            </w:r>
            <w:r>
              <w:rPr>
                <w:rFonts w:hint="eastAsia"/>
                <w:strike w:val="0"/>
                <w:dstrike w:val="0"/>
                <w:color w:val="auto"/>
                <w:highlight w:val="none"/>
                <w:lang w:eastAsia="zh-CN"/>
              </w:rPr>
              <w:instrText xml:space="preserve"> REF _Ref502 \n \h </w:instrText>
            </w:r>
            <w:r>
              <w:rPr>
                <w:rFonts w:hint="eastAsia"/>
                <w:strike w:val="0"/>
                <w:dstrike w:val="0"/>
                <w:color w:val="auto"/>
                <w:highlight w:val="none"/>
                <w:lang w:eastAsia="zh-CN"/>
              </w:rPr>
              <w:fldChar w:fldCharType="separate"/>
            </w:r>
            <w:r>
              <w:rPr>
                <w:rFonts w:hint="eastAsia"/>
                <w:strike w:val="0"/>
                <w:dstrike w:val="0"/>
                <w:color w:val="auto"/>
                <w:highlight w:val="none"/>
                <w:lang w:eastAsia="zh-CN"/>
              </w:rPr>
              <w:t>表4.2-1</w:t>
            </w:r>
            <w:r>
              <w:rPr>
                <w:rFonts w:hint="eastAsia"/>
                <w:strike w:val="0"/>
                <w:dstrike w:val="0"/>
                <w:color w:val="auto"/>
                <w:highlight w:val="none"/>
                <w:lang w:eastAsia="zh-CN"/>
              </w:rPr>
              <w:fldChar w:fldCharType="end"/>
            </w:r>
            <w:r>
              <w:rPr>
                <w:rFonts w:hint="eastAsia"/>
                <w:strike w:val="0"/>
                <w:dstrike w:val="0"/>
                <w:color w:val="auto"/>
                <w:highlight w:val="none"/>
                <w:lang w:val="en-US" w:eastAsia="zh-CN"/>
              </w:rPr>
              <w:t>、</w:t>
            </w:r>
            <w:r>
              <w:rPr>
                <w:rFonts w:hint="eastAsia"/>
                <w:strike w:val="0"/>
                <w:dstrike w:val="0"/>
                <w:color w:val="auto"/>
                <w:highlight w:val="none"/>
                <w:lang w:val="en-US" w:eastAsia="zh-CN"/>
              </w:rPr>
              <w:fldChar w:fldCharType="begin"/>
            </w:r>
            <w:r>
              <w:rPr>
                <w:rFonts w:hint="eastAsia"/>
                <w:strike w:val="0"/>
                <w:dstrike w:val="0"/>
                <w:color w:val="auto"/>
                <w:highlight w:val="none"/>
                <w:lang w:val="en-US" w:eastAsia="zh-CN"/>
              </w:rPr>
              <w:instrText xml:space="preserve"> REF _Ref25312 \n \h </w:instrText>
            </w:r>
            <w:r>
              <w:rPr>
                <w:rFonts w:hint="eastAsia"/>
                <w:strike w:val="0"/>
                <w:dstrike w:val="0"/>
                <w:color w:val="auto"/>
                <w:highlight w:val="none"/>
                <w:lang w:val="en-US" w:eastAsia="zh-CN"/>
              </w:rPr>
              <w:fldChar w:fldCharType="separate"/>
            </w:r>
            <w:r>
              <w:rPr>
                <w:rFonts w:hint="eastAsia"/>
                <w:strike w:val="0"/>
                <w:dstrike w:val="0"/>
                <w:color w:val="auto"/>
                <w:highlight w:val="none"/>
                <w:lang w:val="en-US" w:eastAsia="zh-CN"/>
              </w:rPr>
              <w:t>表4.2-2</w:t>
            </w:r>
            <w:r>
              <w:rPr>
                <w:rFonts w:hint="eastAsia"/>
                <w:strike w:val="0"/>
                <w:dstrike w:val="0"/>
                <w:color w:val="auto"/>
                <w:highlight w:val="none"/>
                <w:lang w:val="en-US" w:eastAsia="zh-CN"/>
              </w:rPr>
              <w:fldChar w:fldCharType="end"/>
            </w:r>
            <w:r>
              <w:rPr>
                <w:rFonts w:hint="eastAsia"/>
                <w:strike w:val="0"/>
                <w:dstrike w:val="0"/>
                <w:color w:val="auto"/>
                <w:highlight w:val="none"/>
                <w:lang w:eastAsia="zh-CN"/>
              </w:rPr>
              <w:t>。</w:t>
            </w:r>
          </w:p>
          <w:p>
            <w:pPr>
              <w:pStyle w:val="35"/>
              <w:keepNext w:val="0"/>
              <w:keepLines w:val="0"/>
              <w:suppressLineNumbers w:val="0"/>
              <w:bidi w:val="0"/>
              <w:spacing w:beforeAutospacing="0" w:after="0" w:afterAutospacing="0"/>
              <w:ind w:right="0"/>
              <w:rPr>
                <w:rFonts w:hint="eastAsia"/>
              </w:rPr>
            </w:pPr>
            <w:bookmarkStart w:id="83" w:name="_Ref502"/>
            <w:r>
              <w:rPr>
                <w:rFonts w:hint="eastAsia"/>
                <w:color w:val="auto"/>
              </w:rPr>
              <w:t>项目废气治理设施一览表</w:t>
            </w:r>
            <w:bookmarkEnd w:id="83"/>
          </w:p>
          <w:tbl>
            <w:tblPr>
              <w:tblStyle w:val="32"/>
              <w:tblW w:w="1247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998"/>
              <w:gridCol w:w="1143"/>
              <w:gridCol w:w="1143"/>
              <w:gridCol w:w="881"/>
              <w:gridCol w:w="841"/>
              <w:gridCol w:w="741"/>
              <w:gridCol w:w="916"/>
              <w:gridCol w:w="921"/>
              <w:gridCol w:w="1143"/>
              <w:gridCol w:w="1492"/>
              <w:gridCol w:w="674"/>
              <w:gridCol w:w="741"/>
              <w:gridCol w:w="8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97" w:hRule="atLeast"/>
                <w:tblHeader/>
                <w:jc w:val="center"/>
              </w:trPr>
              <w:tc>
                <w:tcPr>
                  <w:tcW w:w="998" w:type="dxa"/>
                  <w:vMerge w:val="restart"/>
                  <w:vAlign w:val="center"/>
                </w:tcPr>
                <w:p>
                  <w:pPr>
                    <w:pStyle w:val="37"/>
                    <w:keepNext w:val="0"/>
                    <w:keepLines w:val="0"/>
                    <w:widowControl/>
                    <w:suppressLineNumbers w:val="0"/>
                    <w:bidi w:val="0"/>
                    <w:spacing w:before="0" w:beforeAutospacing="0" w:after="0" w:afterAutospacing="0"/>
                    <w:ind w:right="0"/>
                    <w:rPr>
                      <w:rFonts w:hint="default"/>
                      <w:color w:val="auto"/>
                      <w:szCs w:val="20"/>
                    </w:rPr>
                  </w:pPr>
                  <w:r>
                    <w:rPr>
                      <w:rFonts w:hint="eastAsia"/>
                      <w:color w:val="auto"/>
                      <w:szCs w:val="20"/>
                    </w:rPr>
                    <w:t>污染源</w:t>
                  </w:r>
                </w:p>
              </w:tc>
              <w:tc>
                <w:tcPr>
                  <w:tcW w:w="1143" w:type="dxa"/>
                  <w:vMerge w:val="restart"/>
                  <w:vAlign w:val="center"/>
                </w:tcPr>
                <w:p>
                  <w:pPr>
                    <w:pStyle w:val="37"/>
                    <w:keepNext w:val="0"/>
                    <w:keepLines w:val="0"/>
                    <w:widowControl/>
                    <w:suppressLineNumbers w:val="0"/>
                    <w:bidi w:val="0"/>
                    <w:spacing w:before="0" w:beforeAutospacing="0" w:after="0" w:afterAutospacing="0"/>
                    <w:ind w:right="0"/>
                    <w:rPr>
                      <w:rFonts w:hint="eastAsia"/>
                      <w:color w:val="auto"/>
                      <w:szCs w:val="20"/>
                    </w:rPr>
                  </w:pPr>
                  <w:r>
                    <w:rPr>
                      <w:rFonts w:hint="eastAsia"/>
                      <w:color w:val="auto"/>
                      <w:szCs w:val="20"/>
                    </w:rPr>
                    <w:t>污染物</w:t>
                  </w:r>
                </w:p>
                <w:p>
                  <w:pPr>
                    <w:pStyle w:val="37"/>
                    <w:keepNext w:val="0"/>
                    <w:keepLines w:val="0"/>
                    <w:widowControl/>
                    <w:suppressLineNumbers w:val="0"/>
                    <w:bidi w:val="0"/>
                    <w:spacing w:before="0" w:beforeAutospacing="0" w:after="0" w:afterAutospacing="0"/>
                    <w:ind w:right="0"/>
                    <w:rPr>
                      <w:rFonts w:hint="default"/>
                      <w:color w:val="auto"/>
                      <w:szCs w:val="20"/>
                    </w:rPr>
                  </w:pPr>
                  <w:r>
                    <w:rPr>
                      <w:rFonts w:hint="eastAsia"/>
                      <w:color w:val="auto"/>
                      <w:szCs w:val="20"/>
                      <w:lang w:val="en-US" w:eastAsia="zh-CN"/>
                    </w:rPr>
                    <w:t>种类</w:t>
                  </w:r>
                </w:p>
              </w:tc>
              <w:tc>
                <w:tcPr>
                  <w:tcW w:w="3606" w:type="dxa"/>
                  <w:gridSpan w:val="4"/>
                  <w:vAlign w:val="center"/>
                </w:tcPr>
                <w:p>
                  <w:pPr>
                    <w:keepNext w:val="0"/>
                    <w:keepLines w:val="0"/>
                    <w:suppressLineNumbers w:val="0"/>
                    <w:spacing w:before="0" w:beforeAutospacing="0" w:after="0" w:afterAutospacing="0"/>
                    <w:ind w:left="0" w:right="0"/>
                    <w:jc w:val="center"/>
                    <w:rPr>
                      <w:rFonts w:hint="default"/>
                      <w:color w:val="auto"/>
                    </w:rPr>
                  </w:pPr>
                  <w:r>
                    <w:rPr>
                      <w:rFonts w:hint="default"/>
                      <w:color w:val="auto"/>
                    </w:rPr>
                    <w:t>治理措施</w:t>
                  </w:r>
                </w:p>
              </w:tc>
              <w:tc>
                <w:tcPr>
                  <w:tcW w:w="916" w:type="dxa"/>
                  <w:vMerge w:val="restart"/>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rPr>
                    <w:t>是否为可行技术</w:t>
                  </w:r>
                </w:p>
              </w:tc>
              <w:tc>
                <w:tcPr>
                  <w:tcW w:w="5811" w:type="dxa"/>
                  <w:gridSpan w:val="6"/>
                  <w:vAlign w:val="center"/>
                </w:tcPr>
                <w:p>
                  <w:pPr>
                    <w:keepNext w:val="0"/>
                    <w:keepLines w:val="0"/>
                    <w:suppressLineNumbers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排放口基本情况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97" w:hRule="atLeast"/>
                <w:tblHeader/>
                <w:jc w:val="center"/>
              </w:trPr>
              <w:tc>
                <w:tcPr>
                  <w:tcW w:w="998" w:type="dxa"/>
                  <w:vMerge w:val="continue"/>
                  <w:vAlign w:val="center"/>
                </w:tcPr>
                <w:p>
                  <w:pPr>
                    <w:pStyle w:val="37"/>
                    <w:keepNext w:val="0"/>
                    <w:keepLines w:val="0"/>
                    <w:widowControl/>
                    <w:suppressLineNumbers w:val="0"/>
                    <w:bidi w:val="0"/>
                    <w:spacing w:before="0" w:beforeAutospacing="0" w:after="0" w:afterAutospacing="0"/>
                    <w:ind w:right="0"/>
                    <w:rPr>
                      <w:rFonts w:hint="default"/>
                      <w:color w:val="auto"/>
                      <w:szCs w:val="20"/>
                    </w:rPr>
                  </w:pPr>
                </w:p>
              </w:tc>
              <w:tc>
                <w:tcPr>
                  <w:tcW w:w="1143" w:type="dxa"/>
                  <w:vMerge w:val="continue"/>
                  <w:vAlign w:val="center"/>
                </w:tcPr>
                <w:p>
                  <w:pPr>
                    <w:pStyle w:val="37"/>
                    <w:keepNext w:val="0"/>
                    <w:keepLines w:val="0"/>
                    <w:widowControl/>
                    <w:suppressLineNumbers w:val="0"/>
                    <w:bidi w:val="0"/>
                    <w:spacing w:before="0" w:beforeAutospacing="0" w:after="0" w:afterAutospacing="0"/>
                    <w:ind w:right="0"/>
                    <w:rPr>
                      <w:rFonts w:hint="default"/>
                      <w:color w:val="auto"/>
                      <w:szCs w:val="20"/>
                    </w:rPr>
                  </w:pPr>
                </w:p>
              </w:tc>
              <w:tc>
                <w:tcPr>
                  <w:tcW w:w="1143" w:type="dxa"/>
                  <w:vAlign w:val="center"/>
                </w:tcPr>
                <w:p>
                  <w:pPr>
                    <w:keepNext w:val="0"/>
                    <w:keepLines w:val="0"/>
                    <w:suppressLineNumbers w:val="0"/>
                    <w:spacing w:before="0" w:beforeAutospacing="0" w:after="0" w:afterAutospacing="0"/>
                    <w:ind w:left="0" w:right="0"/>
                    <w:jc w:val="center"/>
                    <w:rPr>
                      <w:rFonts w:hint="default"/>
                      <w:color w:val="auto"/>
                    </w:rPr>
                  </w:pPr>
                  <w:r>
                    <w:rPr>
                      <w:rFonts w:hint="default"/>
                      <w:color w:val="auto"/>
                    </w:rPr>
                    <w:t>工艺</w:t>
                  </w:r>
                </w:p>
              </w:tc>
              <w:tc>
                <w:tcPr>
                  <w:tcW w:w="881" w:type="dxa"/>
                  <w:vAlign w:val="center"/>
                </w:tcPr>
                <w:p>
                  <w:pPr>
                    <w:keepNext w:val="0"/>
                    <w:keepLines w:val="0"/>
                    <w:suppressLineNumbers w:val="0"/>
                    <w:spacing w:before="0" w:beforeAutospacing="0" w:after="0" w:afterAutospacing="0"/>
                    <w:ind w:left="0" w:right="0"/>
                    <w:jc w:val="center"/>
                    <w:rPr>
                      <w:rFonts w:hint="eastAsia"/>
                      <w:color w:val="auto"/>
                    </w:rPr>
                  </w:pPr>
                  <w:r>
                    <w:rPr>
                      <w:rFonts w:hint="eastAsia"/>
                      <w:color w:val="auto"/>
                    </w:rPr>
                    <w:t>风量</w:t>
                  </w:r>
                </w:p>
                <w:p>
                  <w:pPr>
                    <w:keepNext w:val="0"/>
                    <w:keepLines w:val="0"/>
                    <w:suppressLineNumbers w:val="0"/>
                    <w:spacing w:before="0" w:beforeAutospacing="0" w:after="0" w:afterAutospacing="0"/>
                    <w:ind w:left="0" w:right="0"/>
                    <w:jc w:val="center"/>
                    <w:rPr>
                      <w:rFonts w:hint="default"/>
                      <w:color w:val="auto"/>
                    </w:rPr>
                  </w:pPr>
                  <w:r>
                    <w:rPr>
                      <w:rFonts w:hint="default"/>
                      <w:color w:val="auto"/>
                    </w:rPr>
                    <w:t>m</w:t>
                  </w:r>
                  <w:r>
                    <w:rPr>
                      <w:rFonts w:hint="default"/>
                      <w:color w:val="auto"/>
                      <w:vertAlign w:val="superscript"/>
                    </w:rPr>
                    <w:t>3</w:t>
                  </w:r>
                  <w:r>
                    <w:rPr>
                      <w:rFonts w:hint="default"/>
                      <w:color w:val="auto"/>
                    </w:rPr>
                    <w:t>/h</w:t>
                  </w:r>
                </w:p>
              </w:tc>
              <w:tc>
                <w:tcPr>
                  <w:tcW w:w="841" w:type="dxa"/>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rPr>
                    <w:t>收集效率%</w:t>
                  </w:r>
                </w:p>
              </w:tc>
              <w:tc>
                <w:tcPr>
                  <w:tcW w:w="741" w:type="dxa"/>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rPr>
                    <w:t>去除</w:t>
                  </w:r>
                  <w:r>
                    <w:rPr>
                      <w:rFonts w:hint="default"/>
                      <w:color w:val="auto"/>
                    </w:rPr>
                    <w:t>效率%</w:t>
                  </w:r>
                </w:p>
              </w:tc>
              <w:tc>
                <w:tcPr>
                  <w:tcW w:w="916" w:type="dxa"/>
                  <w:vMerge w:val="continue"/>
                  <w:vAlign w:val="center"/>
                </w:tcPr>
                <w:p>
                  <w:pPr>
                    <w:keepNext w:val="0"/>
                    <w:keepLines w:val="0"/>
                    <w:suppressLineNumbers w:val="0"/>
                    <w:spacing w:before="0" w:beforeAutospacing="0" w:after="0" w:afterAutospacing="0"/>
                    <w:ind w:left="0" w:right="0"/>
                    <w:jc w:val="center"/>
                    <w:rPr>
                      <w:rFonts w:hint="default"/>
                      <w:color w:val="auto"/>
                    </w:rPr>
                  </w:pPr>
                </w:p>
              </w:tc>
              <w:tc>
                <w:tcPr>
                  <w:tcW w:w="921" w:type="dxa"/>
                  <w:vAlign w:val="center"/>
                </w:tcPr>
                <w:p>
                  <w:pPr>
                    <w:keepNext w:val="0"/>
                    <w:keepLines w:val="0"/>
                    <w:suppressLineNumbers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编号</w:t>
                  </w:r>
                </w:p>
              </w:tc>
              <w:tc>
                <w:tcPr>
                  <w:tcW w:w="1143" w:type="dxa"/>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lang w:val="en-US" w:eastAsia="zh-CN"/>
                    </w:rPr>
                    <w:t>类型</w:t>
                  </w:r>
                </w:p>
              </w:tc>
              <w:tc>
                <w:tcPr>
                  <w:tcW w:w="1492" w:type="dxa"/>
                  <w:vAlign w:val="center"/>
                </w:tcPr>
                <w:p>
                  <w:pPr>
                    <w:keepNext w:val="0"/>
                    <w:keepLines w:val="0"/>
                    <w:suppressLineNumbers w:val="0"/>
                    <w:spacing w:before="0" w:beforeAutospacing="0" w:after="0" w:afterAutospacing="0"/>
                    <w:ind w:left="0" w:right="0"/>
                    <w:jc w:val="center"/>
                    <w:rPr>
                      <w:rFonts w:hint="default"/>
                      <w:color w:val="auto"/>
                      <w:highlight w:val="none"/>
                    </w:rPr>
                  </w:pPr>
                  <w:r>
                    <w:rPr>
                      <w:rFonts w:hint="eastAsia"/>
                      <w:color w:val="auto"/>
                      <w:szCs w:val="21"/>
                      <w:highlight w:val="none"/>
                    </w:rPr>
                    <w:t>地理坐标</w:t>
                  </w:r>
                </w:p>
              </w:tc>
              <w:tc>
                <w:tcPr>
                  <w:tcW w:w="674" w:type="dxa"/>
                  <w:vAlign w:val="center"/>
                </w:tcPr>
                <w:p>
                  <w:pPr>
                    <w:keepNext w:val="0"/>
                    <w:keepLines w:val="0"/>
                    <w:suppressLineNumbers w:val="0"/>
                    <w:spacing w:before="0" w:beforeAutospacing="0" w:after="0" w:afterAutospacing="0"/>
                    <w:ind w:left="0" w:right="0"/>
                    <w:jc w:val="center"/>
                    <w:rPr>
                      <w:rFonts w:hint="eastAsia"/>
                      <w:color w:val="auto"/>
                      <w:lang w:val="en-US" w:eastAsia="zh-CN"/>
                    </w:rPr>
                  </w:pPr>
                  <w:r>
                    <w:rPr>
                      <w:rFonts w:hint="eastAsia"/>
                      <w:color w:val="auto"/>
                      <w:lang w:val="en-US" w:eastAsia="zh-CN"/>
                    </w:rPr>
                    <w:t>高度</w:t>
                  </w:r>
                </w:p>
                <w:p>
                  <w:pPr>
                    <w:keepNext w:val="0"/>
                    <w:keepLines w:val="0"/>
                    <w:suppressLineNumbers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m</w:t>
                  </w:r>
                </w:p>
              </w:tc>
              <w:tc>
                <w:tcPr>
                  <w:tcW w:w="741" w:type="dxa"/>
                  <w:vAlign w:val="center"/>
                </w:tcPr>
                <w:p>
                  <w:pPr>
                    <w:keepNext w:val="0"/>
                    <w:keepLines w:val="0"/>
                    <w:suppressLineNumbers w:val="0"/>
                    <w:spacing w:before="0" w:beforeAutospacing="0" w:after="0" w:afterAutospacing="0"/>
                    <w:ind w:left="0" w:right="0"/>
                    <w:jc w:val="center"/>
                    <w:rPr>
                      <w:rFonts w:hint="eastAsia"/>
                      <w:color w:val="auto"/>
                      <w:lang w:val="en-US" w:eastAsia="zh-CN"/>
                    </w:rPr>
                  </w:pPr>
                  <w:r>
                    <w:rPr>
                      <w:rFonts w:hint="eastAsia"/>
                      <w:color w:val="auto"/>
                      <w:lang w:val="en-US" w:eastAsia="zh-CN"/>
                    </w:rPr>
                    <w:t>内径</w:t>
                  </w:r>
                </w:p>
                <w:p>
                  <w:pPr>
                    <w:keepNext w:val="0"/>
                    <w:keepLines w:val="0"/>
                    <w:suppressLineNumbers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m</w:t>
                  </w:r>
                </w:p>
              </w:tc>
              <w:tc>
                <w:tcPr>
                  <w:tcW w:w="84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温度</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86" w:hRule="exact"/>
                <w:jc w:val="center"/>
              </w:trPr>
              <w:tc>
                <w:tcPr>
                  <w:tcW w:w="998" w:type="dxa"/>
                  <w:vMerge w:val="restart"/>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酸性废气</w:t>
                  </w:r>
                </w:p>
              </w:tc>
              <w:tc>
                <w:tcPr>
                  <w:tcW w:w="1143" w:type="dxa"/>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氯化氢</w:t>
                  </w:r>
                </w:p>
              </w:tc>
              <w:tc>
                <w:tcPr>
                  <w:tcW w:w="1143" w:type="dxa"/>
                  <w:vMerge w:val="restar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center"/>
                    <w:textAlignment w:val="auto"/>
                    <w:rPr>
                      <w:rFonts w:hint="default"/>
                      <w:color w:val="auto"/>
                      <w:lang w:val="en-US" w:eastAsia="zh-CN"/>
                    </w:rPr>
                  </w:pPr>
                  <w:r>
                    <w:rPr>
                      <w:rFonts w:hint="eastAsia"/>
                      <w:color w:val="auto"/>
                      <w:szCs w:val="21"/>
                      <w:lang w:val="en-US" w:eastAsia="zh-CN"/>
                    </w:rPr>
                    <w:t>通风橱/集气罩+碱液喷淋</w:t>
                  </w:r>
                </w:p>
              </w:tc>
              <w:tc>
                <w:tcPr>
                  <w:tcW w:w="881" w:type="dxa"/>
                  <w:vMerge w:val="restart"/>
                  <w:vAlign w:val="center"/>
                </w:tcPr>
                <w:p>
                  <w:pPr>
                    <w:keepNext w:val="0"/>
                    <w:keepLines w:val="0"/>
                    <w:suppressLineNumbers w:val="0"/>
                    <w:spacing w:before="0" w:beforeAutospacing="0" w:after="0" w:afterAutospacing="0"/>
                    <w:ind w:left="0" w:right="0"/>
                    <w:jc w:val="center"/>
                    <w:rPr>
                      <w:rFonts w:hint="default"/>
                      <w:color w:val="auto"/>
                      <w:szCs w:val="21"/>
                      <w:lang w:val="en-US"/>
                    </w:rPr>
                  </w:pPr>
                  <w:r>
                    <w:rPr>
                      <w:rFonts w:hint="eastAsia" w:cs="Times New Roman"/>
                      <w:color w:val="auto"/>
                      <w:szCs w:val="21"/>
                      <w:lang w:val="en-US" w:eastAsia="zh-CN"/>
                    </w:rPr>
                    <w:t>15800</w:t>
                  </w:r>
                </w:p>
              </w:tc>
              <w:tc>
                <w:tcPr>
                  <w:tcW w:w="841" w:type="dxa"/>
                  <w:vMerge w:val="restart"/>
                  <w:vAlign w:val="center"/>
                </w:tcPr>
                <w:p>
                  <w:pPr>
                    <w:keepNext w:val="0"/>
                    <w:keepLines w:val="0"/>
                    <w:suppressLineNumbers w:val="0"/>
                    <w:adjustRightInd w:val="0"/>
                    <w:snapToGrid w:val="0"/>
                    <w:spacing w:before="0" w:beforeAutospacing="0" w:after="0" w:afterAutospacing="0"/>
                    <w:ind w:left="420" w:right="0" w:hanging="420"/>
                    <w:jc w:val="center"/>
                    <w:rPr>
                      <w:rFonts w:hint="default" w:eastAsia="宋体"/>
                      <w:color w:val="auto"/>
                      <w:szCs w:val="21"/>
                      <w:lang w:val="en-US" w:eastAsia="zh-CN"/>
                    </w:rPr>
                  </w:pPr>
                  <w:r>
                    <w:rPr>
                      <w:rFonts w:hint="eastAsia"/>
                      <w:color w:val="auto"/>
                      <w:szCs w:val="21"/>
                      <w:lang w:val="en-US" w:eastAsia="zh-CN"/>
                    </w:rPr>
                    <w:t>65</w:t>
                  </w:r>
                </w:p>
              </w:tc>
              <w:tc>
                <w:tcPr>
                  <w:tcW w:w="741" w:type="dxa"/>
                  <w:vMerge w:val="restart"/>
                  <w:vAlign w:val="center"/>
                </w:tcPr>
                <w:p>
                  <w:pPr>
                    <w:keepNext w:val="0"/>
                    <w:keepLines w:val="0"/>
                    <w:suppressLineNumbers w:val="0"/>
                    <w:adjustRightInd w:val="0"/>
                    <w:snapToGrid w:val="0"/>
                    <w:spacing w:before="0" w:beforeAutospacing="0" w:after="0" w:afterAutospacing="0"/>
                    <w:ind w:left="420" w:right="0" w:hanging="420"/>
                    <w:jc w:val="center"/>
                    <w:rPr>
                      <w:rFonts w:hint="default" w:eastAsia="宋体"/>
                      <w:color w:val="auto"/>
                      <w:szCs w:val="21"/>
                      <w:lang w:val="en-US" w:eastAsia="zh-CN"/>
                    </w:rPr>
                  </w:pPr>
                  <w:r>
                    <w:rPr>
                      <w:rFonts w:hint="eastAsia"/>
                      <w:color w:val="auto"/>
                      <w:szCs w:val="21"/>
                      <w:lang w:val="en-US" w:eastAsia="zh-CN"/>
                    </w:rPr>
                    <w:t>80</w:t>
                  </w:r>
                </w:p>
              </w:tc>
              <w:tc>
                <w:tcPr>
                  <w:tcW w:w="916" w:type="dxa"/>
                  <w:vMerge w:val="restart"/>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rPr>
                    <w:t>是</w:t>
                  </w:r>
                </w:p>
              </w:tc>
              <w:tc>
                <w:tcPr>
                  <w:tcW w:w="921" w:type="dxa"/>
                  <w:vMerge w:val="restart"/>
                  <w:vAlign w:val="center"/>
                </w:tcPr>
                <w:p>
                  <w:pPr>
                    <w:keepNext w:val="0"/>
                    <w:keepLines w:val="0"/>
                    <w:suppressLineNumbers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DA001</w:t>
                  </w:r>
                </w:p>
              </w:tc>
              <w:tc>
                <w:tcPr>
                  <w:tcW w:w="1143" w:type="dxa"/>
                  <w:vMerge w:val="restart"/>
                  <w:vAlign w:val="center"/>
                </w:tcPr>
                <w:p>
                  <w:pPr>
                    <w:keepNext w:val="0"/>
                    <w:keepLines w:val="0"/>
                    <w:suppressLineNumbers w:val="0"/>
                    <w:spacing w:before="0" w:beforeAutospacing="0" w:after="0" w:afterAutospacing="0"/>
                    <w:ind w:left="0" w:right="0"/>
                    <w:jc w:val="center"/>
                    <w:rPr>
                      <w:rFonts w:hint="eastAsia"/>
                      <w:color w:val="auto"/>
                    </w:rPr>
                  </w:pPr>
                  <w:r>
                    <w:rPr>
                      <w:rFonts w:hint="eastAsia" w:cs="Courier New"/>
                      <w:color w:val="auto"/>
                    </w:rPr>
                    <w:t>一般排放口</w:t>
                  </w:r>
                </w:p>
              </w:tc>
              <w:tc>
                <w:tcPr>
                  <w:tcW w:w="1492" w:type="dxa"/>
                  <w:vMerge w:val="restar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both"/>
                    <w:textAlignment w:val="auto"/>
                    <w:rPr>
                      <w:rFonts w:hint="default"/>
                      <w:color w:val="auto"/>
                      <w:highlight w:val="none"/>
                    </w:rPr>
                  </w:pPr>
                  <w:r>
                    <w:rPr>
                      <w:rFonts w:hint="default"/>
                      <w:color w:val="auto"/>
                      <w:highlight w:val="none"/>
                    </w:rPr>
                    <w:t>E</w:t>
                  </w:r>
                  <w:r>
                    <w:rPr>
                      <w:rFonts w:hint="eastAsia"/>
                      <w:color w:val="auto"/>
                      <w:highlight w:val="none"/>
                      <w:lang w:eastAsia="zh-CN"/>
                    </w:rPr>
                    <w:t>:</w:t>
                  </w:r>
                  <w:r>
                    <w:rPr>
                      <w:rFonts w:hint="default"/>
                      <w:color w:val="auto"/>
                      <w:highlight w:val="none"/>
                    </w:rPr>
                    <w:t>119.405601</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both"/>
                    <w:textAlignment w:val="auto"/>
                    <w:rPr>
                      <w:rFonts w:hint="eastAsia"/>
                      <w:color w:val="auto"/>
                      <w:highlight w:val="none"/>
                    </w:rPr>
                  </w:pPr>
                  <w:r>
                    <w:rPr>
                      <w:rFonts w:hint="default"/>
                      <w:color w:val="auto"/>
                      <w:highlight w:val="none"/>
                    </w:rPr>
                    <w:t>N</w:t>
                  </w:r>
                  <w:r>
                    <w:rPr>
                      <w:rFonts w:hint="eastAsia"/>
                      <w:color w:val="auto"/>
                      <w:highlight w:val="none"/>
                      <w:lang w:eastAsia="zh-CN"/>
                    </w:rPr>
                    <w:t>:</w:t>
                  </w:r>
                  <w:r>
                    <w:rPr>
                      <w:rFonts w:hint="default"/>
                      <w:color w:val="auto"/>
                      <w:highlight w:val="none"/>
                    </w:rPr>
                    <w:t>25.760804</w:t>
                  </w:r>
                </w:p>
              </w:tc>
              <w:tc>
                <w:tcPr>
                  <w:tcW w:w="674" w:type="dxa"/>
                  <w:vMerge w:val="restart"/>
                  <w:vAlign w:val="center"/>
                </w:tcPr>
                <w:p>
                  <w:pPr>
                    <w:keepNext w:val="0"/>
                    <w:keepLines w:val="0"/>
                    <w:suppressLineNumbers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25</w:t>
                  </w:r>
                </w:p>
              </w:tc>
              <w:tc>
                <w:tcPr>
                  <w:tcW w:w="741" w:type="dxa"/>
                  <w:vMerge w:val="restart"/>
                  <w:vAlign w:val="center"/>
                </w:tcPr>
                <w:p>
                  <w:pPr>
                    <w:keepNext w:val="0"/>
                    <w:keepLines w:val="0"/>
                    <w:suppressLineNumbers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0.5</w:t>
                  </w:r>
                </w:p>
              </w:tc>
              <w:tc>
                <w:tcPr>
                  <w:tcW w:w="840"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常温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86" w:hRule="exact"/>
                <w:jc w:val="center"/>
              </w:trPr>
              <w:tc>
                <w:tcPr>
                  <w:tcW w:w="998" w:type="dxa"/>
                  <w:vMerge w:val="continue"/>
                  <w:vAlign w:val="center"/>
                </w:tcPr>
                <w:p>
                  <w:pPr>
                    <w:pStyle w:val="37"/>
                    <w:keepNext w:val="0"/>
                    <w:keepLines w:val="0"/>
                    <w:widowControl/>
                    <w:suppressLineNumbers w:val="0"/>
                    <w:bidi w:val="0"/>
                    <w:spacing w:before="0" w:beforeAutospacing="0" w:after="0" w:afterAutospacing="0"/>
                    <w:ind w:right="0"/>
                    <w:rPr>
                      <w:rFonts w:hint="eastAsia"/>
                      <w:color w:val="auto"/>
                      <w:szCs w:val="20"/>
                      <w:lang w:val="en-US" w:eastAsia="zh-CN"/>
                    </w:rPr>
                  </w:pPr>
                </w:p>
              </w:tc>
              <w:tc>
                <w:tcPr>
                  <w:tcW w:w="1143" w:type="dxa"/>
                  <w:vAlign w:val="center"/>
                </w:tcPr>
                <w:p>
                  <w:pPr>
                    <w:pStyle w:val="37"/>
                    <w:keepNext w:val="0"/>
                    <w:keepLines w:val="0"/>
                    <w:widowControl/>
                    <w:suppressLineNumbers w:val="0"/>
                    <w:bidi w:val="0"/>
                    <w:spacing w:before="0" w:beforeAutospacing="0" w:after="0" w:afterAutospacing="0"/>
                    <w:ind w:right="0"/>
                    <w:rPr>
                      <w:rFonts w:hint="eastAsia"/>
                      <w:color w:val="auto"/>
                      <w:szCs w:val="20"/>
                      <w:lang w:val="en-US" w:eastAsia="zh-CN"/>
                    </w:rPr>
                  </w:pPr>
                  <w:r>
                    <w:rPr>
                      <w:rFonts w:hint="eastAsia"/>
                      <w:color w:val="auto"/>
                      <w:szCs w:val="20"/>
                      <w:lang w:val="en-US" w:eastAsia="zh-CN"/>
                    </w:rPr>
                    <w:t>硫酸雾</w:t>
                  </w:r>
                </w:p>
              </w:tc>
              <w:tc>
                <w:tcPr>
                  <w:tcW w:w="1143" w:type="dxa"/>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center"/>
                    <w:textAlignment w:val="auto"/>
                    <w:rPr>
                      <w:rFonts w:hint="default"/>
                      <w:color w:val="auto"/>
                      <w:lang w:val="en-US" w:eastAsia="zh-CN"/>
                    </w:rPr>
                  </w:pPr>
                </w:p>
              </w:tc>
              <w:tc>
                <w:tcPr>
                  <w:tcW w:w="881"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p>
              </w:tc>
              <w:tc>
                <w:tcPr>
                  <w:tcW w:w="841" w:type="dxa"/>
                  <w:vMerge w:val="continue"/>
                  <w:vAlign w:val="center"/>
                </w:tcPr>
                <w:p>
                  <w:pPr>
                    <w:keepNext w:val="0"/>
                    <w:keepLines w:val="0"/>
                    <w:suppressLineNumbers w:val="0"/>
                    <w:adjustRightInd w:val="0"/>
                    <w:snapToGrid w:val="0"/>
                    <w:spacing w:before="0" w:beforeAutospacing="0" w:after="0" w:afterAutospacing="0"/>
                    <w:ind w:left="420" w:right="0" w:hanging="420"/>
                    <w:jc w:val="center"/>
                    <w:rPr>
                      <w:rFonts w:hint="eastAsia"/>
                      <w:color w:val="auto"/>
                      <w:szCs w:val="21"/>
                    </w:rPr>
                  </w:pPr>
                </w:p>
              </w:tc>
              <w:tc>
                <w:tcPr>
                  <w:tcW w:w="741" w:type="dxa"/>
                  <w:vMerge w:val="continue"/>
                  <w:vAlign w:val="center"/>
                </w:tcPr>
                <w:p>
                  <w:pPr>
                    <w:keepNext w:val="0"/>
                    <w:keepLines w:val="0"/>
                    <w:suppressLineNumbers w:val="0"/>
                    <w:adjustRightInd w:val="0"/>
                    <w:snapToGrid w:val="0"/>
                    <w:spacing w:before="0" w:beforeAutospacing="0" w:after="0" w:afterAutospacing="0"/>
                    <w:ind w:left="420" w:right="0" w:hanging="420"/>
                    <w:jc w:val="center"/>
                    <w:rPr>
                      <w:rFonts w:hint="eastAsia"/>
                      <w:color w:val="auto"/>
                      <w:szCs w:val="21"/>
                      <w:lang w:val="en-US" w:eastAsia="zh-CN"/>
                    </w:rPr>
                  </w:pPr>
                </w:p>
              </w:tc>
              <w:tc>
                <w:tcPr>
                  <w:tcW w:w="916" w:type="dxa"/>
                  <w:vMerge w:val="continue"/>
                  <w:vAlign w:val="center"/>
                </w:tcPr>
                <w:p>
                  <w:pPr>
                    <w:keepNext w:val="0"/>
                    <w:keepLines w:val="0"/>
                    <w:suppressLineNumbers w:val="0"/>
                    <w:spacing w:before="0" w:beforeAutospacing="0" w:after="0" w:afterAutospacing="0"/>
                    <w:ind w:left="0" w:right="0"/>
                    <w:jc w:val="center"/>
                    <w:rPr>
                      <w:rFonts w:hint="eastAsia"/>
                      <w:color w:val="auto"/>
                    </w:rPr>
                  </w:pPr>
                </w:p>
              </w:tc>
              <w:tc>
                <w:tcPr>
                  <w:tcW w:w="921" w:type="dxa"/>
                  <w:vMerge w:val="continue"/>
                  <w:vAlign w:val="center"/>
                </w:tcPr>
                <w:p>
                  <w:pPr>
                    <w:keepNext w:val="0"/>
                    <w:keepLines w:val="0"/>
                    <w:suppressLineNumbers w:val="0"/>
                    <w:spacing w:before="0" w:beforeAutospacing="0" w:after="0" w:afterAutospacing="0"/>
                    <w:ind w:left="0" w:right="0"/>
                    <w:jc w:val="center"/>
                    <w:rPr>
                      <w:rFonts w:hint="eastAsia"/>
                      <w:color w:val="auto"/>
                      <w:lang w:val="en-US" w:eastAsia="zh-CN"/>
                    </w:rPr>
                  </w:pPr>
                </w:p>
              </w:tc>
              <w:tc>
                <w:tcPr>
                  <w:tcW w:w="1143" w:type="dxa"/>
                  <w:vMerge w:val="continue"/>
                  <w:vAlign w:val="center"/>
                </w:tcPr>
                <w:p>
                  <w:pPr>
                    <w:keepNext w:val="0"/>
                    <w:keepLines w:val="0"/>
                    <w:suppressLineNumbers w:val="0"/>
                    <w:spacing w:before="0" w:beforeAutospacing="0" w:after="0" w:afterAutospacing="0"/>
                    <w:ind w:left="0" w:right="0"/>
                    <w:jc w:val="center"/>
                    <w:rPr>
                      <w:rFonts w:hint="eastAsia" w:cs="Courier New"/>
                      <w:color w:val="auto"/>
                    </w:rPr>
                  </w:pPr>
                </w:p>
              </w:tc>
              <w:tc>
                <w:tcPr>
                  <w:tcW w:w="1492" w:type="dxa"/>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both"/>
                    <w:textAlignment w:val="auto"/>
                    <w:rPr>
                      <w:rFonts w:hint="default"/>
                      <w:color w:val="auto"/>
                      <w:highlight w:val="none"/>
                    </w:rPr>
                  </w:pPr>
                </w:p>
              </w:tc>
              <w:tc>
                <w:tcPr>
                  <w:tcW w:w="674" w:type="dxa"/>
                  <w:vMerge w:val="continue"/>
                  <w:vAlign w:val="center"/>
                </w:tcPr>
                <w:p>
                  <w:pPr>
                    <w:keepNext w:val="0"/>
                    <w:keepLines w:val="0"/>
                    <w:suppressLineNumbers w:val="0"/>
                    <w:spacing w:before="0" w:beforeAutospacing="0" w:after="0" w:afterAutospacing="0"/>
                    <w:ind w:left="0" w:right="0"/>
                    <w:jc w:val="center"/>
                    <w:rPr>
                      <w:rFonts w:hint="eastAsia"/>
                      <w:color w:val="auto"/>
                      <w:lang w:val="en-US" w:eastAsia="zh-CN"/>
                    </w:rPr>
                  </w:pPr>
                </w:p>
              </w:tc>
              <w:tc>
                <w:tcPr>
                  <w:tcW w:w="741" w:type="dxa"/>
                  <w:vMerge w:val="continue"/>
                  <w:vAlign w:val="center"/>
                </w:tcPr>
                <w:p>
                  <w:pPr>
                    <w:keepNext w:val="0"/>
                    <w:keepLines w:val="0"/>
                    <w:suppressLineNumbers w:val="0"/>
                    <w:spacing w:before="0" w:beforeAutospacing="0" w:after="0" w:afterAutospacing="0"/>
                    <w:ind w:left="0" w:right="0"/>
                    <w:jc w:val="center"/>
                    <w:rPr>
                      <w:rFonts w:hint="eastAsia"/>
                      <w:color w:val="auto"/>
                      <w:lang w:val="en-US" w:eastAsia="zh-CN"/>
                    </w:rPr>
                  </w:pPr>
                </w:p>
              </w:tc>
              <w:tc>
                <w:tcPr>
                  <w:tcW w:w="840" w:type="dxa"/>
                  <w:vMerge w:val="continue"/>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86" w:hRule="exact"/>
                <w:jc w:val="center"/>
              </w:trPr>
              <w:tc>
                <w:tcPr>
                  <w:tcW w:w="998" w:type="dxa"/>
                  <w:vMerge w:val="continue"/>
                  <w:vAlign w:val="center"/>
                </w:tcPr>
                <w:p>
                  <w:pPr>
                    <w:pStyle w:val="37"/>
                    <w:keepNext w:val="0"/>
                    <w:keepLines w:val="0"/>
                    <w:widowControl/>
                    <w:suppressLineNumbers w:val="0"/>
                    <w:bidi w:val="0"/>
                    <w:spacing w:before="0" w:beforeAutospacing="0" w:after="0" w:afterAutospacing="0"/>
                    <w:ind w:right="0"/>
                    <w:rPr>
                      <w:rFonts w:hint="eastAsia"/>
                      <w:color w:val="auto"/>
                      <w:szCs w:val="20"/>
                      <w:lang w:val="en-US" w:eastAsia="zh-CN"/>
                    </w:rPr>
                  </w:pPr>
                </w:p>
              </w:tc>
              <w:tc>
                <w:tcPr>
                  <w:tcW w:w="1143" w:type="dxa"/>
                  <w:vAlign w:val="center"/>
                </w:tcPr>
                <w:p>
                  <w:pPr>
                    <w:pStyle w:val="37"/>
                    <w:keepNext w:val="0"/>
                    <w:keepLines w:val="0"/>
                    <w:widowControl/>
                    <w:suppressLineNumbers w:val="0"/>
                    <w:bidi w:val="0"/>
                    <w:spacing w:before="0" w:beforeAutospacing="0" w:after="0" w:afterAutospacing="0"/>
                    <w:ind w:left="0" w:leftChars="0" w:right="0" w:rightChars="0" w:firstLine="0" w:firstLineChars="0"/>
                    <w:rPr>
                      <w:rFonts w:hint="eastAsia"/>
                      <w:color w:val="auto"/>
                      <w:szCs w:val="20"/>
                      <w:lang w:val="en-US" w:eastAsia="zh-CN"/>
                    </w:rPr>
                  </w:pPr>
                  <w:r>
                    <w:rPr>
                      <w:rFonts w:hint="eastAsia"/>
                      <w:color w:val="auto"/>
                      <w:szCs w:val="20"/>
                      <w:lang w:val="en-US" w:eastAsia="zh-CN"/>
                    </w:rPr>
                    <w:t>氯化氢</w:t>
                  </w:r>
                </w:p>
              </w:tc>
              <w:tc>
                <w:tcPr>
                  <w:tcW w:w="1143" w:type="dxa"/>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center"/>
                    <w:textAlignment w:val="auto"/>
                    <w:rPr>
                      <w:rFonts w:hint="default"/>
                      <w:color w:val="auto"/>
                      <w:lang w:val="en-US" w:eastAsia="zh-CN"/>
                    </w:rPr>
                  </w:pPr>
                </w:p>
              </w:tc>
              <w:tc>
                <w:tcPr>
                  <w:tcW w:w="881"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7200</w:t>
                  </w:r>
                </w:p>
              </w:tc>
              <w:tc>
                <w:tcPr>
                  <w:tcW w:w="841" w:type="dxa"/>
                  <w:vMerge w:val="continue"/>
                  <w:vAlign w:val="center"/>
                </w:tcPr>
                <w:p>
                  <w:pPr>
                    <w:keepNext w:val="0"/>
                    <w:keepLines w:val="0"/>
                    <w:suppressLineNumbers w:val="0"/>
                    <w:adjustRightInd w:val="0"/>
                    <w:snapToGrid w:val="0"/>
                    <w:spacing w:before="0" w:beforeAutospacing="0" w:after="0" w:afterAutospacing="0"/>
                    <w:ind w:left="420" w:right="0" w:hanging="420"/>
                    <w:jc w:val="center"/>
                    <w:rPr>
                      <w:rFonts w:hint="eastAsia"/>
                      <w:color w:val="auto"/>
                      <w:szCs w:val="21"/>
                    </w:rPr>
                  </w:pPr>
                </w:p>
              </w:tc>
              <w:tc>
                <w:tcPr>
                  <w:tcW w:w="741" w:type="dxa"/>
                  <w:vMerge w:val="continue"/>
                  <w:vAlign w:val="center"/>
                </w:tcPr>
                <w:p>
                  <w:pPr>
                    <w:keepNext w:val="0"/>
                    <w:keepLines w:val="0"/>
                    <w:suppressLineNumbers w:val="0"/>
                    <w:adjustRightInd w:val="0"/>
                    <w:snapToGrid w:val="0"/>
                    <w:spacing w:before="0" w:beforeAutospacing="0" w:after="0" w:afterAutospacing="0"/>
                    <w:ind w:left="420" w:right="0" w:hanging="420"/>
                    <w:jc w:val="center"/>
                    <w:rPr>
                      <w:rFonts w:hint="eastAsia"/>
                      <w:color w:val="auto"/>
                      <w:szCs w:val="21"/>
                      <w:lang w:val="en-US" w:eastAsia="zh-CN"/>
                    </w:rPr>
                  </w:pPr>
                </w:p>
              </w:tc>
              <w:tc>
                <w:tcPr>
                  <w:tcW w:w="916" w:type="dxa"/>
                  <w:vMerge w:val="continue"/>
                  <w:vAlign w:val="center"/>
                </w:tcPr>
                <w:p>
                  <w:pPr>
                    <w:keepNext w:val="0"/>
                    <w:keepLines w:val="0"/>
                    <w:suppressLineNumbers w:val="0"/>
                    <w:spacing w:before="0" w:beforeAutospacing="0" w:after="0" w:afterAutospacing="0"/>
                    <w:ind w:left="0" w:right="0"/>
                    <w:jc w:val="center"/>
                    <w:rPr>
                      <w:rFonts w:hint="eastAsia"/>
                      <w:color w:val="auto"/>
                    </w:rPr>
                  </w:pPr>
                </w:p>
              </w:tc>
              <w:tc>
                <w:tcPr>
                  <w:tcW w:w="921" w:type="dxa"/>
                  <w:vMerge w:val="restart"/>
                  <w:vAlign w:val="center"/>
                </w:tcPr>
                <w:p>
                  <w:pPr>
                    <w:keepNext w:val="0"/>
                    <w:keepLines w:val="0"/>
                    <w:suppressLineNumbers w:val="0"/>
                    <w:spacing w:before="0" w:beforeAutospacing="0" w:after="0" w:afterAutospacing="0"/>
                    <w:ind w:left="0" w:right="0"/>
                    <w:jc w:val="center"/>
                    <w:rPr>
                      <w:rFonts w:hint="eastAsia"/>
                      <w:color w:val="auto"/>
                      <w:lang w:val="en-US" w:eastAsia="zh-CN"/>
                    </w:rPr>
                  </w:pPr>
                  <w:r>
                    <w:rPr>
                      <w:rFonts w:hint="eastAsia"/>
                      <w:color w:val="auto"/>
                      <w:lang w:val="en-US" w:eastAsia="zh-CN"/>
                    </w:rPr>
                    <w:t>DA002</w:t>
                  </w:r>
                </w:p>
              </w:tc>
              <w:tc>
                <w:tcPr>
                  <w:tcW w:w="1143" w:type="dxa"/>
                  <w:vMerge w:val="restart"/>
                  <w:vAlign w:val="center"/>
                </w:tcPr>
                <w:p>
                  <w:pPr>
                    <w:keepNext w:val="0"/>
                    <w:keepLines w:val="0"/>
                    <w:suppressLineNumbers w:val="0"/>
                    <w:spacing w:before="0" w:beforeAutospacing="0" w:after="0" w:afterAutospacing="0"/>
                    <w:ind w:left="0" w:right="0"/>
                    <w:jc w:val="center"/>
                    <w:rPr>
                      <w:rFonts w:hint="eastAsia" w:cs="Courier New"/>
                      <w:color w:val="auto"/>
                    </w:rPr>
                  </w:pPr>
                  <w:r>
                    <w:rPr>
                      <w:rFonts w:hint="eastAsia" w:cs="Courier New"/>
                      <w:color w:val="auto"/>
                    </w:rPr>
                    <w:t>一般排放口</w:t>
                  </w:r>
                </w:p>
              </w:tc>
              <w:tc>
                <w:tcPr>
                  <w:tcW w:w="1492" w:type="dxa"/>
                  <w:vMerge w:val="restar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both"/>
                    <w:textAlignment w:val="auto"/>
                    <w:rPr>
                      <w:rFonts w:hint="default"/>
                      <w:color w:val="auto"/>
                      <w:highlight w:val="none"/>
                    </w:rPr>
                  </w:pPr>
                  <w:r>
                    <w:rPr>
                      <w:rFonts w:hint="default"/>
                      <w:color w:val="auto"/>
                      <w:highlight w:val="none"/>
                    </w:rPr>
                    <w:t>E</w:t>
                  </w:r>
                  <w:r>
                    <w:rPr>
                      <w:rFonts w:hint="eastAsia"/>
                      <w:color w:val="auto"/>
                      <w:highlight w:val="none"/>
                      <w:lang w:eastAsia="zh-CN"/>
                    </w:rPr>
                    <w:t>:</w:t>
                  </w:r>
                  <w:r>
                    <w:rPr>
                      <w:rFonts w:hint="default"/>
                      <w:color w:val="auto"/>
                      <w:highlight w:val="none"/>
                    </w:rPr>
                    <w:t>119.405590°</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both"/>
                    <w:textAlignment w:val="auto"/>
                    <w:rPr>
                      <w:rFonts w:hint="default"/>
                      <w:color w:val="auto"/>
                      <w:highlight w:val="none"/>
                    </w:rPr>
                  </w:pPr>
                  <w:r>
                    <w:rPr>
                      <w:rFonts w:hint="default"/>
                      <w:color w:val="auto"/>
                      <w:highlight w:val="none"/>
                    </w:rPr>
                    <w:t>N</w:t>
                  </w:r>
                  <w:r>
                    <w:rPr>
                      <w:rFonts w:hint="eastAsia"/>
                      <w:color w:val="auto"/>
                      <w:highlight w:val="none"/>
                      <w:lang w:eastAsia="zh-CN"/>
                    </w:rPr>
                    <w:t>:</w:t>
                  </w:r>
                  <w:r>
                    <w:rPr>
                      <w:rFonts w:hint="default"/>
                      <w:color w:val="auto"/>
                      <w:highlight w:val="none"/>
                    </w:rPr>
                    <w:t>25.760829</w:t>
                  </w:r>
                </w:p>
              </w:tc>
              <w:tc>
                <w:tcPr>
                  <w:tcW w:w="674" w:type="dxa"/>
                  <w:vMerge w:val="restart"/>
                  <w:vAlign w:val="center"/>
                </w:tcPr>
                <w:p>
                  <w:pPr>
                    <w:keepNext w:val="0"/>
                    <w:keepLines w:val="0"/>
                    <w:suppressLineNumbers w:val="0"/>
                    <w:spacing w:before="0" w:beforeAutospacing="0" w:after="0" w:afterAutospacing="0"/>
                    <w:ind w:left="0" w:right="0"/>
                    <w:jc w:val="center"/>
                    <w:rPr>
                      <w:rFonts w:hint="eastAsia"/>
                      <w:color w:val="auto"/>
                      <w:lang w:val="en-US" w:eastAsia="zh-CN"/>
                    </w:rPr>
                  </w:pPr>
                  <w:r>
                    <w:rPr>
                      <w:rFonts w:hint="eastAsia"/>
                      <w:color w:val="auto"/>
                      <w:lang w:val="en-US" w:eastAsia="zh-CN"/>
                    </w:rPr>
                    <w:t>25</w:t>
                  </w:r>
                </w:p>
              </w:tc>
              <w:tc>
                <w:tcPr>
                  <w:tcW w:w="741" w:type="dxa"/>
                  <w:vMerge w:val="restart"/>
                  <w:vAlign w:val="center"/>
                </w:tcPr>
                <w:p>
                  <w:pPr>
                    <w:keepNext w:val="0"/>
                    <w:keepLines w:val="0"/>
                    <w:suppressLineNumbers w:val="0"/>
                    <w:spacing w:before="0" w:beforeAutospacing="0" w:after="0" w:afterAutospacing="0"/>
                    <w:ind w:left="0" w:right="0"/>
                    <w:jc w:val="center"/>
                    <w:rPr>
                      <w:rFonts w:hint="eastAsia"/>
                      <w:color w:val="auto"/>
                      <w:lang w:val="en-US" w:eastAsia="zh-CN"/>
                    </w:rPr>
                  </w:pPr>
                  <w:r>
                    <w:rPr>
                      <w:rFonts w:hint="eastAsia"/>
                      <w:color w:val="auto"/>
                      <w:lang w:val="en-US" w:eastAsia="zh-CN"/>
                    </w:rPr>
                    <w:t>0.5</w:t>
                  </w:r>
                </w:p>
              </w:tc>
              <w:tc>
                <w:tcPr>
                  <w:tcW w:w="840" w:type="dxa"/>
                  <w:vMerge w:val="restart"/>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常温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86" w:hRule="exact"/>
                <w:jc w:val="center"/>
              </w:trPr>
              <w:tc>
                <w:tcPr>
                  <w:tcW w:w="998" w:type="dxa"/>
                  <w:vMerge w:val="continue"/>
                  <w:vAlign w:val="center"/>
                </w:tcPr>
                <w:p>
                  <w:pPr>
                    <w:pStyle w:val="37"/>
                    <w:keepNext w:val="0"/>
                    <w:keepLines w:val="0"/>
                    <w:widowControl/>
                    <w:suppressLineNumbers w:val="0"/>
                    <w:bidi w:val="0"/>
                    <w:spacing w:before="0" w:beforeAutospacing="0" w:after="0" w:afterAutospacing="0"/>
                    <w:ind w:right="0"/>
                    <w:rPr>
                      <w:rFonts w:hint="eastAsia"/>
                      <w:color w:val="auto"/>
                      <w:szCs w:val="20"/>
                      <w:lang w:val="en-US" w:eastAsia="zh-CN"/>
                    </w:rPr>
                  </w:pPr>
                </w:p>
              </w:tc>
              <w:tc>
                <w:tcPr>
                  <w:tcW w:w="1143" w:type="dxa"/>
                  <w:vAlign w:val="center"/>
                </w:tcPr>
                <w:p>
                  <w:pPr>
                    <w:pStyle w:val="37"/>
                    <w:keepNext w:val="0"/>
                    <w:keepLines w:val="0"/>
                    <w:widowControl/>
                    <w:suppressLineNumbers w:val="0"/>
                    <w:bidi w:val="0"/>
                    <w:spacing w:before="0" w:beforeAutospacing="0" w:after="0" w:afterAutospacing="0"/>
                    <w:ind w:left="0" w:leftChars="0" w:right="0" w:rightChars="0" w:firstLine="0" w:firstLineChars="0"/>
                    <w:rPr>
                      <w:rFonts w:hint="eastAsia"/>
                      <w:color w:val="auto"/>
                      <w:szCs w:val="20"/>
                      <w:lang w:val="en-US" w:eastAsia="zh-CN"/>
                    </w:rPr>
                  </w:pPr>
                  <w:r>
                    <w:rPr>
                      <w:rFonts w:hint="eastAsia"/>
                      <w:color w:val="auto"/>
                      <w:szCs w:val="20"/>
                      <w:lang w:val="en-US" w:eastAsia="zh-CN"/>
                    </w:rPr>
                    <w:t>硫酸雾</w:t>
                  </w:r>
                </w:p>
              </w:tc>
              <w:tc>
                <w:tcPr>
                  <w:tcW w:w="1143" w:type="dxa"/>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center"/>
                    <w:textAlignment w:val="auto"/>
                    <w:rPr>
                      <w:rFonts w:hint="default"/>
                      <w:color w:val="auto"/>
                      <w:lang w:val="en-US" w:eastAsia="zh-CN"/>
                    </w:rPr>
                  </w:pPr>
                </w:p>
              </w:tc>
              <w:tc>
                <w:tcPr>
                  <w:tcW w:w="881"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p>
              </w:tc>
              <w:tc>
                <w:tcPr>
                  <w:tcW w:w="841" w:type="dxa"/>
                  <w:vMerge w:val="continue"/>
                  <w:vAlign w:val="center"/>
                </w:tcPr>
                <w:p>
                  <w:pPr>
                    <w:keepNext w:val="0"/>
                    <w:keepLines w:val="0"/>
                    <w:suppressLineNumbers w:val="0"/>
                    <w:adjustRightInd w:val="0"/>
                    <w:snapToGrid w:val="0"/>
                    <w:spacing w:before="0" w:beforeAutospacing="0" w:after="0" w:afterAutospacing="0"/>
                    <w:ind w:left="420" w:right="0" w:hanging="420"/>
                    <w:jc w:val="center"/>
                    <w:rPr>
                      <w:rFonts w:hint="eastAsia"/>
                      <w:color w:val="auto"/>
                      <w:szCs w:val="21"/>
                    </w:rPr>
                  </w:pPr>
                </w:p>
              </w:tc>
              <w:tc>
                <w:tcPr>
                  <w:tcW w:w="741" w:type="dxa"/>
                  <w:vMerge w:val="continue"/>
                  <w:vAlign w:val="center"/>
                </w:tcPr>
                <w:p>
                  <w:pPr>
                    <w:keepNext w:val="0"/>
                    <w:keepLines w:val="0"/>
                    <w:suppressLineNumbers w:val="0"/>
                    <w:adjustRightInd w:val="0"/>
                    <w:snapToGrid w:val="0"/>
                    <w:spacing w:before="0" w:beforeAutospacing="0" w:after="0" w:afterAutospacing="0"/>
                    <w:ind w:left="420" w:right="0" w:hanging="420"/>
                    <w:jc w:val="center"/>
                    <w:rPr>
                      <w:rFonts w:hint="eastAsia"/>
                      <w:color w:val="auto"/>
                      <w:szCs w:val="21"/>
                      <w:lang w:val="en-US" w:eastAsia="zh-CN"/>
                    </w:rPr>
                  </w:pPr>
                </w:p>
              </w:tc>
              <w:tc>
                <w:tcPr>
                  <w:tcW w:w="916" w:type="dxa"/>
                  <w:vMerge w:val="continue"/>
                  <w:vAlign w:val="center"/>
                </w:tcPr>
                <w:p>
                  <w:pPr>
                    <w:keepNext w:val="0"/>
                    <w:keepLines w:val="0"/>
                    <w:suppressLineNumbers w:val="0"/>
                    <w:spacing w:before="0" w:beforeAutospacing="0" w:after="0" w:afterAutospacing="0"/>
                    <w:ind w:left="0" w:right="0"/>
                    <w:jc w:val="center"/>
                    <w:rPr>
                      <w:rFonts w:hint="eastAsia"/>
                      <w:color w:val="auto"/>
                    </w:rPr>
                  </w:pPr>
                </w:p>
              </w:tc>
              <w:tc>
                <w:tcPr>
                  <w:tcW w:w="921" w:type="dxa"/>
                  <w:vMerge w:val="continue"/>
                  <w:vAlign w:val="center"/>
                </w:tcPr>
                <w:p>
                  <w:pPr>
                    <w:keepNext w:val="0"/>
                    <w:keepLines w:val="0"/>
                    <w:suppressLineNumbers w:val="0"/>
                    <w:spacing w:before="0" w:beforeAutospacing="0" w:after="0" w:afterAutospacing="0"/>
                    <w:ind w:left="0" w:right="0"/>
                    <w:jc w:val="center"/>
                    <w:rPr>
                      <w:rFonts w:hint="eastAsia"/>
                      <w:color w:val="auto"/>
                      <w:lang w:val="en-US" w:eastAsia="zh-CN"/>
                    </w:rPr>
                  </w:pPr>
                </w:p>
              </w:tc>
              <w:tc>
                <w:tcPr>
                  <w:tcW w:w="1143" w:type="dxa"/>
                  <w:vMerge w:val="continue"/>
                  <w:vAlign w:val="center"/>
                </w:tcPr>
                <w:p>
                  <w:pPr>
                    <w:keepNext w:val="0"/>
                    <w:keepLines w:val="0"/>
                    <w:suppressLineNumbers w:val="0"/>
                    <w:spacing w:before="0" w:beforeAutospacing="0" w:after="0" w:afterAutospacing="0"/>
                    <w:ind w:left="0" w:right="0"/>
                    <w:jc w:val="center"/>
                    <w:rPr>
                      <w:rFonts w:hint="eastAsia" w:cs="Courier New"/>
                      <w:color w:val="auto"/>
                    </w:rPr>
                  </w:pPr>
                </w:p>
              </w:tc>
              <w:tc>
                <w:tcPr>
                  <w:tcW w:w="1492" w:type="dxa"/>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both"/>
                    <w:textAlignment w:val="auto"/>
                    <w:rPr>
                      <w:rFonts w:hint="default"/>
                      <w:color w:val="auto"/>
                      <w:highlight w:val="none"/>
                    </w:rPr>
                  </w:pPr>
                </w:p>
              </w:tc>
              <w:tc>
                <w:tcPr>
                  <w:tcW w:w="674" w:type="dxa"/>
                  <w:vMerge w:val="continue"/>
                  <w:vAlign w:val="center"/>
                </w:tcPr>
                <w:p>
                  <w:pPr>
                    <w:keepNext w:val="0"/>
                    <w:keepLines w:val="0"/>
                    <w:suppressLineNumbers w:val="0"/>
                    <w:spacing w:before="0" w:beforeAutospacing="0" w:after="0" w:afterAutospacing="0"/>
                    <w:ind w:left="0" w:right="0"/>
                    <w:jc w:val="center"/>
                    <w:rPr>
                      <w:rFonts w:hint="eastAsia"/>
                      <w:color w:val="auto"/>
                      <w:lang w:val="en-US" w:eastAsia="zh-CN"/>
                    </w:rPr>
                  </w:pPr>
                </w:p>
              </w:tc>
              <w:tc>
                <w:tcPr>
                  <w:tcW w:w="741" w:type="dxa"/>
                  <w:vMerge w:val="continue"/>
                  <w:vAlign w:val="center"/>
                </w:tcPr>
                <w:p>
                  <w:pPr>
                    <w:keepNext w:val="0"/>
                    <w:keepLines w:val="0"/>
                    <w:suppressLineNumbers w:val="0"/>
                    <w:spacing w:before="0" w:beforeAutospacing="0" w:after="0" w:afterAutospacing="0"/>
                    <w:ind w:left="0" w:right="0"/>
                    <w:jc w:val="center"/>
                    <w:rPr>
                      <w:rFonts w:hint="eastAsia"/>
                      <w:color w:val="auto"/>
                      <w:lang w:val="en-US" w:eastAsia="zh-CN"/>
                    </w:rPr>
                  </w:pPr>
                </w:p>
              </w:tc>
              <w:tc>
                <w:tcPr>
                  <w:tcW w:w="840" w:type="dxa"/>
                  <w:vMerge w:val="continue"/>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86" w:hRule="exact"/>
                <w:jc w:val="center"/>
              </w:trPr>
              <w:tc>
                <w:tcPr>
                  <w:tcW w:w="998" w:type="dxa"/>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有机废气</w:t>
                  </w:r>
                </w:p>
              </w:tc>
              <w:tc>
                <w:tcPr>
                  <w:tcW w:w="1143" w:type="dxa"/>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非甲烷总烃</w:t>
                  </w:r>
                </w:p>
              </w:tc>
              <w:tc>
                <w:tcPr>
                  <w:tcW w:w="1143" w:type="dxa"/>
                  <w:vMerge w:val="restar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center"/>
                    <w:textAlignment w:val="auto"/>
                    <w:rPr>
                      <w:rFonts w:hint="default" w:eastAsia="宋体"/>
                      <w:color w:val="auto"/>
                      <w:szCs w:val="21"/>
                      <w:lang w:val="en-US" w:eastAsia="zh-CN"/>
                    </w:rPr>
                  </w:pPr>
                  <w:r>
                    <w:rPr>
                      <w:rFonts w:hint="eastAsia"/>
                      <w:color w:val="auto"/>
                      <w:szCs w:val="21"/>
                      <w:lang w:val="en-US" w:eastAsia="zh-CN"/>
                    </w:rPr>
                    <w:t>通风橱/集气罩+活性炭吸附</w:t>
                  </w:r>
                </w:p>
              </w:tc>
              <w:tc>
                <w:tcPr>
                  <w:tcW w:w="881" w:type="dxa"/>
                  <w:vMerge w:val="restart"/>
                  <w:vAlign w:val="center"/>
                </w:tcPr>
                <w:p>
                  <w:pPr>
                    <w:keepNext w:val="0"/>
                    <w:keepLines w:val="0"/>
                    <w:suppressLineNumbers w:val="0"/>
                    <w:spacing w:before="0" w:beforeAutospacing="0" w:after="0" w:afterAutospacing="0"/>
                    <w:ind w:left="0" w:right="0"/>
                    <w:jc w:val="center"/>
                    <w:rPr>
                      <w:rFonts w:hint="default"/>
                      <w:color w:val="auto"/>
                      <w:szCs w:val="21"/>
                      <w:lang w:val="en-US"/>
                    </w:rPr>
                  </w:pPr>
                  <w:r>
                    <w:rPr>
                      <w:rFonts w:hint="eastAsia" w:cs="Times New Roman"/>
                      <w:color w:val="auto"/>
                      <w:szCs w:val="21"/>
                      <w:lang w:val="en-US" w:eastAsia="zh-CN"/>
                    </w:rPr>
                    <w:t>8400</w:t>
                  </w:r>
                </w:p>
              </w:tc>
              <w:tc>
                <w:tcPr>
                  <w:tcW w:w="841" w:type="dxa"/>
                  <w:vMerge w:val="restart"/>
                  <w:vAlign w:val="center"/>
                </w:tcPr>
                <w:p>
                  <w:pPr>
                    <w:keepNext w:val="0"/>
                    <w:keepLines w:val="0"/>
                    <w:suppressLineNumbers w:val="0"/>
                    <w:adjustRightInd w:val="0"/>
                    <w:snapToGrid w:val="0"/>
                    <w:spacing w:before="0" w:beforeAutospacing="0" w:after="0" w:afterAutospacing="0"/>
                    <w:ind w:left="420" w:right="0" w:hanging="420"/>
                    <w:jc w:val="center"/>
                    <w:rPr>
                      <w:rFonts w:hint="default"/>
                      <w:color w:val="auto"/>
                      <w:szCs w:val="21"/>
                      <w:lang w:val="en-US"/>
                    </w:rPr>
                  </w:pPr>
                  <w:r>
                    <w:rPr>
                      <w:rFonts w:hint="eastAsia"/>
                      <w:color w:val="auto"/>
                      <w:szCs w:val="21"/>
                      <w:lang w:val="en-US" w:eastAsia="zh-CN"/>
                    </w:rPr>
                    <w:t>65</w:t>
                  </w:r>
                </w:p>
              </w:tc>
              <w:tc>
                <w:tcPr>
                  <w:tcW w:w="741" w:type="dxa"/>
                  <w:vMerge w:val="restart"/>
                  <w:vAlign w:val="center"/>
                </w:tcPr>
                <w:p>
                  <w:pPr>
                    <w:keepNext w:val="0"/>
                    <w:keepLines w:val="0"/>
                    <w:suppressLineNumbers w:val="0"/>
                    <w:adjustRightInd w:val="0"/>
                    <w:snapToGrid w:val="0"/>
                    <w:spacing w:before="0" w:beforeAutospacing="0" w:after="0" w:afterAutospacing="0"/>
                    <w:ind w:left="420" w:right="0" w:hanging="420"/>
                    <w:jc w:val="center"/>
                    <w:rPr>
                      <w:rFonts w:hint="default" w:eastAsia="宋体"/>
                      <w:color w:val="auto"/>
                      <w:szCs w:val="21"/>
                      <w:lang w:val="en-US" w:eastAsia="zh-CN"/>
                    </w:rPr>
                  </w:pPr>
                  <w:r>
                    <w:rPr>
                      <w:rFonts w:hint="eastAsia"/>
                      <w:color w:val="auto"/>
                      <w:szCs w:val="21"/>
                      <w:lang w:val="en-US" w:eastAsia="zh-CN"/>
                    </w:rPr>
                    <w:t>60</w:t>
                  </w:r>
                </w:p>
              </w:tc>
              <w:tc>
                <w:tcPr>
                  <w:tcW w:w="916" w:type="dxa"/>
                  <w:vMerge w:val="restart"/>
                  <w:vAlign w:val="center"/>
                </w:tcPr>
                <w:p>
                  <w:pPr>
                    <w:keepNext w:val="0"/>
                    <w:keepLines w:val="0"/>
                    <w:suppressLineNumbers w:val="0"/>
                    <w:spacing w:before="0" w:beforeAutospacing="0" w:after="0" w:afterAutospacing="0"/>
                    <w:ind w:left="0" w:right="0"/>
                    <w:jc w:val="center"/>
                    <w:rPr>
                      <w:rFonts w:hint="default"/>
                      <w:color w:val="auto"/>
                    </w:rPr>
                  </w:pPr>
                  <w:r>
                    <w:rPr>
                      <w:rFonts w:hint="eastAsia"/>
                      <w:color w:val="auto"/>
                    </w:rPr>
                    <w:t>是</w:t>
                  </w:r>
                </w:p>
              </w:tc>
              <w:tc>
                <w:tcPr>
                  <w:tcW w:w="921" w:type="dxa"/>
                  <w:vMerge w:val="restart"/>
                  <w:vAlign w:val="center"/>
                </w:tcPr>
                <w:p>
                  <w:pPr>
                    <w:keepNext w:val="0"/>
                    <w:keepLines w:val="0"/>
                    <w:suppressLineNumbers w:val="0"/>
                    <w:spacing w:before="0" w:beforeAutospacing="0" w:after="0" w:afterAutospacing="0"/>
                    <w:ind w:left="0" w:right="0"/>
                    <w:jc w:val="center"/>
                    <w:rPr>
                      <w:rFonts w:hint="eastAsia"/>
                      <w:color w:val="auto"/>
                    </w:rPr>
                  </w:pPr>
                  <w:r>
                    <w:rPr>
                      <w:rFonts w:hint="eastAsia"/>
                      <w:color w:val="auto"/>
                      <w:lang w:val="en-US" w:eastAsia="zh-CN"/>
                    </w:rPr>
                    <w:t>DA003</w:t>
                  </w:r>
                </w:p>
              </w:tc>
              <w:tc>
                <w:tcPr>
                  <w:tcW w:w="1143" w:type="dxa"/>
                  <w:vMerge w:val="restart"/>
                  <w:vAlign w:val="center"/>
                </w:tcPr>
                <w:p>
                  <w:pPr>
                    <w:keepNext w:val="0"/>
                    <w:keepLines w:val="0"/>
                    <w:suppressLineNumbers w:val="0"/>
                    <w:spacing w:before="0" w:beforeAutospacing="0" w:after="0" w:afterAutospacing="0"/>
                    <w:ind w:left="0" w:right="0"/>
                    <w:jc w:val="center"/>
                    <w:rPr>
                      <w:rFonts w:hint="eastAsia"/>
                      <w:color w:val="auto"/>
                    </w:rPr>
                  </w:pPr>
                  <w:r>
                    <w:rPr>
                      <w:rFonts w:hint="eastAsia" w:cs="Courier New"/>
                      <w:color w:val="auto"/>
                    </w:rPr>
                    <w:t>一般排放口</w:t>
                  </w:r>
                </w:p>
              </w:tc>
              <w:tc>
                <w:tcPr>
                  <w:tcW w:w="1492" w:type="dxa"/>
                  <w:vMerge w:val="restar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both"/>
                    <w:textAlignment w:val="auto"/>
                    <w:rPr>
                      <w:rFonts w:hint="default"/>
                      <w:color w:val="auto"/>
                      <w:highlight w:val="none"/>
                    </w:rPr>
                  </w:pPr>
                  <w:r>
                    <w:rPr>
                      <w:rFonts w:hint="default"/>
                      <w:color w:val="auto"/>
                      <w:highlight w:val="none"/>
                    </w:rPr>
                    <w:t>E</w:t>
                  </w:r>
                  <w:r>
                    <w:rPr>
                      <w:rFonts w:hint="eastAsia"/>
                      <w:color w:val="auto"/>
                      <w:highlight w:val="none"/>
                      <w:lang w:eastAsia="zh-CN"/>
                    </w:rPr>
                    <w:t>:</w:t>
                  </w:r>
                  <w:r>
                    <w:rPr>
                      <w:rFonts w:hint="default"/>
                      <w:color w:val="auto"/>
                      <w:highlight w:val="none"/>
                    </w:rPr>
                    <w:t>119.405690</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both"/>
                    <w:textAlignment w:val="auto"/>
                    <w:rPr>
                      <w:rFonts w:hint="eastAsia"/>
                      <w:color w:val="auto"/>
                      <w:highlight w:val="none"/>
                    </w:rPr>
                  </w:pPr>
                  <w:r>
                    <w:rPr>
                      <w:rFonts w:hint="default"/>
                      <w:color w:val="auto"/>
                      <w:highlight w:val="none"/>
                    </w:rPr>
                    <w:t>N</w:t>
                  </w:r>
                  <w:r>
                    <w:rPr>
                      <w:rFonts w:hint="eastAsia"/>
                      <w:color w:val="auto"/>
                      <w:highlight w:val="none"/>
                      <w:lang w:eastAsia="zh-CN"/>
                    </w:rPr>
                    <w:t>:</w:t>
                  </w:r>
                  <w:r>
                    <w:rPr>
                      <w:rFonts w:hint="default"/>
                      <w:color w:val="auto"/>
                      <w:highlight w:val="none"/>
                    </w:rPr>
                    <w:t>25.760742</w:t>
                  </w:r>
                </w:p>
              </w:tc>
              <w:tc>
                <w:tcPr>
                  <w:tcW w:w="674" w:type="dxa"/>
                  <w:vMerge w:val="restart"/>
                  <w:vAlign w:val="center"/>
                </w:tcPr>
                <w:p>
                  <w:pPr>
                    <w:keepNext w:val="0"/>
                    <w:keepLines w:val="0"/>
                    <w:suppressLineNumbers w:val="0"/>
                    <w:spacing w:before="0" w:beforeAutospacing="0" w:after="0" w:afterAutospacing="0"/>
                    <w:ind w:left="0" w:right="0"/>
                    <w:jc w:val="center"/>
                    <w:rPr>
                      <w:rFonts w:hint="default"/>
                      <w:color w:val="auto"/>
                      <w:lang w:val="en-US"/>
                    </w:rPr>
                  </w:pPr>
                  <w:r>
                    <w:rPr>
                      <w:rFonts w:hint="eastAsia"/>
                      <w:color w:val="auto"/>
                      <w:lang w:val="en-US" w:eastAsia="zh-CN"/>
                    </w:rPr>
                    <w:t>25</w:t>
                  </w:r>
                </w:p>
              </w:tc>
              <w:tc>
                <w:tcPr>
                  <w:tcW w:w="741" w:type="dxa"/>
                  <w:vMerge w:val="restart"/>
                  <w:vAlign w:val="center"/>
                </w:tcPr>
                <w:p>
                  <w:pPr>
                    <w:keepNext w:val="0"/>
                    <w:keepLines w:val="0"/>
                    <w:suppressLineNumbers w:val="0"/>
                    <w:spacing w:before="0" w:beforeAutospacing="0" w:after="0" w:afterAutospacing="0"/>
                    <w:ind w:left="0" w:right="0"/>
                    <w:jc w:val="center"/>
                    <w:rPr>
                      <w:rFonts w:hint="eastAsia"/>
                      <w:color w:val="auto"/>
                    </w:rPr>
                  </w:pPr>
                  <w:r>
                    <w:rPr>
                      <w:rFonts w:hint="eastAsia"/>
                      <w:color w:val="auto"/>
                      <w:lang w:val="en-US" w:eastAsia="zh-CN"/>
                    </w:rPr>
                    <w:t>0.5</w:t>
                  </w:r>
                </w:p>
              </w:tc>
              <w:tc>
                <w:tcPr>
                  <w:tcW w:w="840" w:type="dxa"/>
                  <w:vMerge w:val="restart"/>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常温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86" w:hRule="exact"/>
                <w:jc w:val="center"/>
              </w:trPr>
              <w:tc>
                <w:tcPr>
                  <w:tcW w:w="998" w:type="dxa"/>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bookmarkStart w:id="84" w:name="_Ref25312"/>
                  <w:r>
                    <w:rPr>
                      <w:rFonts w:hint="eastAsia"/>
                      <w:color w:val="auto"/>
                      <w:szCs w:val="20"/>
                      <w:lang w:val="en-US" w:eastAsia="zh-CN"/>
                    </w:rPr>
                    <w:t>恶臭废气</w:t>
                  </w:r>
                </w:p>
              </w:tc>
              <w:tc>
                <w:tcPr>
                  <w:tcW w:w="1143" w:type="dxa"/>
                  <w:vAlign w:val="center"/>
                </w:tcPr>
                <w:p>
                  <w:pPr>
                    <w:pStyle w:val="37"/>
                    <w:keepNext w:val="0"/>
                    <w:keepLines w:val="0"/>
                    <w:widowControl/>
                    <w:suppressLineNumbers w:val="0"/>
                    <w:bidi w:val="0"/>
                    <w:spacing w:before="0" w:beforeAutospacing="0" w:after="0" w:afterAutospacing="0"/>
                    <w:ind w:right="0"/>
                    <w:rPr>
                      <w:rFonts w:hint="eastAsia"/>
                      <w:color w:val="auto"/>
                      <w:szCs w:val="20"/>
                      <w:lang w:val="en-US" w:eastAsia="zh-CN"/>
                    </w:rPr>
                  </w:pPr>
                  <w:r>
                    <w:rPr>
                      <w:rFonts w:hint="eastAsia"/>
                      <w:color w:val="auto"/>
                      <w:szCs w:val="20"/>
                      <w:lang w:val="en-US" w:eastAsia="zh-CN"/>
                    </w:rPr>
                    <w:t>氨</w:t>
                  </w:r>
                </w:p>
              </w:tc>
              <w:tc>
                <w:tcPr>
                  <w:tcW w:w="1143" w:type="dxa"/>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center"/>
                    <w:textAlignment w:val="auto"/>
                    <w:rPr>
                      <w:rFonts w:hint="eastAsia"/>
                      <w:color w:val="auto"/>
                      <w:szCs w:val="21"/>
                      <w:lang w:val="en-US" w:eastAsia="zh-CN"/>
                    </w:rPr>
                  </w:pPr>
                </w:p>
              </w:tc>
              <w:tc>
                <w:tcPr>
                  <w:tcW w:w="881" w:type="dxa"/>
                  <w:vMerge w:val="continue"/>
                  <w:vAlign w:val="center"/>
                </w:tcPr>
                <w:p>
                  <w:pPr>
                    <w:keepNext w:val="0"/>
                    <w:keepLines w:val="0"/>
                    <w:suppressLineNumbers w:val="0"/>
                    <w:spacing w:before="0" w:beforeAutospacing="0" w:after="0" w:afterAutospacing="0"/>
                    <w:ind w:left="0" w:leftChars="0" w:right="0" w:rightChars="0"/>
                    <w:jc w:val="center"/>
                    <w:rPr>
                      <w:rFonts w:hint="eastAsia" w:cs="Times New Roman"/>
                      <w:color w:val="auto"/>
                      <w:szCs w:val="21"/>
                      <w:lang w:val="en-US" w:eastAsia="zh-CN"/>
                    </w:rPr>
                  </w:pPr>
                </w:p>
              </w:tc>
              <w:tc>
                <w:tcPr>
                  <w:tcW w:w="841" w:type="dxa"/>
                  <w:vMerge w:val="continue"/>
                  <w:vAlign w:val="center"/>
                </w:tcPr>
                <w:p>
                  <w:pPr>
                    <w:keepNext w:val="0"/>
                    <w:keepLines w:val="0"/>
                    <w:suppressLineNumbers w:val="0"/>
                    <w:adjustRightInd w:val="0"/>
                    <w:snapToGrid w:val="0"/>
                    <w:spacing w:before="0" w:beforeAutospacing="0" w:after="0" w:afterAutospacing="0"/>
                    <w:ind w:left="420" w:leftChars="0" w:right="0" w:rightChars="0" w:hanging="420" w:firstLineChars="0"/>
                    <w:jc w:val="center"/>
                    <w:rPr>
                      <w:rFonts w:hint="eastAsia"/>
                      <w:color w:val="auto"/>
                      <w:szCs w:val="21"/>
                      <w:lang w:val="en-US" w:eastAsia="zh-CN"/>
                    </w:rPr>
                  </w:pPr>
                </w:p>
              </w:tc>
              <w:tc>
                <w:tcPr>
                  <w:tcW w:w="741" w:type="dxa"/>
                  <w:vMerge w:val="continue"/>
                  <w:vAlign w:val="center"/>
                </w:tcPr>
                <w:p>
                  <w:pPr>
                    <w:keepNext w:val="0"/>
                    <w:keepLines w:val="0"/>
                    <w:suppressLineNumbers w:val="0"/>
                    <w:adjustRightInd w:val="0"/>
                    <w:snapToGrid w:val="0"/>
                    <w:spacing w:before="0" w:beforeAutospacing="0" w:after="0" w:afterAutospacing="0"/>
                    <w:ind w:left="420" w:leftChars="0" w:right="0" w:rightChars="0" w:hanging="420" w:firstLineChars="0"/>
                    <w:jc w:val="center"/>
                    <w:rPr>
                      <w:rFonts w:hint="default"/>
                      <w:color w:val="auto"/>
                      <w:szCs w:val="21"/>
                      <w:lang w:val="en-US" w:eastAsia="zh-CN"/>
                    </w:rPr>
                  </w:pPr>
                </w:p>
              </w:tc>
              <w:tc>
                <w:tcPr>
                  <w:tcW w:w="916" w:type="dxa"/>
                  <w:vMerge w:val="continue"/>
                  <w:vAlign w:val="center"/>
                </w:tcPr>
                <w:p>
                  <w:pPr>
                    <w:keepNext w:val="0"/>
                    <w:keepLines w:val="0"/>
                    <w:suppressLineNumbers w:val="0"/>
                    <w:spacing w:before="0" w:beforeAutospacing="0" w:after="0" w:afterAutospacing="0"/>
                    <w:ind w:left="0" w:leftChars="0" w:right="0" w:rightChars="0"/>
                    <w:jc w:val="center"/>
                    <w:rPr>
                      <w:rFonts w:hint="eastAsia"/>
                      <w:color w:val="auto"/>
                    </w:rPr>
                  </w:pPr>
                </w:p>
              </w:tc>
              <w:tc>
                <w:tcPr>
                  <w:tcW w:w="921" w:type="dxa"/>
                  <w:vMerge w:val="continue"/>
                  <w:vAlign w:val="center"/>
                </w:tcPr>
                <w:p>
                  <w:pPr>
                    <w:keepNext w:val="0"/>
                    <w:keepLines w:val="0"/>
                    <w:suppressLineNumbers w:val="0"/>
                    <w:spacing w:before="0" w:beforeAutospacing="0" w:after="0" w:afterAutospacing="0"/>
                    <w:ind w:left="0" w:leftChars="0" w:right="0" w:rightChars="0"/>
                    <w:jc w:val="center"/>
                    <w:rPr>
                      <w:rFonts w:hint="eastAsia"/>
                      <w:color w:val="auto"/>
                      <w:lang w:val="en-US" w:eastAsia="zh-CN"/>
                    </w:rPr>
                  </w:pPr>
                </w:p>
              </w:tc>
              <w:tc>
                <w:tcPr>
                  <w:tcW w:w="1143" w:type="dxa"/>
                  <w:vMerge w:val="continue"/>
                  <w:vAlign w:val="center"/>
                </w:tcPr>
                <w:p>
                  <w:pPr>
                    <w:keepNext w:val="0"/>
                    <w:keepLines w:val="0"/>
                    <w:suppressLineNumbers w:val="0"/>
                    <w:spacing w:before="0" w:beforeAutospacing="0" w:after="0" w:afterAutospacing="0"/>
                    <w:ind w:left="0" w:leftChars="0" w:right="0" w:rightChars="0"/>
                    <w:jc w:val="center"/>
                    <w:rPr>
                      <w:rFonts w:hint="eastAsia" w:cs="Courier New"/>
                      <w:color w:val="auto"/>
                    </w:rPr>
                  </w:pPr>
                </w:p>
              </w:tc>
              <w:tc>
                <w:tcPr>
                  <w:tcW w:w="1492" w:type="dxa"/>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both"/>
                    <w:textAlignment w:val="auto"/>
                    <w:rPr>
                      <w:rFonts w:hint="default"/>
                      <w:color w:val="auto"/>
                      <w:highlight w:val="none"/>
                    </w:rPr>
                  </w:pPr>
                </w:p>
              </w:tc>
              <w:tc>
                <w:tcPr>
                  <w:tcW w:w="674" w:type="dxa"/>
                  <w:vMerge w:val="continue"/>
                  <w:vAlign w:val="center"/>
                </w:tcPr>
                <w:p>
                  <w:pPr>
                    <w:keepNext w:val="0"/>
                    <w:keepLines w:val="0"/>
                    <w:suppressLineNumbers w:val="0"/>
                    <w:spacing w:before="0" w:beforeAutospacing="0" w:after="0" w:afterAutospacing="0"/>
                    <w:ind w:left="0" w:leftChars="0" w:right="0" w:rightChars="0"/>
                    <w:jc w:val="center"/>
                    <w:rPr>
                      <w:rFonts w:hint="eastAsia"/>
                      <w:color w:val="auto"/>
                      <w:lang w:val="en-US" w:eastAsia="zh-CN"/>
                    </w:rPr>
                  </w:pPr>
                </w:p>
              </w:tc>
              <w:tc>
                <w:tcPr>
                  <w:tcW w:w="741" w:type="dxa"/>
                  <w:vMerge w:val="continue"/>
                  <w:vAlign w:val="center"/>
                </w:tcPr>
                <w:p>
                  <w:pPr>
                    <w:keepNext w:val="0"/>
                    <w:keepLines w:val="0"/>
                    <w:suppressLineNumbers w:val="0"/>
                    <w:spacing w:before="0" w:beforeAutospacing="0" w:after="0" w:afterAutospacing="0"/>
                    <w:ind w:left="0" w:leftChars="0" w:right="0" w:rightChars="0"/>
                    <w:jc w:val="center"/>
                    <w:rPr>
                      <w:rFonts w:hint="eastAsia"/>
                      <w:color w:val="auto"/>
                      <w:lang w:val="en-US" w:eastAsia="zh-CN"/>
                    </w:rPr>
                  </w:pPr>
                </w:p>
              </w:tc>
              <w:tc>
                <w:tcPr>
                  <w:tcW w:w="840" w:type="dxa"/>
                  <w:vMerge w:val="continue"/>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86" w:hRule="exact"/>
                <w:jc w:val="center"/>
              </w:trPr>
              <w:tc>
                <w:tcPr>
                  <w:tcW w:w="998" w:type="dxa"/>
                  <w:vAlign w:val="center"/>
                </w:tcPr>
                <w:p>
                  <w:pPr>
                    <w:pStyle w:val="37"/>
                    <w:keepNext w:val="0"/>
                    <w:keepLines w:val="0"/>
                    <w:widowControl/>
                    <w:suppressLineNumbers w:val="0"/>
                    <w:bidi w:val="0"/>
                    <w:spacing w:before="0" w:beforeAutospacing="0" w:after="0" w:afterAutospacing="0"/>
                    <w:ind w:left="0" w:leftChars="0" w:right="0" w:rightChars="0" w:firstLine="0" w:firstLineChars="0"/>
                    <w:rPr>
                      <w:rFonts w:hint="eastAsia"/>
                      <w:color w:val="auto"/>
                      <w:szCs w:val="20"/>
                      <w:lang w:val="en-US" w:eastAsia="zh-CN"/>
                    </w:rPr>
                  </w:pPr>
                  <w:r>
                    <w:rPr>
                      <w:rFonts w:hint="eastAsia"/>
                      <w:color w:val="auto"/>
                      <w:szCs w:val="20"/>
                      <w:lang w:val="en-US" w:eastAsia="zh-CN"/>
                    </w:rPr>
                    <w:t>有机废气</w:t>
                  </w:r>
                </w:p>
              </w:tc>
              <w:tc>
                <w:tcPr>
                  <w:tcW w:w="1143" w:type="dxa"/>
                  <w:vAlign w:val="center"/>
                </w:tcPr>
                <w:p>
                  <w:pPr>
                    <w:pStyle w:val="37"/>
                    <w:keepNext w:val="0"/>
                    <w:keepLines w:val="0"/>
                    <w:widowControl/>
                    <w:suppressLineNumbers w:val="0"/>
                    <w:bidi w:val="0"/>
                    <w:spacing w:before="0" w:beforeAutospacing="0" w:after="0" w:afterAutospacing="0"/>
                    <w:ind w:left="0" w:leftChars="0" w:right="0" w:rightChars="0" w:firstLine="0" w:firstLineChars="0"/>
                    <w:rPr>
                      <w:rFonts w:hint="eastAsia"/>
                      <w:color w:val="auto"/>
                      <w:szCs w:val="20"/>
                      <w:lang w:val="en-US" w:eastAsia="zh-CN"/>
                    </w:rPr>
                  </w:pPr>
                  <w:r>
                    <w:rPr>
                      <w:rFonts w:hint="eastAsia"/>
                      <w:color w:val="auto"/>
                      <w:szCs w:val="20"/>
                      <w:lang w:val="en-US" w:eastAsia="zh-CN"/>
                    </w:rPr>
                    <w:t>非甲烷总烃</w:t>
                  </w:r>
                </w:p>
              </w:tc>
              <w:tc>
                <w:tcPr>
                  <w:tcW w:w="1143" w:type="dxa"/>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center"/>
                    <w:textAlignment w:val="auto"/>
                    <w:rPr>
                      <w:rFonts w:hint="eastAsia"/>
                      <w:color w:val="auto"/>
                      <w:szCs w:val="21"/>
                      <w:lang w:val="en-US" w:eastAsia="zh-CN"/>
                    </w:rPr>
                  </w:pPr>
                </w:p>
              </w:tc>
              <w:tc>
                <w:tcPr>
                  <w:tcW w:w="881" w:type="dxa"/>
                  <w:vMerge w:val="restart"/>
                  <w:vAlign w:val="center"/>
                </w:tcPr>
                <w:p>
                  <w:pPr>
                    <w:keepNext w:val="0"/>
                    <w:keepLines w:val="0"/>
                    <w:suppressLineNumbers w:val="0"/>
                    <w:spacing w:before="0" w:beforeAutospacing="0" w:after="0" w:afterAutospacing="0"/>
                    <w:ind w:left="0" w:leftChars="0" w:right="0" w:rightChars="0"/>
                    <w:jc w:val="center"/>
                    <w:rPr>
                      <w:rFonts w:hint="default" w:cs="Times New Roman"/>
                      <w:color w:val="auto"/>
                      <w:szCs w:val="21"/>
                      <w:lang w:val="en-US" w:eastAsia="zh-CN"/>
                    </w:rPr>
                  </w:pPr>
                  <w:r>
                    <w:rPr>
                      <w:rFonts w:hint="eastAsia" w:cs="Times New Roman"/>
                      <w:color w:val="auto"/>
                      <w:szCs w:val="21"/>
                      <w:lang w:val="en-US" w:eastAsia="zh-CN"/>
                    </w:rPr>
                    <w:t>10000</w:t>
                  </w:r>
                </w:p>
              </w:tc>
              <w:tc>
                <w:tcPr>
                  <w:tcW w:w="841" w:type="dxa"/>
                  <w:vMerge w:val="continue"/>
                  <w:vAlign w:val="center"/>
                </w:tcPr>
                <w:p>
                  <w:pPr>
                    <w:keepNext w:val="0"/>
                    <w:keepLines w:val="0"/>
                    <w:suppressLineNumbers w:val="0"/>
                    <w:adjustRightInd w:val="0"/>
                    <w:snapToGrid w:val="0"/>
                    <w:spacing w:before="0" w:beforeAutospacing="0" w:after="0" w:afterAutospacing="0"/>
                    <w:ind w:left="420" w:leftChars="0" w:right="0" w:rightChars="0" w:hanging="420" w:firstLineChars="0"/>
                    <w:jc w:val="center"/>
                    <w:rPr>
                      <w:rFonts w:hint="eastAsia"/>
                      <w:color w:val="auto"/>
                      <w:szCs w:val="21"/>
                      <w:lang w:val="en-US" w:eastAsia="zh-CN"/>
                    </w:rPr>
                  </w:pPr>
                </w:p>
              </w:tc>
              <w:tc>
                <w:tcPr>
                  <w:tcW w:w="741" w:type="dxa"/>
                  <w:vMerge w:val="continue"/>
                  <w:vAlign w:val="center"/>
                </w:tcPr>
                <w:p>
                  <w:pPr>
                    <w:keepNext w:val="0"/>
                    <w:keepLines w:val="0"/>
                    <w:suppressLineNumbers w:val="0"/>
                    <w:adjustRightInd w:val="0"/>
                    <w:snapToGrid w:val="0"/>
                    <w:spacing w:before="0" w:beforeAutospacing="0" w:after="0" w:afterAutospacing="0"/>
                    <w:ind w:left="420" w:leftChars="0" w:right="0" w:rightChars="0" w:hanging="420" w:firstLineChars="0"/>
                    <w:jc w:val="center"/>
                    <w:rPr>
                      <w:rFonts w:hint="default"/>
                      <w:color w:val="auto"/>
                      <w:szCs w:val="21"/>
                      <w:lang w:val="en-US" w:eastAsia="zh-CN"/>
                    </w:rPr>
                  </w:pPr>
                </w:p>
              </w:tc>
              <w:tc>
                <w:tcPr>
                  <w:tcW w:w="916" w:type="dxa"/>
                  <w:vMerge w:val="continue"/>
                  <w:vAlign w:val="center"/>
                </w:tcPr>
                <w:p>
                  <w:pPr>
                    <w:keepNext w:val="0"/>
                    <w:keepLines w:val="0"/>
                    <w:suppressLineNumbers w:val="0"/>
                    <w:spacing w:before="0" w:beforeAutospacing="0" w:after="0" w:afterAutospacing="0"/>
                    <w:ind w:left="0" w:leftChars="0" w:right="0" w:rightChars="0"/>
                    <w:jc w:val="center"/>
                    <w:rPr>
                      <w:rFonts w:hint="eastAsia"/>
                      <w:color w:val="auto"/>
                    </w:rPr>
                  </w:pPr>
                </w:p>
              </w:tc>
              <w:tc>
                <w:tcPr>
                  <w:tcW w:w="921" w:type="dxa"/>
                  <w:vMerge w:val="restart"/>
                  <w:vAlign w:val="center"/>
                </w:tcPr>
                <w:p>
                  <w:pPr>
                    <w:keepNext w:val="0"/>
                    <w:keepLines w:val="0"/>
                    <w:suppressLineNumbers w:val="0"/>
                    <w:spacing w:before="0" w:beforeAutospacing="0" w:after="0" w:afterAutospacing="0"/>
                    <w:ind w:left="0" w:leftChars="0" w:right="0" w:rightChars="0"/>
                    <w:jc w:val="center"/>
                    <w:rPr>
                      <w:rFonts w:hint="eastAsia"/>
                      <w:color w:val="auto"/>
                      <w:lang w:val="en-US" w:eastAsia="zh-CN"/>
                    </w:rPr>
                  </w:pPr>
                  <w:r>
                    <w:rPr>
                      <w:rFonts w:hint="eastAsia"/>
                      <w:color w:val="auto"/>
                      <w:lang w:val="en-US" w:eastAsia="zh-CN"/>
                    </w:rPr>
                    <w:t>DA004</w:t>
                  </w:r>
                </w:p>
              </w:tc>
              <w:tc>
                <w:tcPr>
                  <w:tcW w:w="1143" w:type="dxa"/>
                  <w:vMerge w:val="restart"/>
                  <w:vAlign w:val="center"/>
                </w:tcPr>
                <w:p>
                  <w:pPr>
                    <w:keepNext w:val="0"/>
                    <w:keepLines w:val="0"/>
                    <w:suppressLineNumbers w:val="0"/>
                    <w:spacing w:before="0" w:beforeAutospacing="0" w:after="0" w:afterAutospacing="0"/>
                    <w:ind w:left="0" w:leftChars="0" w:right="0" w:rightChars="0"/>
                    <w:jc w:val="center"/>
                    <w:rPr>
                      <w:rFonts w:hint="eastAsia" w:cs="Courier New"/>
                      <w:color w:val="auto"/>
                    </w:rPr>
                  </w:pPr>
                  <w:r>
                    <w:rPr>
                      <w:rFonts w:hint="eastAsia" w:cs="Courier New"/>
                      <w:color w:val="auto"/>
                    </w:rPr>
                    <w:t>一般排放口</w:t>
                  </w:r>
                </w:p>
              </w:tc>
              <w:tc>
                <w:tcPr>
                  <w:tcW w:w="1492" w:type="dxa"/>
                  <w:vMerge w:val="restar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both"/>
                    <w:textAlignment w:val="auto"/>
                    <w:rPr>
                      <w:rFonts w:hint="default"/>
                      <w:color w:val="auto"/>
                      <w:highlight w:val="none"/>
                    </w:rPr>
                  </w:pPr>
                  <w:r>
                    <w:rPr>
                      <w:rFonts w:hint="default"/>
                      <w:color w:val="auto"/>
                      <w:highlight w:val="none"/>
                    </w:rPr>
                    <w:t>E</w:t>
                  </w:r>
                  <w:r>
                    <w:rPr>
                      <w:rFonts w:hint="eastAsia"/>
                      <w:color w:val="auto"/>
                      <w:highlight w:val="none"/>
                      <w:lang w:eastAsia="zh-CN"/>
                    </w:rPr>
                    <w:t>:</w:t>
                  </w:r>
                  <w:r>
                    <w:rPr>
                      <w:rFonts w:hint="default"/>
                      <w:color w:val="auto"/>
                      <w:highlight w:val="none"/>
                    </w:rPr>
                    <w:t>119.405645</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both"/>
                    <w:textAlignment w:val="auto"/>
                    <w:rPr>
                      <w:rFonts w:hint="default"/>
                      <w:color w:val="auto"/>
                      <w:highlight w:val="none"/>
                    </w:rPr>
                  </w:pPr>
                  <w:r>
                    <w:rPr>
                      <w:rFonts w:hint="default"/>
                      <w:color w:val="auto"/>
                      <w:highlight w:val="none"/>
                    </w:rPr>
                    <w:t>N</w:t>
                  </w:r>
                  <w:r>
                    <w:rPr>
                      <w:rFonts w:hint="eastAsia"/>
                      <w:color w:val="auto"/>
                      <w:highlight w:val="none"/>
                      <w:lang w:eastAsia="zh-CN"/>
                    </w:rPr>
                    <w:t>:</w:t>
                  </w:r>
                  <w:r>
                    <w:rPr>
                      <w:rFonts w:hint="default"/>
                      <w:color w:val="auto"/>
                      <w:highlight w:val="none"/>
                    </w:rPr>
                    <w:t>25.7606959</w:t>
                  </w:r>
                </w:p>
              </w:tc>
              <w:tc>
                <w:tcPr>
                  <w:tcW w:w="674" w:type="dxa"/>
                  <w:vMerge w:val="restart"/>
                  <w:vAlign w:val="center"/>
                </w:tcPr>
                <w:p>
                  <w:pPr>
                    <w:keepNext w:val="0"/>
                    <w:keepLines w:val="0"/>
                    <w:suppressLineNumbers w:val="0"/>
                    <w:spacing w:before="0" w:beforeAutospacing="0" w:after="0" w:afterAutospacing="0"/>
                    <w:ind w:left="0" w:leftChars="0" w:right="0" w:rightChars="0"/>
                    <w:jc w:val="center"/>
                    <w:rPr>
                      <w:rFonts w:hint="eastAsia"/>
                      <w:color w:val="auto"/>
                      <w:lang w:val="en-US" w:eastAsia="zh-CN"/>
                    </w:rPr>
                  </w:pPr>
                  <w:r>
                    <w:rPr>
                      <w:rFonts w:hint="eastAsia"/>
                      <w:color w:val="auto"/>
                      <w:lang w:val="en-US" w:eastAsia="zh-CN"/>
                    </w:rPr>
                    <w:t>25</w:t>
                  </w:r>
                </w:p>
              </w:tc>
              <w:tc>
                <w:tcPr>
                  <w:tcW w:w="741" w:type="dxa"/>
                  <w:vMerge w:val="restart"/>
                  <w:vAlign w:val="center"/>
                </w:tcPr>
                <w:p>
                  <w:pPr>
                    <w:keepNext w:val="0"/>
                    <w:keepLines w:val="0"/>
                    <w:suppressLineNumbers w:val="0"/>
                    <w:spacing w:before="0" w:beforeAutospacing="0" w:after="0" w:afterAutospacing="0"/>
                    <w:ind w:left="0" w:leftChars="0" w:right="0" w:rightChars="0"/>
                    <w:jc w:val="center"/>
                    <w:rPr>
                      <w:rFonts w:hint="eastAsia"/>
                      <w:color w:val="auto"/>
                      <w:lang w:val="en-US" w:eastAsia="zh-CN"/>
                    </w:rPr>
                  </w:pPr>
                  <w:r>
                    <w:rPr>
                      <w:rFonts w:hint="eastAsia"/>
                      <w:color w:val="auto"/>
                      <w:lang w:val="en-US" w:eastAsia="zh-CN"/>
                    </w:rPr>
                    <w:t>0.5</w:t>
                  </w:r>
                </w:p>
              </w:tc>
              <w:tc>
                <w:tcPr>
                  <w:tcW w:w="840" w:type="dxa"/>
                  <w:vMerge w:val="restar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常温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86" w:hRule="exact"/>
                <w:jc w:val="center"/>
              </w:trPr>
              <w:tc>
                <w:tcPr>
                  <w:tcW w:w="998" w:type="dxa"/>
                  <w:vAlign w:val="center"/>
                </w:tcPr>
                <w:p>
                  <w:pPr>
                    <w:pStyle w:val="37"/>
                    <w:keepNext w:val="0"/>
                    <w:keepLines w:val="0"/>
                    <w:widowControl/>
                    <w:suppressLineNumbers w:val="0"/>
                    <w:bidi w:val="0"/>
                    <w:spacing w:before="0" w:beforeAutospacing="0" w:after="0" w:afterAutospacing="0"/>
                    <w:ind w:left="0" w:leftChars="0" w:right="0" w:rightChars="0" w:firstLine="0" w:firstLineChars="0"/>
                    <w:rPr>
                      <w:rFonts w:hint="eastAsia"/>
                      <w:color w:val="auto"/>
                      <w:szCs w:val="20"/>
                      <w:lang w:val="en-US" w:eastAsia="zh-CN"/>
                    </w:rPr>
                  </w:pPr>
                  <w:r>
                    <w:rPr>
                      <w:rFonts w:hint="eastAsia"/>
                      <w:color w:val="auto"/>
                      <w:szCs w:val="20"/>
                      <w:lang w:val="en-US" w:eastAsia="zh-CN"/>
                    </w:rPr>
                    <w:t>恶臭废气</w:t>
                  </w:r>
                </w:p>
              </w:tc>
              <w:tc>
                <w:tcPr>
                  <w:tcW w:w="1143" w:type="dxa"/>
                  <w:vAlign w:val="center"/>
                </w:tcPr>
                <w:p>
                  <w:pPr>
                    <w:pStyle w:val="37"/>
                    <w:keepNext w:val="0"/>
                    <w:keepLines w:val="0"/>
                    <w:widowControl/>
                    <w:suppressLineNumbers w:val="0"/>
                    <w:bidi w:val="0"/>
                    <w:spacing w:before="0" w:beforeAutospacing="0" w:after="0" w:afterAutospacing="0"/>
                    <w:ind w:left="0" w:leftChars="0" w:right="0" w:rightChars="0" w:firstLine="0" w:firstLineChars="0"/>
                    <w:rPr>
                      <w:rFonts w:hint="eastAsia"/>
                      <w:color w:val="auto"/>
                      <w:szCs w:val="20"/>
                      <w:lang w:val="en-US" w:eastAsia="zh-CN"/>
                    </w:rPr>
                  </w:pPr>
                  <w:r>
                    <w:rPr>
                      <w:rFonts w:hint="eastAsia"/>
                      <w:color w:val="auto"/>
                      <w:szCs w:val="20"/>
                      <w:lang w:val="en-US" w:eastAsia="zh-CN"/>
                    </w:rPr>
                    <w:t>氨</w:t>
                  </w:r>
                </w:p>
              </w:tc>
              <w:tc>
                <w:tcPr>
                  <w:tcW w:w="1143" w:type="dxa"/>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center"/>
                    <w:textAlignment w:val="auto"/>
                    <w:rPr>
                      <w:rFonts w:hint="eastAsia"/>
                      <w:color w:val="auto"/>
                      <w:szCs w:val="21"/>
                      <w:lang w:val="en-US" w:eastAsia="zh-CN"/>
                    </w:rPr>
                  </w:pPr>
                </w:p>
              </w:tc>
              <w:tc>
                <w:tcPr>
                  <w:tcW w:w="881" w:type="dxa"/>
                  <w:vMerge w:val="continue"/>
                  <w:vAlign w:val="center"/>
                </w:tcPr>
                <w:p>
                  <w:pPr>
                    <w:keepNext w:val="0"/>
                    <w:keepLines w:val="0"/>
                    <w:suppressLineNumbers w:val="0"/>
                    <w:spacing w:before="0" w:beforeAutospacing="0" w:after="0" w:afterAutospacing="0"/>
                    <w:ind w:left="0" w:leftChars="0" w:right="0" w:rightChars="0"/>
                    <w:jc w:val="center"/>
                    <w:rPr>
                      <w:rFonts w:hint="default" w:cs="Times New Roman"/>
                      <w:color w:val="auto"/>
                      <w:szCs w:val="21"/>
                      <w:lang w:val="en-US" w:eastAsia="zh-CN"/>
                    </w:rPr>
                  </w:pPr>
                </w:p>
              </w:tc>
              <w:tc>
                <w:tcPr>
                  <w:tcW w:w="841" w:type="dxa"/>
                  <w:vMerge w:val="continue"/>
                  <w:vAlign w:val="center"/>
                </w:tcPr>
                <w:p>
                  <w:pPr>
                    <w:keepNext w:val="0"/>
                    <w:keepLines w:val="0"/>
                    <w:suppressLineNumbers w:val="0"/>
                    <w:adjustRightInd w:val="0"/>
                    <w:snapToGrid w:val="0"/>
                    <w:spacing w:before="0" w:beforeAutospacing="0" w:after="0" w:afterAutospacing="0"/>
                    <w:ind w:left="420" w:leftChars="0" w:right="0" w:rightChars="0" w:hanging="420" w:firstLineChars="0"/>
                    <w:jc w:val="center"/>
                    <w:rPr>
                      <w:rFonts w:hint="eastAsia"/>
                      <w:color w:val="auto"/>
                      <w:szCs w:val="21"/>
                      <w:lang w:val="en-US" w:eastAsia="zh-CN"/>
                    </w:rPr>
                  </w:pPr>
                </w:p>
              </w:tc>
              <w:tc>
                <w:tcPr>
                  <w:tcW w:w="741" w:type="dxa"/>
                  <w:vMerge w:val="continue"/>
                  <w:vAlign w:val="center"/>
                </w:tcPr>
                <w:p>
                  <w:pPr>
                    <w:keepNext w:val="0"/>
                    <w:keepLines w:val="0"/>
                    <w:suppressLineNumbers w:val="0"/>
                    <w:adjustRightInd w:val="0"/>
                    <w:snapToGrid w:val="0"/>
                    <w:spacing w:before="0" w:beforeAutospacing="0" w:after="0" w:afterAutospacing="0"/>
                    <w:ind w:left="420" w:leftChars="0" w:right="0" w:rightChars="0" w:hanging="420" w:firstLineChars="0"/>
                    <w:jc w:val="center"/>
                    <w:rPr>
                      <w:rFonts w:hint="default"/>
                      <w:color w:val="auto"/>
                      <w:szCs w:val="21"/>
                      <w:lang w:val="en-US" w:eastAsia="zh-CN"/>
                    </w:rPr>
                  </w:pPr>
                </w:p>
              </w:tc>
              <w:tc>
                <w:tcPr>
                  <w:tcW w:w="916" w:type="dxa"/>
                  <w:vMerge w:val="continue"/>
                  <w:vAlign w:val="center"/>
                </w:tcPr>
                <w:p>
                  <w:pPr>
                    <w:keepNext w:val="0"/>
                    <w:keepLines w:val="0"/>
                    <w:suppressLineNumbers w:val="0"/>
                    <w:spacing w:before="0" w:beforeAutospacing="0" w:after="0" w:afterAutospacing="0"/>
                    <w:ind w:left="0" w:leftChars="0" w:right="0" w:rightChars="0"/>
                    <w:jc w:val="center"/>
                    <w:rPr>
                      <w:rFonts w:hint="eastAsia"/>
                      <w:color w:val="auto"/>
                    </w:rPr>
                  </w:pPr>
                </w:p>
              </w:tc>
              <w:tc>
                <w:tcPr>
                  <w:tcW w:w="921" w:type="dxa"/>
                  <w:vMerge w:val="continue"/>
                  <w:vAlign w:val="center"/>
                </w:tcPr>
                <w:p>
                  <w:pPr>
                    <w:keepNext w:val="0"/>
                    <w:keepLines w:val="0"/>
                    <w:suppressLineNumbers w:val="0"/>
                    <w:spacing w:before="0" w:beforeAutospacing="0" w:after="0" w:afterAutospacing="0"/>
                    <w:ind w:left="0" w:leftChars="0" w:right="0" w:rightChars="0"/>
                    <w:jc w:val="center"/>
                    <w:rPr>
                      <w:rFonts w:hint="eastAsia"/>
                      <w:color w:val="auto"/>
                      <w:lang w:val="en-US" w:eastAsia="zh-CN"/>
                    </w:rPr>
                  </w:pPr>
                </w:p>
              </w:tc>
              <w:tc>
                <w:tcPr>
                  <w:tcW w:w="1143" w:type="dxa"/>
                  <w:vMerge w:val="continue"/>
                  <w:vAlign w:val="center"/>
                </w:tcPr>
                <w:p>
                  <w:pPr>
                    <w:keepNext w:val="0"/>
                    <w:keepLines w:val="0"/>
                    <w:suppressLineNumbers w:val="0"/>
                    <w:spacing w:before="0" w:beforeAutospacing="0" w:after="0" w:afterAutospacing="0"/>
                    <w:ind w:left="0" w:leftChars="0" w:right="0" w:rightChars="0"/>
                    <w:jc w:val="center"/>
                    <w:rPr>
                      <w:rFonts w:hint="eastAsia" w:cs="Courier New"/>
                      <w:color w:val="auto"/>
                    </w:rPr>
                  </w:pPr>
                </w:p>
              </w:tc>
              <w:tc>
                <w:tcPr>
                  <w:tcW w:w="1492" w:type="dxa"/>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both"/>
                    <w:textAlignment w:val="auto"/>
                    <w:rPr>
                      <w:rFonts w:hint="default"/>
                      <w:color w:val="auto"/>
                      <w:highlight w:val="cyan"/>
                    </w:rPr>
                  </w:pPr>
                </w:p>
              </w:tc>
              <w:tc>
                <w:tcPr>
                  <w:tcW w:w="674" w:type="dxa"/>
                  <w:vMerge w:val="continue"/>
                  <w:vAlign w:val="center"/>
                </w:tcPr>
                <w:p>
                  <w:pPr>
                    <w:keepNext w:val="0"/>
                    <w:keepLines w:val="0"/>
                    <w:suppressLineNumbers w:val="0"/>
                    <w:spacing w:before="0" w:beforeAutospacing="0" w:after="0" w:afterAutospacing="0"/>
                    <w:ind w:left="0" w:leftChars="0" w:right="0" w:rightChars="0"/>
                    <w:jc w:val="center"/>
                    <w:rPr>
                      <w:rFonts w:hint="eastAsia"/>
                      <w:color w:val="auto"/>
                      <w:lang w:val="en-US" w:eastAsia="zh-CN"/>
                    </w:rPr>
                  </w:pPr>
                </w:p>
              </w:tc>
              <w:tc>
                <w:tcPr>
                  <w:tcW w:w="741" w:type="dxa"/>
                  <w:vMerge w:val="continue"/>
                  <w:vAlign w:val="center"/>
                </w:tcPr>
                <w:p>
                  <w:pPr>
                    <w:keepNext w:val="0"/>
                    <w:keepLines w:val="0"/>
                    <w:suppressLineNumbers w:val="0"/>
                    <w:spacing w:before="0" w:beforeAutospacing="0" w:after="0" w:afterAutospacing="0"/>
                    <w:ind w:left="0" w:leftChars="0" w:right="0" w:rightChars="0"/>
                    <w:jc w:val="center"/>
                    <w:rPr>
                      <w:rFonts w:hint="eastAsia"/>
                      <w:color w:val="auto"/>
                      <w:lang w:val="en-US" w:eastAsia="zh-CN"/>
                    </w:rPr>
                  </w:pPr>
                </w:p>
              </w:tc>
              <w:tc>
                <w:tcPr>
                  <w:tcW w:w="840" w:type="dxa"/>
                  <w:vMerge w:val="continue"/>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lang w:val="en-US" w:eastAsia="zh-CN"/>
                    </w:rPr>
                  </w:pPr>
                </w:p>
              </w:tc>
            </w:tr>
          </w:tbl>
          <w:p>
            <w:pPr>
              <w:pStyle w:val="3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both"/>
              <w:textAlignment w:val="auto"/>
              <w:rPr>
                <w:rFonts w:hint="default"/>
                <w:color w:val="auto"/>
              </w:rPr>
            </w:pPr>
          </w:p>
          <w:p>
            <w:pPr>
              <w:pStyle w:val="3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both"/>
              <w:textAlignment w:val="auto"/>
              <w:rPr>
                <w:rFonts w:hint="default"/>
                <w:color w:val="auto"/>
              </w:rPr>
            </w:pPr>
          </w:p>
          <w:p>
            <w:pPr>
              <w:pStyle w:val="3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both"/>
              <w:textAlignment w:val="auto"/>
              <w:rPr>
                <w:rFonts w:hint="default"/>
                <w:color w:val="auto"/>
              </w:rPr>
            </w:pPr>
          </w:p>
          <w:p>
            <w:pPr>
              <w:pStyle w:val="3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both"/>
              <w:textAlignment w:val="auto"/>
              <w:rPr>
                <w:rFonts w:hint="default"/>
                <w:color w:val="auto"/>
              </w:rPr>
            </w:pPr>
          </w:p>
          <w:p>
            <w:pPr>
              <w:pStyle w:val="3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both"/>
              <w:textAlignment w:val="auto"/>
              <w:rPr>
                <w:rFonts w:hint="default"/>
                <w:color w:val="auto"/>
              </w:rPr>
            </w:pPr>
          </w:p>
          <w:p>
            <w:pPr>
              <w:pStyle w:val="35"/>
              <w:keepNext w:val="0"/>
              <w:keepLines w:val="0"/>
              <w:pageBreakBefore w:val="0"/>
              <w:widowControl w:val="0"/>
              <w:suppressLineNumbers w:val="0"/>
              <w:kinsoku/>
              <w:wordWrap/>
              <w:overflowPunct/>
              <w:topLinePunct w:val="0"/>
              <w:autoSpaceDE w:val="0"/>
              <w:autoSpaceDN w:val="0"/>
              <w:bidi w:val="0"/>
              <w:adjustRightInd/>
              <w:snapToGrid/>
              <w:spacing w:before="157" w:beforeLines="50" w:beforeAutospacing="0" w:after="0" w:afterAutospacing="0"/>
              <w:ind w:right="0"/>
              <w:textAlignment w:val="auto"/>
              <w:rPr>
                <w:rFonts w:hint="default"/>
                <w:color w:val="auto"/>
              </w:rPr>
            </w:pPr>
            <w:r>
              <w:rPr>
                <w:rFonts w:hint="eastAsia"/>
                <w:color w:val="auto"/>
              </w:rPr>
              <w:t>废气污染物</w:t>
            </w:r>
            <w:r>
              <w:rPr>
                <w:rFonts w:hint="eastAsia"/>
                <w:color w:val="auto"/>
                <w:lang w:val="en-US" w:eastAsia="zh-CN"/>
              </w:rPr>
              <w:t>产排情况</w:t>
            </w:r>
            <w:r>
              <w:rPr>
                <w:rFonts w:hint="eastAsia"/>
                <w:color w:val="auto"/>
              </w:rPr>
              <w:t>一览表</w:t>
            </w:r>
            <w:bookmarkEnd w:id="84"/>
          </w:p>
          <w:tbl>
            <w:tblPr>
              <w:tblStyle w:val="32"/>
              <w:tblW w:w="12467"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808"/>
              <w:gridCol w:w="1110"/>
              <w:gridCol w:w="1110"/>
              <w:gridCol w:w="1090"/>
              <w:gridCol w:w="956"/>
              <w:gridCol w:w="808"/>
              <w:gridCol w:w="863"/>
              <w:gridCol w:w="853"/>
              <w:gridCol w:w="933"/>
              <w:gridCol w:w="923"/>
              <w:gridCol w:w="956"/>
              <w:gridCol w:w="1110"/>
              <w:gridCol w:w="9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411" w:hRule="atLeast"/>
                <w:tblHeader/>
                <w:jc w:val="center"/>
              </w:trPr>
              <w:tc>
                <w:tcPr>
                  <w:tcW w:w="808"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产污环节</w:t>
                  </w:r>
                </w:p>
              </w:tc>
              <w:tc>
                <w:tcPr>
                  <w:tcW w:w="1110"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rPr>
                  </w:pPr>
                  <w:r>
                    <w:rPr>
                      <w:rFonts w:hint="eastAsia"/>
                      <w:color w:val="auto"/>
                      <w:szCs w:val="21"/>
                    </w:rPr>
                    <w:t>污染物</w:t>
                  </w:r>
                </w:p>
                <w:p>
                  <w:pPr>
                    <w:keepNext w:val="0"/>
                    <w:keepLines w:val="0"/>
                    <w:suppressLineNumbers w:val="0"/>
                    <w:spacing w:before="0" w:beforeAutospacing="0" w:after="0" w:afterAutospacing="0"/>
                    <w:ind w:left="0" w:right="0"/>
                    <w:jc w:val="center"/>
                    <w:rPr>
                      <w:rFonts w:hint="eastAsia" w:eastAsia="宋体"/>
                      <w:color w:val="auto"/>
                      <w:szCs w:val="21"/>
                      <w:lang w:val="en-US" w:eastAsia="zh-CN"/>
                    </w:rPr>
                  </w:pPr>
                  <w:r>
                    <w:rPr>
                      <w:rFonts w:hint="eastAsia"/>
                      <w:color w:val="auto"/>
                      <w:szCs w:val="21"/>
                      <w:lang w:val="en-US" w:eastAsia="zh-CN"/>
                    </w:rPr>
                    <w:t>种类</w:t>
                  </w:r>
                </w:p>
              </w:tc>
              <w:tc>
                <w:tcPr>
                  <w:tcW w:w="1110"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排气筒</w:t>
                  </w:r>
                </w:p>
              </w:tc>
              <w:tc>
                <w:tcPr>
                  <w:tcW w:w="2046"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产生情况</w:t>
                  </w:r>
                </w:p>
              </w:tc>
              <w:tc>
                <w:tcPr>
                  <w:tcW w:w="3457" w:type="dxa"/>
                  <w:gridSpan w:val="4"/>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eastAsia="宋体"/>
                      <w:color w:val="auto"/>
                      <w:szCs w:val="21"/>
                      <w:lang w:val="en-US" w:eastAsia="zh-CN"/>
                    </w:rPr>
                    <w:t>有组织</w:t>
                  </w:r>
                  <w:r>
                    <w:rPr>
                      <w:rFonts w:hint="eastAsia"/>
                      <w:color w:val="auto"/>
                      <w:szCs w:val="21"/>
                      <w:lang w:val="en-US" w:eastAsia="zh-CN"/>
                    </w:rPr>
                    <w:t>排放</w:t>
                  </w:r>
                </w:p>
              </w:tc>
              <w:tc>
                <w:tcPr>
                  <w:tcW w:w="1879"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eastAsia" w:eastAsia="宋体"/>
                      <w:color w:val="auto"/>
                      <w:szCs w:val="21"/>
                      <w:lang w:eastAsia="zh-CN"/>
                    </w:rPr>
                  </w:pPr>
                  <w:r>
                    <w:rPr>
                      <w:rFonts w:hint="eastAsia" w:eastAsia="宋体"/>
                      <w:color w:val="auto"/>
                      <w:szCs w:val="21"/>
                      <w:lang w:val="en-US" w:eastAsia="zh-CN"/>
                    </w:rPr>
                    <w:t>有组织</w:t>
                  </w:r>
                  <w:r>
                    <w:rPr>
                      <w:rFonts w:hint="eastAsia"/>
                      <w:color w:val="auto"/>
                      <w:szCs w:val="21"/>
                    </w:rPr>
                    <w:t>排放</w:t>
                  </w:r>
                  <w:r>
                    <w:rPr>
                      <w:rFonts w:hint="eastAsia"/>
                      <w:color w:val="auto"/>
                      <w:szCs w:val="21"/>
                      <w:lang w:val="en-US" w:eastAsia="zh-CN"/>
                    </w:rPr>
                    <w:t>标准</w:t>
                  </w:r>
                </w:p>
              </w:tc>
              <w:tc>
                <w:tcPr>
                  <w:tcW w:w="111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eastAsia="宋体"/>
                      <w:color w:val="auto"/>
                      <w:szCs w:val="21"/>
                      <w:lang w:val="en-US" w:eastAsia="zh-CN"/>
                    </w:rPr>
                    <w:t>无组织排放</w:t>
                  </w:r>
                </w:p>
              </w:tc>
              <w:tc>
                <w:tcPr>
                  <w:tcW w:w="947"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eastAsia="宋体"/>
                      <w:color w:val="auto"/>
                      <w:szCs w:val="21"/>
                      <w:lang w:val="en-US" w:eastAsia="zh-CN"/>
                    </w:rPr>
                    <w:t>排放时间h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454" w:hRule="atLeast"/>
                <w:tblHeader/>
                <w:jc w:val="center"/>
              </w:trPr>
              <w:tc>
                <w:tcPr>
                  <w:tcW w:w="808"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olor w:val="auto"/>
                      <w:spacing w:val="4"/>
                      <w:kern w:val="0"/>
                      <w:szCs w:val="21"/>
                    </w:rPr>
                  </w:pPr>
                </w:p>
              </w:tc>
              <w:tc>
                <w:tcPr>
                  <w:tcW w:w="1110"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olor w:val="auto"/>
                      <w:spacing w:val="4"/>
                      <w:kern w:val="0"/>
                      <w:szCs w:val="21"/>
                    </w:rPr>
                  </w:pPr>
                </w:p>
              </w:tc>
              <w:tc>
                <w:tcPr>
                  <w:tcW w:w="1110"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olor w:val="auto"/>
                      <w:spacing w:val="4"/>
                      <w:kern w:val="0"/>
                      <w:szCs w:val="21"/>
                    </w:rPr>
                  </w:pPr>
                </w:p>
              </w:tc>
              <w:tc>
                <w:tcPr>
                  <w:tcW w:w="1090"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产生量</w:t>
                  </w:r>
                </w:p>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lang w:val="en-US" w:eastAsia="zh-CN"/>
                    </w:rPr>
                    <w:t>t/a</w:t>
                  </w:r>
                </w:p>
              </w:tc>
              <w:tc>
                <w:tcPr>
                  <w:tcW w:w="95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产生速率k</w:t>
                  </w:r>
                  <w:r>
                    <w:rPr>
                      <w:rFonts w:hint="default"/>
                      <w:color w:val="auto"/>
                      <w:szCs w:val="21"/>
                    </w:rPr>
                    <w:t>g/h</w:t>
                  </w:r>
                </w:p>
              </w:tc>
              <w:tc>
                <w:tcPr>
                  <w:tcW w:w="808"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排气量</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m</w:t>
                  </w:r>
                  <w:r>
                    <w:rPr>
                      <w:rFonts w:hint="eastAsia" w:ascii="Times New Roman" w:hAnsi="Times New Roman" w:eastAsia="宋体" w:cs="Times New Roman"/>
                      <w:color w:val="auto"/>
                      <w:szCs w:val="21"/>
                      <w:vertAlign w:val="superscript"/>
                      <w:lang w:val="en-US" w:eastAsia="zh-CN"/>
                    </w:rPr>
                    <w:t>3</w:t>
                  </w:r>
                  <w:r>
                    <w:rPr>
                      <w:rFonts w:hint="eastAsia" w:ascii="Times New Roman" w:hAnsi="Times New Roman" w:eastAsia="宋体" w:cs="Times New Roman"/>
                      <w:color w:val="auto"/>
                      <w:szCs w:val="21"/>
                      <w:lang w:val="en-US" w:eastAsia="zh-CN"/>
                    </w:rPr>
                    <w:t>/h</w:t>
                  </w:r>
                </w:p>
              </w:tc>
              <w:tc>
                <w:tcPr>
                  <w:tcW w:w="863"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rPr>
                    <w:t>排放量</w:t>
                  </w:r>
                </w:p>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rPr>
                    <w:t>t/a</w:t>
                  </w:r>
                </w:p>
              </w:tc>
              <w:tc>
                <w:tcPr>
                  <w:tcW w:w="853"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rPr>
                  </w:pPr>
                  <w:r>
                    <w:rPr>
                      <w:rFonts w:hint="eastAsia"/>
                      <w:color w:val="auto"/>
                      <w:szCs w:val="21"/>
                    </w:rPr>
                    <w:t>排放速率</w:t>
                  </w:r>
                  <w:r>
                    <w:rPr>
                      <w:rFonts w:hint="default"/>
                      <w:color w:val="auto"/>
                      <w:szCs w:val="21"/>
                    </w:rPr>
                    <w:t>kg/h</w:t>
                  </w:r>
                </w:p>
              </w:tc>
              <w:tc>
                <w:tcPr>
                  <w:tcW w:w="93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排放浓度</w:t>
                  </w:r>
                  <w:r>
                    <w:rPr>
                      <w:rFonts w:hint="default"/>
                      <w:color w:val="auto"/>
                      <w:szCs w:val="21"/>
                    </w:rPr>
                    <w:t>mg/m</w:t>
                  </w:r>
                  <w:r>
                    <w:rPr>
                      <w:rFonts w:hint="default"/>
                      <w:color w:val="auto"/>
                      <w:szCs w:val="21"/>
                      <w:vertAlign w:val="superscript"/>
                    </w:rPr>
                    <w:t>3</w:t>
                  </w:r>
                </w:p>
              </w:tc>
              <w:tc>
                <w:tcPr>
                  <w:tcW w:w="92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速率限值</w:t>
                  </w:r>
                  <w:r>
                    <w:rPr>
                      <w:rFonts w:hint="default"/>
                      <w:color w:val="auto"/>
                      <w:szCs w:val="21"/>
                      <w:highlight w:val="none"/>
                    </w:rPr>
                    <w:t>kg/h</w:t>
                  </w:r>
                </w:p>
              </w:tc>
              <w:tc>
                <w:tcPr>
                  <w:tcW w:w="956"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eastAsia="宋体"/>
                      <w:color w:val="auto"/>
                      <w:szCs w:val="21"/>
                      <w:highlight w:val="none"/>
                      <w:lang w:val="en-US" w:eastAsia="zh-CN"/>
                    </w:rPr>
                  </w:pPr>
                  <w:r>
                    <w:rPr>
                      <w:rFonts w:hint="eastAsia"/>
                      <w:color w:val="auto"/>
                      <w:szCs w:val="21"/>
                      <w:highlight w:val="none"/>
                    </w:rPr>
                    <w:t>浓度</w:t>
                  </w:r>
                  <w:r>
                    <w:rPr>
                      <w:rFonts w:hint="eastAsia"/>
                      <w:color w:val="auto"/>
                      <w:szCs w:val="21"/>
                      <w:highlight w:val="none"/>
                      <w:lang w:val="en-US" w:eastAsia="zh-CN"/>
                    </w:rPr>
                    <w:t>限值</w:t>
                  </w:r>
                  <w:r>
                    <w:rPr>
                      <w:rFonts w:hint="default"/>
                      <w:color w:val="auto"/>
                      <w:szCs w:val="21"/>
                      <w:highlight w:val="none"/>
                    </w:rPr>
                    <w:t>mg/m</w:t>
                  </w:r>
                  <w:r>
                    <w:rPr>
                      <w:rFonts w:hint="default"/>
                      <w:color w:val="auto"/>
                      <w:szCs w:val="21"/>
                      <w:highlight w:val="none"/>
                      <w:vertAlign w:val="superscript"/>
                    </w:rPr>
                    <w:t>3</w:t>
                  </w:r>
                </w:p>
              </w:tc>
              <w:tc>
                <w:tcPr>
                  <w:tcW w:w="1110"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highlight w:val="none"/>
                    </w:rPr>
                  </w:pPr>
                  <w:r>
                    <w:rPr>
                      <w:rFonts w:hint="eastAsia"/>
                      <w:color w:val="auto"/>
                      <w:szCs w:val="21"/>
                      <w:highlight w:val="none"/>
                    </w:rPr>
                    <w:t>排放量</w:t>
                  </w:r>
                </w:p>
                <w:p>
                  <w:pPr>
                    <w:keepNext w:val="0"/>
                    <w:keepLines w:val="0"/>
                    <w:suppressLineNumbers w:val="0"/>
                    <w:spacing w:before="0" w:beforeAutospacing="0" w:after="0" w:afterAutospacing="0"/>
                    <w:ind w:left="0" w:right="0"/>
                    <w:jc w:val="center"/>
                    <w:rPr>
                      <w:rFonts w:hint="eastAsia"/>
                      <w:color w:val="auto"/>
                      <w:szCs w:val="21"/>
                      <w:highlight w:val="cyan"/>
                    </w:rPr>
                  </w:pPr>
                  <w:r>
                    <w:rPr>
                      <w:rFonts w:hint="eastAsia"/>
                      <w:color w:val="auto"/>
                      <w:szCs w:val="21"/>
                      <w:highlight w:val="none"/>
                    </w:rPr>
                    <w:t>t/a</w:t>
                  </w:r>
                </w:p>
              </w:tc>
              <w:tc>
                <w:tcPr>
                  <w:tcW w:w="947"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454" w:hRule="atLeast"/>
                <w:jc w:val="center"/>
              </w:trPr>
              <w:tc>
                <w:tcPr>
                  <w:tcW w:w="808" w:type="dxa"/>
                  <w:vMerge w:val="restart"/>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检测</w:t>
                  </w:r>
                </w:p>
              </w:tc>
              <w:tc>
                <w:tcPr>
                  <w:tcW w:w="1110"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eastAsia"/>
                      <w:color w:val="auto"/>
                      <w:szCs w:val="20"/>
                      <w:lang w:val="en-US" w:eastAsia="zh-CN"/>
                    </w:rPr>
                  </w:pPr>
                  <w:r>
                    <w:rPr>
                      <w:rFonts w:hint="default"/>
                      <w:color w:val="auto"/>
                      <w:szCs w:val="20"/>
                      <w:lang w:val="en-US" w:eastAsia="zh-CN"/>
                    </w:rPr>
                    <w:t>氯化氢</w:t>
                  </w:r>
                </w:p>
              </w:tc>
              <w:tc>
                <w:tcPr>
                  <w:tcW w:w="1110" w:type="dxa"/>
                  <w:vMerge w:val="restart"/>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DA001</w:t>
                  </w:r>
                </w:p>
              </w:tc>
              <w:tc>
                <w:tcPr>
                  <w:tcW w:w="109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0.0027 </w:t>
                  </w:r>
                </w:p>
              </w:tc>
              <w:tc>
                <w:tcPr>
                  <w:tcW w:w="956"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0.0023 </w:t>
                  </w:r>
                </w:p>
              </w:tc>
              <w:tc>
                <w:tcPr>
                  <w:tcW w:w="808" w:type="dxa"/>
                  <w:vMerge w:val="restart"/>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15800</w:t>
                  </w:r>
                </w:p>
              </w:tc>
              <w:tc>
                <w:tcPr>
                  <w:tcW w:w="86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0.00036 </w:t>
                  </w:r>
                </w:p>
              </w:tc>
              <w:tc>
                <w:tcPr>
                  <w:tcW w:w="85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0.00030 </w:t>
                  </w:r>
                </w:p>
              </w:tc>
              <w:tc>
                <w:tcPr>
                  <w:tcW w:w="93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0.032</w:t>
                  </w:r>
                </w:p>
              </w:tc>
              <w:tc>
                <w:tcPr>
                  <w:tcW w:w="92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0.43</w:t>
                  </w:r>
                </w:p>
              </w:tc>
              <w:tc>
                <w:tcPr>
                  <w:tcW w:w="956"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100</w:t>
                  </w:r>
                </w:p>
              </w:tc>
              <w:tc>
                <w:tcPr>
                  <w:tcW w:w="111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highlight w:val="cyan"/>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0.0010 </w:t>
                  </w:r>
                </w:p>
              </w:tc>
              <w:tc>
                <w:tcPr>
                  <w:tcW w:w="947"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454" w:hRule="atLeast"/>
                <w:jc w:val="center"/>
              </w:trPr>
              <w:tc>
                <w:tcPr>
                  <w:tcW w:w="808"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c>
                <w:tcPr>
                  <w:tcW w:w="1110"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硫酸雾</w:t>
                  </w:r>
                </w:p>
              </w:tc>
              <w:tc>
                <w:tcPr>
                  <w:tcW w:w="1110"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c>
                <w:tcPr>
                  <w:tcW w:w="109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0.0051 </w:t>
                  </w:r>
                </w:p>
              </w:tc>
              <w:tc>
                <w:tcPr>
                  <w:tcW w:w="956"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0.0042 </w:t>
                  </w:r>
                </w:p>
              </w:tc>
              <w:tc>
                <w:tcPr>
                  <w:tcW w:w="808"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lang w:val="en-US" w:eastAsia="zh-CN"/>
                    </w:rPr>
                  </w:pPr>
                </w:p>
              </w:tc>
              <w:tc>
                <w:tcPr>
                  <w:tcW w:w="86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0.00066 </w:t>
                  </w:r>
                </w:p>
              </w:tc>
              <w:tc>
                <w:tcPr>
                  <w:tcW w:w="85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0.0005 </w:t>
                  </w:r>
                </w:p>
              </w:tc>
              <w:tc>
                <w:tcPr>
                  <w:tcW w:w="93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0.059</w:t>
                  </w:r>
                </w:p>
              </w:tc>
              <w:tc>
                <w:tcPr>
                  <w:tcW w:w="92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2.6</w:t>
                  </w:r>
                </w:p>
              </w:tc>
              <w:tc>
                <w:tcPr>
                  <w:tcW w:w="956"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45</w:t>
                  </w:r>
                </w:p>
              </w:tc>
              <w:tc>
                <w:tcPr>
                  <w:tcW w:w="111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highlight w:val="cyan"/>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0.0018 </w:t>
                  </w:r>
                </w:p>
              </w:tc>
              <w:tc>
                <w:tcPr>
                  <w:tcW w:w="947"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454" w:hRule="atLeast"/>
                <w:jc w:val="center"/>
              </w:trPr>
              <w:tc>
                <w:tcPr>
                  <w:tcW w:w="808"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c>
                <w:tcPr>
                  <w:tcW w:w="1110" w:type="dxa"/>
                  <w:tcBorders>
                    <w:tl2br w:val="nil"/>
                    <w:tr2bl w:val="nil"/>
                  </w:tcBorders>
                  <w:vAlign w:val="center"/>
                </w:tcPr>
                <w:p>
                  <w:pPr>
                    <w:pStyle w:val="37"/>
                    <w:keepNext w:val="0"/>
                    <w:keepLines w:val="0"/>
                    <w:widowControl/>
                    <w:suppressLineNumbers w:val="0"/>
                    <w:bidi w:val="0"/>
                    <w:spacing w:before="0" w:beforeAutospacing="0" w:after="0" w:afterAutospacing="0"/>
                    <w:ind w:left="0" w:leftChars="0" w:right="0" w:rightChars="0" w:firstLine="0" w:firstLineChars="0"/>
                    <w:rPr>
                      <w:rFonts w:hint="default"/>
                      <w:color w:val="auto"/>
                      <w:szCs w:val="20"/>
                      <w:lang w:val="en-US" w:eastAsia="zh-CN"/>
                    </w:rPr>
                  </w:pPr>
                  <w:r>
                    <w:rPr>
                      <w:rFonts w:hint="default"/>
                      <w:color w:val="auto"/>
                      <w:szCs w:val="20"/>
                      <w:lang w:val="en-US" w:eastAsia="zh-CN"/>
                    </w:rPr>
                    <w:t>氯化氢</w:t>
                  </w:r>
                </w:p>
              </w:tc>
              <w:tc>
                <w:tcPr>
                  <w:tcW w:w="1110" w:type="dxa"/>
                  <w:vMerge w:val="restart"/>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DA002</w:t>
                  </w:r>
                </w:p>
              </w:tc>
              <w:tc>
                <w:tcPr>
                  <w:tcW w:w="109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0.0013 </w:t>
                  </w:r>
                </w:p>
              </w:tc>
              <w:tc>
                <w:tcPr>
                  <w:tcW w:w="956"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0.0010 </w:t>
                  </w:r>
                </w:p>
              </w:tc>
              <w:tc>
                <w:tcPr>
                  <w:tcW w:w="808" w:type="dxa"/>
                  <w:vMerge w:val="restart"/>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7200</w:t>
                  </w:r>
                </w:p>
              </w:tc>
              <w:tc>
                <w:tcPr>
                  <w:tcW w:w="86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0.00016 </w:t>
                  </w:r>
                </w:p>
              </w:tc>
              <w:tc>
                <w:tcPr>
                  <w:tcW w:w="85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0.00014 </w:t>
                  </w:r>
                </w:p>
              </w:tc>
              <w:tc>
                <w:tcPr>
                  <w:tcW w:w="93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0.032</w:t>
                  </w:r>
                </w:p>
              </w:tc>
              <w:tc>
                <w:tcPr>
                  <w:tcW w:w="92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0.43</w:t>
                  </w:r>
                </w:p>
              </w:tc>
              <w:tc>
                <w:tcPr>
                  <w:tcW w:w="956"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100</w:t>
                  </w:r>
                </w:p>
              </w:tc>
              <w:tc>
                <w:tcPr>
                  <w:tcW w:w="111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0.0004 </w:t>
                  </w:r>
                </w:p>
              </w:tc>
              <w:tc>
                <w:tcPr>
                  <w:tcW w:w="947"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454" w:hRule="atLeast"/>
                <w:jc w:val="center"/>
              </w:trPr>
              <w:tc>
                <w:tcPr>
                  <w:tcW w:w="808"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c>
                <w:tcPr>
                  <w:tcW w:w="1110" w:type="dxa"/>
                  <w:tcBorders>
                    <w:tl2br w:val="nil"/>
                    <w:tr2bl w:val="nil"/>
                  </w:tcBorders>
                  <w:vAlign w:val="center"/>
                </w:tcPr>
                <w:p>
                  <w:pPr>
                    <w:pStyle w:val="37"/>
                    <w:keepNext w:val="0"/>
                    <w:keepLines w:val="0"/>
                    <w:widowControl/>
                    <w:suppressLineNumbers w:val="0"/>
                    <w:bidi w:val="0"/>
                    <w:spacing w:before="0" w:beforeAutospacing="0" w:after="0" w:afterAutospacing="0"/>
                    <w:ind w:left="0" w:leftChars="0" w:right="0" w:rightChars="0" w:firstLine="0" w:firstLineChars="0"/>
                    <w:rPr>
                      <w:rFonts w:hint="default"/>
                      <w:color w:val="auto"/>
                      <w:szCs w:val="20"/>
                      <w:lang w:val="en-US" w:eastAsia="zh-CN"/>
                    </w:rPr>
                  </w:pPr>
                  <w:r>
                    <w:rPr>
                      <w:rFonts w:hint="default"/>
                      <w:color w:val="auto"/>
                      <w:szCs w:val="20"/>
                      <w:lang w:val="en-US" w:eastAsia="zh-CN"/>
                    </w:rPr>
                    <w:t>硫酸雾</w:t>
                  </w:r>
                </w:p>
              </w:tc>
              <w:tc>
                <w:tcPr>
                  <w:tcW w:w="1110"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c>
                <w:tcPr>
                  <w:tcW w:w="109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0.0023 </w:t>
                  </w:r>
                </w:p>
              </w:tc>
              <w:tc>
                <w:tcPr>
                  <w:tcW w:w="956"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0.0019 </w:t>
                  </w:r>
                </w:p>
              </w:tc>
              <w:tc>
                <w:tcPr>
                  <w:tcW w:w="808"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lang w:val="en-US" w:eastAsia="zh-CN"/>
                    </w:rPr>
                  </w:pPr>
                </w:p>
              </w:tc>
              <w:tc>
                <w:tcPr>
                  <w:tcW w:w="86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0.00030 </w:t>
                  </w:r>
                </w:p>
              </w:tc>
              <w:tc>
                <w:tcPr>
                  <w:tcW w:w="85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0.0003 </w:t>
                  </w:r>
                </w:p>
              </w:tc>
              <w:tc>
                <w:tcPr>
                  <w:tcW w:w="93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0.059</w:t>
                  </w:r>
                </w:p>
              </w:tc>
              <w:tc>
                <w:tcPr>
                  <w:tcW w:w="92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2.6</w:t>
                  </w:r>
                </w:p>
              </w:tc>
              <w:tc>
                <w:tcPr>
                  <w:tcW w:w="956"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45</w:t>
                  </w:r>
                </w:p>
              </w:tc>
              <w:tc>
                <w:tcPr>
                  <w:tcW w:w="111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0.0008 </w:t>
                  </w:r>
                </w:p>
              </w:tc>
              <w:tc>
                <w:tcPr>
                  <w:tcW w:w="947"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454" w:hRule="atLeast"/>
                <w:jc w:val="center"/>
              </w:trPr>
              <w:tc>
                <w:tcPr>
                  <w:tcW w:w="808"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eastAsia"/>
                      <w:color w:val="auto"/>
                      <w:szCs w:val="20"/>
                      <w:lang w:val="en-US" w:eastAsia="zh-CN"/>
                    </w:rPr>
                  </w:pPr>
                </w:p>
              </w:tc>
              <w:tc>
                <w:tcPr>
                  <w:tcW w:w="1110"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eastAsia"/>
                      <w:color w:val="auto"/>
                      <w:szCs w:val="20"/>
                      <w:lang w:val="en-US" w:eastAsia="zh-CN"/>
                    </w:rPr>
                  </w:pPr>
                  <w:r>
                    <w:rPr>
                      <w:rFonts w:hint="default"/>
                      <w:color w:val="auto"/>
                      <w:szCs w:val="20"/>
                      <w:lang w:val="en-US" w:eastAsia="zh-CN"/>
                    </w:rPr>
                    <w:t>非甲烷总烃</w:t>
                  </w:r>
                </w:p>
              </w:tc>
              <w:tc>
                <w:tcPr>
                  <w:tcW w:w="1110" w:type="dxa"/>
                  <w:vMerge w:val="restart"/>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DA00</w:t>
                  </w:r>
                  <w:r>
                    <w:rPr>
                      <w:rFonts w:hint="eastAsia"/>
                      <w:color w:val="auto"/>
                      <w:szCs w:val="20"/>
                      <w:lang w:val="en-US" w:eastAsia="zh-CN"/>
                    </w:rPr>
                    <w:t>3</w:t>
                  </w:r>
                </w:p>
              </w:tc>
              <w:tc>
                <w:tcPr>
                  <w:tcW w:w="109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0.0246 </w:t>
                  </w:r>
                </w:p>
              </w:tc>
              <w:tc>
                <w:tcPr>
                  <w:tcW w:w="956"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0.0205 </w:t>
                  </w:r>
                </w:p>
              </w:tc>
              <w:tc>
                <w:tcPr>
                  <w:tcW w:w="808" w:type="dxa"/>
                  <w:vMerge w:val="restart"/>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8400</w:t>
                  </w:r>
                </w:p>
              </w:tc>
              <w:tc>
                <w:tcPr>
                  <w:tcW w:w="86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0.00639 </w:t>
                  </w:r>
                </w:p>
              </w:tc>
              <w:tc>
                <w:tcPr>
                  <w:tcW w:w="85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0.00533 </w:t>
                  </w:r>
                </w:p>
              </w:tc>
              <w:tc>
                <w:tcPr>
                  <w:tcW w:w="93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0.376</w:t>
                  </w:r>
                </w:p>
              </w:tc>
              <w:tc>
                <w:tcPr>
                  <w:tcW w:w="92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17</w:t>
                  </w:r>
                </w:p>
              </w:tc>
              <w:tc>
                <w:tcPr>
                  <w:tcW w:w="956"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120</w:t>
                  </w:r>
                </w:p>
              </w:tc>
              <w:tc>
                <w:tcPr>
                  <w:tcW w:w="111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highlight w:val="cyan"/>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0.0086 </w:t>
                  </w:r>
                </w:p>
              </w:tc>
              <w:tc>
                <w:tcPr>
                  <w:tcW w:w="947"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454" w:hRule="atLeast"/>
                <w:jc w:val="center"/>
              </w:trPr>
              <w:tc>
                <w:tcPr>
                  <w:tcW w:w="808"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eastAsia"/>
                      <w:color w:val="auto"/>
                      <w:szCs w:val="20"/>
                      <w:lang w:val="en-US" w:eastAsia="zh-CN"/>
                    </w:rPr>
                  </w:pPr>
                </w:p>
              </w:tc>
              <w:tc>
                <w:tcPr>
                  <w:tcW w:w="1110"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eastAsia"/>
                      <w:color w:val="auto"/>
                      <w:szCs w:val="20"/>
                      <w:lang w:val="en-US" w:eastAsia="zh-CN"/>
                    </w:rPr>
                    <w:t>氨</w:t>
                  </w:r>
                </w:p>
              </w:tc>
              <w:tc>
                <w:tcPr>
                  <w:tcW w:w="1110"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eastAsia"/>
                      <w:color w:val="auto"/>
                      <w:szCs w:val="20"/>
                      <w:lang w:val="en-US" w:eastAsia="zh-CN"/>
                    </w:rPr>
                  </w:pPr>
                </w:p>
              </w:tc>
              <w:tc>
                <w:tcPr>
                  <w:tcW w:w="109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0.00019 </w:t>
                  </w:r>
                </w:p>
              </w:tc>
              <w:tc>
                <w:tcPr>
                  <w:tcW w:w="956"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0.00016 </w:t>
                  </w:r>
                </w:p>
              </w:tc>
              <w:tc>
                <w:tcPr>
                  <w:tcW w:w="808"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86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0.00004 </w:t>
                  </w:r>
                </w:p>
              </w:tc>
              <w:tc>
                <w:tcPr>
                  <w:tcW w:w="85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0.00003 </w:t>
                  </w:r>
                </w:p>
              </w:tc>
              <w:tc>
                <w:tcPr>
                  <w:tcW w:w="93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0.024</w:t>
                  </w:r>
                </w:p>
              </w:tc>
              <w:tc>
                <w:tcPr>
                  <w:tcW w:w="92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8.7</w:t>
                  </w:r>
                </w:p>
              </w:tc>
              <w:tc>
                <w:tcPr>
                  <w:tcW w:w="956"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111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highlight w:val="cyan"/>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0.00009 </w:t>
                  </w:r>
                </w:p>
              </w:tc>
              <w:tc>
                <w:tcPr>
                  <w:tcW w:w="947"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454" w:hRule="atLeast"/>
                <w:jc w:val="center"/>
              </w:trPr>
              <w:tc>
                <w:tcPr>
                  <w:tcW w:w="808"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eastAsia"/>
                      <w:color w:val="auto"/>
                      <w:szCs w:val="20"/>
                      <w:lang w:val="en-US" w:eastAsia="zh-CN"/>
                    </w:rPr>
                  </w:pPr>
                </w:p>
              </w:tc>
              <w:tc>
                <w:tcPr>
                  <w:tcW w:w="1110" w:type="dxa"/>
                  <w:tcBorders>
                    <w:tl2br w:val="nil"/>
                    <w:tr2bl w:val="nil"/>
                  </w:tcBorders>
                  <w:vAlign w:val="center"/>
                </w:tcPr>
                <w:p>
                  <w:pPr>
                    <w:pStyle w:val="37"/>
                    <w:keepNext w:val="0"/>
                    <w:keepLines w:val="0"/>
                    <w:widowControl/>
                    <w:suppressLineNumbers w:val="0"/>
                    <w:bidi w:val="0"/>
                    <w:spacing w:before="0" w:beforeAutospacing="0" w:after="0" w:afterAutospacing="0"/>
                    <w:ind w:left="0" w:leftChars="0" w:right="0" w:rightChars="0" w:firstLine="0" w:firstLineChars="0"/>
                    <w:rPr>
                      <w:rFonts w:hint="eastAsia"/>
                      <w:color w:val="auto"/>
                      <w:szCs w:val="20"/>
                      <w:lang w:val="en-US" w:eastAsia="zh-CN"/>
                    </w:rPr>
                  </w:pPr>
                  <w:r>
                    <w:rPr>
                      <w:rFonts w:hint="default"/>
                      <w:color w:val="auto"/>
                      <w:szCs w:val="20"/>
                      <w:lang w:val="en-US" w:eastAsia="zh-CN"/>
                    </w:rPr>
                    <w:t>非甲烷总烃</w:t>
                  </w:r>
                </w:p>
              </w:tc>
              <w:tc>
                <w:tcPr>
                  <w:tcW w:w="1110" w:type="dxa"/>
                  <w:vMerge w:val="restart"/>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eastAsia"/>
                      <w:color w:val="auto"/>
                      <w:szCs w:val="20"/>
                      <w:lang w:val="en-US" w:eastAsia="zh-CN"/>
                    </w:rPr>
                  </w:pPr>
                  <w:r>
                    <w:rPr>
                      <w:rFonts w:hint="default"/>
                      <w:color w:val="auto"/>
                      <w:szCs w:val="20"/>
                      <w:lang w:val="en-US" w:eastAsia="zh-CN"/>
                    </w:rPr>
                    <w:t>DA00</w:t>
                  </w:r>
                  <w:r>
                    <w:rPr>
                      <w:rFonts w:hint="eastAsia"/>
                      <w:color w:val="auto"/>
                      <w:szCs w:val="20"/>
                      <w:lang w:val="en-US" w:eastAsia="zh-CN"/>
                    </w:rPr>
                    <w:t>4</w:t>
                  </w:r>
                </w:p>
              </w:tc>
              <w:tc>
                <w:tcPr>
                  <w:tcW w:w="109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0.0014 </w:t>
                  </w:r>
                </w:p>
              </w:tc>
              <w:tc>
                <w:tcPr>
                  <w:tcW w:w="956"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0.0012 </w:t>
                  </w:r>
                </w:p>
              </w:tc>
              <w:tc>
                <w:tcPr>
                  <w:tcW w:w="808" w:type="dxa"/>
                  <w:vMerge w:val="restart"/>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100</w:t>
                  </w:r>
                  <w:r>
                    <w:rPr>
                      <w:rFonts w:hint="eastAsia" w:cs="Times New Roman"/>
                      <w:i w:val="0"/>
                      <w:iCs w:val="0"/>
                      <w:color w:val="auto"/>
                      <w:kern w:val="0"/>
                      <w:sz w:val="21"/>
                      <w:szCs w:val="21"/>
                      <w:u w:val="none"/>
                      <w:lang w:val="en-US" w:eastAsia="zh-CN" w:bidi="ar"/>
                    </w:rPr>
                    <w:t>0</w:t>
                  </w:r>
                  <w:r>
                    <w:rPr>
                      <w:rFonts w:hint="default" w:ascii="Times New Roman" w:hAnsi="Times New Roman" w:eastAsia="宋体" w:cs="Times New Roman"/>
                      <w:i w:val="0"/>
                      <w:iCs w:val="0"/>
                      <w:color w:val="auto"/>
                      <w:kern w:val="0"/>
                      <w:sz w:val="21"/>
                      <w:szCs w:val="21"/>
                      <w:u w:val="none"/>
                      <w:lang w:val="en-US" w:eastAsia="zh-CN" w:bidi="ar"/>
                    </w:rPr>
                    <w:t>0</w:t>
                  </w:r>
                </w:p>
              </w:tc>
              <w:tc>
                <w:tcPr>
                  <w:tcW w:w="86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0.00037 </w:t>
                  </w:r>
                </w:p>
              </w:tc>
              <w:tc>
                <w:tcPr>
                  <w:tcW w:w="85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0.00031 </w:t>
                  </w:r>
                </w:p>
              </w:tc>
              <w:tc>
                <w:tcPr>
                  <w:tcW w:w="93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0.376</w:t>
                  </w:r>
                </w:p>
              </w:tc>
              <w:tc>
                <w:tcPr>
                  <w:tcW w:w="92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cs="Times New Roman"/>
                      <w:color w:val="auto"/>
                      <w:szCs w:val="20"/>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17</w:t>
                  </w:r>
                </w:p>
              </w:tc>
              <w:tc>
                <w:tcPr>
                  <w:tcW w:w="956"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cs="Times New Roman"/>
                      <w:color w:val="auto"/>
                      <w:szCs w:val="20"/>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120</w:t>
                  </w:r>
                </w:p>
              </w:tc>
              <w:tc>
                <w:tcPr>
                  <w:tcW w:w="111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0.0005 </w:t>
                  </w:r>
                </w:p>
              </w:tc>
              <w:tc>
                <w:tcPr>
                  <w:tcW w:w="947"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454" w:hRule="atLeast"/>
                <w:jc w:val="center"/>
              </w:trPr>
              <w:tc>
                <w:tcPr>
                  <w:tcW w:w="808"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eastAsia"/>
                      <w:color w:val="auto"/>
                      <w:szCs w:val="20"/>
                      <w:lang w:val="en-US" w:eastAsia="zh-CN"/>
                    </w:rPr>
                  </w:pPr>
                </w:p>
              </w:tc>
              <w:tc>
                <w:tcPr>
                  <w:tcW w:w="1110" w:type="dxa"/>
                  <w:tcBorders>
                    <w:tl2br w:val="nil"/>
                    <w:tr2bl w:val="nil"/>
                  </w:tcBorders>
                  <w:vAlign w:val="center"/>
                </w:tcPr>
                <w:p>
                  <w:pPr>
                    <w:pStyle w:val="37"/>
                    <w:keepNext w:val="0"/>
                    <w:keepLines w:val="0"/>
                    <w:widowControl/>
                    <w:suppressLineNumbers w:val="0"/>
                    <w:bidi w:val="0"/>
                    <w:spacing w:before="0" w:beforeAutospacing="0" w:after="0" w:afterAutospacing="0"/>
                    <w:ind w:left="0" w:leftChars="0" w:right="0" w:rightChars="0" w:firstLine="0" w:firstLineChars="0"/>
                    <w:rPr>
                      <w:rFonts w:hint="eastAsia"/>
                      <w:color w:val="auto"/>
                      <w:szCs w:val="20"/>
                      <w:lang w:val="en-US" w:eastAsia="zh-CN"/>
                    </w:rPr>
                  </w:pPr>
                  <w:r>
                    <w:rPr>
                      <w:rFonts w:hint="eastAsia"/>
                      <w:color w:val="auto"/>
                      <w:szCs w:val="20"/>
                      <w:lang w:val="en-US" w:eastAsia="zh-CN"/>
                    </w:rPr>
                    <w:t>氨</w:t>
                  </w:r>
                </w:p>
              </w:tc>
              <w:tc>
                <w:tcPr>
                  <w:tcW w:w="1110"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eastAsia"/>
                      <w:color w:val="auto"/>
                      <w:szCs w:val="20"/>
                      <w:lang w:val="en-US" w:eastAsia="zh-CN"/>
                    </w:rPr>
                  </w:pPr>
                </w:p>
              </w:tc>
              <w:tc>
                <w:tcPr>
                  <w:tcW w:w="109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0.00001 </w:t>
                  </w:r>
                </w:p>
              </w:tc>
              <w:tc>
                <w:tcPr>
                  <w:tcW w:w="956"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0.00001 </w:t>
                  </w:r>
                </w:p>
              </w:tc>
              <w:tc>
                <w:tcPr>
                  <w:tcW w:w="808"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86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0.000002 </w:t>
                  </w:r>
                </w:p>
              </w:tc>
              <w:tc>
                <w:tcPr>
                  <w:tcW w:w="85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0.000002 </w:t>
                  </w:r>
                </w:p>
              </w:tc>
              <w:tc>
                <w:tcPr>
                  <w:tcW w:w="93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0.024</w:t>
                  </w:r>
                </w:p>
              </w:tc>
              <w:tc>
                <w:tcPr>
                  <w:tcW w:w="92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cs="Times New Roman"/>
                      <w:color w:val="auto"/>
                      <w:szCs w:val="20"/>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8.7</w:t>
                  </w:r>
                </w:p>
              </w:tc>
              <w:tc>
                <w:tcPr>
                  <w:tcW w:w="956"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cs="Times New Roman"/>
                      <w:color w:val="auto"/>
                      <w:szCs w:val="20"/>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111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0.00001 </w:t>
                  </w:r>
                </w:p>
              </w:tc>
              <w:tc>
                <w:tcPr>
                  <w:tcW w:w="947"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1"/>
                      <w:szCs w:val="21"/>
                      <w:u w:val="none"/>
                      <w:lang w:val="en-US" w:eastAsia="zh-CN" w:bidi="ar"/>
                    </w:rPr>
                    <w:t>120</w:t>
                  </w:r>
                </w:p>
              </w:tc>
            </w:tr>
          </w:tbl>
          <w:p>
            <w:pPr>
              <w:keepNext w:val="0"/>
              <w:keepLines w:val="0"/>
              <w:widowControl w:val="0"/>
              <w:suppressLineNumbers w:val="0"/>
              <w:autoSpaceDE w:val="0"/>
              <w:autoSpaceDN w:val="0"/>
              <w:adjustRightInd w:val="0"/>
              <w:snapToGrid w:val="0"/>
              <w:spacing w:before="120" w:beforeLines="50" w:beforeAutospacing="0" w:after="0" w:afterAutospacing="0" w:line="360" w:lineRule="auto"/>
              <w:ind w:left="0" w:right="0"/>
              <w:jc w:val="left"/>
              <w:rPr>
                <w:rFonts w:hint="default" w:ascii="Times New Roman" w:hAnsi="Times New Roman" w:cs="Times New Roman"/>
                <w:color w:val="auto"/>
                <w:highlight w:val="none"/>
                <w:lang w:val="en-US"/>
              </w:rPr>
            </w:pPr>
          </w:p>
        </w:tc>
      </w:tr>
    </w:tbl>
    <w:p>
      <w:pPr>
        <w:rPr>
          <w:rFonts w:hint="default" w:ascii="Times New Roman" w:hAnsi="Times New Roman" w:cs="Times New Roman"/>
          <w:color w:val="auto"/>
          <w:highlight w:val="none"/>
        </w:rPr>
        <w:sectPr>
          <w:pgSz w:w="16840" w:h="11907" w:orient="landscape"/>
          <w:pgMar w:top="1531" w:right="1701" w:bottom="1531" w:left="2127" w:header="851" w:footer="851" w:gutter="0"/>
          <w:pgBorders>
            <w:top w:val="none" w:sz="0" w:space="0"/>
            <w:left w:val="none" w:sz="0" w:space="0"/>
            <w:bottom w:val="none" w:sz="0" w:space="0"/>
            <w:right w:val="none" w:sz="0" w:space="0"/>
          </w:pgBorders>
          <w:pgNumType w:fmt="numberInDash"/>
          <w:cols w:space="720" w:num="1"/>
          <w:docGrid w:linePitch="312" w:charSpace="0"/>
        </w:sectPr>
      </w:pPr>
    </w:p>
    <w:p>
      <w:pPr>
        <w:rPr>
          <w:rFonts w:hint="default" w:ascii="Times New Roman" w:hAnsi="Times New Roman" w:cs="Times New Roman"/>
          <w:color w:val="auto"/>
          <w:highlight w:val="none"/>
        </w:rPr>
      </w:pPr>
    </w:p>
    <w:tbl>
      <w:tblPr>
        <w:tblStyle w:val="32"/>
        <w:tblW w:w="8981"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30"/>
        <w:gridCol w:w="835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2705" w:hRule="atLeast"/>
          <w:jc w:val="center"/>
        </w:trPr>
        <w:tc>
          <w:tcPr>
            <w:tcW w:w="630" w:type="dxa"/>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运营</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期环</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境影</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响和</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保护</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 w:val="24"/>
                <w:szCs w:val="24"/>
                <w:highlight w:val="none"/>
              </w:rPr>
              <w:t>措施</w:t>
            </w:r>
          </w:p>
        </w:tc>
        <w:tc>
          <w:tcPr>
            <w:tcW w:w="8351" w:type="dxa"/>
            <w:tcBorders>
              <w:top w:val="single" w:color="auto" w:sz="4" w:space="0"/>
              <w:bottom w:val="single" w:color="auto" w:sz="4" w:space="0"/>
              <w:right w:val="single" w:color="auto" w:sz="4" w:space="0"/>
            </w:tcBorders>
            <w:vAlign w:val="top"/>
          </w:tcPr>
          <w:p>
            <w:pPr>
              <w:pStyle w:val="4"/>
              <w:suppressLineNumbers w:val="0"/>
              <w:bidi w:val="0"/>
              <w:spacing w:beforeAutospacing="0" w:afterAutospacing="0"/>
              <w:ind w:right="0"/>
              <w:rPr>
                <w:rFonts w:hint="default"/>
                <w:color w:val="auto"/>
                <w:lang w:val="en-US" w:eastAsia="zh-CN"/>
              </w:rPr>
            </w:pPr>
            <w:r>
              <w:rPr>
                <w:rFonts w:hint="default"/>
                <w:color w:val="auto"/>
                <w:lang w:val="en-US" w:eastAsia="zh-CN"/>
              </w:rPr>
              <w:t>废气</w:t>
            </w:r>
            <w:r>
              <w:rPr>
                <w:rFonts w:hint="eastAsia"/>
                <w:color w:val="auto"/>
                <w:lang w:val="en-US" w:eastAsia="zh-CN"/>
              </w:rPr>
              <w:t>污染</w:t>
            </w:r>
            <w:r>
              <w:rPr>
                <w:rFonts w:hint="default"/>
                <w:color w:val="auto"/>
                <w:lang w:val="en-US" w:eastAsia="zh-CN"/>
              </w:rPr>
              <w:t>源强核算</w:t>
            </w:r>
            <w:r>
              <w:rPr>
                <w:rFonts w:hint="eastAsia"/>
                <w:color w:val="auto"/>
                <w:lang w:val="en-US" w:eastAsia="zh-CN"/>
              </w:rPr>
              <w:t>过程</w:t>
            </w:r>
          </w:p>
          <w:p>
            <w:pPr>
              <w:pStyle w:val="36"/>
              <w:keepNext w:val="0"/>
              <w:keepLines w:val="0"/>
              <w:numPr>
                <w:ilvl w:val="0"/>
                <w:numId w:val="0"/>
              </w:numPr>
              <w:suppressLineNumbers w:val="0"/>
              <w:bidi w:val="0"/>
              <w:spacing w:before="0" w:beforeAutospacing="0" w:after="0" w:afterAutospacing="0"/>
              <w:ind w:left="0" w:right="0" w:rightChars="0" w:firstLine="480" w:firstLineChars="200"/>
              <w:rPr>
                <w:rFonts w:hint="default" w:ascii="Times New Roman" w:hAnsi="Times New Roman" w:cs="Times New Roman"/>
                <w:color w:val="auto"/>
                <w:highlight w:val="none"/>
                <w:vertAlign w:val="baseline"/>
                <w:lang w:val="en-US" w:eastAsia="zh-CN"/>
              </w:rPr>
            </w:pPr>
            <w:r>
              <w:rPr>
                <w:rFonts w:hint="default" w:ascii="Times New Roman" w:hAnsi="Times New Roman" w:eastAsia="宋体" w:cs="Times New Roman"/>
                <w:color w:val="auto"/>
                <w:lang w:val="en-US" w:eastAsia="zh-CN"/>
              </w:rPr>
              <w:t>本项目使用挥发性酸、有机物的前处理配制环节会产生</w:t>
            </w:r>
            <w:r>
              <w:rPr>
                <w:rFonts w:hint="eastAsia" w:cs="Times New Roman"/>
                <w:color w:val="auto"/>
                <w:lang w:val="en-US" w:eastAsia="zh-CN"/>
              </w:rPr>
              <w:t>酸性废气</w:t>
            </w:r>
            <w:r>
              <w:rPr>
                <w:rFonts w:hint="default" w:ascii="Times New Roman" w:hAnsi="Times New Roman" w:eastAsia="宋体" w:cs="Times New Roman"/>
                <w:color w:val="auto"/>
                <w:lang w:val="en-US" w:eastAsia="zh-CN"/>
              </w:rPr>
              <w:t>（以氯化氢、硫酸雾计）及有机</w:t>
            </w:r>
            <w:r>
              <w:rPr>
                <w:rFonts w:hint="eastAsia" w:cs="Times New Roman"/>
                <w:color w:val="auto"/>
                <w:lang w:val="en-US" w:eastAsia="zh-CN"/>
              </w:rPr>
              <w:t>废气</w:t>
            </w:r>
            <w:r>
              <w:rPr>
                <w:rFonts w:hint="default" w:ascii="Times New Roman" w:hAnsi="Times New Roman" w:eastAsia="宋体" w:cs="Times New Roman"/>
                <w:color w:val="auto"/>
                <w:lang w:val="en-US" w:eastAsia="zh-CN"/>
              </w:rPr>
              <w:t>（以非甲烷总烃计）</w:t>
            </w:r>
            <w:r>
              <w:rPr>
                <w:rFonts w:hint="eastAsia" w:cs="Times New Roman"/>
                <w:color w:val="auto"/>
                <w:lang w:val="en-US" w:eastAsia="zh-CN"/>
              </w:rPr>
              <w:t>、</w:t>
            </w:r>
            <w:r>
              <w:rPr>
                <w:rFonts w:hint="eastAsia"/>
                <w:color w:val="auto"/>
                <w:lang w:val="en-US" w:eastAsia="zh-CN"/>
              </w:rPr>
              <w:t>恶臭废气等</w:t>
            </w:r>
            <w:r>
              <w:rPr>
                <w:rFonts w:hint="default" w:ascii="Times New Roman" w:hAnsi="Times New Roman" w:eastAsia="宋体" w:cs="Times New Roman"/>
                <w:color w:val="auto"/>
                <w:lang w:val="en-US" w:eastAsia="zh-CN"/>
              </w:rPr>
              <w:t>。</w:t>
            </w:r>
          </w:p>
          <w:p>
            <w:pPr>
              <w:pStyle w:val="36"/>
              <w:keepNext w:val="0"/>
              <w:keepLines w:val="0"/>
              <w:numPr>
                <w:ilvl w:val="0"/>
                <w:numId w:val="0"/>
              </w:numPr>
              <w:suppressLineNumbers w:val="0"/>
              <w:bidi w:val="0"/>
              <w:spacing w:before="0" w:beforeAutospacing="0" w:after="0" w:afterAutospacing="0"/>
              <w:ind w:left="420" w:leftChars="200" w:right="0" w:rightChars="0"/>
              <w:rPr>
                <w:rFonts w:hint="default" w:ascii="Times New Roman" w:hAnsi="Times New Roman" w:eastAsia="宋体" w:cs="Times New Roman"/>
                <w:b/>
                <w:bCs/>
                <w:color w:val="auto"/>
                <w:kern w:val="2"/>
                <w:sz w:val="24"/>
                <w:szCs w:val="24"/>
                <w:lang w:val="en-US" w:eastAsia="zh-CN" w:bidi="ar-SA"/>
              </w:rPr>
            </w:pPr>
            <w:r>
              <w:rPr>
                <w:rFonts w:hint="eastAsia" w:cs="Times New Roman"/>
                <w:b/>
                <w:bCs/>
                <w:color w:val="auto"/>
                <w:kern w:val="2"/>
                <w:sz w:val="24"/>
                <w:szCs w:val="24"/>
                <w:lang w:val="en-US" w:eastAsia="zh-CN" w:bidi="ar-SA"/>
              </w:rPr>
              <w:t>（1）试剂挥发源强核算</w:t>
            </w:r>
          </w:p>
          <w:p>
            <w:pPr>
              <w:pStyle w:val="36"/>
              <w:keepNext w:val="0"/>
              <w:keepLines w:val="0"/>
              <w:numPr>
                <w:ilvl w:val="0"/>
                <w:numId w:val="0"/>
              </w:numPr>
              <w:suppressLineNumbers w:val="0"/>
              <w:bidi w:val="0"/>
              <w:spacing w:before="0" w:beforeAutospacing="0" w:after="0" w:afterAutospacing="0"/>
              <w:ind w:left="0" w:right="0" w:rightChars="0" w:firstLine="480" w:firstLineChars="200"/>
              <w:rPr>
                <w:rFonts w:hint="default" w:ascii="Times New Roman" w:hAnsi="Times New Roman" w:eastAsia="宋体" w:cs="Times New Roman"/>
                <w:color w:val="auto"/>
                <w:lang w:val="en-US" w:eastAsia="zh-CN"/>
              </w:rPr>
            </w:pPr>
            <w:r>
              <w:rPr>
                <w:rFonts w:hint="eastAsia" w:cs="Times New Roman"/>
                <w:color w:val="auto"/>
                <w:lang w:val="en-US" w:eastAsia="zh-CN"/>
              </w:rPr>
              <w:t>①有机废气</w:t>
            </w:r>
          </w:p>
          <w:p>
            <w:pPr>
              <w:pStyle w:val="36"/>
              <w:keepNext w:val="0"/>
              <w:keepLines w:val="0"/>
              <w:numPr>
                <w:ilvl w:val="0"/>
                <w:numId w:val="0"/>
              </w:numPr>
              <w:suppressLineNumbers w:val="0"/>
              <w:bidi w:val="0"/>
              <w:spacing w:before="0" w:beforeAutospacing="0" w:after="0" w:afterAutospacing="0"/>
              <w:ind w:left="0" w:right="0" w:rightChars="0" w:firstLine="480" w:firstLineChars="20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本项目实验过程中用到挥发性有机试剂为三氯甲烷、丙酮、正己烷、无水乙醇、乙酰丙酮等，根据建设项目提供试剂使用情况，项目试剂挥发性有机废气</w:t>
            </w:r>
            <w:r>
              <w:rPr>
                <w:rFonts w:hint="eastAsia" w:cs="Times New Roman"/>
                <w:color w:val="auto"/>
                <w:lang w:val="en-US" w:eastAsia="zh-CN"/>
              </w:rPr>
              <w:t>产生</w:t>
            </w:r>
            <w:r>
              <w:rPr>
                <w:rFonts w:hint="eastAsia" w:ascii="Times New Roman" w:hAnsi="Times New Roman" w:eastAsia="宋体" w:cs="Times New Roman"/>
                <w:color w:val="auto"/>
                <w:lang w:val="en-US" w:eastAsia="zh-CN"/>
              </w:rPr>
              <w:t>情况如下表所示。</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项目挥发性有机溶剂挥发量计算一览表</w:t>
            </w:r>
          </w:p>
          <w:tbl>
            <w:tblPr>
              <w:tblStyle w:val="33"/>
              <w:tblW w:w="813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22"/>
              <w:gridCol w:w="1973"/>
              <w:gridCol w:w="1870"/>
              <w:gridCol w:w="19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trPr>
              <w:tc>
                <w:tcPr>
                  <w:tcW w:w="2322"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b w:val="0"/>
                      <w:bCs w:val="0"/>
                      <w:color w:val="auto"/>
                      <w:sz w:val="21"/>
                      <w:szCs w:val="21"/>
                      <w:lang w:val="en-US" w:eastAsia="zh-CN"/>
                    </w:rPr>
                  </w:pPr>
                  <w:r>
                    <w:rPr>
                      <w:rFonts w:hint="eastAsia" w:cs="宋体"/>
                      <w:b w:val="0"/>
                      <w:bCs w:val="0"/>
                      <w:color w:val="auto"/>
                      <w:kern w:val="0"/>
                      <w:sz w:val="21"/>
                      <w:szCs w:val="21"/>
                      <w:lang w:val="en-US" w:eastAsia="zh-CN" w:bidi="ar"/>
                    </w:rPr>
                    <w:t>试剂</w:t>
                  </w:r>
                  <w:r>
                    <w:rPr>
                      <w:rFonts w:hint="eastAsia" w:cs="宋体"/>
                      <w:b w:val="0"/>
                      <w:bCs w:val="0"/>
                      <w:color w:val="auto"/>
                      <w:kern w:val="0"/>
                      <w:sz w:val="21"/>
                      <w:szCs w:val="21"/>
                      <w:lang w:bidi="ar"/>
                    </w:rPr>
                    <w:t>名称</w:t>
                  </w:r>
                </w:p>
              </w:tc>
              <w:tc>
                <w:tcPr>
                  <w:tcW w:w="1973"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eastAsia" w:eastAsia="宋体"/>
                      <w:b w:val="0"/>
                      <w:bCs w:val="0"/>
                      <w:color w:val="auto"/>
                      <w:sz w:val="21"/>
                      <w:szCs w:val="21"/>
                      <w:lang w:val="en-US" w:eastAsia="zh-CN"/>
                    </w:rPr>
                  </w:pPr>
                  <w:r>
                    <w:rPr>
                      <w:rFonts w:hint="eastAsia" w:cs="宋体"/>
                      <w:b w:val="0"/>
                      <w:bCs w:val="0"/>
                      <w:color w:val="auto"/>
                      <w:kern w:val="0"/>
                      <w:sz w:val="21"/>
                      <w:szCs w:val="21"/>
                      <w:lang w:bidi="ar"/>
                    </w:rPr>
                    <w:t>用量</w:t>
                  </w:r>
                  <w:r>
                    <w:rPr>
                      <w:rFonts w:hint="eastAsia" w:cs="宋体"/>
                      <w:b w:val="0"/>
                      <w:bCs w:val="0"/>
                      <w:color w:val="auto"/>
                      <w:kern w:val="0"/>
                      <w:sz w:val="21"/>
                      <w:szCs w:val="21"/>
                      <w:lang w:eastAsia="zh-CN" w:bidi="ar"/>
                    </w:rPr>
                    <w:t>（</w:t>
                  </w:r>
                  <w:r>
                    <w:rPr>
                      <w:rFonts w:hint="eastAsia" w:cs="宋体"/>
                      <w:b w:val="0"/>
                      <w:bCs w:val="0"/>
                      <w:color w:val="auto"/>
                      <w:kern w:val="0"/>
                      <w:sz w:val="21"/>
                      <w:szCs w:val="21"/>
                      <w:lang w:val="en-US" w:eastAsia="zh-CN" w:bidi="ar"/>
                    </w:rPr>
                    <w:t>kg/a</w:t>
                  </w:r>
                  <w:r>
                    <w:rPr>
                      <w:rFonts w:hint="eastAsia" w:cs="宋体"/>
                      <w:b w:val="0"/>
                      <w:bCs w:val="0"/>
                      <w:color w:val="auto"/>
                      <w:kern w:val="0"/>
                      <w:sz w:val="21"/>
                      <w:szCs w:val="21"/>
                      <w:lang w:eastAsia="zh-CN" w:bidi="ar"/>
                    </w:rPr>
                    <w:t>）</w:t>
                  </w:r>
                </w:p>
              </w:tc>
              <w:tc>
                <w:tcPr>
                  <w:tcW w:w="1870" w:type="dxa"/>
                  <w:tcBorders>
                    <w:tl2br w:val="nil"/>
                    <w:tr2bl w:val="nil"/>
                  </w:tcBorders>
                  <w:shd w:val="clear" w:color="auto" w:fill="auto"/>
                  <w:vAlign w:val="center"/>
                </w:tcPr>
                <w:p>
                  <w:pPr>
                    <w:pStyle w:val="37"/>
                    <w:keepNext w:val="0"/>
                    <w:keepLines w:val="0"/>
                    <w:widowControl/>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b w:val="0"/>
                      <w:bCs w:val="0"/>
                      <w:color w:val="auto"/>
                      <w:sz w:val="21"/>
                      <w:szCs w:val="21"/>
                      <w:lang w:val="en-US" w:eastAsia="zh-CN"/>
                    </w:rPr>
                  </w:pPr>
                  <w:r>
                    <w:rPr>
                      <w:rFonts w:hint="eastAsia" w:cs="宋体"/>
                      <w:b w:val="0"/>
                      <w:bCs w:val="0"/>
                      <w:color w:val="auto"/>
                      <w:kern w:val="0"/>
                      <w:sz w:val="21"/>
                      <w:szCs w:val="21"/>
                      <w:lang w:val="en-US" w:eastAsia="zh-CN" w:bidi="ar"/>
                    </w:rPr>
                    <w:t>挥发量</w:t>
                  </w:r>
                  <w:r>
                    <w:rPr>
                      <w:rFonts w:hint="eastAsia" w:cs="宋体"/>
                      <w:b w:val="0"/>
                      <w:bCs w:val="0"/>
                      <w:color w:val="auto"/>
                      <w:kern w:val="0"/>
                      <w:sz w:val="21"/>
                      <w:szCs w:val="21"/>
                      <w:lang w:eastAsia="zh-CN" w:bidi="ar"/>
                    </w:rPr>
                    <w:t>（</w:t>
                  </w:r>
                  <w:r>
                    <w:rPr>
                      <w:rFonts w:hint="eastAsia" w:cs="宋体"/>
                      <w:b w:val="0"/>
                      <w:bCs w:val="0"/>
                      <w:color w:val="auto"/>
                      <w:kern w:val="0"/>
                      <w:sz w:val="21"/>
                      <w:szCs w:val="21"/>
                      <w:lang w:val="en-US" w:eastAsia="zh-CN" w:bidi="ar"/>
                    </w:rPr>
                    <w:t>kg/a</w:t>
                  </w:r>
                  <w:r>
                    <w:rPr>
                      <w:rFonts w:hint="eastAsia" w:cs="宋体"/>
                      <w:b w:val="0"/>
                      <w:bCs w:val="0"/>
                      <w:color w:val="auto"/>
                      <w:kern w:val="0"/>
                      <w:sz w:val="21"/>
                      <w:szCs w:val="21"/>
                      <w:lang w:eastAsia="zh-CN" w:bidi="ar"/>
                    </w:rPr>
                    <w:t>）</w:t>
                  </w:r>
                </w:p>
              </w:tc>
              <w:tc>
                <w:tcPr>
                  <w:tcW w:w="1967"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b w:val="0"/>
                      <w:bCs w:val="0"/>
                      <w:color w:val="auto"/>
                      <w:szCs w:val="20"/>
                      <w:lang w:val="en-US" w:eastAsia="zh-CN"/>
                    </w:rPr>
                  </w:pPr>
                  <w:r>
                    <w:rPr>
                      <w:rFonts w:hint="eastAsia" w:cs="宋体"/>
                      <w:b w:val="0"/>
                      <w:bCs w:val="0"/>
                      <w:color w:val="auto"/>
                      <w:kern w:val="0"/>
                      <w:sz w:val="21"/>
                      <w:szCs w:val="21"/>
                      <w:lang w:val="en-US" w:eastAsia="zh-CN" w:bidi="ar"/>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苯酚</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0.50</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0.25</w:t>
                  </w:r>
                </w:p>
              </w:tc>
              <w:tc>
                <w:tcPr>
                  <w:tcW w:w="1967" w:type="dxa"/>
                  <w:vMerge w:val="restart"/>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实验室有机废气产生量与其使用的挥发有机试剂量有关，一般情况下有机废气产生量为使用挥发有机试剂使用量的10%～50%，本次评价实验有机废气按试剂使用量50%计算。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对氯苯酚</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0.50</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0.25</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对硝基苯酚</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0.50</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0.25</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乙酰丙酮</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0.49</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0.24</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苯</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0.44</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0.22</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二氯甲烷</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3.98</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1.99</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正己烷</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1.98</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0.99</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三氯乙醛</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0.76</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0.38</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三聚乙醛</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0.50</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0.25</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水合三氯乙醛</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0.50</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0.25</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丙烯醛</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0.42</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0.21</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苯胺</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0.56</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0.28</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液体石蜡</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0.43</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0.21</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甲基异丁基丙酮</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0.47</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0.23</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甲醛试剂纯度40%</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0.65</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0.32</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对二甲氨基苯甲醛</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0.10</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0.05</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四氯化碳</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1.60</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0.80</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三乙胺纯度99%</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0.37</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0.18</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1,3-二苯基脲</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0.20</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0.10</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乙醇胺</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0.51</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0.25</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三乙醇胺</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0.56</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0.28</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聚乙二醇</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0.50</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0.25</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五氯硝基苯</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0.50</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0.25</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十氯联苯</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0.03</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0.02</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三联苯-d14</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0.30</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0.15</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环六亚甲基四胺</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0.50</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0.25</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甲苯</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0.44</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0.22</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丙酮</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1.97</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0.99</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乙醚</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0.36</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0.18</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三氯甲烷</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15.00</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7.50</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无水乙醇</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7.89</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3.95</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乙酸丁酯</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0.88</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0.44</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乙酸乙酯</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0.90</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0.45</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正十六烷</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0.77</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0.39</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异辛烷</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0.69</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0.35</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甲亚胺</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0.50</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0.25</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乙醛</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1.57</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0.79</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异戊醇</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0.81</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0.40</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异丙醇</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1.57</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0.79</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石油醚</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0.77</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0.39</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五氯苯酚</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0.10</w:t>
                  </w:r>
                </w:p>
              </w:tc>
              <w:tc>
                <w:tcPr>
                  <w:tcW w:w="187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0.05</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3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kern w:val="0"/>
                      <w:sz w:val="22"/>
                      <w:szCs w:val="22"/>
                      <w:u w:val="none"/>
                      <w:lang w:val="en-US" w:eastAsia="zh-CN" w:bidi="ar"/>
                    </w:rPr>
                  </w:pPr>
                  <w:r>
                    <w:rPr>
                      <w:rFonts w:hint="default" w:ascii="Times New Roman" w:hAnsi="Times New Roman" w:cs="Times New Roman"/>
                      <w:b/>
                      <w:bCs/>
                      <w:i w:val="0"/>
                      <w:iCs w:val="0"/>
                      <w:color w:val="auto"/>
                      <w:kern w:val="0"/>
                      <w:sz w:val="22"/>
                      <w:szCs w:val="22"/>
                      <w:u w:val="none"/>
                      <w:lang w:val="en-US" w:eastAsia="zh-CN" w:bidi="ar"/>
                    </w:rPr>
                    <w:t>合计</w:t>
                  </w:r>
                </w:p>
              </w:tc>
              <w:tc>
                <w:tcPr>
                  <w:tcW w:w="1973"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kern w:val="0"/>
                      <w:sz w:val="22"/>
                      <w:szCs w:val="22"/>
                      <w:u w:val="none"/>
                      <w:lang w:val="en-US" w:eastAsia="zh-CN" w:bidi="ar"/>
                    </w:rPr>
                  </w:pPr>
                  <w:r>
                    <w:rPr>
                      <w:rFonts w:hint="default" w:ascii="Times New Roman" w:hAnsi="Times New Roman" w:cs="Times New Roman"/>
                      <w:b/>
                      <w:bCs/>
                      <w:i w:val="0"/>
                      <w:iCs w:val="0"/>
                      <w:color w:val="auto"/>
                      <w:kern w:val="0"/>
                      <w:sz w:val="22"/>
                      <w:szCs w:val="22"/>
                      <w:u w:val="none"/>
                      <w:lang w:val="en-US" w:eastAsia="zh-CN" w:bidi="ar"/>
                    </w:rPr>
                    <w:t>52.04</w:t>
                  </w:r>
                </w:p>
              </w:tc>
              <w:tc>
                <w:tcPr>
                  <w:tcW w:w="1870" w:type="dxa"/>
                  <w:tcBorders>
                    <w:tl2br w:val="nil"/>
                    <w:tr2bl w:val="nil"/>
                  </w:tcBorders>
                  <w:vAlign w:val="center"/>
                </w:tcPr>
                <w:p>
                  <w:pPr>
                    <w:pStyle w:val="37"/>
                    <w:keepNext w:val="0"/>
                    <w:keepLines w:val="0"/>
                    <w:widowControl/>
                    <w:suppressLineNumbers w:val="0"/>
                    <w:bidi w:val="0"/>
                    <w:spacing w:before="0" w:beforeAutospacing="0" w:after="0" w:afterAutospacing="0"/>
                    <w:ind w:right="0"/>
                    <w:jc w:val="center"/>
                    <w:rPr>
                      <w:rFonts w:hint="default" w:ascii="Times New Roman" w:hAnsi="Times New Roman" w:cs="Times New Roman"/>
                      <w:b/>
                      <w:bCs/>
                      <w:color w:val="auto"/>
                      <w:szCs w:val="20"/>
                      <w:lang w:val="en-US" w:eastAsia="zh-CN"/>
                    </w:rPr>
                  </w:pPr>
                  <w:r>
                    <w:rPr>
                      <w:rFonts w:hint="default" w:ascii="Times New Roman" w:hAnsi="Times New Roman" w:cs="Times New Roman"/>
                      <w:b/>
                      <w:bCs/>
                      <w:color w:val="auto"/>
                      <w:szCs w:val="20"/>
                      <w:lang w:val="en-US" w:eastAsia="zh-CN"/>
                    </w:rPr>
                    <w:t>26.02</w:t>
                  </w:r>
                </w:p>
              </w:tc>
              <w:tc>
                <w:tcPr>
                  <w:tcW w:w="1967"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b/>
                      <w:bCs/>
                      <w:color w:val="auto"/>
                      <w:szCs w:val="20"/>
                      <w:lang w:val="en-US" w:eastAsia="zh-CN"/>
                    </w:rPr>
                  </w:pPr>
                </w:p>
              </w:tc>
            </w:tr>
          </w:tbl>
          <w:p>
            <w:pPr>
              <w:pStyle w:val="36"/>
              <w:keepNext w:val="0"/>
              <w:keepLines w:val="0"/>
              <w:numPr>
                <w:ilvl w:val="0"/>
                <w:numId w:val="0"/>
              </w:numPr>
              <w:suppressLineNumbers w:val="0"/>
              <w:bidi w:val="0"/>
              <w:spacing w:before="0" w:beforeAutospacing="0" w:after="0" w:afterAutospacing="0"/>
              <w:ind w:left="0" w:right="0" w:rightChars="0" w:firstLine="480" w:firstLineChars="200"/>
              <w:rPr>
                <w:rFonts w:hint="default" w:cs="Times New Roman"/>
                <w:color w:val="auto"/>
                <w:lang w:val="en-US" w:eastAsia="zh-CN"/>
              </w:rPr>
            </w:pPr>
            <w:r>
              <w:rPr>
                <w:rFonts w:hint="eastAsia" w:cs="Times New Roman"/>
                <w:color w:val="auto"/>
                <w:lang w:val="en-US" w:eastAsia="zh-CN"/>
              </w:rPr>
              <w:t>②酸性废气</w:t>
            </w:r>
          </w:p>
          <w:p>
            <w:pPr>
              <w:pStyle w:val="36"/>
              <w:keepNext w:val="0"/>
              <w:keepLines w:val="0"/>
              <w:numPr>
                <w:ilvl w:val="0"/>
                <w:numId w:val="0"/>
              </w:numPr>
              <w:suppressLineNumbers w:val="0"/>
              <w:bidi w:val="0"/>
              <w:spacing w:before="0" w:beforeAutospacing="0" w:after="0" w:afterAutospacing="0"/>
              <w:ind w:left="0" w:right="0" w:rightChars="0" w:firstLine="480" w:firstLineChars="20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本项目实验过程中用到</w:t>
            </w:r>
            <w:r>
              <w:rPr>
                <w:rFonts w:hint="eastAsia" w:cs="Times New Roman"/>
                <w:color w:val="auto"/>
                <w:lang w:val="en-US" w:eastAsia="zh-CN"/>
              </w:rPr>
              <w:t>酸性</w:t>
            </w:r>
            <w:r>
              <w:rPr>
                <w:rFonts w:hint="eastAsia" w:ascii="Times New Roman" w:hAnsi="Times New Roman" w:eastAsia="宋体" w:cs="Times New Roman"/>
                <w:color w:val="auto"/>
                <w:lang w:val="en-US" w:eastAsia="zh-CN"/>
              </w:rPr>
              <w:t>试剂为硫酸、盐酸、硝酸，高氯酸等，根据建设项目提供试剂使用情况，项目试剂</w:t>
            </w:r>
            <w:r>
              <w:rPr>
                <w:rFonts w:hint="eastAsia" w:cs="Times New Roman"/>
                <w:color w:val="auto"/>
                <w:lang w:val="en-US" w:eastAsia="zh-CN"/>
              </w:rPr>
              <w:t>酸性</w:t>
            </w:r>
            <w:r>
              <w:rPr>
                <w:rFonts w:hint="eastAsia" w:ascii="Times New Roman" w:hAnsi="Times New Roman" w:eastAsia="宋体" w:cs="Times New Roman"/>
                <w:color w:val="auto"/>
                <w:lang w:val="en-US" w:eastAsia="zh-CN"/>
              </w:rPr>
              <w:t>废气</w:t>
            </w:r>
            <w:r>
              <w:rPr>
                <w:rFonts w:hint="eastAsia" w:cs="Times New Roman"/>
                <w:color w:val="auto"/>
                <w:lang w:val="en-US" w:eastAsia="zh-CN"/>
              </w:rPr>
              <w:t>产生</w:t>
            </w:r>
            <w:r>
              <w:rPr>
                <w:rFonts w:hint="eastAsia" w:ascii="Times New Roman" w:hAnsi="Times New Roman" w:eastAsia="宋体" w:cs="Times New Roman"/>
                <w:color w:val="auto"/>
                <w:lang w:val="en-US" w:eastAsia="zh-CN"/>
              </w:rPr>
              <w:t>情况如下表所示。</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w:t>
            </w:r>
            <w:r>
              <w:rPr>
                <w:rFonts w:hint="eastAsia" w:cs="Times New Roman"/>
                <w:color w:val="auto"/>
                <w:highlight w:val="none"/>
                <w:lang w:val="en-US" w:eastAsia="zh-CN"/>
              </w:rPr>
              <w:t>酸性试剂</w:t>
            </w:r>
            <w:r>
              <w:rPr>
                <w:rFonts w:hint="default" w:ascii="Times New Roman" w:hAnsi="Times New Roman" w:cs="Times New Roman"/>
                <w:color w:val="auto"/>
                <w:highlight w:val="none"/>
                <w:lang w:val="en-US" w:eastAsia="zh-CN"/>
              </w:rPr>
              <w:t>挥发量计算一览表</w:t>
            </w:r>
          </w:p>
          <w:tbl>
            <w:tblPr>
              <w:tblStyle w:val="33"/>
              <w:tblW w:w="813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65"/>
              <w:gridCol w:w="1775"/>
              <w:gridCol w:w="1962"/>
              <w:gridCol w:w="22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trPr>
              <w:tc>
                <w:tcPr>
                  <w:tcW w:w="2165"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b w:val="0"/>
                      <w:bCs w:val="0"/>
                      <w:color w:val="auto"/>
                      <w:sz w:val="21"/>
                      <w:szCs w:val="21"/>
                      <w:lang w:val="en-US" w:eastAsia="zh-CN"/>
                    </w:rPr>
                  </w:pPr>
                  <w:r>
                    <w:rPr>
                      <w:rFonts w:hint="eastAsia" w:cs="宋体"/>
                      <w:b w:val="0"/>
                      <w:bCs w:val="0"/>
                      <w:color w:val="auto"/>
                      <w:kern w:val="0"/>
                      <w:sz w:val="21"/>
                      <w:szCs w:val="21"/>
                      <w:lang w:val="en-US" w:eastAsia="zh-CN" w:bidi="ar"/>
                    </w:rPr>
                    <w:t>试剂</w:t>
                  </w:r>
                  <w:r>
                    <w:rPr>
                      <w:rFonts w:hint="eastAsia" w:cs="宋体"/>
                      <w:b w:val="0"/>
                      <w:bCs w:val="0"/>
                      <w:color w:val="auto"/>
                      <w:kern w:val="0"/>
                      <w:sz w:val="21"/>
                      <w:szCs w:val="21"/>
                      <w:lang w:bidi="ar"/>
                    </w:rPr>
                    <w:t>名称</w:t>
                  </w:r>
                </w:p>
              </w:tc>
              <w:tc>
                <w:tcPr>
                  <w:tcW w:w="1775"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eastAsia" w:eastAsia="宋体"/>
                      <w:b w:val="0"/>
                      <w:bCs w:val="0"/>
                      <w:color w:val="auto"/>
                      <w:sz w:val="21"/>
                      <w:szCs w:val="21"/>
                      <w:lang w:val="en-US" w:eastAsia="zh-CN"/>
                    </w:rPr>
                  </w:pPr>
                  <w:r>
                    <w:rPr>
                      <w:rFonts w:hint="eastAsia" w:cs="宋体"/>
                      <w:b w:val="0"/>
                      <w:bCs w:val="0"/>
                      <w:color w:val="auto"/>
                      <w:kern w:val="0"/>
                      <w:sz w:val="21"/>
                      <w:szCs w:val="21"/>
                      <w:lang w:bidi="ar"/>
                    </w:rPr>
                    <w:t>用量</w:t>
                  </w:r>
                  <w:r>
                    <w:rPr>
                      <w:rFonts w:hint="eastAsia" w:cs="宋体"/>
                      <w:b w:val="0"/>
                      <w:bCs w:val="0"/>
                      <w:color w:val="auto"/>
                      <w:kern w:val="0"/>
                      <w:sz w:val="21"/>
                      <w:szCs w:val="21"/>
                      <w:lang w:eastAsia="zh-CN" w:bidi="ar"/>
                    </w:rPr>
                    <w:t>（</w:t>
                  </w:r>
                  <w:r>
                    <w:rPr>
                      <w:rFonts w:hint="eastAsia" w:cs="宋体"/>
                      <w:b w:val="0"/>
                      <w:bCs w:val="0"/>
                      <w:color w:val="auto"/>
                      <w:kern w:val="0"/>
                      <w:sz w:val="21"/>
                      <w:szCs w:val="21"/>
                      <w:lang w:val="en-US" w:eastAsia="zh-CN" w:bidi="ar"/>
                    </w:rPr>
                    <w:t>kg/a</w:t>
                  </w:r>
                  <w:r>
                    <w:rPr>
                      <w:rFonts w:hint="eastAsia" w:cs="宋体"/>
                      <w:b w:val="0"/>
                      <w:bCs w:val="0"/>
                      <w:color w:val="auto"/>
                      <w:kern w:val="0"/>
                      <w:sz w:val="21"/>
                      <w:szCs w:val="21"/>
                      <w:lang w:eastAsia="zh-CN" w:bidi="ar"/>
                    </w:rPr>
                    <w:t>）</w:t>
                  </w:r>
                </w:p>
              </w:tc>
              <w:tc>
                <w:tcPr>
                  <w:tcW w:w="1962" w:type="dxa"/>
                  <w:tcBorders>
                    <w:tl2br w:val="nil"/>
                    <w:tr2bl w:val="nil"/>
                  </w:tcBorders>
                  <w:shd w:val="clear" w:color="auto" w:fill="auto"/>
                  <w:vAlign w:val="center"/>
                </w:tcPr>
                <w:p>
                  <w:pPr>
                    <w:pStyle w:val="37"/>
                    <w:keepNext w:val="0"/>
                    <w:keepLines w:val="0"/>
                    <w:widowControl/>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b w:val="0"/>
                      <w:bCs w:val="0"/>
                      <w:color w:val="auto"/>
                      <w:sz w:val="21"/>
                      <w:szCs w:val="21"/>
                      <w:lang w:val="en-US" w:eastAsia="zh-CN"/>
                    </w:rPr>
                  </w:pPr>
                  <w:r>
                    <w:rPr>
                      <w:rFonts w:hint="eastAsia" w:cs="宋体"/>
                      <w:b w:val="0"/>
                      <w:bCs w:val="0"/>
                      <w:color w:val="auto"/>
                      <w:kern w:val="0"/>
                      <w:sz w:val="21"/>
                      <w:szCs w:val="21"/>
                      <w:lang w:val="en-US" w:eastAsia="zh-CN" w:bidi="ar"/>
                    </w:rPr>
                    <w:t>挥发量</w:t>
                  </w:r>
                  <w:r>
                    <w:rPr>
                      <w:rFonts w:hint="eastAsia" w:cs="宋体"/>
                      <w:b w:val="0"/>
                      <w:bCs w:val="0"/>
                      <w:color w:val="auto"/>
                      <w:kern w:val="0"/>
                      <w:sz w:val="21"/>
                      <w:szCs w:val="21"/>
                      <w:lang w:eastAsia="zh-CN" w:bidi="ar"/>
                    </w:rPr>
                    <w:t>（</w:t>
                  </w:r>
                  <w:r>
                    <w:rPr>
                      <w:rFonts w:hint="eastAsia" w:cs="宋体"/>
                      <w:b w:val="0"/>
                      <w:bCs w:val="0"/>
                      <w:color w:val="auto"/>
                      <w:kern w:val="0"/>
                      <w:sz w:val="21"/>
                      <w:szCs w:val="21"/>
                      <w:lang w:val="en-US" w:eastAsia="zh-CN" w:bidi="ar"/>
                    </w:rPr>
                    <w:t>kg/a</w:t>
                  </w:r>
                  <w:r>
                    <w:rPr>
                      <w:rFonts w:hint="eastAsia" w:cs="宋体"/>
                      <w:b w:val="0"/>
                      <w:bCs w:val="0"/>
                      <w:color w:val="auto"/>
                      <w:kern w:val="0"/>
                      <w:sz w:val="21"/>
                      <w:szCs w:val="21"/>
                      <w:lang w:eastAsia="zh-CN" w:bidi="ar"/>
                    </w:rPr>
                    <w:t>）</w:t>
                  </w:r>
                </w:p>
              </w:tc>
              <w:tc>
                <w:tcPr>
                  <w:tcW w:w="2230"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b w:val="0"/>
                      <w:bCs w:val="0"/>
                      <w:color w:val="auto"/>
                      <w:szCs w:val="20"/>
                      <w:lang w:val="en-US" w:eastAsia="zh-CN"/>
                    </w:rPr>
                  </w:pPr>
                  <w:r>
                    <w:rPr>
                      <w:rFonts w:hint="eastAsia" w:cs="宋体"/>
                      <w:b w:val="0"/>
                      <w:bCs w:val="0"/>
                      <w:color w:val="auto"/>
                      <w:kern w:val="0"/>
                      <w:sz w:val="21"/>
                      <w:szCs w:val="21"/>
                      <w:lang w:val="en-US" w:eastAsia="zh-CN" w:bidi="ar"/>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16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eastAsia" w:ascii="宋体" w:hAnsi="宋体" w:eastAsia="宋体" w:cs="宋体"/>
                      <w:i w:val="0"/>
                      <w:iCs w:val="0"/>
                      <w:color w:val="auto"/>
                      <w:kern w:val="0"/>
                      <w:sz w:val="22"/>
                      <w:szCs w:val="22"/>
                      <w:u w:val="none"/>
                      <w:lang w:val="en-US" w:eastAsia="zh-CN" w:bidi="ar"/>
                    </w:rPr>
                    <w:t>高氯酸</w:t>
                  </w:r>
                </w:p>
              </w:tc>
              <w:tc>
                <w:tcPr>
                  <w:tcW w:w="177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 xml:space="preserve">4.41 </w:t>
                  </w:r>
                </w:p>
              </w:tc>
              <w:tc>
                <w:tcPr>
                  <w:tcW w:w="196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 xml:space="preserve">0.44 </w:t>
                  </w:r>
                </w:p>
              </w:tc>
              <w:tc>
                <w:tcPr>
                  <w:tcW w:w="2230" w:type="dxa"/>
                  <w:vMerge w:val="restart"/>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eastAsia="宋体"/>
                      <w:color w:val="auto"/>
                      <w:szCs w:val="20"/>
                      <w:lang w:val="en-US" w:eastAsia="zh-CN"/>
                    </w:rPr>
                  </w:pPr>
                  <w:r>
                    <w:rPr>
                      <w:rFonts w:hint="default" w:ascii="Times New Roman" w:hAnsi="Times New Roman" w:eastAsia="宋体" w:cs="Times New Roman"/>
                      <w:i w:val="0"/>
                      <w:iCs w:val="0"/>
                      <w:color w:val="auto"/>
                      <w:kern w:val="0"/>
                      <w:sz w:val="22"/>
                      <w:szCs w:val="22"/>
                      <w:u w:val="none"/>
                      <w:lang w:val="en-US" w:eastAsia="zh-CN" w:bidi="ar"/>
                    </w:rPr>
                    <w:t>实验室</w:t>
                  </w:r>
                  <w:r>
                    <w:rPr>
                      <w:rFonts w:hint="eastAsia" w:cs="Times New Roman"/>
                      <w:i w:val="0"/>
                      <w:iCs w:val="0"/>
                      <w:color w:val="auto"/>
                      <w:kern w:val="0"/>
                      <w:sz w:val="22"/>
                      <w:szCs w:val="22"/>
                      <w:u w:val="none"/>
                      <w:lang w:val="en-US" w:eastAsia="zh-CN" w:bidi="ar"/>
                    </w:rPr>
                    <w:t>酸性</w:t>
                  </w:r>
                  <w:r>
                    <w:rPr>
                      <w:rFonts w:hint="default" w:ascii="Times New Roman" w:hAnsi="Times New Roman" w:eastAsia="宋体" w:cs="Times New Roman"/>
                      <w:i w:val="0"/>
                      <w:iCs w:val="0"/>
                      <w:color w:val="auto"/>
                      <w:kern w:val="0"/>
                      <w:sz w:val="22"/>
                      <w:szCs w:val="22"/>
                      <w:u w:val="none"/>
                      <w:lang w:val="en-US" w:eastAsia="zh-CN" w:bidi="ar"/>
                    </w:rPr>
                    <w:t>废气产生量与其使用的</w:t>
                  </w:r>
                  <w:r>
                    <w:rPr>
                      <w:rFonts w:hint="eastAsia" w:cs="Times New Roman"/>
                      <w:i w:val="0"/>
                      <w:iCs w:val="0"/>
                      <w:color w:val="auto"/>
                      <w:kern w:val="0"/>
                      <w:sz w:val="22"/>
                      <w:szCs w:val="22"/>
                      <w:u w:val="none"/>
                      <w:lang w:val="en-US" w:eastAsia="zh-CN" w:bidi="ar"/>
                    </w:rPr>
                    <w:t>酸性</w:t>
                  </w:r>
                  <w:r>
                    <w:rPr>
                      <w:rFonts w:hint="default" w:ascii="Times New Roman" w:hAnsi="Times New Roman" w:eastAsia="宋体" w:cs="Times New Roman"/>
                      <w:i w:val="0"/>
                      <w:iCs w:val="0"/>
                      <w:color w:val="auto"/>
                      <w:kern w:val="0"/>
                      <w:sz w:val="22"/>
                      <w:szCs w:val="22"/>
                      <w:u w:val="none"/>
                      <w:lang w:val="en-US" w:eastAsia="zh-CN" w:bidi="ar"/>
                    </w:rPr>
                    <w:t>试剂量有关，本次评价实验</w:t>
                  </w:r>
                  <w:r>
                    <w:rPr>
                      <w:rFonts w:hint="eastAsia" w:cs="Times New Roman"/>
                      <w:i w:val="0"/>
                      <w:iCs w:val="0"/>
                      <w:color w:val="auto"/>
                      <w:kern w:val="0"/>
                      <w:sz w:val="22"/>
                      <w:szCs w:val="22"/>
                      <w:u w:val="none"/>
                      <w:lang w:val="en-US" w:eastAsia="zh-CN" w:bidi="ar"/>
                    </w:rPr>
                    <w:t>酸性</w:t>
                  </w:r>
                  <w:r>
                    <w:rPr>
                      <w:rFonts w:hint="default" w:ascii="Times New Roman" w:hAnsi="Times New Roman" w:eastAsia="宋体" w:cs="Times New Roman"/>
                      <w:i w:val="0"/>
                      <w:iCs w:val="0"/>
                      <w:color w:val="auto"/>
                      <w:kern w:val="0"/>
                      <w:sz w:val="22"/>
                      <w:szCs w:val="22"/>
                      <w:u w:val="none"/>
                      <w:lang w:val="en-US" w:eastAsia="zh-CN" w:bidi="ar"/>
                    </w:rPr>
                    <w:t>废气按</w:t>
                  </w:r>
                  <w:r>
                    <w:rPr>
                      <w:rFonts w:hint="eastAsia" w:cs="Times New Roman"/>
                      <w:i w:val="0"/>
                      <w:iCs w:val="0"/>
                      <w:color w:val="auto"/>
                      <w:kern w:val="0"/>
                      <w:sz w:val="22"/>
                      <w:szCs w:val="22"/>
                      <w:u w:val="none"/>
                      <w:lang w:val="en-US" w:eastAsia="zh-CN" w:bidi="ar"/>
                    </w:rPr>
                    <w:t>酸性</w:t>
                  </w:r>
                  <w:r>
                    <w:rPr>
                      <w:rFonts w:hint="default" w:ascii="Times New Roman" w:hAnsi="Times New Roman" w:eastAsia="宋体" w:cs="Times New Roman"/>
                      <w:i w:val="0"/>
                      <w:iCs w:val="0"/>
                      <w:color w:val="auto"/>
                      <w:kern w:val="0"/>
                      <w:sz w:val="22"/>
                      <w:szCs w:val="22"/>
                      <w:u w:val="none"/>
                      <w:lang w:val="en-US" w:eastAsia="zh-CN" w:bidi="ar"/>
                    </w:rPr>
                    <w:t>试剂使用量</w:t>
                  </w:r>
                  <w:r>
                    <w:rPr>
                      <w:rFonts w:hint="eastAsia" w:cs="Times New Roman"/>
                      <w:i w:val="0"/>
                      <w:iCs w:val="0"/>
                      <w:color w:val="auto"/>
                      <w:kern w:val="0"/>
                      <w:sz w:val="22"/>
                      <w:szCs w:val="22"/>
                      <w:u w:val="none"/>
                      <w:lang w:val="en-US" w:eastAsia="zh-CN" w:bidi="ar"/>
                    </w:rPr>
                    <w:t>1</w:t>
                  </w:r>
                  <w:r>
                    <w:rPr>
                      <w:rFonts w:hint="default" w:ascii="Times New Roman" w:hAnsi="Times New Roman" w:eastAsia="宋体" w:cs="Times New Roman"/>
                      <w:i w:val="0"/>
                      <w:iCs w:val="0"/>
                      <w:color w:val="auto"/>
                      <w:kern w:val="0"/>
                      <w:sz w:val="22"/>
                      <w:szCs w:val="22"/>
                      <w:u w:val="none"/>
                      <w:lang w:val="en-US" w:eastAsia="zh-CN" w:bidi="ar"/>
                    </w:rPr>
                    <w:t>0%计算</w:t>
                  </w:r>
                  <w:r>
                    <w:rPr>
                      <w:rFonts w:hint="eastAsia"/>
                      <w:color w:val="auto"/>
                      <w:szCs w:val="20"/>
                      <w:lang w:eastAsia="zh-CN"/>
                    </w:rPr>
                    <w:t>；</w:t>
                  </w:r>
                  <w:r>
                    <w:rPr>
                      <w:rFonts w:hint="eastAsia" w:ascii="Times New Roman" w:hAnsi="Times New Roman" w:eastAsia="宋体" w:cs="Times New Roman"/>
                      <w:i w:val="0"/>
                      <w:iCs w:val="0"/>
                      <w:color w:val="auto"/>
                      <w:kern w:val="0"/>
                      <w:sz w:val="22"/>
                      <w:szCs w:val="22"/>
                      <w:u w:val="none"/>
                      <w:lang w:val="en-US" w:eastAsia="zh-CN" w:bidi="ar"/>
                    </w:rPr>
                    <w:t>硝酸使用量预计仅为0.056t/a，受热分解成氮氧化物量少，不做定量分析。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16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eastAsia" w:ascii="宋体" w:hAnsi="宋体" w:eastAsia="宋体" w:cs="宋体"/>
                      <w:i w:val="0"/>
                      <w:iCs w:val="0"/>
                      <w:color w:val="auto"/>
                      <w:kern w:val="0"/>
                      <w:sz w:val="22"/>
                      <w:szCs w:val="22"/>
                      <w:u w:val="none"/>
                      <w:lang w:val="en-US" w:eastAsia="zh-CN" w:bidi="ar"/>
                    </w:rPr>
                    <w:t>硝酸</w:t>
                  </w:r>
                </w:p>
              </w:tc>
              <w:tc>
                <w:tcPr>
                  <w:tcW w:w="177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 xml:space="preserve">56.40 </w:t>
                  </w:r>
                </w:p>
              </w:tc>
              <w:tc>
                <w:tcPr>
                  <w:tcW w:w="196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 xml:space="preserve">5.64 </w:t>
                  </w:r>
                </w:p>
              </w:tc>
              <w:tc>
                <w:tcPr>
                  <w:tcW w:w="2230"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16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eastAsia" w:ascii="宋体" w:hAnsi="宋体" w:eastAsia="宋体" w:cs="宋体"/>
                      <w:i w:val="0"/>
                      <w:iCs w:val="0"/>
                      <w:color w:val="auto"/>
                      <w:kern w:val="0"/>
                      <w:sz w:val="22"/>
                      <w:szCs w:val="22"/>
                      <w:u w:val="none"/>
                      <w:lang w:val="en-US" w:eastAsia="zh-CN" w:bidi="ar"/>
                    </w:rPr>
                    <w:t>硫酸</w:t>
                  </w:r>
                </w:p>
              </w:tc>
              <w:tc>
                <w:tcPr>
                  <w:tcW w:w="177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 xml:space="preserve">73.60 </w:t>
                  </w:r>
                </w:p>
              </w:tc>
              <w:tc>
                <w:tcPr>
                  <w:tcW w:w="196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 xml:space="preserve">7.36 </w:t>
                  </w:r>
                </w:p>
              </w:tc>
              <w:tc>
                <w:tcPr>
                  <w:tcW w:w="2230"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16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eastAsia" w:ascii="宋体" w:hAnsi="宋体" w:eastAsia="宋体" w:cs="宋体"/>
                      <w:i w:val="0"/>
                      <w:iCs w:val="0"/>
                      <w:color w:val="auto"/>
                      <w:kern w:val="0"/>
                      <w:sz w:val="22"/>
                      <w:szCs w:val="22"/>
                      <w:u w:val="none"/>
                      <w:lang w:val="en-US" w:eastAsia="zh-CN" w:bidi="ar"/>
                    </w:rPr>
                    <w:t>盐酸</w:t>
                  </w:r>
                </w:p>
              </w:tc>
              <w:tc>
                <w:tcPr>
                  <w:tcW w:w="177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 xml:space="preserve">35.70 </w:t>
                  </w:r>
                </w:p>
              </w:tc>
              <w:tc>
                <w:tcPr>
                  <w:tcW w:w="196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 xml:space="preserve">3.57 </w:t>
                  </w:r>
                </w:p>
              </w:tc>
              <w:tc>
                <w:tcPr>
                  <w:tcW w:w="2230"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16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eastAsia" w:ascii="宋体" w:hAnsi="宋体" w:eastAsia="宋体" w:cs="宋体"/>
                      <w:i w:val="0"/>
                      <w:iCs w:val="0"/>
                      <w:color w:val="auto"/>
                      <w:kern w:val="0"/>
                      <w:sz w:val="22"/>
                      <w:szCs w:val="22"/>
                      <w:u w:val="none"/>
                      <w:lang w:val="en-US" w:eastAsia="zh-CN" w:bidi="ar"/>
                    </w:rPr>
                    <w:t>磷酸</w:t>
                  </w:r>
                </w:p>
              </w:tc>
              <w:tc>
                <w:tcPr>
                  <w:tcW w:w="177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 xml:space="preserve">4.69 </w:t>
                  </w:r>
                </w:p>
              </w:tc>
              <w:tc>
                <w:tcPr>
                  <w:tcW w:w="196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 xml:space="preserve">0.47 </w:t>
                  </w:r>
                </w:p>
              </w:tc>
              <w:tc>
                <w:tcPr>
                  <w:tcW w:w="2230"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16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eastAsia" w:ascii="宋体" w:hAnsi="宋体" w:eastAsia="宋体" w:cs="宋体"/>
                      <w:i w:val="0"/>
                      <w:iCs w:val="0"/>
                      <w:color w:val="auto"/>
                      <w:kern w:val="0"/>
                      <w:sz w:val="22"/>
                      <w:szCs w:val="22"/>
                      <w:u w:val="none"/>
                      <w:lang w:val="en-US" w:eastAsia="zh-CN" w:bidi="ar"/>
                    </w:rPr>
                    <w:t>冰乙酸</w:t>
                  </w:r>
                </w:p>
              </w:tc>
              <w:tc>
                <w:tcPr>
                  <w:tcW w:w="177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 xml:space="preserve">5.25 </w:t>
                  </w:r>
                </w:p>
              </w:tc>
              <w:tc>
                <w:tcPr>
                  <w:tcW w:w="196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 xml:space="preserve">0.52 </w:t>
                  </w:r>
                </w:p>
              </w:tc>
              <w:tc>
                <w:tcPr>
                  <w:tcW w:w="2230"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16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eastAsia" w:ascii="宋体" w:hAnsi="宋体" w:eastAsia="宋体" w:cs="宋体"/>
                      <w:i w:val="0"/>
                      <w:iCs w:val="0"/>
                      <w:color w:val="auto"/>
                      <w:kern w:val="0"/>
                      <w:sz w:val="22"/>
                      <w:szCs w:val="22"/>
                      <w:u w:val="none"/>
                      <w:lang w:val="en-US" w:eastAsia="zh-CN" w:bidi="ar"/>
                    </w:rPr>
                    <w:t>甲酸</w:t>
                  </w:r>
                </w:p>
              </w:tc>
              <w:tc>
                <w:tcPr>
                  <w:tcW w:w="177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 xml:space="preserve">1.22 </w:t>
                  </w:r>
                </w:p>
              </w:tc>
              <w:tc>
                <w:tcPr>
                  <w:tcW w:w="196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 xml:space="preserve">0.12 </w:t>
                  </w:r>
                </w:p>
              </w:tc>
              <w:tc>
                <w:tcPr>
                  <w:tcW w:w="2230"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16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Cs w:val="20"/>
                      <w:lang w:val="en-US" w:eastAsia="zh-CN"/>
                    </w:rPr>
                  </w:pPr>
                  <w:r>
                    <w:rPr>
                      <w:rFonts w:hint="eastAsia" w:ascii="宋体" w:hAnsi="宋体" w:eastAsia="宋体" w:cs="宋体"/>
                      <w:i w:val="0"/>
                      <w:iCs w:val="0"/>
                      <w:color w:val="auto"/>
                      <w:kern w:val="0"/>
                      <w:sz w:val="22"/>
                      <w:szCs w:val="22"/>
                      <w:u w:val="none"/>
                      <w:lang w:val="en-US" w:eastAsia="zh-CN" w:bidi="ar"/>
                    </w:rPr>
                    <w:t>草酸</w:t>
                  </w:r>
                </w:p>
              </w:tc>
              <w:tc>
                <w:tcPr>
                  <w:tcW w:w="177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 xml:space="preserve">1.00 </w:t>
                  </w:r>
                </w:p>
              </w:tc>
              <w:tc>
                <w:tcPr>
                  <w:tcW w:w="196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 xml:space="preserve">0.10 </w:t>
                  </w:r>
                </w:p>
              </w:tc>
              <w:tc>
                <w:tcPr>
                  <w:tcW w:w="2230"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16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kern w:val="0"/>
                      <w:sz w:val="22"/>
                      <w:szCs w:val="22"/>
                      <w:u w:val="none"/>
                      <w:lang w:val="en-US" w:eastAsia="zh-CN" w:bidi="ar"/>
                    </w:rPr>
                  </w:pPr>
                  <w:r>
                    <w:rPr>
                      <w:rFonts w:hint="default" w:ascii="Times New Roman" w:hAnsi="Times New Roman" w:cs="Times New Roman"/>
                      <w:b/>
                      <w:bCs/>
                      <w:i w:val="0"/>
                      <w:iCs w:val="0"/>
                      <w:color w:val="auto"/>
                      <w:kern w:val="0"/>
                      <w:sz w:val="22"/>
                      <w:szCs w:val="22"/>
                      <w:u w:val="none"/>
                      <w:lang w:val="en-US" w:eastAsia="zh-CN" w:bidi="ar"/>
                    </w:rPr>
                    <w:t>合计</w:t>
                  </w:r>
                </w:p>
              </w:tc>
              <w:tc>
                <w:tcPr>
                  <w:tcW w:w="177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bCs/>
                      <w:i w:val="0"/>
                      <w:iCs w:val="0"/>
                      <w:color w:val="auto"/>
                      <w:kern w:val="0"/>
                      <w:sz w:val="22"/>
                      <w:szCs w:val="22"/>
                      <w:u w:val="none"/>
                      <w:lang w:val="en-US" w:eastAsia="zh-CN" w:bidi="ar"/>
                    </w:rPr>
                  </w:pPr>
                  <w:r>
                    <w:rPr>
                      <w:rFonts w:hint="eastAsia" w:ascii="Times New Roman" w:hAnsi="Times New Roman" w:cs="Times New Roman"/>
                      <w:b/>
                      <w:bCs/>
                      <w:i w:val="0"/>
                      <w:iCs w:val="0"/>
                      <w:color w:val="auto"/>
                      <w:kern w:val="0"/>
                      <w:sz w:val="22"/>
                      <w:szCs w:val="22"/>
                      <w:u w:val="none"/>
                      <w:lang w:val="en-US" w:eastAsia="zh-CN" w:bidi="ar"/>
                    </w:rPr>
                    <w:t>182.26</w:t>
                  </w:r>
                </w:p>
              </w:tc>
              <w:tc>
                <w:tcPr>
                  <w:tcW w:w="196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bCs/>
                      <w:i w:val="0"/>
                      <w:iCs w:val="0"/>
                      <w:color w:val="auto"/>
                      <w:kern w:val="0"/>
                      <w:sz w:val="22"/>
                      <w:szCs w:val="22"/>
                      <w:u w:val="none"/>
                      <w:lang w:val="en-US" w:eastAsia="zh-CN" w:bidi="ar"/>
                    </w:rPr>
                  </w:pPr>
                  <w:r>
                    <w:rPr>
                      <w:rFonts w:hint="eastAsia" w:ascii="Times New Roman" w:hAnsi="Times New Roman" w:cs="Times New Roman"/>
                      <w:b/>
                      <w:bCs/>
                      <w:i w:val="0"/>
                      <w:iCs w:val="0"/>
                      <w:color w:val="auto"/>
                      <w:kern w:val="0"/>
                      <w:sz w:val="22"/>
                      <w:szCs w:val="22"/>
                      <w:u w:val="none"/>
                      <w:lang w:val="en-US" w:eastAsia="zh-CN" w:bidi="ar"/>
                    </w:rPr>
                    <w:t xml:space="preserve">18.23 </w:t>
                  </w:r>
                </w:p>
              </w:tc>
              <w:tc>
                <w:tcPr>
                  <w:tcW w:w="2230"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b/>
                      <w:bCs/>
                      <w:color w:val="auto"/>
                      <w:szCs w:val="20"/>
                      <w:lang w:val="en-US" w:eastAsia="zh-CN"/>
                    </w:rPr>
                  </w:pPr>
                </w:p>
              </w:tc>
            </w:tr>
          </w:tbl>
          <w:p>
            <w:pPr>
              <w:pStyle w:val="36"/>
              <w:keepNext w:val="0"/>
              <w:keepLines w:val="0"/>
              <w:numPr>
                <w:ilvl w:val="0"/>
                <w:numId w:val="0"/>
              </w:numPr>
              <w:suppressLineNumbers w:val="0"/>
              <w:bidi w:val="0"/>
              <w:spacing w:before="0" w:beforeAutospacing="0" w:after="0" w:afterAutospacing="0"/>
              <w:ind w:left="0" w:right="0" w:rightChars="0" w:firstLine="480" w:firstLineChars="20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由上表可知其中高氯酸与盐酸试验过程共产生氯化氢4.01kg/a；硫酸雾为7.36kg/a。</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③恶臭废气</w:t>
            </w:r>
          </w:p>
          <w:p>
            <w:pPr>
              <w:pStyle w:val="36"/>
              <w:keepNext w:val="0"/>
              <w:keepLines w:val="0"/>
              <w:numPr>
                <w:ilvl w:val="0"/>
                <w:numId w:val="0"/>
              </w:numPr>
              <w:suppressLineNumbers w:val="0"/>
              <w:bidi w:val="0"/>
              <w:spacing w:before="0" w:beforeAutospacing="0" w:after="0" w:afterAutospacing="0"/>
              <w:ind w:left="0" w:right="0" w:rightChars="0" w:firstLine="480" w:firstLineChars="20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本项目实验过程中用到</w:t>
            </w:r>
            <w:r>
              <w:rPr>
                <w:rFonts w:hint="eastAsia" w:cs="Times New Roman"/>
                <w:color w:val="auto"/>
                <w:lang w:val="en-US" w:eastAsia="zh-CN"/>
              </w:rPr>
              <w:t>产生恶臭气体（氨）的试剂</w:t>
            </w:r>
            <w:r>
              <w:rPr>
                <w:rFonts w:hint="eastAsia" w:ascii="Times New Roman" w:hAnsi="Times New Roman" w:eastAsia="宋体" w:cs="Times New Roman"/>
                <w:color w:val="auto"/>
                <w:lang w:val="en-US" w:eastAsia="zh-CN"/>
              </w:rPr>
              <w:t>为</w:t>
            </w:r>
            <w:r>
              <w:rPr>
                <w:rFonts w:hint="eastAsia" w:cs="Times New Roman"/>
                <w:color w:val="auto"/>
                <w:lang w:val="en-US" w:eastAsia="zh-CN"/>
              </w:rPr>
              <w:t>氨水</w:t>
            </w:r>
            <w:r>
              <w:rPr>
                <w:rFonts w:hint="eastAsia" w:ascii="Times New Roman" w:hAnsi="Times New Roman" w:eastAsia="宋体" w:cs="Times New Roman"/>
                <w:color w:val="auto"/>
                <w:lang w:val="en-US" w:eastAsia="zh-CN"/>
              </w:rPr>
              <w:t>、</w:t>
            </w:r>
            <w:r>
              <w:rPr>
                <w:rFonts w:hint="eastAsia" w:cs="Times New Roman"/>
                <w:color w:val="auto"/>
                <w:lang w:val="en-US" w:eastAsia="zh-CN"/>
              </w:rPr>
              <w:t>尿素</w:t>
            </w:r>
            <w:r>
              <w:rPr>
                <w:rFonts w:hint="eastAsia" w:ascii="Times New Roman" w:hAnsi="Times New Roman" w:eastAsia="宋体" w:cs="Times New Roman"/>
                <w:color w:val="auto"/>
                <w:lang w:val="en-US" w:eastAsia="zh-CN"/>
              </w:rPr>
              <w:t>等，根据建设项目提供试剂使用情况，项目试剂</w:t>
            </w:r>
            <w:r>
              <w:rPr>
                <w:rFonts w:hint="eastAsia" w:cs="Times New Roman"/>
                <w:color w:val="auto"/>
                <w:sz w:val="24"/>
                <w:szCs w:val="24"/>
                <w:lang w:val="en-US" w:eastAsia="zh-CN"/>
              </w:rPr>
              <w:t>恶臭刺激性</w:t>
            </w:r>
            <w:r>
              <w:rPr>
                <w:rFonts w:hint="eastAsia" w:ascii="Times New Roman" w:hAnsi="Times New Roman" w:eastAsia="宋体" w:cs="Times New Roman"/>
                <w:color w:val="auto"/>
                <w:lang w:val="en-US" w:eastAsia="zh-CN"/>
              </w:rPr>
              <w:t>废气</w:t>
            </w:r>
            <w:r>
              <w:rPr>
                <w:rFonts w:hint="eastAsia" w:cs="Times New Roman"/>
                <w:color w:val="auto"/>
                <w:lang w:val="en-US" w:eastAsia="zh-CN"/>
              </w:rPr>
              <w:t>产生</w:t>
            </w:r>
            <w:r>
              <w:rPr>
                <w:rFonts w:hint="eastAsia" w:ascii="Times New Roman" w:hAnsi="Times New Roman" w:eastAsia="宋体" w:cs="Times New Roman"/>
                <w:color w:val="auto"/>
                <w:lang w:val="en-US" w:eastAsia="zh-CN"/>
              </w:rPr>
              <w:t>情况如下表所示。</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w:t>
            </w:r>
            <w:r>
              <w:rPr>
                <w:rFonts w:hint="eastAsia" w:cs="Times New Roman"/>
                <w:color w:val="auto"/>
                <w:highlight w:val="none"/>
                <w:lang w:val="en-US" w:eastAsia="zh-CN"/>
              </w:rPr>
              <w:t>酸性试剂</w:t>
            </w:r>
            <w:r>
              <w:rPr>
                <w:rFonts w:hint="default" w:ascii="Times New Roman" w:hAnsi="Times New Roman" w:cs="Times New Roman"/>
                <w:color w:val="auto"/>
                <w:highlight w:val="none"/>
                <w:lang w:val="en-US" w:eastAsia="zh-CN"/>
              </w:rPr>
              <w:t>挥发量计算一览表</w:t>
            </w:r>
          </w:p>
          <w:tbl>
            <w:tblPr>
              <w:tblStyle w:val="33"/>
              <w:tblW w:w="813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87"/>
              <w:gridCol w:w="1776"/>
              <w:gridCol w:w="1847"/>
              <w:gridCol w:w="28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trPr>
              <w:tc>
                <w:tcPr>
                  <w:tcW w:w="1687"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b w:val="0"/>
                      <w:bCs w:val="0"/>
                      <w:color w:val="auto"/>
                      <w:sz w:val="21"/>
                      <w:szCs w:val="21"/>
                      <w:lang w:val="en-US" w:eastAsia="zh-CN"/>
                    </w:rPr>
                  </w:pPr>
                  <w:r>
                    <w:rPr>
                      <w:rFonts w:hint="eastAsia" w:cs="宋体"/>
                      <w:b w:val="0"/>
                      <w:bCs w:val="0"/>
                      <w:color w:val="auto"/>
                      <w:kern w:val="0"/>
                      <w:sz w:val="21"/>
                      <w:szCs w:val="21"/>
                      <w:lang w:val="en-US" w:eastAsia="zh-CN" w:bidi="ar"/>
                    </w:rPr>
                    <w:t>试剂</w:t>
                  </w:r>
                  <w:r>
                    <w:rPr>
                      <w:rFonts w:hint="eastAsia" w:cs="宋体"/>
                      <w:b w:val="0"/>
                      <w:bCs w:val="0"/>
                      <w:color w:val="auto"/>
                      <w:kern w:val="0"/>
                      <w:sz w:val="21"/>
                      <w:szCs w:val="21"/>
                      <w:lang w:bidi="ar"/>
                    </w:rPr>
                    <w:t>名称</w:t>
                  </w:r>
                </w:p>
              </w:tc>
              <w:tc>
                <w:tcPr>
                  <w:tcW w:w="1776"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eastAsia" w:eastAsia="宋体"/>
                      <w:b w:val="0"/>
                      <w:bCs w:val="0"/>
                      <w:color w:val="auto"/>
                      <w:sz w:val="21"/>
                      <w:szCs w:val="21"/>
                      <w:lang w:val="en-US" w:eastAsia="zh-CN"/>
                    </w:rPr>
                  </w:pPr>
                  <w:r>
                    <w:rPr>
                      <w:rFonts w:hint="eastAsia" w:cs="宋体"/>
                      <w:b w:val="0"/>
                      <w:bCs w:val="0"/>
                      <w:color w:val="auto"/>
                      <w:kern w:val="0"/>
                      <w:sz w:val="21"/>
                      <w:szCs w:val="21"/>
                      <w:lang w:bidi="ar"/>
                    </w:rPr>
                    <w:t>用量</w:t>
                  </w:r>
                  <w:r>
                    <w:rPr>
                      <w:rFonts w:hint="eastAsia" w:cs="宋体"/>
                      <w:b w:val="0"/>
                      <w:bCs w:val="0"/>
                      <w:color w:val="auto"/>
                      <w:kern w:val="0"/>
                      <w:sz w:val="21"/>
                      <w:szCs w:val="21"/>
                      <w:lang w:eastAsia="zh-CN" w:bidi="ar"/>
                    </w:rPr>
                    <w:t>（</w:t>
                  </w:r>
                  <w:r>
                    <w:rPr>
                      <w:rFonts w:hint="eastAsia" w:cs="宋体"/>
                      <w:b w:val="0"/>
                      <w:bCs w:val="0"/>
                      <w:color w:val="auto"/>
                      <w:kern w:val="0"/>
                      <w:sz w:val="21"/>
                      <w:szCs w:val="21"/>
                      <w:lang w:val="en-US" w:eastAsia="zh-CN" w:bidi="ar"/>
                    </w:rPr>
                    <w:t>kg/a</w:t>
                  </w:r>
                  <w:r>
                    <w:rPr>
                      <w:rFonts w:hint="eastAsia" w:cs="宋体"/>
                      <w:b w:val="0"/>
                      <w:bCs w:val="0"/>
                      <w:color w:val="auto"/>
                      <w:kern w:val="0"/>
                      <w:sz w:val="21"/>
                      <w:szCs w:val="21"/>
                      <w:lang w:eastAsia="zh-CN" w:bidi="ar"/>
                    </w:rPr>
                    <w:t>）</w:t>
                  </w:r>
                </w:p>
              </w:tc>
              <w:tc>
                <w:tcPr>
                  <w:tcW w:w="1847" w:type="dxa"/>
                  <w:tcBorders>
                    <w:tl2br w:val="nil"/>
                    <w:tr2bl w:val="nil"/>
                  </w:tcBorders>
                  <w:shd w:val="clear" w:color="auto" w:fill="auto"/>
                  <w:vAlign w:val="center"/>
                </w:tcPr>
                <w:p>
                  <w:pPr>
                    <w:pStyle w:val="37"/>
                    <w:keepNext w:val="0"/>
                    <w:keepLines w:val="0"/>
                    <w:widowControl/>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b w:val="0"/>
                      <w:bCs w:val="0"/>
                      <w:color w:val="auto"/>
                      <w:sz w:val="21"/>
                      <w:szCs w:val="21"/>
                      <w:lang w:val="en-US" w:eastAsia="zh-CN"/>
                    </w:rPr>
                  </w:pPr>
                  <w:r>
                    <w:rPr>
                      <w:rFonts w:hint="eastAsia" w:cs="宋体"/>
                      <w:b w:val="0"/>
                      <w:bCs w:val="0"/>
                      <w:color w:val="auto"/>
                      <w:kern w:val="0"/>
                      <w:sz w:val="21"/>
                      <w:szCs w:val="21"/>
                      <w:lang w:val="en-US" w:eastAsia="zh-CN" w:bidi="ar"/>
                    </w:rPr>
                    <w:t>挥发量</w:t>
                  </w:r>
                  <w:r>
                    <w:rPr>
                      <w:rFonts w:hint="eastAsia" w:cs="宋体"/>
                      <w:b w:val="0"/>
                      <w:bCs w:val="0"/>
                      <w:color w:val="auto"/>
                      <w:kern w:val="0"/>
                      <w:sz w:val="21"/>
                      <w:szCs w:val="21"/>
                      <w:lang w:eastAsia="zh-CN" w:bidi="ar"/>
                    </w:rPr>
                    <w:t>（</w:t>
                  </w:r>
                  <w:r>
                    <w:rPr>
                      <w:rFonts w:hint="eastAsia" w:cs="宋体"/>
                      <w:b w:val="0"/>
                      <w:bCs w:val="0"/>
                      <w:color w:val="auto"/>
                      <w:kern w:val="0"/>
                      <w:sz w:val="21"/>
                      <w:szCs w:val="21"/>
                      <w:lang w:val="en-US" w:eastAsia="zh-CN" w:bidi="ar"/>
                    </w:rPr>
                    <w:t>kg/a</w:t>
                  </w:r>
                  <w:r>
                    <w:rPr>
                      <w:rFonts w:hint="eastAsia" w:cs="宋体"/>
                      <w:b w:val="0"/>
                      <w:bCs w:val="0"/>
                      <w:color w:val="auto"/>
                      <w:kern w:val="0"/>
                      <w:sz w:val="21"/>
                      <w:szCs w:val="21"/>
                      <w:lang w:eastAsia="zh-CN" w:bidi="ar"/>
                    </w:rPr>
                    <w:t>）</w:t>
                  </w:r>
                </w:p>
              </w:tc>
              <w:tc>
                <w:tcPr>
                  <w:tcW w:w="2822"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b w:val="0"/>
                      <w:bCs w:val="0"/>
                      <w:color w:val="auto"/>
                      <w:sz w:val="21"/>
                      <w:szCs w:val="21"/>
                      <w:lang w:val="en-US" w:eastAsia="zh-CN"/>
                    </w:rPr>
                  </w:pPr>
                  <w:r>
                    <w:rPr>
                      <w:rFonts w:hint="eastAsia" w:cs="宋体"/>
                      <w:b w:val="0"/>
                      <w:bCs w:val="0"/>
                      <w:color w:val="auto"/>
                      <w:kern w:val="0"/>
                      <w:sz w:val="21"/>
                      <w:szCs w:val="21"/>
                      <w:lang w:val="en-US" w:eastAsia="zh-CN" w:bidi="ar"/>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687"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eastAsia" w:ascii="宋体" w:hAnsi="宋体" w:cs="宋体"/>
                      <w:i w:val="0"/>
                      <w:iCs w:val="0"/>
                      <w:color w:val="auto"/>
                      <w:kern w:val="0"/>
                      <w:sz w:val="21"/>
                      <w:szCs w:val="21"/>
                      <w:u w:val="none"/>
                      <w:lang w:val="en-US" w:eastAsia="zh-CN" w:bidi="ar"/>
                    </w:rPr>
                    <w:t>氨水</w:t>
                  </w:r>
                  <w:r>
                    <w:rPr>
                      <w:rFonts w:hint="default" w:ascii="Times New Roman" w:hAnsi="Times New Roman" w:cs="Times New Roman"/>
                      <w:i w:val="0"/>
                      <w:iCs w:val="0"/>
                      <w:color w:val="auto"/>
                      <w:kern w:val="0"/>
                      <w:sz w:val="21"/>
                      <w:szCs w:val="21"/>
                      <w:u w:val="none"/>
                      <w:lang w:val="en-US" w:eastAsia="zh-CN" w:bidi="ar"/>
                    </w:rPr>
                    <w:t>（25%）</w:t>
                  </w:r>
                </w:p>
              </w:tc>
              <w:tc>
                <w:tcPr>
                  <w:tcW w:w="1776"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 xml:space="preserve">1.14 </w:t>
                  </w:r>
                </w:p>
              </w:tc>
              <w:tc>
                <w:tcPr>
                  <w:tcW w:w="1847"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 xml:space="preserve">0.11 </w:t>
                  </w:r>
                </w:p>
              </w:tc>
              <w:tc>
                <w:tcPr>
                  <w:tcW w:w="2822" w:type="dxa"/>
                  <w:vMerge w:val="restart"/>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本次评价实验</w:t>
                  </w:r>
                  <w:r>
                    <w:rPr>
                      <w:rFonts w:hint="eastAsia" w:ascii="Times New Roman" w:hAnsi="Times New Roman" w:eastAsia="宋体" w:cs="Times New Roman"/>
                      <w:i w:val="0"/>
                      <w:iCs w:val="0"/>
                      <w:color w:val="auto"/>
                      <w:kern w:val="0"/>
                      <w:sz w:val="21"/>
                      <w:szCs w:val="21"/>
                      <w:u w:val="none"/>
                      <w:lang w:val="en-US" w:eastAsia="zh-CN" w:bidi="ar"/>
                    </w:rPr>
                    <w:t>恶臭</w:t>
                  </w:r>
                  <w:r>
                    <w:rPr>
                      <w:rFonts w:hint="default" w:ascii="Times New Roman" w:hAnsi="Times New Roman" w:eastAsia="宋体" w:cs="Times New Roman"/>
                      <w:i w:val="0"/>
                      <w:iCs w:val="0"/>
                      <w:color w:val="auto"/>
                      <w:kern w:val="0"/>
                      <w:sz w:val="21"/>
                      <w:szCs w:val="21"/>
                      <w:u w:val="none"/>
                      <w:lang w:val="en-US" w:eastAsia="zh-CN" w:bidi="ar"/>
                    </w:rPr>
                    <w:t>废气按</w:t>
                  </w:r>
                  <w:r>
                    <w:rPr>
                      <w:rFonts w:hint="eastAsia" w:cs="Times New Roman"/>
                      <w:i w:val="0"/>
                      <w:iCs w:val="0"/>
                      <w:color w:val="auto"/>
                      <w:kern w:val="0"/>
                      <w:sz w:val="21"/>
                      <w:szCs w:val="21"/>
                      <w:u w:val="none"/>
                      <w:lang w:val="en-US" w:eastAsia="zh-CN" w:bidi="ar"/>
                    </w:rPr>
                    <w:t>氨水、尿素</w:t>
                  </w:r>
                  <w:r>
                    <w:rPr>
                      <w:rFonts w:hint="default" w:ascii="Times New Roman" w:hAnsi="Times New Roman" w:eastAsia="宋体" w:cs="Times New Roman"/>
                      <w:i w:val="0"/>
                      <w:iCs w:val="0"/>
                      <w:color w:val="auto"/>
                      <w:kern w:val="0"/>
                      <w:sz w:val="21"/>
                      <w:szCs w:val="21"/>
                      <w:u w:val="none"/>
                      <w:lang w:val="en-US" w:eastAsia="zh-CN" w:bidi="ar"/>
                    </w:rPr>
                    <w:t>试剂使用量</w:t>
                  </w:r>
                  <w:r>
                    <w:rPr>
                      <w:rFonts w:hint="eastAsia" w:cs="Times New Roman"/>
                      <w:i w:val="0"/>
                      <w:iCs w:val="0"/>
                      <w:color w:val="auto"/>
                      <w:kern w:val="0"/>
                      <w:sz w:val="21"/>
                      <w:szCs w:val="21"/>
                      <w:u w:val="none"/>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0%计算。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687"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lang w:val="en-US" w:eastAsia="zh-CN"/>
                    </w:rPr>
                  </w:pPr>
                  <w:r>
                    <w:rPr>
                      <w:rFonts w:hint="eastAsia" w:ascii="宋体" w:hAnsi="宋体" w:cs="宋体"/>
                      <w:i w:val="0"/>
                      <w:iCs w:val="0"/>
                      <w:color w:val="auto"/>
                      <w:kern w:val="0"/>
                      <w:sz w:val="21"/>
                      <w:szCs w:val="21"/>
                      <w:u w:val="none"/>
                      <w:lang w:val="en-US" w:eastAsia="zh-CN" w:bidi="ar"/>
                    </w:rPr>
                    <w:t>尿素</w:t>
                  </w:r>
                </w:p>
              </w:tc>
              <w:tc>
                <w:tcPr>
                  <w:tcW w:w="1776"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 xml:space="preserve">0.50 </w:t>
                  </w:r>
                </w:p>
              </w:tc>
              <w:tc>
                <w:tcPr>
                  <w:tcW w:w="1847"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 xml:space="preserve">0.05 </w:t>
                  </w:r>
                </w:p>
              </w:tc>
              <w:tc>
                <w:tcPr>
                  <w:tcW w:w="2822"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687"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r>
                    <w:rPr>
                      <w:rFonts w:hint="default" w:ascii="Times New Roman" w:hAnsi="Times New Roman" w:cs="Times New Roman"/>
                      <w:b/>
                      <w:bCs/>
                      <w:i w:val="0"/>
                      <w:iCs w:val="0"/>
                      <w:color w:val="auto"/>
                      <w:kern w:val="0"/>
                      <w:sz w:val="21"/>
                      <w:szCs w:val="21"/>
                      <w:u w:val="none"/>
                      <w:lang w:val="en-US" w:eastAsia="zh-CN" w:bidi="ar"/>
                    </w:rPr>
                    <w:t>合计</w:t>
                  </w:r>
                </w:p>
              </w:tc>
              <w:tc>
                <w:tcPr>
                  <w:tcW w:w="1776"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bCs/>
                      <w:i w:val="0"/>
                      <w:iCs w:val="0"/>
                      <w:color w:val="auto"/>
                      <w:kern w:val="0"/>
                      <w:sz w:val="22"/>
                      <w:szCs w:val="22"/>
                      <w:u w:val="none"/>
                      <w:lang w:val="en-US" w:eastAsia="zh-CN" w:bidi="ar"/>
                    </w:rPr>
                  </w:pPr>
                  <w:r>
                    <w:rPr>
                      <w:rFonts w:hint="eastAsia" w:ascii="Times New Roman" w:hAnsi="Times New Roman" w:cs="Times New Roman"/>
                      <w:b/>
                      <w:bCs/>
                      <w:i w:val="0"/>
                      <w:iCs w:val="0"/>
                      <w:color w:val="auto"/>
                      <w:kern w:val="0"/>
                      <w:sz w:val="22"/>
                      <w:szCs w:val="22"/>
                      <w:u w:val="none"/>
                      <w:lang w:val="en-US" w:eastAsia="zh-CN" w:bidi="ar"/>
                    </w:rPr>
                    <w:t xml:space="preserve">1.64 </w:t>
                  </w:r>
                </w:p>
              </w:tc>
              <w:tc>
                <w:tcPr>
                  <w:tcW w:w="1847"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bCs/>
                      <w:i w:val="0"/>
                      <w:iCs w:val="0"/>
                      <w:color w:val="auto"/>
                      <w:kern w:val="0"/>
                      <w:sz w:val="22"/>
                      <w:szCs w:val="22"/>
                      <w:u w:val="none"/>
                      <w:lang w:val="en-US" w:eastAsia="zh-CN" w:bidi="ar"/>
                    </w:rPr>
                  </w:pPr>
                  <w:r>
                    <w:rPr>
                      <w:rFonts w:hint="eastAsia" w:ascii="Times New Roman" w:hAnsi="Times New Roman" w:cs="Times New Roman"/>
                      <w:b/>
                      <w:bCs/>
                      <w:i w:val="0"/>
                      <w:iCs w:val="0"/>
                      <w:color w:val="auto"/>
                      <w:kern w:val="0"/>
                      <w:sz w:val="22"/>
                      <w:szCs w:val="22"/>
                      <w:u w:val="none"/>
                      <w:lang w:val="en-US" w:eastAsia="zh-CN" w:bidi="ar"/>
                    </w:rPr>
                    <w:t xml:space="preserve">0.16 </w:t>
                  </w:r>
                </w:p>
              </w:tc>
              <w:tc>
                <w:tcPr>
                  <w:tcW w:w="2822" w:type="dxa"/>
                  <w:vMerge w:val="continue"/>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b/>
                      <w:bCs/>
                      <w:color w:val="auto"/>
                      <w:sz w:val="21"/>
                      <w:szCs w:val="21"/>
                      <w:lang w:val="en-US" w:eastAsia="zh-CN"/>
                    </w:rPr>
                  </w:pPr>
                </w:p>
              </w:tc>
            </w:tr>
          </w:tbl>
          <w:p>
            <w:pPr>
              <w:pStyle w:val="36"/>
              <w:keepNext w:val="0"/>
              <w:keepLines w:val="0"/>
              <w:numPr>
                <w:ilvl w:val="0"/>
                <w:numId w:val="0"/>
              </w:numPr>
              <w:suppressLineNumbers w:val="0"/>
              <w:bidi w:val="0"/>
              <w:spacing w:before="0" w:beforeAutospacing="0" w:after="0" w:afterAutospacing="0"/>
              <w:ind w:left="420" w:leftChars="200" w:right="0" w:rightChars="0"/>
              <w:rPr>
                <w:rFonts w:hint="default" w:cs="Times New Roman"/>
                <w:b/>
                <w:bCs/>
                <w:color w:val="auto"/>
                <w:kern w:val="2"/>
                <w:sz w:val="24"/>
                <w:szCs w:val="24"/>
                <w:lang w:val="en-US" w:eastAsia="zh-CN" w:bidi="ar-SA"/>
              </w:rPr>
            </w:pPr>
            <w:r>
              <w:rPr>
                <w:rFonts w:hint="eastAsia" w:cs="Times New Roman"/>
                <w:b/>
                <w:bCs/>
                <w:color w:val="auto"/>
                <w:kern w:val="2"/>
                <w:sz w:val="24"/>
                <w:szCs w:val="24"/>
                <w:lang w:val="en-US" w:eastAsia="zh-CN" w:bidi="ar-SA"/>
              </w:rPr>
              <w:t>（2）废气治理措施</w:t>
            </w:r>
          </w:p>
          <w:p>
            <w:pPr>
              <w:pStyle w:val="36"/>
              <w:keepNext w:val="0"/>
              <w:keepLines w:val="0"/>
              <w:numPr>
                <w:ilvl w:val="0"/>
                <w:numId w:val="0"/>
              </w:numPr>
              <w:suppressLineNumbers w:val="0"/>
              <w:bidi w:val="0"/>
              <w:spacing w:before="0" w:beforeAutospacing="0" w:after="0" w:afterAutospacing="0"/>
              <w:ind w:left="0" w:right="0" w:rightChars="0" w:firstLine="480" w:firstLineChars="200"/>
              <w:rPr>
                <w:rFonts w:hint="default" w:ascii="Times New Roman" w:hAnsi="Times New Roman" w:eastAsia="宋体" w:cs="Times New Roman"/>
                <w:color w:val="auto"/>
                <w:lang w:val="en-US" w:eastAsia="zh-CN"/>
              </w:rPr>
            </w:pPr>
            <w:r>
              <w:rPr>
                <w:rFonts w:hint="eastAsia" w:cs="Times New Roman"/>
                <w:color w:val="auto"/>
                <w:lang w:val="en-US" w:eastAsia="zh-CN"/>
              </w:rPr>
              <w:t>①废气处理工艺及其可行性</w:t>
            </w:r>
          </w:p>
          <w:p>
            <w:pPr>
              <w:pStyle w:val="36"/>
              <w:keepNext w:val="0"/>
              <w:keepLines w:val="0"/>
              <w:numPr>
                <w:ilvl w:val="0"/>
                <w:numId w:val="0"/>
              </w:numPr>
              <w:suppressLineNumbers w:val="0"/>
              <w:bidi w:val="0"/>
              <w:spacing w:before="0" w:beforeAutospacing="0" w:after="0" w:afterAutospacing="0"/>
              <w:ind w:left="0" w:right="0" w:rightChars="0" w:firstLine="480" w:firstLineChars="20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废气经实验室内通风橱柜</w:t>
            </w:r>
            <w:r>
              <w:rPr>
                <w:rFonts w:hint="eastAsia" w:cs="Times New Roman"/>
                <w:color w:val="auto"/>
                <w:lang w:val="en-US" w:eastAsia="zh-CN"/>
              </w:rPr>
              <w:t>、</w:t>
            </w:r>
            <w:r>
              <w:rPr>
                <w:rFonts w:hint="eastAsia" w:cs="Times New Roman"/>
                <w:color w:val="auto"/>
                <w:highlight w:val="none"/>
                <w:lang w:val="en-US" w:eastAsia="zh-CN"/>
              </w:rPr>
              <w:t>集气罩</w:t>
            </w:r>
            <w:r>
              <w:rPr>
                <w:rFonts w:hint="default" w:ascii="Times New Roman" w:hAnsi="Times New Roman" w:eastAsia="宋体" w:cs="Times New Roman"/>
                <w:color w:val="auto"/>
                <w:lang w:val="en-US" w:eastAsia="zh-CN"/>
              </w:rPr>
              <w:t>收集后</w:t>
            </w:r>
            <w:r>
              <w:rPr>
                <w:rFonts w:hint="eastAsia" w:ascii="Times New Roman" w:hAnsi="Times New Roman" w:eastAsia="宋体" w:cs="Times New Roman"/>
                <w:color w:val="auto"/>
                <w:lang w:val="en-US" w:eastAsia="zh-CN"/>
              </w:rPr>
              <w:t>，酸性废气采用碱液喷淋塔处理达标后通过</w:t>
            </w:r>
            <w:r>
              <w:rPr>
                <w:rFonts w:hint="default" w:ascii="Times New Roman" w:hAnsi="Times New Roman" w:eastAsia="宋体" w:cs="Times New Roman"/>
                <w:color w:val="auto"/>
                <w:lang w:val="en-US" w:eastAsia="zh-CN"/>
              </w:rPr>
              <w:t>屋顶排气筒（DA001</w:t>
            </w:r>
            <w:r>
              <w:rPr>
                <w:rFonts w:hint="eastAsia" w:cs="Times New Roman"/>
                <w:color w:val="auto"/>
                <w:lang w:val="en-US" w:eastAsia="zh-CN"/>
              </w:rPr>
              <w:t>、</w:t>
            </w:r>
            <w:r>
              <w:rPr>
                <w:rFonts w:hint="default" w:ascii="Times New Roman" w:hAnsi="Times New Roman" w:eastAsia="宋体" w:cs="Times New Roman"/>
                <w:color w:val="auto"/>
                <w:lang w:val="en-US" w:eastAsia="zh-CN"/>
              </w:rPr>
              <w:t>DA00</w:t>
            </w:r>
            <w:r>
              <w:rPr>
                <w:rFonts w:hint="eastAsia" w:ascii="Times New Roman" w:hAnsi="Times New Roman" w:eastAsia="宋体" w:cs="Times New Roman"/>
                <w:color w:val="auto"/>
                <w:lang w:val="en-US" w:eastAsia="zh-CN"/>
              </w:rPr>
              <w:t>2</w:t>
            </w:r>
            <w:r>
              <w:rPr>
                <w:rFonts w:hint="default" w:ascii="Times New Roman" w:hAnsi="Times New Roman" w:eastAsia="宋体" w:cs="Times New Roman"/>
                <w:color w:val="auto"/>
                <w:lang w:val="en-US" w:eastAsia="zh-CN"/>
              </w:rPr>
              <w:t>）排放，排放高度</w:t>
            </w:r>
            <w:r>
              <w:rPr>
                <w:rFonts w:hint="eastAsia" w:cs="Times New Roman"/>
                <w:color w:val="auto"/>
                <w:lang w:val="en-US" w:eastAsia="zh-CN"/>
              </w:rPr>
              <w:t>25m</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有机废气</w:t>
            </w:r>
            <w:r>
              <w:rPr>
                <w:rFonts w:hint="eastAsia" w:cs="Times New Roman"/>
                <w:color w:val="auto"/>
                <w:lang w:val="en-US" w:eastAsia="zh-CN"/>
              </w:rPr>
              <w:t>及</w:t>
            </w:r>
            <w:r>
              <w:rPr>
                <w:rFonts w:hint="eastAsia" w:cs="Times New Roman"/>
                <w:color w:val="auto"/>
                <w:sz w:val="24"/>
                <w:szCs w:val="24"/>
                <w:lang w:val="en-US" w:eastAsia="zh-CN"/>
              </w:rPr>
              <w:t>恶臭废气</w:t>
            </w:r>
            <w:r>
              <w:rPr>
                <w:rFonts w:hint="default" w:ascii="Times New Roman" w:hAnsi="Times New Roman" w:eastAsia="宋体" w:cs="Times New Roman"/>
                <w:color w:val="auto"/>
                <w:lang w:val="en-US" w:eastAsia="zh-CN"/>
              </w:rPr>
              <w:t>经实验室内通风橱柜</w:t>
            </w:r>
            <w:r>
              <w:rPr>
                <w:rFonts w:hint="eastAsia" w:cs="Times New Roman"/>
                <w:color w:val="auto"/>
                <w:lang w:val="en-US" w:eastAsia="zh-CN"/>
              </w:rPr>
              <w:t>、</w:t>
            </w:r>
            <w:r>
              <w:rPr>
                <w:rFonts w:hint="eastAsia" w:cs="Times New Roman"/>
                <w:color w:val="auto"/>
                <w:highlight w:val="none"/>
                <w:lang w:val="en-US" w:eastAsia="zh-CN"/>
              </w:rPr>
              <w:t>集气罩</w:t>
            </w:r>
            <w:r>
              <w:rPr>
                <w:rFonts w:hint="default" w:ascii="Times New Roman" w:hAnsi="Times New Roman" w:eastAsia="宋体" w:cs="Times New Roman"/>
                <w:color w:val="auto"/>
                <w:lang w:val="en-US" w:eastAsia="zh-CN"/>
              </w:rPr>
              <w:t>收集后</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通过活性炭吸附设备处理</w:t>
            </w:r>
            <w:r>
              <w:rPr>
                <w:rFonts w:hint="eastAsia" w:ascii="Times New Roman" w:hAnsi="Times New Roman" w:eastAsia="宋体" w:cs="Times New Roman"/>
                <w:color w:val="auto"/>
                <w:lang w:val="en-US" w:eastAsia="zh-CN"/>
              </w:rPr>
              <w:t>达标</w:t>
            </w:r>
            <w:r>
              <w:rPr>
                <w:rFonts w:hint="default" w:ascii="Times New Roman" w:hAnsi="Times New Roman" w:eastAsia="宋体" w:cs="Times New Roman"/>
                <w:color w:val="auto"/>
                <w:lang w:val="en-US" w:eastAsia="zh-CN"/>
              </w:rPr>
              <w:t>后引屋顶排气筒（DA00</w:t>
            </w:r>
            <w:r>
              <w:rPr>
                <w:rFonts w:hint="eastAsia" w:cs="Times New Roman"/>
                <w:color w:val="auto"/>
                <w:lang w:val="en-US" w:eastAsia="zh-CN"/>
              </w:rPr>
              <w:t>3、</w:t>
            </w:r>
            <w:r>
              <w:rPr>
                <w:rFonts w:hint="default" w:ascii="Times New Roman" w:hAnsi="Times New Roman" w:eastAsia="宋体" w:cs="Times New Roman"/>
                <w:color w:val="auto"/>
                <w:lang w:val="en-US" w:eastAsia="zh-CN"/>
              </w:rPr>
              <w:t>DA00</w:t>
            </w:r>
            <w:r>
              <w:rPr>
                <w:rFonts w:hint="eastAsia" w:cs="Times New Roman"/>
                <w:color w:val="auto"/>
                <w:lang w:val="en-US" w:eastAsia="zh-CN"/>
              </w:rPr>
              <w:t>4</w:t>
            </w:r>
            <w:r>
              <w:rPr>
                <w:rFonts w:hint="default" w:ascii="Times New Roman" w:hAnsi="Times New Roman" w:eastAsia="宋体" w:cs="Times New Roman"/>
                <w:color w:val="auto"/>
                <w:lang w:val="en-US" w:eastAsia="zh-CN"/>
              </w:rPr>
              <w:t>）排放，排放高度</w:t>
            </w:r>
            <w:r>
              <w:rPr>
                <w:rFonts w:hint="eastAsia" w:cs="Times New Roman"/>
                <w:color w:val="auto"/>
                <w:lang w:val="en-US" w:eastAsia="zh-CN"/>
              </w:rPr>
              <w:t>25m</w:t>
            </w:r>
            <w:r>
              <w:rPr>
                <w:rFonts w:hint="default" w:ascii="Times New Roman" w:hAnsi="Times New Roman" w:eastAsia="宋体" w:cs="Times New Roman"/>
                <w:color w:val="auto"/>
                <w:lang w:val="en-US" w:eastAsia="zh-CN"/>
              </w:rPr>
              <w:t>。</w:t>
            </w:r>
            <w:r>
              <w:rPr>
                <w:rFonts w:hint="eastAsia" w:cs="Times New Roman"/>
                <w:color w:val="auto"/>
                <w:lang w:val="en-US" w:eastAsia="zh-CN"/>
              </w:rPr>
              <w:t>废气处理设备运行原理如下：</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w:t>
            </w:r>
            <w:r>
              <w:rPr>
                <w:rFonts w:hint="default" w:ascii="Times New Roman" w:hAnsi="Times New Roman" w:cs="Times New Roman"/>
                <w:color w:val="auto"/>
                <w:highlight w:val="none"/>
                <w:lang w:val="en-US" w:eastAsia="zh-CN"/>
              </w:rPr>
              <w:t>通风柜</w:t>
            </w:r>
            <w:r>
              <w:rPr>
                <w:rFonts w:hint="eastAsia" w:cs="Times New Roman"/>
                <w:color w:val="auto"/>
                <w:highlight w:val="none"/>
                <w:lang w:val="en-US" w:eastAsia="zh-CN"/>
              </w:rPr>
              <w:t>、集气罩</w:t>
            </w:r>
          </w:p>
          <w:p>
            <w:pPr>
              <w:pStyle w:val="36"/>
              <w:keepNext w:val="0"/>
              <w:keepLines w:val="0"/>
              <w:suppressLineNumbers w:val="0"/>
              <w:bidi w:val="0"/>
              <w:spacing w:before="0" w:beforeAutospacing="0" w:after="0" w:afterAutospacing="0"/>
              <w:ind w:left="0" w:right="0"/>
              <w:rPr>
                <w:rFonts w:hint="default"/>
                <w:color w:val="auto"/>
                <w:highlight w:val="none"/>
                <w:lang w:val="en-US" w:eastAsia="zh-CN"/>
              </w:rPr>
            </w:pPr>
            <w:r>
              <w:rPr>
                <w:rFonts w:hint="default"/>
                <w:color w:val="auto"/>
                <w:lang w:val="en-US" w:eastAsia="zh-CN"/>
              </w:rPr>
              <w:t>本项目使用挥发性酸、有机物的前处理配制环节均在通风橱</w:t>
            </w:r>
            <w:r>
              <w:rPr>
                <w:rFonts w:hint="eastAsia"/>
                <w:color w:val="auto"/>
                <w:lang w:val="en-US" w:eastAsia="zh-CN"/>
              </w:rPr>
              <w:t>、集气罩</w:t>
            </w:r>
            <w:r>
              <w:rPr>
                <w:rFonts w:hint="default"/>
                <w:color w:val="auto"/>
                <w:lang w:val="en-US" w:eastAsia="zh-CN"/>
              </w:rPr>
              <w:t>进行，配制过程会产生酸雾（以氯化氢、硫酸雾计）</w:t>
            </w:r>
            <w:r>
              <w:rPr>
                <w:rFonts w:hint="eastAsia"/>
                <w:color w:val="auto"/>
                <w:lang w:val="en-US" w:eastAsia="zh-CN"/>
              </w:rPr>
              <w:t>、</w:t>
            </w:r>
            <w:r>
              <w:rPr>
                <w:rFonts w:hint="default"/>
                <w:color w:val="auto"/>
                <w:lang w:val="en-US" w:eastAsia="zh-CN"/>
              </w:rPr>
              <w:t>挥发性有机物（以非甲烷总烃计）</w:t>
            </w:r>
            <w:r>
              <w:rPr>
                <w:rFonts w:hint="eastAsia"/>
                <w:color w:val="auto"/>
                <w:lang w:val="en-US" w:eastAsia="zh-CN"/>
              </w:rPr>
              <w:t>及恶臭废气</w:t>
            </w:r>
            <w:r>
              <w:rPr>
                <w:rFonts w:hint="default"/>
                <w:color w:val="auto"/>
                <w:lang w:val="en-US" w:eastAsia="zh-CN"/>
              </w:rPr>
              <w:t>。本项目共有</w:t>
            </w:r>
            <w:r>
              <w:rPr>
                <w:rFonts w:hint="eastAsia"/>
                <w:color w:val="auto"/>
                <w:lang w:val="en-US" w:eastAsia="zh-CN"/>
              </w:rPr>
              <w:t>18</w:t>
            </w:r>
            <w:r>
              <w:rPr>
                <w:rFonts w:hint="default"/>
                <w:color w:val="auto"/>
                <w:lang w:val="en-US" w:eastAsia="zh-CN"/>
              </w:rPr>
              <w:t>台</w:t>
            </w:r>
            <w:r>
              <w:rPr>
                <w:rFonts w:hint="default" w:ascii="Times New Roman" w:hAnsi="Times New Roman" w:cs="Times New Roman"/>
                <w:color w:val="auto"/>
                <w:highlight w:val="none"/>
                <w:lang w:val="en-US" w:eastAsia="zh-CN"/>
              </w:rPr>
              <w:t>通风柜</w:t>
            </w:r>
            <w:r>
              <w:rPr>
                <w:rFonts w:hint="eastAsia"/>
                <w:color w:val="auto"/>
                <w:lang w:val="en-US" w:eastAsia="zh-CN"/>
              </w:rPr>
              <w:t>40个集气罩</w:t>
            </w:r>
            <w:r>
              <w:rPr>
                <w:rFonts w:hint="default"/>
                <w:color w:val="auto"/>
                <w:lang w:val="en-US" w:eastAsia="zh-CN"/>
              </w:rPr>
              <w:t>，</w:t>
            </w:r>
            <w:r>
              <w:rPr>
                <w:rFonts w:hint="eastAsia"/>
                <w:color w:val="auto"/>
                <w:lang w:val="en-US" w:eastAsia="zh-CN"/>
              </w:rPr>
              <w:t>酸性废气经碱液喷淋装置处理达标后排放，</w:t>
            </w:r>
            <w:r>
              <w:rPr>
                <w:rFonts w:hint="default"/>
                <w:color w:val="auto"/>
                <w:lang w:val="en-US" w:eastAsia="zh-CN"/>
              </w:rPr>
              <w:t>有机废气</w:t>
            </w:r>
            <w:r>
              <w:rPr>
                <w:rFonts w:hint="eastAsia"/>
                <w:color w:val="auto"/>
                <w:lang w:val="en-US" w:eastAsia="zh-CN"/>
              </w:rPr>
              <w:t>与恶臭气体</w:t>
            </w:r>
            <w:r>
              <w:rPr>
                <w:rFonts w:hint="default"/>
                <w:color w:val="auto"/>
                <w:lang w:val="en-US" w:eastAsia="zh-CN"/>
              </w:rPr>
              <w:t>经实验室内通风橱柜收集后通过活性炭吸附处理达标后排放</w:t>
            </w:r>
            <w:r>
              <w:rPr>
                <w:rFonts w:hint="default"/>
                <w:color w:val="auto"/>
                <w:highlight w:val="none"/>
                <w:lang w:val="en-US" w:eastAsia="zh-CN"/>
              </w:rPr>
              <w:t>。</w:t>
            </w:r>
          </w:p>
          <w:p>
            <w:pPr>
              <w:pStyle w:val="36"/>
              <w:keepNext w:val="0"/>
              <w:keepLines w:val="0"/>
              <w:suppressLineNumbers w:val="0"/>
              <w:bidi w:val="0"/>
              <w:spacing w:before="0" w:beforeAutospacing="0" w:after="0" w:afterAutospacing="0"/>
              <w:ind w:left="0" w:right="0"/>
              <w:rPr>
                <w:rFonts w:hint="eastAsia"/>
                <w:color w:val="auto"/>
                <w:highlight w:val="cyan"/>
                <w:lang w:val="en-US" w:eastAsia="zh-CN"/>
              </w:rPr>
            </w:pPr>
            <w:r>
              <w:rPr>
                <w:rFonts w:hint="default"/>
                <w:color w:val="auto"/>
                <w:lang w:val="en-US" w:eastAsia="zh-CN"/>
              </w:rPr>
              <w:t>本项目</w:t>
            </w:r>
            <w:r>
              <w:rPr>
                <w:rFonts w:hint="default" w:ascii="Times New Roman" w:hAnsi="Times New Roman" w:cs="Times New Roman"/>
                <w:color w:val="auto"/>
                <w:lang w:val="en-US" w:eastAsia="zh-CN"/>
              </w:rPr>
              <w:t>所用</w:t>
            </w:r>
            <w:r>
              <w:rPr>
                <w:rFonts w:hint="default" w:ascii="Times New Roman" w:hAnsi="Times New Roman" w:cs="Times New Roman"/>
                <w:color w:val="auto"/>
                <w:highlight w:val="none"/>
                <w:lang w:val="en-US" w:eastAsia="zh-CN"/>
              </w:rPr>
              <w:t>通风柜</w:t>
            </w:r>
            <w:r>
              <w:rPr>
                <w:rFonts w:hint="default" w:ascii="Times New Roman" w:hAnsi="Times New Roman" w:cs="Times New Roman"/>
                <w:color w:val="auto"/>
                <w:lang w:val="en-US" w:eastAsia="zh-CN"/>
              </w:rPr>
              <w:t>可视为半封闭废气收集系统，参照《主要污染物总量减排核算技术指南（2022年修订）》（环办综合函〔2022〕350号），半封闭集气系统废气收集效率取65%</w:t>
            </w:r>
            <w:r>
              <w:rPr>
                <w:rFonts w:hint="eastAsia"/>
                <w:color w:val="auto"/>
                <w:lang w:val="en-US" w:eastAsia="zh-CN"/>
              </w:rPr>
              <w:t>计。</w:t>
            </w:r>
          </w:p>
          <w:p>
            <w:pPr>
              <w:keepNext w:val="0"/>
              <w:keepLines w:val="0"/>
              <w:suppressLineNumbers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sz w:val="20"/>
              </w:rPr>
              <w:drawing>
                <wp:inline distT="0" distB="0" distL="114300" distR="114300">
                  <wp:extent cx="5156200" cy="3173730"/>
                  <wp:effectExtent l="0" t="0" r="6350" b="7620"/>
                  <wp:docPr id="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
                          <pic:cNvPicPr>
                            <a:picLocks noChangeAspect="1"/>
                          </pic:cNvPicPr>
                        </pic:nvPicPr>
                        <pic:blipFill>
                          <a:blip r:embed="rId23"/>
                          <a:stretch>
                            <a:fillRect/>
                          </a:stretch>
                        </pic:blipFill>
                        <pic:spPr>
                          <a:xfrm>
                            <a:off x="0" y="0"/>
                            <a:ext cx="5156200" cy="3173730"/>
                          </a:xfrm>
                          <a:prstGeom prst="rect">
                            <a:avLst/>
                          </a:prstGeom>
                          <a:noFill/>
                          <a:ln>
                            <a:noFill/>
                          </a:ln>
                        </pic:spPr>
                      </pic:pic>
                    </a:graphicData>
                  </a:graphic>
                </wp:inline>
              </w:drawing>
            </w:r>
          </w:p>
          <w:p>
            <w:pPr>
              <w:pStyle w:val="38"/>
              <w:keepNext w:val="0"/>
              <w:keepLines w:val="0"/>
              <w:pageBreakBefore w:val="0"/>
              <w:widowControl w:val="0"/>
              <w:suppressLineNumbers w:val="0"/>
              <w:tabs>
                <w:tab w:val="left" w:pos="0"/>
                <w:tab w:val="clear" w:pos="420"/>
              </w:tabs>
              <w:kinsoku/>
              <w:wordWrap/>
              <w:overflowPunct/>
              <w:topLinePunct w:val="0"/>
              <w:autoSpaceDE/>
              <w:autoSpaceDN/>
              <w:bidi w:val="0"/>
              <w:adjustRightInd/>
              <w:snapToGrid/>
              <w:spacing w:before="157" w:beforeLines="50" w:beforeAutospacing="0" w:after="0" w:afterAutospacing="0"/>
              <w:ind w:left="1582" w:right="0" w:hanging="1582"/>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通风柜内部工艺流程图</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2）</w:t>
            </w:r>
            <w:r>
              <w:rPr>
                <w:rFonts w:hint="default"/>
                <w:color w:val="auto"/>
                <w:lang w:val="en-US" w:eastAsia="zh-CN"/>
              </w:rPr>
              <w:t>碱液喷淋装置</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当有一定进气速度的酸性气体经进气管进入碱液喷淋装置后，气体由下向上，吸收液由耐酸泵打入塔顶通过布液装置均匀向下喷淋，形成逆流吸收，废气中</w:t>
            </w:r>
            <w:r>
              <w:rPr>
                <w:rFonts w:hint="eastAsia"/>
                <w:color w:val="auto"/>
                <w:lang w:val="en-US" w:eastAsia="zh-CN"/>
              </w:rPr>
              <w:t>氯化氢</w:t>
            </w:r>
            <w:r>
              <w:rPr>
                <w:rFonts w:hint="default"/>
                <w:color w:val="auto"/>
                <w:lang w:val="en-US" w:eastAsia="zh-CN"/>
              </w:rPr>
              <w:t>、</w:t>
            </w:r>
            <w:r>
              <w:rPr>
                <w:rFonts w:hint="eastAsia"/>
                <w:color w:val="auto"/>
                <w:lang w:val="en-US" w:eastAsia="zh-CN"/>
              </w:rPr>
              <w:t>硫酸雾</w:t>
            </w:r>
            <w:r>
              <w:rPr>
                <w:rFonts w:hint="default"/>
                <w:color w:val="auto"/>
                <w:lang w:val="en-US" w:eastAsia="zh-CN"/>
              </w:rPr>
              <w:t>等物质与吸收液充分混合发生中和反应，同时易溶于水的物质被吸附在吸收液上，起到理想的吸收净化效果，净化后的气体会</w:t>
            </w:r>
            <w:r>
              <w:rPr>
                <w:rFonts w:hint="eastAsia"/>
                <w:color w:val="auto"/>
                <w:lang w:val="en-US" w:eastAsia="zh-CN"/>
              </w:rPr>
              <w:t>饱含水分</w:t>
            </w:r>
            <w:r>
              <w:rPr>
                <w:rFonts w:hint="default"/>
                <w:color w:val="auto"/>
                <w:lang w:val="en-US" w:eastAsia="zh-CN"/>
              </w:rPr>
              <w:t>，经过塔顶的除雾装置</w:t>
            </w:r>
            <w:r>
              <w:rPr>
                <w:rFonts w:hint="eastAsia"/>
                <w:color w:val="auto"/>
                <w:lang w:val="en-US" w:eastAsia="zh-CN"/>
              </w:rPr>
              <w:t>去除水分</w:t>
            </w:r>
            <w:r>
              <w:rPr>
                <w:rFonts w:hint="default"/>
                <w:color w:val="auto"/>
                <w:lang w:val="en-US" w:eastAsia="zh-CN"/>
              </w:rPr>
              <w:t>，净化后气体直接排放大气中。</w:t>
            </w:r>
            <w:r>
              <w:rPr>
                <w:rFonts w:hint="eastAsia"/>
                <w:color w:val="auto"/>
                <w:lang w:val="en-US" w:eastAsia="zh-CN"/>
              </w:rPr>
              <w:t>本次评价</w:t>
            </w:r>
            <w:r>
              <w:rPr>
                <w:rFonts w:hint="default"/>
                <w:color w:val="auto"/>
                <w:lang w:val="en-US" w:eastAsia="zh-CN"/>
              </w:rPr>
              <w:t>碱液喷淋装置</w:t>
            </w:r>
            <w:r>
              <w:rPr>
                <w:rFonts w:hint="eastAsia"/>
                <w:color w:val="auto"/>
                <w:lang w:val="en-US" w:eastAsia="zh-CN"/>
              </w:rPr>
              <w:t>对酸性废气处理效率按80%计。</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3）活性炭吸附装置</w:t>
            </w:r>
          </w:p>
          <w:p>
            <w:pPr>
              <w:pStyle w:val="36"/>
              <w:keepNext w:val="0"/>
              <w:keepLines w:val="0"/>
              <w:suppressLineNumbers w:val="0"/>
              <w:spacing w:before="0" w:beforeAutospacing="0" w:after="0" w:afterAutospacing="0"/>
              <w:ind w:left="0" w:right="0" w:firstLine="480"/>
              <w:rPr>
                <w:rFonts w:hint="eastAsia"/>
                <w:color w:val="auto"/>
                <w:u w:val="none"/>
              </w:rPr>
            </w:pPr>
            <w:r>
              <w:rPr>
                <w:rFonts w:hint="eastAsia"/>
                <w:color w:val="auto"/>
                <w:u w:val="none"/>
              </w:rPr>
              <w:t>活性炭，是一种具有多孔结构和大的内部比表面积的材料。由于其大的比表面积、微孔结构、高的吸附能力和很高的表面活性而成为独特的多功能吸附剂，且其价廉易得，可再生活化，同时它可有效去除废水、废气中的大部分有机物和某些无机物，所以它被世界各国广泛地应用于污水及废气的处理、空气净化、回收溶剂等环境保护和资源回收等领域。</w:t>
            </w:r>
          </w:p>
          <w:p>
            <w:pPr>
              <w:pStyle w:val="36"/>
              <w:keepNext w:val="0"/>
              <w:keepLines w:val="0"/>
              <w:suppressLineNumbers w:val="0"/>
              <w:bidi w:val="0"/>
              <w:spacing w:before="0" w:beforeAutospacing="0" w:after="0" w:afterAutospacing="0"/>
              <w:ind w:left="0" w:right="0"/>
              <w:rPr>
                <w:rFonts w:hint="default"/>
                <w:color w:val="auto"/>
                <w:highlight w:val="none"/>
                <w:u w:val="none"/>
              </w:rPr>
            </w:pPr>
            <w:r>
              <w:rPr>
                <w:rFonts w:hint="default"/>
                <w:color w:val="auto"/>
                <w:highlight w:val="none"/>
                <w:u w:val="none"/>
              </w:rPr>
              <w:t>活性炭分为粉末活性炭、粒状活性炭及活性炭纤维，但是由于粉末活性炭产生二次污染且不能再生而被限制使用。</w:t>
            </w:r>
            <w:r>
              <w:rPr>
                <w:rFonts w:hint="eastAsia"/>
                <w:color w:val="auto"/>
                <w:highlight w:val="none"/>
                <w:u w:val="none"/>
                <w:lang w:val="en-US" w:eastAsia="zh-CN"/>
              </w:rPr>
              <w:t>项目采用颗粒</w:t>
            </w:r>
            <w:r>
              <w:rPr>
                <w:rFonts w:hint="default"/>
                <w:color w:val="auto"/>
                <w:highlight w:val="none"/>
                <w:u w:val="none"/>
              </w:rPr>
              <w:t>活性炭，其碘值不宜低于</w:t>
            </w:r>
            <w:r>
              <w:rPr>
                <w:rFonts w:hint="eastAsia"/>
                <w:color w:val="auto"/>
                <w:highlight w:val="none"/>
                <w:u w:val="none"/>
                <w:lang w:val="en-US" w:eastAsia="zh-CN"/>
              </w:rPr>
              <w:t>800</w:t>
            </w:r>
            <w:r>
              <w:rPr>
                <w:rFonts w:hint="default"/>
                <w:color w:val="auto"/>
                <w:highlight w:val="none"/>
                <w:u w:val="none"/>
              </w:rPr>
              <w:t>毫克/克的活性炭，有机废气通过吸附床，与活性炭接触，废气中的有机污染物被吸附在活性炭表面，从而从气流中脱离出来，达到净化效果。</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参考</w:t>
            </w:r>
            <w:r>
              <w:rPr>
                <w:rFonts w:hint="eastAsia"/>
                <w:color w:val="auto"/>
              </w:rPr>
              <w:t>《挥发性有机物治理实用手册》（生态环境部，2020年7月）</w:t>
            </w:r>
            <w:r>
              <w:rPr>
                <w:rFonts w:hint="eastAsia"/>
                <w:color w:val="auto"/>
                <w:lang w:eastAsia="zh-CN"/>
              </w:rPr>
              <w:t>，</w:t>
            </w:r>
            <w:r>
              <w:rPr>
                <w:rFonts w:hint="eastAsia"/>
                <w:color w:val="auto"/>
                <w:lang w:val="en-US" w:eastAsia="zh-CN"/>
              </w:rPr>
              <w:t>本项目有机废气的特点为</w:t>
            </w:r>
            <w:r>
              <w:rPr>
                <w:rFonts w:hint="eastAsia"/>
                <w:color w:val="auto"/>
              </w:rPr>
              <w:t>气量小、浓度低，</w:t>
            </w:r>
            <w:r>
              <w:rPr>
                <w:rFonts w:hint="eastAsia"/>
                <w:color w:val="auto"/>
                <w:lang w:val="en-US" w:eastAsia="zh-CN"/>
              </w:rPr>
              <w:t>活性炭吸附法属于其推荐的治理技术，因此本项目有机废气采用活性炭吸附是可行的。参考</w:t>
            </w:r>
            <w:r>
              <w:rPr>
                <w:rFonts w:hint="default" w:ascii="Times New Roman" w:hAnsi="Times New Roman" w:cs="Times New Roman"/>
                <w:color w:val="auto"/>
                <w:lang w:val="en-US" w:eastAsia="zh-CN"/>
              </w:rPr>
              <w:t>《深圳市工业有机废气治理用活性炭更换技术指引(试行)》</w:t>
            </w:r>
            <w:r>
              <w:rPr>
                <w:rFonts w:hint="eastAsia" w:cs="Times New Roman"/>
                <w:color w:val="auto"/>
                <w:lang w:val="en-US" w:eastAsia="zh-CN"/>
              </w:rPr>
              <w:t>（深圳市生态环境局，</w:t>
            </w:r>
            <w:r>
              <w:rPr>
                <w:rFonts w:hint="eastAsia"/>
                <w:color w:val="auto"/>
              </w:rPr>
              <w:t>202</w:t>
            </w:r>
            <w:r>
              <w:rPr>
                <w:rFonts w:hint="eastAsia"/>
                <w:color w:val="auto"/>
                <w:lang w:val="en-US" w:eastAsia="zh-CN"/>
              </w:rPr>
              <w:t>3</w:t>
            </w:r>
            <w:r>
              <w:rPr>
                <w:rFonts w:hint="eastAsia"/>
                <w:color w:val="auto"/>
              </w:rPr>
              <w:t>年</w:t>
            </w:r>
            <w:r>
              <w:rPr>
                <w:rFonts w:hint="eastAsia"/>
                <w:color w:val="auto"/>
                <w:lang w:val="en-US" w:eastAsia="zh-CN"/>
              </w:rPr>
              <w:t>5</w:t>
            </w:r>
            <w:r>
              <w:rPr>
                <w:rFonts w:hint="eastAsia"/>
                <w:color w:val="auto"/>
              </w:rPr>
              <w:t>月</w:t>
            </w:r>
            <w:r>
              <w:rPr>
                <w:rFonts w:hint="eastAsia" w:cs="Times New Roman"/>
                <w:color w:val="auto"/>
                <w:lang w:val="en-US" w:eastAsia="zh-CN"/>
              </w:rPr>
              <w:t>），活性炭去除效率按60%计</w:t>
            </w:r>
            <w:r>
              <w:rPr>
                <w:rFonts w:hint="eastAsia"/>
                <w:color w:val="auto"/>
                <w:lang w:val="en-US" w:eastAsia="zh-CN"/>
              </w:rPr>
              <w:t>。</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②无组织排放控制措施</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项目无组织废气为通风橱未收集部分废气，因此，需定期对通风橱等集气及配套设备定期巡检，保证其运行稳定，保障集气效率。</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项目的废气主要来源于人员检验试剂使用过程中试剂挥发产生的污染物，本次环评要求实验人员应按照检测规范流程使用试剂，减少试剂瓶口敞开时间，减少污染物产生。按照相关要求，定时对实验室换风系统进行检查，保证实验室内换风系统正常运行，避免室内污染物浓度累积。</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综上所述，在采取上述措施后，可有效减少无组织废气的产生，减少对周边环境及室内工作人员的影响，措施有效可行。</w:t>
            </w:r>
          </w:p>
          <w:p>
            <w:pPr>
              <w:pStyle w:val="36"/>
              <w:keepNext w:val="0"/>
              <w:keepLines w:val="0"/>
              <w:suppressLineNumbers w:val="0"/>
              <w:bidi w:val="0"/>
              <w:spacing w:before="0" w:beforeAutospacing="0" w:after="0" w:afterAutospacing="0" w:line="360" w:lineRule="auto"/>
              <w:ind w:left="0" w:right="0"/>
              <w:rPr>
                <w:rFonts w:hint="eastAsia" w:cs="Times New Roman"/>
                <w:color w:val="auto"/>
                <w:lang w:val="en-US" w:eastAsia="zh-CN"/>
              </w:rPr>
            </w:pPr>
          </w:p>
          <w:p>
            <w:pPr>
              <w:pStyle w:val="36"/>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tc>
      </w:tr>
    </w:tbl>
    <w:p>
      <w:pPr>
        <w:sectPr>
          <w:pgSz w:w="11907" w:h="16840"/>
          <w:pgMar w:top="1701" w:right="1531" w:bottom="2127"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tbl>
      <w:tblPr>
        <w:tblStyle w:val="32"/>
        <w:tblW w:w="13387"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14"/>
        <w:gridCol w:w="1277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2705" w:hRule="atLeast"/>
          <w:jc w:val="center"/>
        </w:trPr>
        <w:tc>
          <w:tcPr>
            <w:tcW w:w="614" w:type="dxa"/>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szCs w:val="24"/>
                <w:highlight w:val="none"/>
              </w:rPr>
            </w:pPr>
          </w:p>
        </w:tc>
        <w:tc>
          <w:tcPr>
            <w:tcW w:w="12773" w:type="dxa"/>
            <w:tcBorders>
              <w:top w:val="single" w:color="auto" w:sz="4" w:space="0"/>
              <w:bottom w:val="single" w:color="auto" w:sz="4" w:space="0"/>
              <w:right w:val="single" w:color="auto" w:sz="4" w:space="0"/>
            </w:tcBorders>
            <w:vAlign w:val="top"/>
          </w:tcPr>
          <w:p>
            <w:pPr>
              <w:pStyle w:val="36"/>
              <w:keepNext w:val="0"/>
              <w:keepLines w:val="0"/>
              <w:suppressLineNumbers w:val="0"/>
              <w:bidi w:val="0"/>
              <w:spacing w:before="0" w:beforeAutospacing="0" w:after="0" w:afterAutospacing="0" w:line="360" w:lineRule="auto"/>
              <w:ind w:left="0" w:right="0"/>
              <w:rPr>
                <w:rFonts w:hint="default" w:cs="Times New Roman"/>
                <w:color w:val="auto"/>
                <w:lang w:val="en-US" w:eastAsia="zh-CN"/>
              </w:rPr>
            </w:pPr>
            <w:r>
              <w:rPr>
                <w:rFonts w:hint="eastAsia" w:cs="Times New Roman"/>
                <w:color w:val="auto"/>
                <w:lang w:val="en-US" w:eastAsia="zh-CN"/>
              </w:rPr>
              <w:t>③配套风机风量核算</w:t>
            </w:r>
          </w:p>
          <w:p>
            <w:pPr>
              <w:pStyle w:val="36"/>
              <w:keepNext w:val="0"/>
              <w:keepLines w:val="0"/>
              <w:suppressLineNumbers w:val="0"/>
              <w:bidi w:val="0"/>
              <w:spacing w:before="0" w:beforeAutospacing="0" w:after="0" w:afterAutospacing="0" w:line="360" w:lineRule="auto"/>
              <w:ind w:left="0" w:right="0"/>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lang w:val="en-US" w:eastAsia="zh-CN"/>
              </w:rPr>
              <w:t>根据《局部排风设施控制风速检测与评估技术规范》（AQ/T 4274-2016）、《废气处理工程技术手册》（2012版）</w:t>
            </w:r>
            <w:r>
              <w:rPr>
                <w:rFonts w:hint="eastAsia" w:cs="Times New Roman"/>
                <w:color w:val="auto"/>
                <w:lang w:val="en-US" w:eastAsia="zh-CN"/>
              </w:rPr>
              <w:t>，</w:t>
            </w:r>
            <w:r>
              <w:rPr>
                <w:rFonts w:hint="default" w:ascii="Times New Roman" w:hAnsi="Times New Roman" w:cs="Times New Roman"/>
                <w:color w:val="auto"/>
                <w:highlight w:val="none"/>
                <w:lang w:val="en-US" w:eastAsia="zh-CN"/>
              </w:rPr>
              <w:t>对本项目各配套风机风量进行核算，具体核算过程见下表。</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配套风机风量核算一览</w:t>
            </w:r>
          </w:p>
          <w:tbl>
            <w:tblPr>
              <w:tblStyle w:val="33"/>
              <w:tblW w:w="12557"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81"/>
              <w:gridCol w:w="980"/>
              <w:gridCol w:w="625"/>
              <w:gridCol w:w="2214"/>
              <w:gridCol w:w="3098"/>
              <w:gridCol w:w="1260"/>
              <w:gridCol w:w="1351"/>
              <w:gridCol w:w="1182"/>
              <w:gridCol w:w="6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1181"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废气处理系统</w:t>
                  </w:r>
                </w:p>
              </w:tc>
              <w:tc>
                <w:tcPr>
                  <w:tcW w:w="980"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集气</w:t>
                  </w:r>
                </w:p>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方式</w:t>
                  </w:r>
                </w:p>
              </w:tc>
              <w:tc>
                <w:tcPr>
                  <w:tcW w:w="625"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设施数量</w:t>
                  </w:r>
                </w:p>
              </w:tc>
              <w:tc>
                <w:tcPr>
                  <w:tcW w:w="2214"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图例</w:t>
                  </w:r>
                </w:p>
              </w:tc>
              <w:tc>
                <w:tcPr>
                  <w:tcW w:w="3098"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计算公式</w:t>
                  </w:r>
                </w:p>
              </w:tc>
              <w:tc>
                <w:tcPr>
                  <w:tcW w:w="1260"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参数取值</w:t>
                  </w:r>
                </w:p>
              </w:tc>
              <w:tc>
                <w:tcPr>
                  <w:tcW w:w="1351"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计算结果（m³/h）</w:t>
                  </w:r>
                </w:p>
              </w:tc>
              <w:tc>
                <w:tcPr>
                  <w:tcW w:w="1182"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设计风量（m³/h）</w:t>
                  </w:r>
                </w:p>
              </w:tc>
              <w:tc>
                <w:tcPr>
                  <w:tcW w:w="666"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是否满足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42" w:hRule="atLeast"/>
              </w:trPr>
              <w:tc>
                <w:tcPr>
                  <w:tcW w:w="1181" w:type="dxa"/>
                  <w:vMerge w:val="restart"/>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碱液喷淋</w:t>
                  </w:r>
                </w:p>
              </w:tc>
              <w:tc>
                <w:tcPr>
                  <w:tcW w:w="980"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通风柜</w:t>
                  </w:r>
                </w:p>
              </w:tc>
              <w:tc>
                <w:tcPr>
                  <w:tcW w:w="625"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val="en-US" w:eastAsia="zh-CN"/>
                    </w:rPr>
                    <w:t>2</w:t>
                  </w:r>
                </w:p>
              </w:tc>
              <w:tc>
                <w:tcPr>
                  <w:tcW w:w="2214"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drawing>
                      <wp:inline distT="0" distB="0" distL="114300" distR="114300">
                        <wp:extent cx="575945" cy="894715"/>
                        <wp:effectExtent l="0" t="0" r="14605" b="635"/>
                        <wp:docPr id="18" name="图片 18" descr="微信图片_20250118141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微信图片_20250118141125(1)"/>
                                <pic:cNvPicPr>
                                  <a:picLocks noChangeAspect="1"/>
                                </pic:cNvPicPr>
                              </pic:nvPicPr>
                              <pic:blipFill>
                                <a:blip r:embed="rId24"/>
                                <a:stretch>
                                  <a:fillRect/>
                                </a:stretch>
                              </pic:blipFill>
                              <pic:spPr>
                                <a:xfrm>
                                  <a:off x="0" y="0"/>
                                  <a:ext cx="575945" cy="894715"/>
                                </a:xfrm>
                                <a:prstGeom prst="rect">
                                  <a:avLst/>
                                </a:prstGeom>
                              </pic:spPr>
                            </pic:pic>
                          </a:graphicData>
                        </a:graphic>
                      </wp:inline>
                    </w:drawing>
                  </w:r>
                </w:p>
              </w:tc>
              <w:tc>
                <w:tcPr>
                  <w:tcW w:w="3098"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i w:val="0"/>
                      <w:snapToGrid w:val="0"/>
                      <w:color w:val="auto"/>
                      <w:spacing w:val="4"/>
                      <w:sz w:val="21"/>
                      <w:szCs w:val="21"/>
                      <w:highlight w:val="none"/>
                      <w:lang w:val="en-US" w:bidi="ar-SA"/>
                    </w:rPr>
                  </w:pPr>
                  <m:oMath>
                    <m:r>
                      <m:rPr>
                        <m:sty m:val="p"/>
                      </m:rPr>
                      <w:rPr>
                        <w:rFonts w:hint="default" w:ascii="Cambria Math" w:hAnsi="Cambria Math" w:cs="Times New Roman"/>
                        <w:snapToGrid w:val="0"/>
                        <w:color w:val="auto"/>
                        <w:spacing w:val="4"/>
                        <w:sz w:val="21"/>
                        <w:szCs w:val="21"/>
                        <w:highlight w:val="none"/>
                        <w:lang w:val="en-US" w:eastAsia="zh-CN" w:bidi="ar-SA"/>
                      </w:rPr>
                      <m:t>Q=3600</m:t>
                    </m:r>
                    <m:r>
                      <m:rPr>
                        <m:sty m:val="p"/>
                      </m:rPr>
                      <w:rPr>
                        <w:rFonts w:hint="default" w:ascii="Cambria Math" w:hAnsi="Cambria Math" w:cs="Times New Roman"/>
                        <w:snapToGrid w:val="0"/>
                        <w:color w:val="auto"/>
                        <w:spacing w:val="4"/>
                        <w:sz w:val="21"/>
                        <w:szCs w:val="21"/>
                        <w:highlight w:val="none"/>
                        <w:lang w:val="en-US" w:bidi="ar-SA"/>
                      </w:rPr>
                      <m:t>×</m:t>
                    </m:r>
                    <m:r>
                      <m:rPr>
                        <m:sty m:val="p"/>
                      </m:rPr>
                      <w:rPr>
                        <w:rFonts w:hint="default" w:ascii="Cambria Math" w:hAnsi="Cambria Math" w:cs="Times New Roman"/>
                        <w:snapToGrid w:val="0"/>
                        <w:color w:val="auto"/>
                        <w:spacing w:val="4"/>
                        <w:sz w:val="21"/>
                        <w:szCs w:val="21"/>
                        <w:highlight w:val="none"/>
                        <w:lang w:val="en-US" w:eastAsia="zh-CN" w:bidi="ar-SA"/>
                      </w:rPr>
                      <m:t>F</m:t>
                    </m:r>
                    <m:r>
                      <m:rPr>
                        <m:sty m:val="p"/>
                      </m:rPr>
                      <w:rPr>
                        <w:rFonts w:hint="default" w:ascii="Cambria Math" w:hAnsi="Cambria Math" w:cs="Times New Roman"/>
                        <w:snapToGrid w:val="0"/>
                        <w:color w:val="auto"/>
                        <w:spacing w:val="4"/>
                        <w:sz w:val="21"/>
                        <w:szCs w:val="21"/>
                        <w:highlight w:val="none"/>
                        <w:lang w:val="en-US" w:bidi="ar-SA"/>
                      </w:rPr>
                      <m:t>×</m:t>
                    </m:r>
                  </m:oMath>
                  <w:r>
                    <w:rPr>
                      <w:rFonts w:hint="default" w:ascii="Times New Roman" w:hAnsi="Times New Roman" w:cs="Times New Roman"/>
                      <w:b w:val="0"/>
                      <w:i w:val="0"/>
                      <w:snapToGrid w:val="0"/>
                      <w:color w:val="auto"/>
                      <w:spacing w:val="4"/>
                      <w:sz w:val="21"/>
                      <w:szCs w:val="21"/>
                      <w:highlight w:val="none"/>
                      <w:lang w:val="en-US" w:eastAsia="zh-CN" w:bidi="ar-SA"/>
                    </w:rPr>
                    <w:t>v</w:t>
                  </w:r>
                  <m:oMath>
                    <m:r>
                      <m:rPr>
                        <m:sty m:val="p"/>
                      </m:rPr>
                      <w:rPr>
                        <w:rFonts w:hint="default" w:ascii="Cambria Math" w:hAnsi="Cambria Math" w:cs="Times New Roman"/>
                        <w:snapToGrid w:val="0"/>
                        <w:color w:val="auto"/>
                        <w:spacing w:val="4"/>
                        <w:sz w:val="21"/>
                        <w:szCs w:val="21"/>
                        <w:highlight w:val="none"/>
                        <w:lang w:val="en-US" w:bidi="ar-SA"/>
                      </w:rPr>
                      <m:t>×β</m:t>
                    </m:r>
                  </m:oMath>
                </w:p>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i w:val="0"/>
                      <w:snapToGrid w:val="0"/>
                      <w:color w:val="auto"/>
                      <w:spacing w:val="4"/>
                      <w:sz w:val="21"/>
                      <w:szCs w:val="21"/>
                      <w:highlight w:val="none"/>
                      <w:lang w:val="en-US" w:bidi="ar-SA"/>
                    </w:rPr>
                  </w:pPr>
                </w:p>
                <w:p>
                  <w:pPr>
                    <w:pStyle w:val="6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F：操作口面积；</w:t>
                  </w:r>
                </w:p>
                <w:p>
                  <w:pPr>
                    <w:pStyle w:val="6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V：设计风速；</w:t>
                  </w:r>
                </w:p>
                <w:p>
                  <w:pPr>
                    <w:pStyle w:val="6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ascii="Cambria Math" w:hAnsi="Cambria Math" w:cs="Times New Roman"/>
                      <w:b w:val="0"/>
                      <w:i w:val="0"/>
                      <w:snapToGrid w:val="0"/>
                      <w:color w:val="auto"/>
                      <w:spacing w:val="4"/>
                      <w:sz w:val="21"/>
                      <w:szCs w:val="21"/>
                      <w:highlight w:val="none"/>
                      <w:lang w:val="en-US" w:eastAsia="zh-CN" w:bidi="ar-SA"/>
                      <w:oMath/>
                    </w:rPr>
                  </w:pPr>
                  <w:r>
                    <w:rPr>
                      <w:rFonts w:hint="default" w:ascii="Times New Roman" w:hAnsi="Times New Roman" w:cs="Times New Roman"/>
                      <w:b w:val="0"/>
                      <w:i w:val="0"/>
                      <w:snapToGrid w:val="0"/>
                      <w:color w:val="auto"/>
                      <w:spacing w:val="4"/>
                      <w:sz w:val="21"/>
                      <w:szCs w:val="21"/>
                      <w:highlight w:val="none"/>
                      <w:lang w:val="en-US" w:eastAsia="zh-CN" w:bidi="ar-SA"/>
                    </w:rPr>
                    <w:t>β：安全系数</w:t>
                  </w:r>
                </w:p>
              </w:tc>
              <w:tc>
                <w:tcPr>
                  <w:tcW w:w="1260"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F=</w:t>
                  </w:r>
                  <w:r>
                    <w:rPr>
                      <w:rFonts w:hint="eastAsia" w:ascii="Times New Roman" w:hAnsi="Times New Roman" w:cs="Times New Roman"/>
                      <w:b w:val="0"/>
                      <w:i w:val="0"/>
                      <w:snapToGrid w:val="0"/>
                      <w:color w:val="auto"/>
                      <w:spacing w:val="4"/>
                      <w:sz w:val="21"/>
                      <w:szCs w:val="21"/>
                      <w:highlight w:val="none"/>
                      <w:lang w:val="en-US" w:eastAsia="zh-CN" w:bidi="ar-SA"/>
                    </w:rPr>
                    <w:t>0.72;</w:t>
                  </w:r>
                </w:p>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V=</w:t>
                  </w:r>
                  <w:r>
                    <w:rPr>
                      <w:rFonts w:hint="eastAsia" w:ascii="Times New Roman" w:hAnsi="Times New Roman" w:cs="Times New Roman"/>
                      <w:b w:val="0"/>
                      <w:i w:val="0"/>
                      <w:snapToGrid w:val="0"/>
                      <w:color w:val="auto"/>
                      <w:spacing w:val="4"/>
                      <w:sz w:val="21"/>
                      <w:szCs w:val="21"/>
                      <w:highlight w:val="none"/>
                      <w:lang w:val="en-US" w:eastAsia="zh-CN" w:bidi="ar-SA"/>
                    </w:rPr>
                    <w:t>0.5;</w:t>
                  </w:r>
                </w:p>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β=1.1</w:t>
                  </w:r>
                </w:p>
              </w:tc>
              <w:tc>
                <w:tcPr>
                  <w:tcW w:w="1351"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1425.6</w:t>
                  </w:r>
                  <w:r>
                    <w:rPr>
                      <w:rFonts w:hint="default" w:ascii="Times New Roman" w:hAnsi="Times New Roman" w:cs="Times New Roman"/>
                      <w:color w:val="auto"/>
                      <w:sz w:val="21"/>
                      <w:szCs w:val="21"/>
                      <w:highlight w:val="none"/>
                      <w:lang w:val="en-US" w:eastAsia="zh-CN"/>
                    </w:rPr>
                    <w:t>（单个）×</w:t>
                  </w:r>
                  <w:r>
                    <w:rPr>
                      <w:rFonts w:hint="eastAsia" w:ascii="Times New Roman" w:hAnsi="Times New Roman" w:cs="Times New Roman"/>
                      <w:color w:val="auto"/>
                      <w:sz w:val="21"/>
                      <w:szCs w:val="21"/>
                      <w:highlight w:val="none"/>
                      <w:lang w:val="en-US" w:eastAsia="zh-CN"/>
                    </w:rPr>
                    <w:t>12</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17107.2</w:t>
                  </w:r>
                </w:p>
              </w:tc>
              <w:tc>
                <w:tcPr>
                  <w:tcW w:w="1182" w:type="dxa"/>
                  <w:vMerge w:val="restart"/>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23000</w:t>
                  </w:r>
                </w:p>
              </w:tc>
              <w:tc>
                <w:tcPr>
                  <w:tcW w:w="666" w:type="dxa"/>
                  <w:vMerge w:val="restart"/>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695" w:hRule="atLeast"/>
              </w:trPr>
              <w:tc>
                <w:tcPr>
                  <w:tcW w:w="1181" w:type="dxa"/>
                  <w:vMerge w:val="continue"/>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980"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集气罩</w:t>
                  </w:r>
                </w:p>
              </w:tc>
              <w:tc>
                <w:tcPr>
                  <w:tcW w:w="625"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12</w:t>
                  </w:r>
                </w:p>
              </w:tc>
              <w:tc>
                <w:tcPr>
                  <w:tcW w:w="2214"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rPr>
                    <w:drawing>
                      <wp:inline distT="0" distB="0" distL="114300" distR="114300">
                        <wp:extent cx="1120140" cy="681990"/>
                        <wp:effectExtent l="0" t="0" r="3810" b="3810"/>
                        <wp:docPr id="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
                                <pic:cNvPicPr>
                                  <a:picLocks noChangeAspect="1"/>
                                </pic:cNvPicPr>
                              </pic:nvPicPr>
                              <pic:blipFill>
                                <a:blip r:embed="rId25"/>
                                <a:srcRect l="14339" r="7107"/>
                                <a:stretch>
                                  <a:fillRect/>
                                </a:stretch>
                              </pic:blipFill>
                              <pic:spPr>
                                <a:xfrm>
                                  <a:off x="0" y="0"/>
                                  <a:ext cx="1120140" cy="681990"/>
                                </a:xfrm>
                                <a:prstGeom prst="rect">
                                  <a:avLst/>
                                </a:prstGeom>
                                <a:noFill/>
                                <a:ln>
                                  <a:noFill/>
                                </a:ln>
                              </pic:spPr>
                            </pic:pic>
                          </a:graphicData>
                        </a:graphic>
                      </wp:inline>
                    </w:drawing>
                  </w:r>
                </w:p>
              </w:tc>
              <w:tc>
                <w:tcPr>
                  <w:tcW w:w="3098"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i w:val="0"/>
                      <w:snapToGrid w:val="0"/>
                      <w:color w:val="auto"/>
                      <w:spacing w:val="4"/>
                      <w:sz w:val="21"/>
                      <w:szCs w:val="21"/>
                      <w:highlight w:val="none"/>
                      <w:lang w:val="en-US" w:eastAsia="zh-CN" w:bidi="ar-SA"/>
                    </w:rPr>
                  </w:pPr>
                  <m:oMathPara>
                    <m:oMath>
                      <m:r>
                        <m:rPr>
                          <m:sty m:val="p"/>
                        </m:rPr>
                        <w:rPr>
                          <w:rFonts w:hint="default" w:ascii="Cambria Math" w:hAnsi="Cambria Math" w:cs="Times New Roman"/>
                          <w:snapToGrid w:val="0"/>
                          <w:color w:val="auto"/>
                          <w:spacing w:val="4"/>
                          <w:sz w:val="21"/>
                          <w:szCs w:val="21"/>
                          <w:highlight w:val="none"/>
                          <w:lang w:val="en-US" w:eastAsia="zh-CN" w:bidi="ar-SA"/>
                        </w:rPr>
                        <m:t>Q=3600</m:t>
                      </m:r>
                      <m:r>
                        <m:rPr>
                          <m:sty m:val="p"/>
                        </m:rPr>
                        <w:rPr>
                          <w:rFonts w:hint="default" w:ascii="Cambria Math" w:hAnsi="Cambria Math" w:cs="Times New Roman"/>
                          <w:snapToGrid w:val="0"/>
                          <w:color w:val="auto"/>
                          <w:spacing w:val="4"/>
                          <w:sz w:val="21"/>
                          <w:szCs w:val="21"/>
                          <w:highlight w:val="none"/>
                          <w:lang w:val="en-US" w:bidi="ar-SA"/>
                        </w:rPr>
                        <m:t>×</m:t>
                      </m:r>
                      <m:r>
                        <m:rPr>
                          <m:sty m:val="p"/>
                        </m:rPr>
                        <w:rPr>
                          <w:rFonts w:hint="default" w:ascii="Cambria Math" w:hAnsi="Cambria Math" w:cs="Times New Roman"/>
                          <w:snapToGrid w:val="0"/>
                          <w:color w:val="auto"/>
                          <w:spacing w:val="4"/>
                          <w:sz w:val="21"/>
                          <w:szCs w:val="21"/>
                          <w:highlight w:val="none"/>
                          <w:lang w:val="en-US" w:eastAsia="zh-CN" w:bidi="ar-SA"/>
                        </w:rPr>
                        <m:t>(10</m:t>
                      </m:r>
                      <m:sSup>
                        <m:sSupPr>
                          <m:ctrlPr>
                            <w:rPr>
                              <w:rFonts w:hint="default" w:ascii="Cambria Math" w:hAnsi="Cambria Math" w:cs="Times New Roman"/>
                              <w:snapToGrid w:val="0"/>
                              <w:color w:val="auto"/>
                              <w:spacing w:val="4"/>
                              <w:sz w:val="21"/>
                              <w:szCs w:val="21"/>
                              <w:highlight w:val="none"/>
                              <w:lang w:val="en-US" w:eastAsia="zh-CN" w:bidi="ar-SA"/>
                            </w:rPr>
                          </m:ctrlPr>
                        </m:sSupPr>
                        <m:e>
                          <m:r>
                            <m:rPr>
                              <m:sty m:val="p"/>
                            </m:rPr>
                            <w:rPr>
                              <w:rFonts w:hint="default" w:ascii="Cambria Math" w:hAnsi="Cambria Math" w:cs="Times New Roman"/>
                              <w:snapToGrid w:val="0"/>
                              <w:color w:val="auto"/>
                              <w:spacing w:val="4"/>
                              <w:sz w:val="21"/>
                              <w:szCs w:val="21"/>
                              <w:highlight w:val="none"/>
                              <w:lang w:val="en-US" w:eastAsia="zh-CN" w:bidi="ar-SA"/>
                            </w:rPr>
                            <m:t>x</m:t>
                          </m:r>
                          <m:ctrlPr>
                            <w:rPr>
                              <w:rFonts w:hint="default" w:ascii="Cambria Math" w:hAnsi="Cambria Math" w:cs="Times New Roman"/>
                              <w:snapToGrid w:val="0"/>
                              <w:color w:val="auto"/>
                              <w:spacing w:val="4"/>
                              <w:sz w:val="21"/>
                              <w:szCs w:val="21"/>
                              <w:highlight w:val="none"/>
                              <w:lang w:val="en-US" w:eastAsia="zh-CN" w:bidi="ar-SA"/>
                            </w:rPr>
                          </m:ctrlPr>
                        </m:e>
                        <m:sup>
                          <m:r>
                            <m:rPr>
                              <m:sty m:val="p"/>
                            </m:rPr>
                            <w:rPr>
                              <w:rFonts w:hint="default" w:ascii="Cambria Math" w:hAnsi="Cambria Math" w:cs="Times New Roman"/>
                              <w:snapToGrid w:val="0"/>
                              <w:color w:val="auto"/>
                              <w:spacing w:val="4"/>
                              <w:sz w:val="21"/>
                              <w:szCs w:val="21"/>
                              <w:highlight w:val="none"/>
                              <w:lang w:val="en-US" w:eastAsia="zh-CN" w:bidi="ar-SA"/>
                            </w:rPr>
                            <m:t>2</m:t>
                          </m:r>
                          <m:ctrlPr>
                            <w:rPr>
                              <w:rFonts w:hint="default" w:ascii="Cambria Math" w:hAnsi="Cambria Math" w:cs="Times New Roman"/>
                              <w:snapToGrid w:val="0"/>
                              <w:color w:val="auto"/>
                              <w:spacing w:val="4"/>
                              <w:sz w:val="21"/>
                              <w:szCs w:val="21"/>
                              <w:highlight w:val="none"/>
                              <w:lang w:val="en-US" w:eastAsia="zh-CN" w:bidi="ar-SA"/>
                            </w:rPr>
                          </m:ctrlPr>
                        </m:sup>
                      </m:sSup>
                      <m:r>
                        <m:rPr>
                          <m:sty m:val="p"/>
                        </m:rPr>
                        <w:rPr>
                          <w:rFonts w:hint="default" w:ascii="Cambria Math" w:hAnsi="Cambria Math" w:cs="Times New Roman"/>
                          <w:snapToGrid w:val="0"/>
                          <w:color w:val="auto"/>
                          <w:spacing w:val="4"/>
                          <w:sz w:val="21"/>
                          <w:szCs w:val="21"/>
                          <w:highlight w:val="none"/>
                          <w:lang w:val="en-US" w:eastAsia="zh-CN" w:bidi="ar-SA"/>
                        </w:rPr>
                        <m:t>+F)</m:t>
                      </m:r>
                      <m:sSub>
                        <m:sSubPr>
                          <m:ctrlPr>
                            <w:rPr>
                              <w:rFonts w:hint="default" w:ascii="Cambria Math" w:hAnsi="Cambria Math" w:cs="Times New Roman"/>
                              <w:snapToGrid w:val="0"/>
                              <w:color w:val="auto"/>
                              <w:spacing w:val="4"/>
                              <w:sz w:val="21"/>
                              <w:szCs w:val="21"/>
                              <w:highlight w:val="none"/>
                              <w:lang w:val="en-US" w:eastAsia="zh-CN" w:bidi="ar-SA"/>
                            </w:rPr>
                          </m:ctrlPr>
                        </m:sSubPr>
                        <m:e>
                          <m:r>
                            <m:rPr>
                              <m:sty m:val="p"/>
                            </m:rPr>
                            <w:rPr>
                              <w:rFonts w:hint="default" w:ascii="Cambria Math" w:hAnsi="Cambria Math" w:cs="Times New Roman"/>
                              <w:snapToGrid w:val="0"/>
                              <w:color w:val="auto"/>
                              <w:spacing w:val="4"/>
                              <w:sz w:val="21"/>
                              <w:szCs w:val="21"/>
                              <w:highlight w:val="none"/>
                              <w:lang w:val="en-US" w:eastAsia="zh-CN" w:bidi="ar-SA"/>
                            </w:rPr>
                            <m:t>v</m:t>
                          </m:r>
                          <m:ctrlPr>
                            <w:rPr>
                              <w:rFonts w:hint="default" w:ascii="Cambria Math" w:hAnsi="Cambria Math" w:cs="Times New Roman"/>
                              <w:snapToGrid w:val="0"/>
                              <w:color w:val="auto"/>
                              <w:spacing w:val="4"/>
                              <w:sz w:val="21"/>
                              <w:szCs w:val="21"/>
                              <w:highlight w:val="none"/>
                              <w:lang w:val="en-US" w:eastAsia="zh-CN" w:bidi="ar-SA"/>
                            </w:rPr>
                          </m:ctrlPr>
                        </m:e>
                        <m:sub>
                          <m:r>
                            <m:rPr>
                              <m:sty m:val="p"/>
                            </m:rPr>
                            <w:rPr>
                              <w:rFonts w:hint="default" w:ascii="Cambria Math" w:hAnsi="Cambria Math" w:cs="Times New Roman"/>
                              <w:snapToGrid w:val="0"/>
                              <w:color w:val="auto"/>
                              <w:spacing w:val="4"/>
                              <w:sz w:val="21"/>
                              <w:szCs w:val="21"/>
                              <w:highlight w:val="none"/>
                              <w:lang w:val="en-US" w:eastAsia="zh-CN" w:bidi="ar-SA"/>
                            </w:rPr>
                            <m:t>x</m:t>
                          </m:r>
                          <m:ctrlPr>
                            <w:rPr>
                              <w:rFonts w:hint="default" w:ascii="Cambria Math" w:hAnsi="Cambria Math" w:cs="Times New Roman"/>
                              <w:snapToGrid w:val="0"/>
                              <w:color w:val="auto"/>
                              <w:spacing w:val="4"/>
                              <w:sz w:val="21"/>
                              <w:szCs w:val="21"/>
                              <w:highlight w:val="none"/>
                              <w:lang w:val="en-US" w:eastAsia="zh-CN" w:bidi="ar-SA"/>
                            </w:rPr>
                          </m:ctrlPr>
                        </m:sub>
                      </m:sSub>
                    </m:oMath>
                  </m:oMathPara>
                </w:p>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i w:val="0"/>
                      <w:snapToGrid w:val="0"/>
                      <w:color w:val="auto"/>
                      <w:spacing w:val="4"/>
                      <w:sz w:val="21"/>
                      <w:szCs w:val="21"/>
                      <w:highlight w:val="none"/>
                      <w:lang w:val="en-US" w:eastAsia="zh-CN" w:bidi="ar-SA"/>
                    </w:rPr>
                  </w:pPr>
                </w:p>
                <w:p>
                  <w:pPr>
                    <w:pStyle w:val="6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36" w:firstLineChars="200"/>
                    <w:jc w:val="left"/>
                    <w:textAlignment w:val="baseline"/>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x：集气罩至产气点距离；</w:t>
                  </w:r>
                </w:p>
                <w:p>
                  <w:pPr>
                    <w:pStyle w:val="6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36" w:firstLineChars="200"/>
                    <w:jc w:val="left"/>
                    <w:textAlignment w:val="baseline"/>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F：集气罩面积；</w:t>
                  </w:r>
                </w:p>
                <w:p>
                  <w:pPr>
                    <w:pStyle w:val="6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36" w:firstLineChars="200"/>
                    <w:jc w:val="left"/>
                    <w:textAlignment w:val="baseline"/>
                    <w:rPr>
                      <w:rFonts w:hint="default" w:ascii="Times New Roman" w:hAnsi="Times New Roman" w:cs="Times New Roman"/>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V</w:t>
                  </w:r>
                  <w:r>
                    <w:rPr>
                      <w:rFonts w:hint="default" w:ascii="Times New Roman" w:hAnsi="Times New Roman" w:cs="Times New Roman"/>
                      <w:b w:val="0"/>
                      <w:i w:val="0"/>
                      <w:snapToGrid w:val="0"/>
                      <w:color w:val="auto"/>
                      <w:spacing w:val="4"/>
                      <w:sz w:val="21"/>
                      <w:szCs w:val="21"/>
                      <w:highlight w:val="none"/>
                      <w:vertAlign w:val="subscript"/>
                      <w:lang w:val="en-US" w:eastAsia="zh-CN" w:bidi="ar-SA"/>
                    </w:rPr>
                    <w:t>x</w:t>
                  </w:r>
                  <w:r>
                    <w:rPr>
                      <w:rFonts w:hint="default" w:ascii="Times New Roman" w:hAnsi="Times New Roman" w:cs="Times New Roman"/>
                      <w:b w:val="0"/>
                      <w:i w:val="0"/>
                      <w:snapToGrid w:val="0"/>
                      <w:color w:val="auto"/>
                      <w:spacing w:val="4"/>
                      <w:sz w:val="21"/>
                      <w:szCs w:val="21"/>
                      <w:highlight w:val="none"/>
                      <w:lang w:val="en-US" w:eastAsia="zh-CN" w:bidi="ar-SA"/>
                    </w:rPr>
                    <w:t>：设计风速</w:t>
                  </w:r>
                </w:p>
              </w:tc>
              <w:tc>
                <w:tcPr>
                  <w:tcW w:w="1260"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x=0.</w:t>
                  </w:r>
                  <w:r>
                    <w:rPr>
                      <w:rFonts w:hint="eastAsia" w:ascii="Times New Roman" w:hAnsi="Times New Roman" w:cs="Times New Roman"/>
                      <w:b w:val="0"/>
                      <w:i w:val="0"/>
                      <w:snapToGrid w:val="0"/>
                      <w:color w:val="auto"/>
                      <w:spacing w:val="4"/>
                      <w:sz w:val="21"/>
                      <w:szCs w:val="21"/>
                      <w:highlight w:val="none"/>
                      <w:lang w:val="en-US" w:eastAsia="zh-CN" w:bidi="ar-SA"/>
                    </w:rPr>
                    <w:t>1;</w:t>
                  </w:r>
                </w:p>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F=0.</w:t>
                  </w:r>
                  <w:r>
                    <w:rPr>
                      <w:rFonts w:hint="eastAsia" w:ascii="Times New Roman" w:hAnsi="Times New Roman" w:cs="Times New Roman"/>
                      <w:b w:val="0"/>
                      <w:i w:val="0"/>
                      <w:snapToGrid w:val="0"/>
                      <w:color w:val="auto"/>
                      <w:spacing w:val="4"/>
                      <w:sz w:val="21"/>
                      <w:szCs w:val="21"/>
                      <w:highlight w:val="none"/>
                      <w:lang w:val="en-US" w:eastAsia="zh-CN" w:bidi="ar-SA"/>
                    </w:rPr>
                    <w:t>071;</w:t>
                  </w:r>
                </w:p>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V</w:t>
                  </w:r>
                  <w:r>
                    <w:rPr>
                      <w:rFonts w:hint="default" w:ascii="Times New Roman" w:hAnsi="Times New Roman" w:cs="Times New Roman"/>
                      <w:b w:val="0"/>
                      <w:i w:val="0"/>
                      <w:snapToGrid w:val="0"/>
                      <w:color w:val="auto"/>
                      <w:spacing w:val="4"/>
                      <w:sz w:val="21"/>
                      <w:szCs w:val="21"/>
                      <w:highlight w:val="none"/>
                      <w:vertAlign w:val="subscript"/>
                      <w:lang w:val="en-US" w:eastAsia="zh-CN" w:bidi="ar-SA"/>
                    </w:rPr>
                    <w:t>x</w:t>
                  </w:r>
                  <w:r>
                    <w:rPr>
                      <w:rFonts w:hint="default" w:ascii="Times New Roman" w:hAnsi="Times New Roman" w:cs="Times New Roman"/>
                      <w:b w:val="0"/>
                      <w:i w:val="0"/>
                      <w:snapToGrid w:val="0"/>
                      <w:color w:val="auto"/>
                      <w:spacing w:val="4"/>
                      <w:sz w:val="21"/>
                      <w:szCs w:val="21"/>
                      <w:highlight w:val="none"/>
                      <w:lang w:val="en-US" w:eastAsia="zh-CN" w:bidi="ar-SA"/>
                    </w:rPr>
                    <w:t>=0.5</w:t>
                  </w:r>
                </w:p>
              </w:tc>
              <w:tc>
                <w:tcPr>
                  <w:tcW w:w="1351"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307.8</w:t>
                  </w:r>
                  <w:r>
                    <w:rPr>
                      <w:rFonts w:hint="default" w:ascii="Times New Roman" w:hAnsi="Times New Roman" w:cs="Times New Roman"/>
                      <w:color w:val="auto"/>
                      <w:sz w:val="21"/>
                      <w:szCs w:val="21"/>
                      <w:highlight w:val="none"/>
                      <w:lang w:val="en-US" w:eastAsia="zh-CN"/>
                    </w:rPr>
                    <w:t>（单个）×</w:t>
                  </w:r>
                  <w:r>
                    <w:rPr>
                      <w:rFonts w:hint="eastAsia" w:ascii="Times New Roman" w:hAnsi="Times New Roman" w:cs="Times New Roman"/>
                      <w:color w:val="auto"/>
                      <w:sz w:val="21"/>
                      <w:szCs w:val="21"/>
                      <w:highlight w:val="none"/>
                      <w:lang w:val="en-US" w:eastAsia="zh-CN"/>
                    </w:rPr>
                    <w:t>12</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3693.6</w:t>
                  </w:r>
                </w:p>
              </w:tc>
              <w:tc>
                <w:tcPr>
                  <w:tcW w:w="1182" w:type="dxa"/>
                  <w:vMerge w:val="continue"/>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666" w:type="dxa"/>
                  <w:vMerge w:val="continue"/>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79" w:hRule="atLeast"/>
              </w:trPr>
              <w:tc>
                <w:tcPr>
                  <w:tcW w:w="1181" w:type="dxa"/>
                  <w:vMerge w:val="continue"/>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980"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通风柜</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集气罩</w:t>
                  </w:r>
                </w:p>
              </w:tc>
              <w:tc>
                <w:tcPr>
                  <w:tcW w:w="625"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w:t>
                  </w:r>
                </w:p>
              </w:tc>
              <w:tc>
                <w:tcPr>
                  <w:tcW w:w="2214"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3098" w:type="dxa"/>
                  <w:tcBorders>
                    <w:tl2br w:val="nil"/>
                    <w:tr2bl w:val="nil"/>
                  </w:tcBorders>
                  <w:tcMar>
                    <w:top w:w="0" w:type="dxa"/>
                    <w:left w:w="51" w:type="dxa"/>
                    <w:bottom w:w="0" w:type="dxa"/>
                    <w:right w:w="51" w:type="dxa"/>
                  </w:tcMar>
                  <w:vAlign w:val="center"/>
                </w:tcPr>
                <w:p>
                  <w:pPr>
                    <w:pStyle w:val="6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1260"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1351"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小</w:t>
                  </w:r>
                  <w:r>
                    <w:rPr>
                      <w:rFonts w:hint="default" w:ascii="Times New Roman" w:hAnsi="Times New Roman" w:cs="Times New Roman"/>
                      <w:b/>
                      <w:bCs/>
                      <w:color w:val="auto"/>
                      <w:sz w:val="21"/>
                      <w:szCs w:val="21"/>
                      <w:highlight w:val="none"/>
                      <w:lang w:val="en-US" w:eastAsia="zh-CN"/>
                    </w:rPr>
                    <w:t>计</w:t>
                  </w:r>
                  <w:r>
                    <w:rPr>
                      <w:rFonts w:hint="eastAsia" w:ascii="Times New Roman" w:hAnsi="Times New Roman" w:cs="Times New Roman"/>
                      <w:b/>
                      <w:bCs/>
                      <w:color w:val="auto"/>
                      <w:sz w:val="21"/>
                      <w:szCs w:val="21"/>
                      <w:highlight w:val="none"/>
                      <w:lang w:val="en-US" w:eastAsia="zh-CN"/>
                    </w:rPr>
                    <w:t>20800.8</w:t>
                  </w:r>
                </w:p>
              </w:tc>
              <w:tc>
                <w:tcPr>
                  <w:tcW w:w="1182" w:type="dxa"/>
                  <w:vMerge w:val="continue"/>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666" w:type="dxa"/>
                  <w:vMerge w:val="continue"/>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28" w:hRule="atLeast"/>
              </w:trPr>
              <w:tc>
                <w:tcPr>
                  <w:tcW w:w="1181" w:type="dxa"/>
                  <w:vMerge w:val="restart"/>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活性炭吸附</w:t>
                  </w:r>
                </w:p>
              </w:tc>
              <w:tc>
                <w:tcPr>
                  <w:tcW w:w="980"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通风柜</w:t>
                  </w:r>
                </w:p>
              </w:tc>
              <w:tc>
                <w:tcPr>
                  <w:tcW w:w="625"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w:t>
                  </w:r>
                </w:p>
              </w:tc>
              <w:tc>
                <w:tcPr>
                  <w:tcW w:w="2214"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drawing>
                      <wp:inline distT="0" distB="0" distL="114300" distR="114300">
                        <wp:extent cx="575945" cy="894715"/>
                        <wp:effectExtent l="0" t="0" r="14605" b="635"/>
                        <wp:docPr id="21" name="图片 21" descr="微信图片_20250118141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微信图片_20250118141125(1)"/>
                                <pic:cNvPicPr>
                                  <a:picLocks noChangeAspect="1"/>
                                </pic:cNvPicPr>
                              </pic:nvPicPr>
                              <pic:blipFill>
                                <a:blip r:embed="rId24"/>
                                <a:stretch>
                                  <a:fillRect/>
                                </a:stretch>
                              </pic:blipFill>
                              <pic:spPr>
                                <a:xfrm>
                                  <a:off x="0" y="0"/>
                                  <a:ext cx="575945" cy="894715"/>
                                </a:xfrm>
                                <a:prstGeom prst="rect">
                                  <a:avLst/>
                                </a:prstGeom>
                              </pic:spPr>
                            </pic:pic>
                          </a:graphicData>
                        </a:graphic>
                      </wp:inline>
                    </w:drawing>
                  </w:r>
                </w:p>
              </w:tc>
              <w:tc>
                <w:tcPr>
                  <w:tcW w:w="3098"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i w:val="0"/>
                      <w:snapToGrid w:val="0"/>
                      <w:color w:val="auto"/>
                      <w:spacing w:val="4"/>
                      <w:sz w:val="21"/>
                      <w:szCs w:val="21"/>
                      <w:highlight w:val="none"/>
                      <w:lang w:val="en-US" w:bidi="ar-SA"/>
                    </w:rPr>
                  </w:pPr>
                  <m:oMath>
                    <m:r>
                      <m:rPr>
                        <m:sty m:val="p"/>
                      </m:rPr>
                      <w:rPr>
                        <w:rFonts w:hint="default" w:ascii="Cambria Math" w:hAnsi="Cambria Math" w:cs="Times New Roman"/>
                        <w:snapToGrid w:val="0"/>
                        <w:color w:val="auto"/>
                        <w:spacing w:val="4"/>
                        <w:sz w:val="21"/>
                        <w:szCs w:val="21"/>
                        <w:highlight w:val="none"/>
                        <w:lang w:val="en-US" w:eastAsia="zh-CN" w:bidi="ar-SA"/>
                      </w:rPr>
                      <m:t>Q=3600</m:t>
                    </m:r>
                    <m:r>
                      <m:rPr>
                        <m:sty m:val="p"/>
                      </m:rPr>
                      <w:rPr>
                        <w:rFonts w:hint="default" w:ascii="Cambria Math" w:hAnsi="Cambria Math" w:cs="Times New Roman"/>
                        <w:snapToGrid w:val="0"/>
                        <w:color w:val="auto"/>
                        <w:spacing w:val="4"/>
                        <w:sz w:val="21"/>
                        <w:szCs w:val="21"/>
                        <w:highlight w:val="none"/>
                        <w:lang w:val="en-US" w:bidi="ar-SA"/>
                      </w:rPr>
                      <m:t>×</m:t>
                    </m:r>
                    <m:r>
                      <m:rPr>
                        <m:sty m:val="p"/>
                      </m:rPr>
                      <w:rPr>
                        <w:rFonts w:hint="default" w:ascii="Cambria Math" w:hAnsi="Cambria Math" w:cs="Times New Roman"/>
                        <w:snapToGrid w:val="0"/>
                        <w:color w:val="auto"/>
                        <w:spacing w:val="4"/>
                        <w:sz w:val="21"/>
                        <w:szCs w:val="21"/>
                        <w:highlight w:val="none"/>
                        <w:lang w:val="en-US" w:eastAsia="zh-CN" w:bidi="ar-SA"/>
                      </w:rPr>
                      <m:t>F</m:t>
                    </m:r>
                    <m:r>
                      <m:rPr>
                        <m:sty m:val="p"/>
                      </m:rPr>
                      <w:rPr>
                        <w:rFonts w:hint="default" w:ascii="Cambria Math" w:hAnsi="Cambria Math" w:cs="Times New Roman"/>
                        <w:snapToGrid w:val="0"/>
                        <w:color w:val="auto"/>
                        <w:spacing w:val="4"/>
                        <w:sz w:val="21"/>
                        <w:szCs w:val="21"/>
                        <w:highlight w:val="none"/>
                        <w:lang w:val="en-US" w:bidi="ar-SA"/>
                      </w:rPr>
                      <m:t>×</m:t>
                    </m:r>
                  </m:oMath>
                  <w:r>
                    <w:rPr>
                      <w:rFonts w:hint="default" w:ascii="Times New Roman" w:hAnsi="Times New Roman" w:cs="Times New Roman"/>
                      <w:b w:val="0"/>
                      <w:i w:val="0"/>
                      <w:snapToGrid w:val="0"/>
                      <w:color w:val="auto"/>
                      <w:spacing w:val="4"/>
                      <w:sz w:val="21"/>
                      <w:szCs w:val="21"/>
                      <w:highlight w:val="none"/>
                      <w:lang w:val="en-US" w:eastAsia="zh-CN" w:bidi="ar-SA"/>
                    </w:rPr>
                    <w:t>v</w:t>
                  </w:r>
                  <m:oMath>
                    <m:r>
                      <m:rPr>
                        <m:sty m:val="p"/>
                      </m:rPr>
                      <w:rPr>
                        <w:rFonts w:hint="default" w:ascii="Cambria Math" w:hAnsi="Cambria Math" w:cs="Times New Roman"/>
                        <w:snapToGrid w:val="0"/>
                        <w:color w:val="auto"/>
                        <w:spacing w:val="4"/>
                        <w:sz w:val="21"/>
                        <w:szCs w:val="21"/>
                        <w:highlight w:val="none"/>
                        <w:lang w:val="en-US" w:bidi="ar-SA"/>
                      </w:rPr>
                      <m:t>×β</m:t>
                    </m:r>
                  </m:oMath>
                </w:p>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i w:val="0"/>
                      <w:snapToGrid w:val="0"/>
                      <w:color w:val="auto"/>
                      <w:spacing w:val="4"/>
                      <w:sz w:val="21"/>
                      <w:szCs w:val="21"/>
                      <w:highlight w:val="none"/>
                      <w:lang w:val="en-US" w:bidi="ar-SA"/>
                    </w:rPr>
                  </w:pPr>
                </w:p>
                <w:p>
                  <w:pPr>
                    <w:pStyle w:val="6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F：操作口面积；</w:t>
                  </w:r>
                </w:p>
                <w:p>
                  <w:pPr>
                    <w:pStyle w:val="6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V：设计风速；</w:t>
                  </w:r>
                </w:p>
                <w:p>
                  <w:pPr>
                    <w:pStyle w:val="6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β：安全系数</w:t>
                  </w:r>
                </w:p>
              </w:tc>
              <w:tc>
                <w:tcPr>
                  <w:tcW w:w="1260"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F=</w:t>
                  </w:r>
                  <w:r>
                    <w:rPr>
                      <w:rFonts w:hint="eastAsia" w:ascii="Times New Roman" w:hAnsi="Times New Roman" w:cs="Times New Roman"/>
                      <w:b w:val="0"/>
                      <w:i w:val="0"/>
                      <w:snapToGrid w:val="0"/>
                      <w:color w:val="auto"/>
                      <w:spacing w:val="4"/>
                      <w:sz w:val="21"/>
                      <w:szCs w:val="21"/>
                      <w:highlight w:val="none"/>
                      <w:lang w:val="en-US" w:eastAsia="zh-CN" w:bidi="ar-SA"/>
                    </w:rPr>
                    <w:t>0.72;</w:t>
                  </w:r>
                </w:p>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V=</w:t>
                  </w:r>
                  <w:r>
                    <w:rPr>
                      <w:rFonts w:hint="eastAsia" w:ascii="Times New Roman" w:hAnsi="Times New Roman" w:cs="Times New Roman"/>
                      <w:b w:val="0"/>
                      <w:i w:val="0"/>
                      <w:snapToGrid w:val="0"/>
                      <w:color w:val="auto"/>
                      <w:spacing w:val="4"/>
                      <w:sz w:val="21"/>
                      <w:szCs w:val="21"/>
                      <w:highlight w:val="none"/>
                      <w:lang w:val="en-US" w:eastAsia="zh-CN" w:bidi="ar-SA"/>
                    </w:rPr>
                    <w:t>0.5;</w:t>
                  </w:r>
                </w:p>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β=1.1</w:t>
                  </w:r>
                </w:p>
              </w:tc>
              <w:tc>
                <w:tcPr>
                  <w:tcW w:w="1351"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1425.6</w:t>
                  </w:r>
                  <w:r>
                    <w:rPr>
                      <w:rFonts w:hint="default" w:ascii="Times New Roman" w:hAnsi="Times New Roman" w:cs="Times New Roman"/>
                      <w:color w:val="auto"/>
                      <w:sz w:val="21"/>
                      <w:szCs w:val="21"/>
                      <w:highlight w:val="none"/>
                      <w:lang w:val="en-US" w:eastAsia="zh-CN"/>
                    </w:rPr>
                    <w:t>（单个）×</w:t>
                  </w:r>
                  <w:r>
                    <w:rPr>
                      <w:rFonts w:hint="eastAsia" w:ascii="Times New Roman" w:hAnsi="Times New Roman"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8553.6</w:t>
                  </w:r>
                </w:p>
              </w:tc>
              <w:tc>
                <w:tcPr>
                  <w:tcW w:w="1182" w:type="dxa"/>
                  <w:vMerge w:val="restart"/>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18400</w:t>
                  </w:r>
                </w:p>
              </w:tc>
              <w:tc>
                <w:tcPr>
                  <w:tcW w:w="666" w:type="dxa"/>
                  <w:vMerge w:val="restart"/>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76" w:hRule="atLeast"/>
              </w:trPr>
              <w:tc>
                <w:tcPr>
                  <w:tcW w:w="1181" w:type="dxa"/>
                  <w:vMerge w:val="continue"/>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980"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集气罩</w:t>
                  </w:r>
                </w:p>
              </w:tc>
              <w:tc>
                <w:tcPr>
                  <w:tcW w:w="625"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2214"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rPr>
                    <w:drawing>
                      <wp:inline distT="0" distB="0" distL="114300" distR="114300">
                        <wp:extent cx="1034415" cy="873125"/>
                        <wp:effectExtent l="0" t="0" r="13335" b="3175"/>
                        <wp:docPr id="2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8"/>
                                <pic:cNvPicPr>
                                  <a:picLocks noChangeAspect="1"/>
                                </pic:cNvPicPr>
                              </pic:nvPicPr>
                              <pic:blipFill>
                                <a:blip r:embed="rId26"/>
                                <a:stretch>
                                  <a:fillRect/>
                                </a:stretch>
                              </pic:blipFill>
                              <pic:spPr>
                                <a:xfrm>
                                  <a:off x="0" y="0"/>
                                  <a:ext cx="1034415" cy="873125"/>
                                </a:xfrm>
                                <a:prstGeom prst="rect">
                                  <a:avLst/>
                                </a:prstGeom>
                                <a:noFill/>
                                <a:ln>
                                  <a:noFill/>
                                </a:ln>
                              </pic:spPr>
                            </pic:pic>
                          </a:graphicData>
                        </a:graphic>
                      </wp:inline>
                    </w:drawing>
                  </w:r>
                </w:p>
              </w:tc>
              <w:tc>
                <w:tcPr>
                  <w:tcW w:w="3098"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i w:val="0"/>
                      <w:snapToGrid w:val="0"/>
                      <w:color w:val="auto"/>
                      <w:spacing w:val="4"/>
                      <w:sz w:val="21"/>
                      <w:szCs w:val="21"/>
                      <w:highlight w:val="none"/>
                      <w:lang w:val="en-US" w:eastAsia="zh-CN" w:bidi="ar-SA"/>
                    </w:rPr>
                  </w:pPr>
                  <m:oMathPara>
                    <m:oMath>
                      <m:r>
                        <m:rPr>
                          <m:sty m:val="p"/>
                        </m:rPr>
                        <w:rPr>
                          <w:rFonts w:hint="default" w:ascii="Cambria Math" w:hAnsi="Cambria Math" w:cs="Times New Roman"/>
                          <w:snapToGrid w:val="0"/>
                          <w:color w:val="auto"/>
                          <w:spacing w:val="4"/>
                          <w:sz w:val="21"/>
                          <w:szCs w:val="21"/>
                          <w:highlight w:val="none"/>
                          <w:lang w:val="en-US" w:eastAsia="zh-CN" w:bidi="ar-SA"/>
                        </w:rPr>
                        <m:t>Q=3600</m:t>
                      </m:r>
                      <m:r>
                        <m:rPr>
                          <m:sty m:val="p"/>
                        </m:rPr>
                        <w:rPr>
                          <w:rFonts w:hint="default" w:ascii="Cambria Math" w:hAnsi="Cambria Math" w:cs="Times New Roman"/>
                          <w:snapToGrid w:val="0"/>
                          <w:color w:val="auto"/>
                          <w:spacing w:val="4"/>
                          <w:sz w:val="21"/>
                          <w:szCs w:val="21"/>
                          <w:highlight w:val="none"/>
                          <w:lang w:val="en-US" w:bidi="ar-SA"/>
                        </w:rPr>
                        <m:t>×</m:t>
                      </m:r>
                      <m:r>
                        <m:rPr>
                          <m:sty m:val="p"/>
                        </m:rPr>
                        <w:rPr>
                          <w:rFonts w:hint="default" w:ascii="Cambria Math" w:hAnsi="Cambria Math" w:cs="Times New Roman"/>
                          <w:snapToGrid w:val="0"/>
                          <w:color w:val="auto"/>
                          <w:spacing w:val="4"/>
                          <w:sz w:val="21"/>
                          <w:szCs w:val="21"/>
                          <w:highlight w:val="none"/>
                          <w:lang w:val="en-US" w:eastAsia="zh-CN" w:bidi="ar-SA"/>
                        </w:rPr>
                        <m:t>1.4×ρ×H</m:t>
                      </m:r>
                      <m:r>
                        <m:rPr>
                          <m:sty m:val="p"/>
                        </m:rPr>
                        <w:rPr>
                          <w:rFonts w:hint="default" w:ascii="Cambria Math" w:hAnsi="Cambria Math" w:cs="Times New Roman"/>
                          <w:snapToGrid w:val="0"/>
                          <w:color w:val="auto"/>
                          <w:spacing w:val="4"/>
                          <w:sz w:val="21"/>
                          <w:szCs w:val="21"/>
                          <w:highlight w:val="none"/>
                          <w:lang w:val="en-US" w:bidi="ar-SA"/>
                        </w:rPr>
                        <m:t>×</m:t>
                      </m:r>
                      <m:sSub>
                        <m:sSubPr>
                          <m:ctrlPr>
                            <w:rPr>
                              <w:rFonts w:hint="default" w:ascii="Cambria Math" w:hAnsi="Cambria Math" w:cs="Times New Roman"/>
                              <w:snapToGrid w:val="0"/>
                              <w:color w:val="auto"/>
                              <w:spacing w:val="4"/>
                              <w:sz w:val="21"/>
                              <w:szCs w:val="21"/>
                              <w:highlight w:val="none"/>
                              <w:lang w:val="en-US" w:bidi="ar-SA"/>
                            </w:rPr>
                          </m:ctrlPr>
                        </m:sSubPr>
                        <m:e>
                          <m:r>
                            <m:rPr>
                              <m:sty m:val="p"/>
                            </m:rPr>
                            <w:rPr>
                              <w:rFonts w:hint="default" w:ascii="Cambria Math" w:hAnsi="Cambria Math" w:cs="Times New Roman"/>
                              <w:snapToGrid w:val="0"/>
                              <w:color w:val="auto"/>
                              <w:spacing w:val="4"/>
                              <w:sz w:val="21"/>
                              <w:szCs w:val="21"/>
                              <w:highlight w:val="none"/>
                              <w:lang w:val="en-US" w:eastAsia="zh-CN" w:bidi="ar-SA"/>
                            </w:rPr>
                            <m:t>V</m:t>
                          </m:r>
                          <m:ctrlPr>
                            <w:rPr>
                              <w:rFonts w:hint="default" w:ascii="Cambria Math" w:hAnsi="Cambria Math" w:cs="Times New Roman"/>
                              <w:snapToGrid w:val="0"/>
                              <w:color w:val="auto"/>
                              <w:spacing w:val="4"/>
                              <w:sz w:val="21"/>
                              <w:szCs w:val="21"/>
                              <w:highlight w:val="none"/>
                              <w:lang w:val="en-US" w:bidi="ar-SA"/>
                            </w:rPr>
                          </m:ctrlPr>
                        </m:e>
                        <m:sub>
                          <m:r>
                            <m:rPr>
                              <m:sty m:val="p"/>
                            </m:rPr>
                            <w:rPr>
                              <w:rFonts w:hint="default" w:ascii="Cambria Math" w:hAnsi="Cambria Math" w:cs="Times New Roman"/>
                              <w:snapToGrid w:val="0"/>
                              <w:color w:val="auto"/>
                              <w:spacing w:val="4"/>
                              <w:sz w:val="21"/>
                              <w:szCs w:val="21"/>
                              <w:highlight w:val="none"/>
                              <w:lang w:val="en-US" w:eastAsia="zh-CN" w:bidi="ar-SA"/>
                            </w:rPr>
                            <m:t>x</m:t>
                          </m:r>
                          <m:ctrlPr>
                            <w:rPr>
                              <w:rFonts w:hint="default" w:ascii="Cambria Math" w:hAnsi="Cambria Math" w:cs="Times New Roman"/>
                              <w:snapToGrid w:val="0"/>
                              <w:color w:val="auto"/>
                              <w:spacing w:val="4"/>
                              <w:sz w:val="21"/>
                              <w:szCs w:val="21"/>
                              <w:highlight w:val="none"/>
                              <w:lang w:val="en-US" w:bidi="ar-SA"/>
                            </w:rPr>
                          </m:ctrlPr>
                        </m:sub>
                      </m:sSub>
                    </m:oMath>
                  </m:oMathPara>
                </w:p>
                <w:p>
                  <w:pPr>
                    <w:pStyle w:val="6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lang w:val="en-US" w:eastAsia="zh-CN"/>
                    </w:rPr>
                  </w:pPr>
                </w:p>
                <w:p>
                  <w:pPr>
                    <w:pStyle w:val="6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36" w:firstLineChars="200"/>
                    <w:jc w:val="left"/>
                    <w:textAlignment w:val="baseline"/>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ρ：集气罩周长；</w:t>
                  </w:r>
                </w:p>
                <w:p>
                  <w:pPr>
                    <w:pStyle w:val="6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36" w:firstLineChars="200"/>
                    <w:jc w:val="left"/>
                    <w:textAlignment w:val="baseline"/>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H：污染源至罩口距离；</w:t>
                  </w:r>
                </w:p>
                <w:p>
                  <w:pPr>
                    <w:pStyle w:val="6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36" w:firstLineChars="200"/>
                    <w:jc w:val="both"/>
                    <w:textAlignment w:val="baseline"/>
                    <w:rPr>
                      <w:rFonts w:hint="default" w:ascii="Times New Roman" w:hAnsi="Times New Roman" w:cs="Times New Roman"/>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V</w:t>
                  </w:r>
                  <w:r>
                    <w:rPr>
                      <w:rFonts w:hint="default" w:ascii="Times New Roman" w:hAnsi="Times New Roman" w:cs="Times New Roman"/>
                      <w:b w:val="0"/>
                      <w:i w:val="0"/>
                      <w:snapToGrid w:val="0"/>
                      <w:color w:val="auto"/>
                      <w:spacing w:val="4"/>
                      <w:sz w:val="21"/>
                      <w:szCs w:val="21"/>
                      <w:highlight w:val="none"/>
                      <w:vertAlign w:val="subscript"/>
                      <w:lang w:val="en-US" w:eastAsia="zh-CN" w:bidi="ar-SA"/>
                    </w:rPr>
                    <w:t>x</w:t>
                  </w:r>
                  <w:r>
                    <w:rPr>
                      <w:rFonts w:hint="default" w:ascii="Times New Roman" w:hAnsi="Times New Roman" w:cs="Times New Roman"/>
                      <w:b w:val="0"/>
                      <w:i w:val="0"/>
                      <w:snapToGrid w:val="0"/>
                      <w:color w:val="auto"/>
                      <w:spacing w:val="4"/>
                      <w:sz w:val="21"/>
                      <w:szCs w:val="21"/>
                      <w:highlight w:val="none"/>
                      <w:lang w:val="en-US" w:eastAsia="zh-CN" w:bidi="ar-SA"/>
                    </w:rPr>
                    <w:t>：设计风速</w:t>
                  </w:r>
                </w:p>
              </w:tc>
              <w:tc>
                <w:tcPr>
                  <w:tcW w:w="1260"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ρ=1.6</w:t>
                  </w:r>
                  <w:r>
                    <w:rPr>
                      <w:rFonts w:hint="eastAsia" w:ascii="Times New Roman" w:hAnsi="Times New Roman" w:cs="Times New Roman"/>
                      <w:b w:val="0"/>
                      <w:i w:val="0"/>
                      <w:snapToGrid w:val="0"/>
                      <w:color w:val="auto"/>
                      <w:spacing w:val="4"/>
                      <w:sz w:val="21"/>
                      <w:szCs w:val="21"/>
                      <w:highlight w:val="none"/>
                      <w:lang w:val="en-US" w:eastAsia="zh-CN" w:bidi="ar-SA"/>
                    </w:rPr>
                    <w:t>;</w:t>
                  </w:r>
                </w:p>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H=0.</w:t>
                  </w:r>
                  <w:r>
                    <w:rPr>
                      <w:rFonts w:hint="eastAsia" w:ascii="Times New Roman" w:hAnsi="Times New Roman" w:cs="Times New Roman"/>
                      <w:b w:val="0"/>
                      <w:i w:val="0"/>
                      <w:snapToGrid w:val="0"/>
                      <w:color w:val="auto"/>
                      <w:spacing w:val="4"/>
                      <w:sz w:val="21"/>
                      <w:szCs w:val="21"/>
                      <w:highlight w:val="none"/>
                      <w:lang w:val="en-US" w:eastAsia="zh-CN" w:bidi="ar-SA"/>
                    </w:rPr>
                    <w:t>1;</w:t>
                  </w:r>
                </w:p>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val="0"/>
                      <w:i w:val="0"/>
                      <w:snapToGrid w:val="0"/>
                      <w:color w:val="auto"/>
                      <w:spacing w:val="4"/>
                      <w:sz w:val="21"/>
                      <w:szCs w:val="21"/>
                      <w:highlight w:val="none"/>
                      <w:lang w:val="en-US" w:eastAsia="zh-CN" w:bidi="ar-SA"/>
                    </w:rPr>
                    <w:t>V</w:t>
                  </w:r>
                  <w:r>
                    <w:rPr>
                      <w:rFonts w:hint="default" w:ascii="Times New Roman" w:hAnsi="Times New Roman" w:cs="Times New Roman"/>
                      <w:b w:val="0"/>
                      <w:i w:val="0"/>
                      <w:snapToGrid w:val="0"/>
                      <w:color w:val="auto"/>
                      <w:spacing w:val="4"/>
                      <w:sz w:val="21"/>
                      <w:szCs w:val="21"/>
                      <w:highlight w:val="none"/>
                      <w:vertAlign w:val="subscript"/>
                      <w:lang w:val="en-US" w:eastAsia="zh-CN" w:bidi="ar-SA"/>
                    </w:rPr>
                    <w:t>x</w:t>
                  </w:r>
                  <w:r>
                    <w:rPr>
                      <w:rFonts w:hint="default" w:ascii="Times New Roman" w:hAnsi="Times New Roman" w:cs="Times New Roman"/>
                      <w:b w:val="0"/>
                      <w:i w:val="0"/>
                      <w:snapToGrid w:val="0"/>
                      <w:color w:val="auto"/>
                      <w:spacing w:val="4"/>
                      <w:sz w:val="21"/>
                      <w:szCs w:val="21"/>
                      <w:highlight w:val="none"/>
                      <w:lang w:val="en-US" w:eastAsia="zh-CN" w:bidi="ar-SA"/>
                    </w:rPr>
                    <w:t>=</w:t>
                  </w:r>
                  <w:r>
                    <w:rPr>
                      <w:rFonts w:hint="eastAsia" w:ascii="Times New Roman" w:hAnsi="Times New Roman" w:cs="Times New Roman"/>
                      <w:b w:val="0"/>
                      <w:i w:val="0"/>
                      <w:snapToGrid w:val="0"/>
                      <w:color w:val="auto"/>
                      <w:spacing w:val="4"/>
                      <w:sz w:val="21"/>
                      <w:szCs w:val="21"/>
                      <w:highlight w:val="none"/>
                      <w:lang w:val="en-US" w:eastAsia="zh-CN" w:bidi="ar-SA"/>
                    </w:rPr>
                    <w:t>0.5</w:t>
                  </w:r>
                </w:p>
              </w:tc>
              <w:tc>
                <w:tcPr>
                  <w:tcW w:w="1351"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403.2</w:t>
                  </w:r>
                  <w:r>
                    <w:rPr>
                      <w:rFonts w:hint="default" w:ascii="Times New Roman" w:hAnsi="Times New Roman" w:cs="Times New Roman"/>
                      <w:color w:val="auto"/>
                      <w:sz w:val="21"/>
                      <w:szCs w:val="21"/>
                      <w:highlight w:val="none"/>
                      <w:lang w:val="en-US" w:eastAsia="zh-CN"/>
                    </w:rPr>
                    <w:t>（单个）×</w:t>
                  </w:r>
                  <w:r>
                    <w:rPr>
                      <w:rFonts w:hint="eastAsia"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1612.8</w:t>
                  </w:r>
                </w:p>
              </w:tc>
              <w:tc>
                <w:tcPr>
                  <w:tcW w:w="1182" w:type="dxa"/>
                  <w:vMerge w:val="continue"/>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666" w:type="dxa"/>
                  <w:vMerge w:val="continue"/>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665" w:hRule="atLeast"/>
              </w:trPr>
              <w:tc>
                <w:tcPr>
                  <w:tcW w:w="1181" w:type="dxa"/>
                  <w:vMerge w:val="continue"/>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980"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集气罩</w:t>
                  </w:r>
                </w:p>
              </w:tc>
              <w:tc>
                <w:tcPr>
                  <w:tcW w:w="625" w:type="dxa"/>
                  <w:tcBorders>
                    <w:tl2br w:val="nil"/>
                    <w:tr2bl w:val="nil"/>
                  </w:tcBorders>
                  <w:shd w:val="clear" w:color="auto" w:fill="auto"/>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spacing w:val="4"/>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w:t>
                  </w:r>
                  <w:r>
                    <w:rPr>
                      <w:rFonts w:hint="eastAsia" w:ascii="Times New Roman" w:hAnsi="Times New Roman" w:cs="Times New Roman"/>
                      <w:color w:val="auto"/>
                      <w:sz w:val="21"/>
                      <w:szCs w:val="21"/>
                      <w:highlight w:val="none"/>
                      <w:lang w:val="en-US" w:eastAsia="zh-CN"/>
                    </w:rPr>
                    <w:t>4</w:t>
                  </w:r>
                </w:p>
              </w:tc>
              <w:tc>
                <w:tcPr>
                  <w:tcW w:w="2214" w:type="dxa"/>
                  <w:tcBorders>
                    <w:tl2br w:val="nil"/>
                    <w:tr2bl w:val="nil"/>
                  </w:tcBorders>
                  <w:shd w:val="clear" w:color="auto" w:fill="auto"/>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spacing w:val="4"/>
                      <w:sz w:val="21"/>
                      <w:szCs w:val="21"/>
                      <w:highlight w:val="none"/>
                      <w:lang w:val="en-US" w:eastAsia="zh-CN" w:bidi="ar-SA"/>
                    </w:rPr>
                  </w:pPr>
                  <w:r>
                    <w:rPr>
                      <w:rFonts w:hint="default" w:ascii="Times New Roman" w:hAnsi="Times New Roman" w:cs="Times New Roman"/>
                      <w:color w:val="auto"/>
                    </w:rPr>
                    <w:drawing>
                      <wp:inline distT="0" distB="0" distL="114300" distR="114300">
                        <wp:extent cx="1120140" cy="681990"/>
                        <wp:effectExtent l="0" t="0" r="3810" b="3810"/>
                        <wp:docPr id="5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0"/>
                                <pic:cNvPicPr>
                                  <a:picLocks noChangeAspect="1"/>
                                </pic:cNvPicPr>
                              </pic:nvPicPr>
                              <pic:blipFill>
                                <a:blip r:embed="rId25"/>
                                <a:srcRect l="14339" r="7107"/>
                                <a:stretch>
                                  <a:fillRect/>
                                </a:stretch>
                              </pic:blipFill>
                              <pic:spPr>
                                <a:xfrm>
                                  <a:off x="0" y="0"/>
                                  <a:ext cx="1120140" cy="681990"/>
                                </a:xfrm>
                                <a:prstGeom prst="rect">
                                  <a:avLst/>
                                </a:prstGeom>
                                <a:noFill/>
                                <a:ln>
                                  <a:noFill/>
                                </a:ln>
                              </pic:spPr>
                            </pic:pic>
                          </a:graphicData>
                        </a:graphic>
                      </wp:inline>
                    </w:drawing>
                  </w:r>
                </w:p>
              </w:tc>
              <w:tc>
                <w:tcPr>
                  <w:tcW w:w="3098" w:type="dxa"/>
                  <w:tcBorders>
                    <w:tl2br w:val="nil"/>
                    <w:tr2bl w:val="nil"/>
                  </w:tcBorders>
                  <w:shd w:val="clear" w:color="auto" w:fill="auto"/>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i w:val="0"/>
                      <w:snapToGrid w:val="0"/>
                      <w:color w:val="auto"/>
                      <w:spacing w:val="4"/>
                      <w:sz w:val="21"/>
                      <w:szCs w:val="21"/>
                      <w:highlight w:val="none"/>
                      <w:lang w:val="en-US" w:eastAsia="zh-CN" w:bidi="ar-SA"/>
                    </w:rPr>
                  </w:pPr>
                  <m:oMathPara>
                    <m:oMath>
                      <m:r>
                        <m:rPr>
                          <m:sty m:val="p"/>
                        </m:rPr>
                        <w:rPr>
                          <w:rFonts w:hint="default" w:ascii="Cambria Math" w:hAnsi="Cambria Math" w:cs="Times New Roman"/>
                          <w:snapToGrid w:val="0"/>
                          <w:color w:val="auto"/>
                          <w:spacing w:val="4"/>
                          <w:sz w:val="21"/>
                          <w:szCs w:val="21"/>
                          <w:highlight w:val="none"/>
                          <w:lang w:val="en-US" w:eastAsia="zh-CN" w:bidi="ar-SA"/>
                        </w:rPr>
                        <m:t>Q=3600</m:t>
                      </m:r>
                      <m:r>
                        <m:rPr>
                          <m:sty m:val="p"/>
                        </m:rPr>
                        <w:rPr>
                          <w:rFonts w:hint="default" w:ascii="Cambria Math" w:hAnsi="Cambria Math" w:cs="Times New Roman"/>
                          <w:snapToGrid w:val="0"/>
                          <w:color w:val="auto"/>
                          <w:spacing w:val="4"/>
                          <w:sz w:val="21"/>
                          <w:szCs w:val="21"/>
                          <w:highlight w:val="none"/>
                          <w:lang w:val="en-US" w:bidi="ar-SA"/>
                        </w:rPr>
                        <m:t>×</m:t>
                      </m:r>
                      <m:r>
                        <m:rPr>
                          <m:sty m:val="p"/>
                        </m:rPr>
                        <w:rPr>
                          <w:rFonts w:hint="default" w:ascii="Cambria Math" w:hAnsi="Cambria Math" w:cs="Times New Roman"/>
                          <w:snapToGrid w:val="0"/>
                          <w:color w:val="auto"/>
                          <w:spacing w:val="4"/>
                          <w:sz w:val="21"/>
                          <w:szCs w:val="21"/>
                          <w:highlight w:val="none"/>
                          <w:lang w:val="en-US" w:eastAsia="zh-CN" w:bidi="ar-SA"/>
                        </w:rPr>
                        <m:t>(10</m:t>
                      </m:r>
                      <m:sSup>
                        <m:sSupPr>
                          <m:ctrlPr>
                            <w:rPr>
                              <w:rFonts w:hint="default" w:ascii="Cambria Math" w:hAnsi="Cambria Math" w:cs="Times New Roman"/>
                              <w:snapToGrid w:val="0"/>
                              <w:color w:val="auto"/>
                              <w:spacing w:val="4"/>
                              <w:sz w:val="21"/>
                              <w:szCs w:val="21"/>
                              <w:highlight w:val="none"/>
                              <w:lang w:val="en-US" w:eastAsia="zh-CN" w:bidi="ar-SA"/>
                            </w:rPr>
                          </m:ctrlPr>
                        </m:sSupPr>
                        <m:e>
                          <m:r>
                            <m:rPr>
                              <m:sty m:val="p"/>
                            </m:rPr>
                            <w:rPr>
                              <w:rFonts w:hint="default" w:ascii="Cambria Math" w:hAnsi="Cambria Math" w:cs="Times New Roman"/>
                              <w:snapToGrid w:val="0"/>
                              <w:color w:val="auto"/>
                              <w:spacing w:val="4"/>
                              <w:sz w:val="21"/>
                              <w:szCs w:val="21"/>
                              <w:highlight w:val="none"/>
                              <w:lang w:val="en-US" w:eastAsia="zh-CN" w:bidi="ar-SA"/>
                            </w:rPr>
                            <m:t>x</m:t>
                          </m:r>
                          <m:ctrlPr>
                            <w:rPr>
                              <w:rFonts w:hint="default" w:ascii="Cambria Math" w:hAnsi="Cambria Math" w:cs="Times New Roman"/>
                              <w:snapToGrid w:val="0"/>
                              <w:color w:val="auto"/>
                              <w:spacing w:val="4"/>
                              <w:sz w:val="21"/>
                              <w:szCs w:val="21"/>
                              <w:highlight w:val="none"/>
                              <w:lang w:val="en-US" w:eastAsia="zh-CN" w:bidi="ar-SA"/>
                            </w:rPr>
                          </m:ctrlPr>
                        </m:e>
                        <m:sup>
                          <m:r>
                            <m:rPr>
                              <m:sty m:val="p"/>
                            </m:rPr>
                            <w:rPr>
                              <w:rFonts w:hint="default" w:ascii="Cambria Math" w:hAnsi="Cambria Math" w:cs="Times New Roman"/>
                              <w:snapToGrid w:val="0"/>
                              <w:color w:val="auto"/>
                              <w:spacing w:val="4"/>
                              <w:sz w:val="21"/>
                              <w:szCs w:val="21"/>
                              <w:highlight w:val="none"/>
                              <w:lang w:val="en-US" w:eastAsia="zh-CN" w:bidi="ar-SA"/>
                            </w:rPr>
                            <m:t>2</m:t>
                          </m:r>
                          <m:ctrlPr>
                            <w:rPr>
                              <w:rFonts w:hint="default" w:ascii="Cambria Math" w:hAnsi="Cambria Math" w:cs="Times New Roman"/>
                              <w:snapToGrid w:val="0"/>
                              <w:color w:val="auto"/>
                              <w:spacing w:val="4"/>
                              <w:sz w:val="21"/>
                              <w:szCs w:val="21"/>
                              <w:highlight w:val="none"/>
                              <w:lang w:val="en-US" w:eastAsia="zh-CN" w:bidi="ar-SA"/>
                            </w:rPr>
                          </m:ctrlPr>
                        </m:sup>
                      </m:sSup>
                      <m:r>
                        <m:rPr>
                          <m:sty m:val="p"/>
                        </m:rPr>
                        <w:rPr>
                          <w:rFonts w:hint="default" w:ascii="Cambria Math" w:hAnsi="Cambria Math" w:cs="Times New Roman"/>
                          <w:snapToGrid w:val="0"/>
                          <w:color w:val="auto"/>
                          <w:spacing w:val="4"/>
                          <w:sz w:val="21"/>
                          <w:szCs w:val="21"/>
                          <w:highlight w:val="none"/>
                          <w:lang w:val="en-US" w:eastAsia="zh-CN" w:bidi="ar-SA"/>
                        </w:rPr>
                        <m:t>+F)</m:t>
                      </m:r>
                      <m:sSub>
                        <m:sSubPr>
                          <m:ctrlPr>
                            <w:rPr>
                              <w:rFonts w:hint="default" w:ascii="Cambria Math" w:hAnsi="Cambria Math" w:cs="Times New Roman"/>
                              <w:snapToGrid w:val="0"/>
                              <w:color w:val="auto"/>
                              <w:spacing w:val="4"/>
                              <w:sz w:val="21"/>
                              <w:szCs w:val="21"/>
                              <w:highlight w:val="none"/>
                              <w:lang w:val="en-US" w:eastAsia="zh-CN" w:bidi="ar-SA"/>
                            </w:rPr>
                          </m:ctrlPr>
                        </m:sSubPr>
                        <m:e>
                          <m:r>
                            <m:rPr>
                              <m:sty m:val="p"/>
                            </m:rPr>
                            <w:rPr>
                              <w:rFonts w:hint="default" w:ascii="Cambria Math" w:hAnsi="Cambria Math" w:cs="Times New Roman"/>
                              <w:snapToGrid w:val="0"/>
                              <w:color w:val="auto"/>
                              <w:spacing w:val="4"/>
                              <w:sz w:val="21"/>
                              <w:szCs w:val="21"/>
                              <w:highlight w:val="none"/>
                              <w:lang w:val="en-US" w:eastAsia="zh-CN" w:bidi="ar-SA"/>
                            </w:rPr>
                            <m:t>v</m:t>
                          </m:r>
                          <m:ctrlPr>
                            <w:rPr>
                              <w:rFonts w:hint="default" w:ascii="Cambria Math" w:hAnsi="Cambria Math" w:cs="Times New Roman"/>
                              <w:snapToGrid w:val="0"/>
                              <w:color w:val="auto"/>
                              <w:spacing w:val="4"/>
                              <w:sz w:val="21"/>
                              <w:szCs w:val="21"/>
                              <w:highlight w:val="none"/>
                              <w:lang w:val="en-US" w:eastAsia="zh-CN" w:bidi="ar-SA"/>
                            </w:rPr>
                          </m:ctrlPr>
                        </m:e>
                        <m:sub>
                          <m:r>
                            <m:rPr>
                              <m:sty m:val="p"/>
                            </m:rPr>
                            <w:rPr>
                              <w:rFonts w:hint="default" w:ascii="Cambria Math" w:hAnsi="Cambria Math" w:cs="Times New Roman"/>
                              <w:snapToGrid w:val="0"/>
                              <w:color w:val="auto"/>
                              <w:spacing w:val="4"/>
                              <w:sz w:val="21"/>
                              <w:szCs w:val="21"/>
                              <w:highlight w:val="none"/>
                              <w:lang w:val="en-US" w:eastAsia="zh-CN" w:bidi="ar-SA"/>
                            </w:rPr>
                            <m:t>x</m:t>
                          </m:r>
                          <m:ctrlPr>
                            <w:rPr>
                              <w:rFonts w:hint="default" w:ascii="Cambria Math" w:hAnsi="Cambria Math" w:cs="Times New Roman"/>
                              <w:snapToGrid w:val="0"/>
                              <w:color w:val="auto"/>
                              <w:spacing w:val="4"/>
                              <w:sz w:val="21"/>
                              <w:szCs w:val="21"/>
                              <w:highlight w:val="none"/>
                              <w:lang w:val="en-US" w:eastAsia="zh-CN" w:bidi="ar-SA"/>
                            </w:rPr>
                          </m:ctrlPr>
                        </m:sub>
                      </m:sSub>
                    </m:oMath>
                  </m:oMathPara>
                </w:p>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i w:val="0"/>
                      <w:snapToGrid w:val="0"/>
                      <w:color w:val="auto"/>
                      <w:spacing w:val="4"/>
                      <w:sz w:val="21"/>
                      <w:szCs w:val="21"/>
                      <w:highlight w:val="none"/>
                      <w:lang w:val="en-US" w:eastAsia="zh-CN" w:bidi="ar-SA"/>
                    </w:rPr>
                  </w:pPr>
                </w:p>
                <w:p>
                  <w:pPr>
                    <w:pStyle w:val="6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36" w:firstLineChars="200"/>
                    <w:jc w:val="left"/>
                    <w:textAlignment w:val="baseline"/>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x：集气罩至产气点距离；</w:t>
                  </w:r>
                </w:p>
                <w:p>
                  <w:pPr>
                    <w:pStyle w:val="6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36" w:firstLineChars="200"/>
                    <w:jc w:val="left"/>
                    <w:textAlignment w:val="baseline"/>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F：集气罩面积；</w:t>
                  </w:r>
                </w:p>
                <w:p>
                  <w:pPr>
                    <w:pStyle w:val="6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36" w:firstLineChars="200"/>
                    <w:jc w:val="left"/>
                    <w:textAlignment w:val="baseline"/>
                    <w:rPr>
                      <w:rFonts w:hint="default" w:ascii="Times New Roman" w:hAnsi="Times New Roman" w:eastAsia="宋体" w:cs="Times New Roman"/>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V</w:t>
                  </w:r>
                  <w:r>
                    <w:rPr>
                      <w:rFonts w:hint="default" w:ascii="Times New Roman" w:hAnsi="Times New Roman" w:cs="Times New Roman"/>
                      <w:b w:val="0"/>
                      <w:i w:val="0"/>
                      <w:snapToGrid w:val="0"/>
                      <w:color w:val="auto"/>
                      <w:spacing w:val="4"/>
                      <w:sz w:val="21"/>
                      <w:szCs w:val="21"/>
                      <w:highlight w:val="none"/>
                      <w:vertAlign w:val="subscript"/>
                      <w:lang w:val="en-US" w:eastAsia="zh-CN" w:bidi="ar-SA"/>
                    </w:rPr>
                    <w:t>x</w:t>
                  </w:r>
                  <w:r>
                    <w:rPr>
                      <w:rFonts w:hint="default" w:ascii="Times New Roman" w:hAnsi="Times New Roman" w:cs="Times New Roman"/>
                      <w:b w:val="0"/>
                      <w:i w:val="0"/>
                      <w:snapToGrid w:val="0"/>
                      <w:color w:val="auto"/>
                      <w:spacing w:val="4"/>
                      <w:sz w:val="21"/>
                      <w:szCs w:val="21"/>
                      <w:highlight w:val="none"/>
                      <w:lang w:val="en-US" w:eastAsia="zh-CN" w:bidi="ar-SA"/>
                    </w:rPr>
                    <w:t>：设计风速</w:t>
                  </w:r>
                </w:p>
              </w:tc>
              <w:tc>
                <w:tcPr>
                  <w:tcW w:w="1260" w:type="dxa"/>
                  <w:tcBorders>
                    <w:tl2br w:val="nil"/>
                    <w:tr2bl w:val="nil"/>
                  </w:tcBorders>
                  <w:shd w:val="clear" w:color="auto" w:fill="auto"/>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x=0.</w:t>
                  </w:r>
                  <w:r>
                    <w:rPr>
                      <w:rFonts w:hint="eastAsia" w:ascii="Times New Roman" w:hAnsi="Times New Roman" w:cs="Times New Roman"/>
                      <w:b w:val="0"/>
                      <w:i w:val="0"/>
                      <w:snapToGrid w:val="0"/>
                      <w:color w:val="auto"/>
                      <w:spacing w:val="4"/>
                      <w:sz w:val="21"/>
                      <w:szCs w:val="21"/>
                      <w:highlight w:val="none"/>
                      <w:lang w:val="en-US" w:eastAsia="zh-CN" w:bidi="ar-SA"/>
                    </w:rPr>
                    <w:t>1;</w:t>
                  </w:r>
                </w:p>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F=0.</w:t>
                  </w:r>
                  <w:r>
                    <w:rPr>
                      <w:rFonts w:hint="eastAsia" w:ascii="Times New Roman" w:hAnsi="Times New Roman" w:cs="Times New Roman"/>
                      <w:b w:val="0"/>
                      <w:i w:val="0"/>
                      <w:snapToGrid w:val="0"/>
                      <w:color w:val="auto"/>
                      <w:spacing w:val="4"/>
                      <w:sz w:val="21"/>
                      <w:szCs w:val="21"/>
                      <w:highlight w:val="none"/>
                      <w:lang w:val="en-US" w:eastAsia="zh-CN" w:bidi="ar-SA"/>
                    </w:rPr>
                    <w:t>125;</w:t>
                  </w:r>
                </w:p>
                <w:p>
                  <w:pPr>
                    <w:pStyle w:val="6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i w:val="0"/>
                      <w:snapToGrid w:val="0"/>
                      <w:color w:val="auto"/>
                      <w:spacing w:val="4"/>
                      <w:sz w:val="21"/>
                      <w:szCs w:val="21"/>
                      <w:highlight w:val="none"/>
                      <w:lang w:val="en-US" w:eastAsia="zh-CN" w:bidi="ar-SA"/>
                    </w:rPr>
                  </w:pPr>
                  <w:r>
                    <w:rPr>
                      <w:rFonts w:hint="default" w:ascii="Times New Roman" w:hAnsi="Times New Roman" w:cs="Times New Roman"/>
                      <w:b w:val="0"/>
                      <w:i w:val="0"/>
                      <w:snapToGrid w:val="0"/>
                      <w:color w:val="auto"/>
                      <w:spacing w:val="4"/>
                      <w:sz w:val="21"/>
                      <w:szCs w:val="21"/>
                      <w:highlight w:val="none"/>
                      <w:lang w:val="en-US" w:eastAsia="zh-CN" w:bidi="ar-SA"/>
                    </w:rPr>
                    <w:t>V</w:t>
                  </w:r>
                  <w:r>
                    <w:rPr>
                      <w:rFonts w:hint="default" w:ascii="Times New Roman" w:hAnsi="Times New Roman" w:cs="Times New Roman"/>
                      <w:b w:val="0"/>
                      <w:i w:val="0"/>
                      <w:snapToGrid w:val="0"/>
                      <w:color w:val="auto"/>
                      <w:spacing w:val="4"/>
                      <w:sz w:val="21"/>
                      <w:szCs w:val="21"/>
                      <w:highlight w:val="none"/>
                      <w:vertAlign w:val="subscript"/>
                      <w:lang w:val="en-US" w:eastAsia="zh-CN" w:bidi="ar-SA"/>
                    </w:rPr>
                    <w:t>x</w:t>
                  </w:r>
                  <w:r>
                    <w:rPr>
                      <w:rFonts w:hint="default" w:ascii="Times New Roman" w:hAnsi="Times New Roman" w:cs="Times New Roman"/>
                      <w:b w:val="0"/>
                      <w:i w:val="0"/>
                      <w:snapToGrid w:val="0"/>
                      <w:color w:val="auto"/>
                      <w:spacing w:val="4"/>
                      <w:sz w:val="21"/>
                      <w:szCs w:val="21"/>
                      <w:highlight w:val="none"/>
                      <w:lang w:val="en-US" w:eastAsia="zh-CN" w:bidi="ar-SA"/>
                    </w:rPr>
                    <w:t>=0.5</w:t>
                  </w:r>
                </w:p>
              </w:tc>
              <w:tc>
                <w:tcPr>
                  <w:tcW w:w="1351" w:type="dxa"/>
                  <w:tcBorders>
                    <w:tl2br w:val="nil"/>
                    <w:tr2bl w:val="nil"/>
                  </w:tcBorders>
                  <w:shd w:val="clear" w:color="auto" w:fill="auto"/>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307.8</w:t>
                  </w:r>
                  <w:r>
                    <w:rPr>
                      <w:rFonts w:hint="default" w:ascii="Times New Roman" w:hAnsi="Times New Roman" w:cs="Times New Roman"/>
                      <w:color w:val="auto"/>
                      <w:sz w:val="21"/>
                      <w:szCs w:val="21"/>
                      <w:highlight w:val="none"/>
                      <w:lang w:val="en-US" w:eastAsia="zh-CN"/>
                    </w:rPr>
                    <w:t>（单个）×</w:t>
                  </w:r>
                  <w:r>
                    <w:rPr>
                      <w:rFonts w:hint="eastAsia" w:ascii="Times New Roman" w:hAnsi="Times New Roman" w:cs="Times New Roman"/>
                      <w:color w:val="auto"/>
                      <w:sz w:val="21"/>
                      <w:szCs w:val="21"/>
                      <w:highlight w:val="none"/>
                      <w:lang w:val="en-US" w:eastAsia="zh-CN"/>
                    </w:rPr>
                    <w:t>24</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7387.2</w:t>
                  </w:r>
                </w:p>
              </w:tc>
              <w:tc>
                <w:tcPr>
                  <w:tcW w:w="1182" w:type="dxa"/>
                  <w:vMerge w:val="continue"/>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666" w:type="dxa"/>
                  <w:vMerge w:val="continue"/>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1181" w:type="dxa"/>
                  <w:vMerge w:val="continue"/>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980" w:type="dxa"/>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通风柜</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集气罩</w:t>
                  </w:r>
                </w:p>
              </w:tc>
              <w:tc>
                <w:tcPr>
                  <w:tcW w:w="625" w:type="dxa"/>
                  <w:tcBorders>
                    <w:tl2br w:val="nil"/>
                    <w:tr2bl w:val="nil"/>
                  </w:tcBorders>
                  <w:shd w:val="clear" w:color="auto" w:fill="auto"/>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34</w:t>
                  </w:r>
                </w:p>
              </w:tc>
              <w:tc>
                <w:tcPr>
                  <w:tcW w:w="2214" w:type="dxa"/>
                  <w:tcBorders>
                    <w:tl2br w:val="nil"/>
                    <w:tr2bl w:val="nil"/>
                  </w:tcBorders>
                  <w:shd w:val="clear" w:color="auto" w:fill="auto"/>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rPr>
                  </w:pPr>
                  <w:r>
                    <w:rPr>
                      <w:rFonts w:hint="default" w:ascii="Times New Roman" w:hAnsi="Times New Roman" w:cs="Times New Roman"/>
                      <w:color w:val="auto"/>
                      <w:sz w:val="21"/>
                      <w:szCs w:val="21"/>
                      <w:highlight w:val="none"/>
                      <w:lang w:val="en-US" w:eastAsia="zh-CN"/>
                    </w:rPr>
                    <w:t>/</w:t>
                  </w:r>
                </w:p>
              </w:tc>
              <w:tc>
                <w:tcPr>
                  <w:tcW w:w="3098" w:type="dxa"/>
                  <w:tcBorders>
                    <w:tl2br w:val="nil"/>
                    <w:tr2bl w:val="nil"/>
                  </w:tcBorders>
                  <w:shd w:val="clear" w:color="auto" w:fill="auto"/>
                  <w:tcMar>
                    <w:top w:w="0" w:type="dxa"/>
                    <w:left w:w="51" w:type="dxa"/>
                    <w:bottom w:w="0" w:type="dxa"/>
                    <w:right w:w="51" w:type="dxa"/>
                  </w:tcMar>
                  <w:vAlign w:val="center"/>
                </w:tcPr>
                <w:p>
                  <w:pPr>
                    <w:pStyle w:val="6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1260" w:type="dxa"/>
                  <w:tcBorders>
                    <w:tl2br w:val="nil"/>
                    <w:tr2bl w:val="nil"/>
                  </w:tcBorders>
                  <w:shd w:val="clear" w:color="auto" w:fill="auto"/>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i w:val="0"/>
                      <w:snapToGrid w:val="0"/>
                      <w:color w:val="auto"/>
                      <w:spacing w:val="4"/>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1351" w:type="dxa"/>
                  <w:tcBorders>
                    <w:tl2br w:val="nil"/>
                    <w:tr2bl w:val="nil"/>
                  </w:tcBorders>
                  <w:shd w:val="clear" w:color="auto" w:fill="auto"/>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合计</w:t>
                  </w:r>
                  <w:r>
                    <w:rPr>
                      <w:rFonts w:hint="eastAsia" w:ascii="Times New Roman" w:hAnsi="Times New Roman" w:cs="Times New Roman"/>
                      <w:b/>
                      <w:bCs/>
                      <w:color w:val="auto"/>
                      <w:sz w:val="21"/>
                      <w:szCs w:val="21"/>
                      <w:highlight w:val="none"/>
                      <w:lang w:val="en-US" w:eastAsia="zh-CN"/>
                    </w:rPr>
                    <w:t>17553.6</w:t>
                  </w:r>
                </w:p>
              </w:tc>
              <w:tc>
                <w:tcPr>
                  <w:tcW w:w="1182" w:type="dxa"/>
                  <w:vMerge w:val="continue"/>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c>
                <w:tcPr>
                  <w:tcW w:w="666" w:type="dxa"/>
                  <w:vMerge w:val="continue"/>
                  <w:tcBorders>
                    <w:tl2br w:val="nil"/>
                    <w:tr2bl w:val="nil"/>
                  </w:tcBorders>
                  <w:tcMar>
                    <w:top w:w="0" w:type="dxa"/>
                    <w:left w:w="51" w:type="dxa"/>
                    <w:bottom w:w="0" w:type="dxa"/>
                    <w:right w:w="51" w:type="dxa"/>
                  </w:tcMar>
                  <w:vAlign w:val="center"/>
                </w:tcPr>
                <w:p>
                  <w:pPr>
                    <w:pStyle w:val="68"/>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r>
          </w:tbl>
          <w:p>
            <w:pPr>
              <w:pStyle w:val="36"/>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tc>
      </w:tr>
    </w:tbl>
    <w:p>
      <w:pPr>
        <w:sectPr>
          <w:pgSz w:w="16840" w:h="11907" w:orient="landscape"/>
          <w:pgMar w:top="1531" w:right="1701" w:bottom="1531" w:left="2127" w:header="851" w:footer="851" w:gutter="0"/>
          <w:pgBorders>
            <w:top w:val="none" w:sz="0" w:space="0"/>
            <w:left w:val="none" w:sz="0" w:space="0"/>
            <w:bottom w:val="none" w:sz="0" w:space="0"/>
            <w:right w:val="none" w:sz="0" w:space="0"/>
          </w:pgBorders>
          <w:pgNumType w:fmt="numberInDash"/>
          <w:cols w:space="720" w:num="1"/>
          <w:docGrid w:linePitch="312" w:charSpace="0"/>
        </w:sectPr>
      </w:pPr>
    </w:p>
    <w:tbl>
      <w:tblPr>
        <w:tblStyle w:val="32"/>
        <w:tblW w:w="8981"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30"/>
        <w:gridCol w:w="835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2705" w:hRule="atLeast"/>
          <w:jc w:val="center"/>
        </w:trPr>
        <w:tc>
          <w:tcPr>
            <w:tcW w:w="630" w:type="dxa"/>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szCs w:val="24"/>
                <w:highlight w:val="none"/>
              </w:rPr>
            </w:pPr>
          </w:p>
        </w:tc>
        <w:tc>
          <w:tcPr>
            <w:tcW w:w="8351" w:type="dxa"/>
            <w:tcBorders>
              <w:top w:val="single" w:color="auto" w:sz="4" w:space="0"/>
              <w:bottom w:val="single" w:color="auto" w:sz="4" w:space="0"/>
              <w:right w:val="single" w:color="auto" w:sz="4" w:space="0"/>
            </w:tcBorders>
            <w:vAlign w:val="top"/>
          </w:tcPr>
          <w:p>
            <w:pPr>
              <w:pStyle w:val="4"/>
              <w:suppressLineNumbers w:val="0"/>
              <w:bidi w:val="0"/>
              <w:spacing w:beforeAutospacing="0" w:afterAutospacing="0"/>
              <w:ind w:right="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非正常排放及防范措施</w:t>
            </w:r>
          </w:p>
          <w:p>
            <w:pPr>
              <w:keepNext w:val="0"/>
              <w:keepLines w:val="0"/>
              <w:suppressLineNumbers w:val="0"/>
              <w:spacing w:before="120" w:beforeLines="50" w:beforeAutospacing="0" w:after="0" w:afterAutospacing="0" w:line="360" w:lineRule="auto"/>
              <w:ind w:left="0" w:right="0" w:firstLine="480" w:firstLineChars="200"/>
              <w:rPr>
                <w:rFonts w:hint="default"/>
                <w:color w:val="auto"/>
                <w:sz w:val="24"/>
                <w:highlight w:val="none"/>
              </w:rPr>
            </w:pPr>
            <w:r>
              <w:rPr>
                <w:rFonts w:hint="eastAsia"/>
                <w:color w:val="auto"/>
                <w:sz w:val="24"/>
                <w:highlight w:val="none"/>
                <w:lang w:val="en-US" w:eastAsia="zh-CN"/>
              </w:rPr>
              <w:t>本项目非生产类型项目，使用检测过程产生的废气浓度低，对周边环境影响较小。</w:t>
            </w:r>
            <w:r>
              <w:rPr>
                <w:rFonts w:hint="eastAsia"/>
                <w:color w:val="auto"/>
                <w:sz w:val="24"/>
                <w:highlight w:val="none"/>
              </w:rPr>
              <w:t>在废气处理设备停止运行或出现故障时污染物的排放量</w:t>
            </w:r>
            <w:r>
              <w:rPr>
                <w:rFonts w:hint="eastAsia"/>
                <w:color w:val="auto"/>
                <w:sz w:val="24"/>
                <w:highlight w:val="none"/>
                <w:lang w:val="en-US" w:eastAsia="zh-CN"/>
              </w:rPr>
              <w:t>少量</w:t>
            </w:r>
            <w:r>
              <w:rPr>
                <w:rFonts w:hint="eastAsia"/>
                <w:color w:val="auto"/>
                <w:sz w:val="24"/>
                <w:highlight w:val="none"/>
              </w:rPr>
              <w:t>增加，为防止废气非正常排放，应采取以下措施确保废气达标排放：</w:t>
            </w:r>
          </w:p>
          <w:p>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rPr>
            </w:pPr>
            <w:r>
              <w:rPr>
                <w:rFonts w:hint="eastAsia"/>
                <w:color w:val="auto"/>
                <w:sz w:val="24"/>
                <w:highlight w:val="none"/>
              </w:rPr>
              <w:t>①安排专人负责环保设备的日常维护和管理，</w:t>
            </w:r>
            <w:r>
              <w:rPr>
                <w:rFonts w:hint="eastAsia"/>
                <w:color w:val="auto"/>
                <w:sz w:val="24"/>
                <w:highlight w:val="none"/>
                <w:lang w:eastAsia="zh-CN"/>
              </w:rPr>
              <w:t>每隔</w:t>
            </w:r>
            <w:r>
              <w:rPr>
                <w:rFonts w:hint="eastAsia"/>
                <w:color w:val="auto"/>
                <w:sz w:val="24"/>
                <w:highlight w:val="none"/>
              </w:rPr>
              <w:t>固定时间检查、汇报情况，及时发现废气处理设备的隐患，确保废气处理系统的正常运行；</w:t>
            </w:r>
          </w:p>
          <w:p>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rPr>
            </w:pPr>
            <w:r>
              <w:rPr>
                <w:rFonts w:hint="eastAsia"/>
                <w:color w:val="auto"/>
                <w:sz w:val="24"/>
                <w:highlight w:val="none"/>
              </w:rPr>
              <w:t>②建立健全的环保管理机构，对环保管理人员和技术人员进行岗位培训，对项目排放的各类污染物进行定期检测；</w:t>
            </w:r>
          </w:p>
          <w:p>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rPr>
            </w:pPr>
            <w:r>
              <w:rPr>
                <w:rFonts w:hint="eastAsia"/>
                <w:color w:val="auto"/>
                <w:sz w:val="24"/>
                <w:highlight w:val="none"/>
              </w:rPr>
              <w:t>③应定期维护、检修废气净化装置，及时更换吸附材料，以保持废气处理装置的净化能力和净化容量。</w:t>
            </w:r>
          </w:p>
          <w:p>
            <w:pPr>
              <w:pStyle w:val="4"/>
              <w:suppressLineNumbers w:val="0"/>
              <w:bidi w:val="0"/>
              <w:spacing w:beforeAutospacing="0" w:afterAutospacing="0"/>
              <w:ind w:right="0"/>
              <w:rPr>
                <w:rFonts w:hint="default"/>
                <w:color w:val="auto"/>
                <w:highlight w:val="none"/>
              </w:rPr>
            </w:pPr>
            <w:r>
              <w:rPr>
                <w:rFonts w:hint="default"/>
                <w:color w:val="auto"/>
                <w:highlight w:val="none"/>
              </w:rPr>
              <w:t>大气环境影响分析</w:t>
            </w:r>
          </w:p>
          <w:p>
            <w:pPr>
              <w:pStyle w:val="36"/>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根据废气污染源分析，项目</w:t>
            </w:r>
            <w:r>
              <w:rPr>
                <w:rFonts w:hint="default" w:ascii="Times New Roman" w:hAnsi="Times New Roman" w:cs="Times New Roman"/>
                <w:color w:val="auto"/>
                <w:highlight w:val="none"/>
                <w:lang w:val="en-US" w:eastAsia="zh-CN"/>
              </w:rPr>
              <w:t>试验过程中产生的酸雾经通风橱收集后</w:t>
            </w:r>
            <w:r>
              <w:rPr>
                <w:rFonts w:hint="eastAsia" w:cs="Times New Roman"/>
                <w:color w:val="auto"/>
                <w:highlight w:val="none"/>
                <w:lang w:val="en-US" w:eastAsia="zh-CN"/>
              </w:rPr>
              <w:t>，采用碱液喷淋塔处理后</w:t>
            </w:r>
            <w:r>
              <w:rPr>
                <w:rFonts w:hint="default" w:ascii="Times New Roman" w:hAnsi="Times New Roman" w:cs="Times New Roman"/>
                <w:color w:val="auto"/>
                <w:highlight w:val="none"/>
                <w:lang w:val="en-US" w:eastAsia="zh-CN"/>
              </w:rPr>
              <w:t>通过</w:t>
            </w:r>
            <w:r>
              <w:rPr>
                <w:rFonts w:hint="eastAsia" w:cs="Times New Roman"/>
                <w:color w:val="auto"/>
                <w:highlight w:val="none"/>
                <w:lang w:val="en-US" w:eastAsia="zh-CN"/>
              </w:rPr>
              <w:t>25m</w:t>
            </w:r>
            <w:r>
              <w:rPr>
                <w:rFonts w:hint="default" w:ascii="Times New Roman" w:hAnsi="Times New Roman" w:cs="Times New Roman"/>
                <w:color w:val="auto"/>
                <w:highlight w:val="none"/>
                <w:lang w:val="en-US" w:eastAsia="zh-CN"/>
              </w:rPr>
              <w:t>高排气筒排放（DA001</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DA001）；产生的有机废气</w:t>
            </w:r>
            <w:r>
              <w:rPr>
                <w:rFonts w:hint="eastAsia" w:cs="Times New Roman"/>
                <w:color w:val="auto"/>
                <w:highlight w:val="none"/>
                <w:lang w:val="en-US" w:eastAsia="zh-CN"/>
              </w:rPr>
              <w:t>、恶臭气体</w:t>
            </w:r>
            <w:r>
              <w:rPr>
                <w:rFonts w:hint="default" w:ascii="Times New Roman" w:hAnsi="Times New Roman" w:cs="Times New Roman"/>
                <w:color w:val="auto"/>
                <w:highlight w:val="none"/>
                <w:lang w:val="en-US" w:eastAsia="zh-CN"/>
              </w:rPr>
              <w:t>经通风橱收集并由活性炭吸附装置处理后通过</w:t>
            </w:r>
            <w:r>
              <w:rPr>
                <w:rFonts w:hint="eastAsia" w:cs="Times New Roman"/>
                <w:color w:val="auto"/>
                <w:highlight w:val="none"/>
                <w:lang w:val="en-US" w:eastAsia="zh-CN"/>
              </w:rPr>
              <w:t>25m</w:t>
            </w:r>
            <w:r>
              <w:rPr>
                <w:rFonts w:hint="default" w:ascii="Times New Roman" w:hAnsi="Times New Roman" w:cs="Times New Roman"/>
                <w:color w:val="auto"/>
                <w:highlight w:val="none"/>
                <w:lang w:val="en-US" w:eastAsia="zh-CN"/>
              </w:rPr>
              <w:t>高排气筒排放（DA00</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DA00</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）。项目主要污染物有组织排放浓度分别为氯化氢</w:t>
            </w:r>
            <w:r>
              <w:rPr>
                <w:rFonts w:hint="default" w:ascii="Times New Roman" w:hAnsi="Times New Roman" w:eastAsia="宋体" w:cs="Times New Roman"/>
                <w:color w:val="auto"/>
                <w:sz w:val="24"/>
                <w:szCs w:val="24"/>
                <w:highlight w:val="none"/>
                <w:vertAlign w:val="baseline"/>
                <w:lang w:val="en-US" w:eastAsia="zh-CN"/>
              </w:rPr>
              <w:t>、硫酸雾、非甲烷总烃计</w:t>
            </w:r>
            <w:r>
              <w:rPr>
                <w:rFonts w:hint="default" w:ascii="Times New Roman" w:hAnsi="Times New Roman" w:cs="Times New Roman"/>
                <w:color w:val="auto"/>
                <w:highlight w:val="none"/>
                <w:lang w:val="en-US" w:eastAsia="zh-CN"/>
              </w:rPr>
              <w:t>均</w:t>
            </w:r>
            <w:r>
              <w:rPr>
                <w:rFonts w:hint="default" w:ascii="Times New Roman" w:hAnsi="Times New Roman" w:cs="Times New Roman"/>
                <w:color w:val="auto"/>
                <w:highlight w:val="none"/>
              </w:rPr>
              <w:t>满足</w:t>
            </w:r>
            <w:r>
              <w:rPr>
                <w:rFonts w:hint="default" w:ascii="Times New Roman" w:hAnsi="Times New Roman" w:eastAsia="宋体" w:cs="Times New Roman"/>
                <w:color w:val="auto"/>
                <w:kern w:val="2"/>
                <w:sz w:val="24"/>
                <w:szCs w:val="24"/>
                <w:highlight w:val="none"/>
                <w:lang w:val="en-US" w:eastAsia="zh-CN" w:bidi="ar-SA"/>
              </w:rPr>
              <w:t>《大气污染物综合排放标准》</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GB16297-1996</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表2标准</w:t>
            </w:r>
            <w:r>
              <w:rPr>
                <w:rFonts w:hint="eastAsia" w:cs="Times New Roman"/>
                <w:color w:val="auto"/>
                <w:kern w:val="2"/>
                <w:sz w:val="24"/>
                <w:szCs w:val="24"/>
                <w:highlight w:val="none"/>
                <w:lang w:val="en-US" w:eastAsia="zh-CN" w:bidi="ar-SA"/>
              </w:rPr>
              <w:t>，恶臭满足</w:t>
            </w:r>
            <w:r>
              <w:rPr>
                <w:rFonts w:hint="eastAsia" w:ascii="宋体" w:hAnsi="宋体" w:eastAsia="宋体" w:cs="宋体"/>
                <w:color w:val="auto"/>
                <w:kern w:val="0"/>
                <w:sz w:val="24"/>
                <w:szCs w:val="24"/>
                <w:highlight w:val="none"/>
                <w:lang w:val="en-US" w:eastAsia="zh-CN" w:bidi="ar"/>
              </w:rPr>
              <w:t>《</w:t>
            </w:r>
            <w:r>
              <w:rPr>
                <w:rFonts w:hint="eastAsia" w:ascii="宋体" w:hAnsi="宋体" w:cs="宋体"/>
                <w:color w:val="auto"/>
                <w:kern w:val="0"/>
                <w:sz w:val="24"/>
                <w:szCs w:val="24"/>
                <w:highlight w:val="none"/>
                <w:lang w:val="en-US" w:eastAsia="zh-CN" w:bidi="ar"/>
              </w:rPr>
              <w:t>恶臭污染物排放标准</w:t>
            </w:r>
            <w:r>
              <w:rPr>
                <w:rFonts w:hint="eastAsia" w:ascii="宋体" w:hAnsi="宋体" w:eastAsia="宋体" w:cs="宋体"/>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GB14554-93</w:t>
            </w:r>
            <w:r>
              <w:rPr>
                <w:rFonts w:hint="eastAsia" w:ascii="宋体" w:hAnsi="宋体" w:eastAsia="宋体" w:cs="宋体"/>
                <w:color w:val="auto"/>
                <w:kern w:val="0"/>
                <w:sz w:val="24"/>
                <w:szCs w:val="24"/>
                <w:highlight w:val="none"/>
                <w:lang w:val="en-US" w:eastAsia="zh-CN" w:bidi="ar"/>
              </w:rPr>
              <w:t>）中的二级排放标准</w:t>
            </w:r>
            <w:r>
              <w:rPr>
                <w:rFonts w:hint="eastAsia" w:ascii="宋体" w:hAnsi="宋体" w:cs="宋体"/>
                <w:color w:val="auto"/>
                <w:kern w:val="0"/>
                <w:sz w:val="24"/>
                <w:szCs w:val="24"/>
                <w:highlight w:val="none"/>
                <w:lang w:val="en-US" w:eastAsia="zh-CN" w:bidi="ar"/>
              </w:rPr>
              <w:t>；</w:t>
            </w:r>
            <w:r>
              <w:rPr>
                <w:rFonts w:hint="default" w:ascii="Times New Roman" w:hAnsi="Times New Roman" w:cs="Times New Roman"/>
                <w:color w:val="auto"/>
                <w:kern w:val="2"/>
                <w:sz w:val="24"/>
                <w:szCs w:val="24"/>
                <w:highlight w:val="none"/>
                <w:lang w:val="en-US" w:eastAsia="zh-CN" w:bidi="ar-SA"/>
              </w:rPr>
              <w:t>无组织排放的氯化氢、硫酸雾</w:t>
            </w:r>
            <w:r>
              <w:rPr>
                <w:rFonts w:hint="eastAsia" w:cs="Times New Roman"/>
                <w:color w:val="auto"/>
                <w:kern w:val="2"/>
                <w:sz w:val="24"/>
                <w:szCs w:val="24"/>
                <w:highlight w:val="none"/>
                <w:lang w:val="en-US" w:eastAsia="zh-CN" w:bidi="ar-SA"/>
              </w:rPr>
              <w:t>、</w:t>
            </w:r>
            <w:r>
              <w:rPr>
                <w:rFonts w:hint="default" w:ascii="Times New Roman" w:hAnsi="Times New Roman" w:cs="Times New Roman"/>
                <w:color w:val="auto"/>
                <w:kern w:val="2"/>
                <w:sz w:val="24"/>
                <w:szCs w:val="24"/>
                <w:highlight w:val="none"/>
                <w:lang w:val="en-US" w:eastAsia="zh-CN" w:bidi="ar-SA"/>
              </w:rPr>
              <w:t>挥发性有机物（以非甲烷总烃计）</w:t>
            </w:r>
            <w:r>
              <w:rPr>
                <w:rFonts w:hint="eastAsia" w:cs="Times New Roman"/>
                <w:color w:val="auto"/>
                <w:kern w:val="2"/>
                <w:sz w:val="24"/>
                <w:szCs w:val="24"/>
                <w:highlight w:val="none"/>
                <w:lang w:val="en-US" w:eastAsia="zh-CN" w:bidi="ar-SA"/>
              </w:rPr>
              <w:t>和恶臭气体</w:t>
            </w:r>
            <w:r>
              <w:rPr>
                <w:rFonts w:hint="default" w:ascii="Times New Roman" w:hAnsi="Times New Roman" w:cs="Times New Roman"/>
                <w:color w:val="auto"/>
                <w:kern w:val="2"/>
                <w:sz w:val="24"/>
                <w:szCs w:val="24"/>
                <w:highlight w:val="none"/>
                <w:lang w:val="en-US" w:eastAsia="zh-CN" w:bidi="ar-SA"/>
              </w:rPr>
              <w:t>量很小，不会对区域大气环境质量造成显著的不利影响。</w:t>
            </w:r>
          </w:p>
          <w:p>
            <w:pPr>
              <w:pStyle w:val="4"/>
              <w:suppressLineNumbers w:val="0"/>
              <w:bidi w:val="0"/>
              <w:spacing w:beforeAutospacing="0" w:afterAutospacing="0"/>
              <w:ind w:right="0"/>
              <w:rPr>
                <w:rFonts w:hint="default"/>
                <w:color w:val="auto"/>
                <w:highlight w:val="none"/>
              </w:rPr>
            </w:pPr>
            <w:bookmarkStart w:id="85" w:name="_Toc4828"/>
            <w:bookmarkStart w:id="86" w:name="_Toc23509"/>
            <w:bookmarkStart w:id="87" w:name="_Toc23616"/>
            <w:bookmarkStart w:id="88" w:name="_Toc3663"/>
            <w:r>
              <w:rPr>
                <w:rFonts w:hint="default"/>
                <w:color w:val="auto"/>
                <w:highlight w:val="none"/>
              </w:rPr>
              <w:t>污染源监测</w:t>
            </w:r>
            <w:bookmarkEnd w:id="85"/>
            <w:bookmarkEnd w:id="86"/>
            <w:bookmarkEnd w:id="87"/>
            <w:bookmarkEnd w:id="88"/>
            <w:r>
              <w:rPr>
                <w:rFonts w:hint="default"/>
                <w:color w:val="auto"/>
                <w:highlight w:val="none"/>
              </w:rPr>
              <w:t>计划</w:t>
            </w:r>
          </w:p>
          <w:p>
            <w:pPr>
              <w:pStyle w:val="36"/>
              <w:keepNext w:val="0"/>
              <w:keepLines w:val="0"/>
              <w:suppressLineNumbers w:val="0"/>
              <w:bidi w:val="0"/>
              <w:spacing w:before="0" w:beforeAutospacing="0" w:after="0" w:afterAutospacing="0"/>
              <w:ind w:left="0" w:right="0"/>
              <w:rPr>
                <w:rFonts w:hint="default"/>
                <w:color w:val="auto"/>
                <w:highlight w:val="none"/>
              </w:rPr>
            </w:pPr>
            <w:r>
              <w:rPr>
                <w:rFonts w:hint="default"/>
                <w:color w:val="auto"/>
                <w:highlight w:val="none"/>
                <w:lang w:val="en-US" w:eastAsia="zh-CN"/>
              </w:rPr>
              <w:t>通过对照《排污单位自行监测技术指南 总则》（HJ819-2017）中相关规定，项目废气自行监测要求详见下表</w:t>
            </w:r>
            <w:r>
              <w:rPr>
                <w:rFonts w:hint="default"/>
                <w:color w:val="auto"/>
                <w:highlight w:val="none"/>
              </w:rPr>
              <w:t>。</w:t>
            </w:r>
          </w:p>
          <w:p>
            <w:pPr>
              <w:pStyle w:val="36"/>
              <w:keepNext w:val="0"/>
              <w:keepLines w:val="0"/>
              <w:suppressLineNumbers w:val="0"/>
              <w:bidi w:val="0"/>
              <w:spacing w:before="0" w:beforeAutospacing="0" w:after="0" w:afterAutospacing="0"/>
              <w:ind w:left="0" w:right="0"/>
              <w:rPr>
                <w:rFonts w:hint="default"/>
                <w:color w:val="auto"/>
                <w:highlight w:val="none"/>
              </w:rPr>
            </w:pPr>
          </w:p>
          <w:p>
            <w:pPr>
              <w:pStyle w:val="36"/>
              <w:keepNext w:val="0"/>
              <w:keepLines w:val="0"/>
              <w:suppressLineNumbers w:val="0"/>
              <w:bidi w:val="0"/>
              <w:spacing w:before="0" w:beforeAutospacing="0" w:after="0" w:afterAutospacing="0"/>
              <w:ind w:left="0" w:right="0"/>
              <w:rPr>
                <w:rFonts w:hint="default"/>
                <w:color w:val="auto"/>
                <w:highlight w:val="none"/>
              </w:rPr>
            </w:pPr>
          </w:p>
          <w:p>
            <w:pPr>
              <w:pStyle w:val="36"/>
              <w:keepNext w:val="0"/>
              <w:keepLines w:val="0"/>
              <w:suppressLineNumbers w:val="0"/>
              <w:bidi w:val="0"/>
              <w:spacing w:before="0" w:beforeAutospacing="0" w:after="0" w:afterAutospacing="0"/>
              <w:ind w:left="0" w:right="0"/>
              <w:rPr>
                <w:rFonts w:hint="default"/>
                <w:color w:val="auto"/>
                <w:highlight w:val="none"/>
              </w:rPr>
            </w:pPr>
          </w:p>
          <w:p>
            <w:pPr>
              <w:pStyle w:val="36"/>
              <w:keepNext w:val="0"/>
              <w:keepLines w:val="0"/>
              <w:suppressLineNumbers w:val="0"/>
              <w:bidi w:val="0"/>
              <w:spacing w:before="0" w:beforeAutospacing="0" w:after="0" w:afterAutospacing="0"/>
              <w:ind w:left="0" w:right="0"/>
              <w:rPr>
                <w:rFonts w:hint="default"/>
                <w:color w:val="auto"/>
                <w:highlight w:val="none"/>
              </w:rPr>
            </w:pP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157" w:beforeLines="50" w:beforeAutospacing="0" w:after="0" w:afterAutospacing="0"/>
              <w:ind w:right="0"/>
              <w:textAlignment w:val="auto"/>
              <w:rPr>
                <w:rFonts w:hint="default" w:ascii="Times New Roman" w:hAnsi="Times New Roman" w:eastAsia="宋体" w:cs="Times New Roman"/>
                <w:color w:val="auto"/>
                <w:highlight w:val="none"/>
                <w:lang w:val="en-US" w:eastAsia="zh-CN"/>
              </w:rPr>
            </w:pPr>
            <w:bookmarkStart w:id="89" w:name="_Ref3126"/>
            <w:r>
              <w:rPr>
                <w:rFonts w:hint="default" w:ascii="Times New Roman" w:hAnsi="Times New Roman" w:eastAsia="宋体" w:cs="Times New Roman"/>
                <w:color w:val="auto"/>
                <w:highlight w:val="none"/>
                <w:lang w:val="en-US" w:eastAsia="zh-CN"/>
              </w:rPr>
              <w:t>污染源监测计划</w:t>
            </w:r>
            <w:bookmarkEnd w:id="89"/>
          </w:p>
          <w:tbl>
            <w:tblPr>
              <w:tblStyle w:val="32"/>
              <w:tblW w:w="8132"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047"/>
              <w:gridCol w:w="1155"/>
              <w:gridCol w:w="1980"/>
              <w:gridCol w:w="3004"/>
              <w:gridCol w:w="946"/>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488" w:hRule="atLeast"/>
              </w:trPr>
              <w:tc>
                <w:tcPr>
                  <w:tcW w:w="1047" w:type="dxa"/>
                  <w:tcBorders>
                    <w:tl2br w:val="nil"/>
                    <w:tr2bl w:val="nil"/>
                  </w:tcBorders>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对象</w:t>
                  </w:r>
                </w:p>
              </w:tc>
              <w:tc>
                <w:tcPr>
                  <w:tcW w:w="1155" w:type="dxa"/>
                  <w:tcBorders>
                    <w:tl2br w:val="nil"/>
                    <w:tr2bl w:val="nil"/>
                  </w:tcBorders>
                  <w:tcMar>
                    <w:left w:w="6" w:type="dxa"/>
                    <w:right w:w="6"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监测点位</w:t>
                  </w:r>
                </w:p>
              </w:tc>
              <w:tc>
                <w:tcPr>
                  <w:tcW w:w="1980" w:type="dxa"/>
                  <w:tcBorders>
                    <w:tl2br w:val="nil"/>
                    <w:tr2bl w:val="nil"/>
                  </w:tcBorders>
                  <w:tcMar>
                    <w:left w:w="6" w:type="dxa"/>
                    <w:right w:w="6"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监测项目</w:t>
                  </w:r>
                </w:p>
              </w:tc>
              <w:tc>
                <w:tcPr>
                  <w:tcW w:w="3004" w:type="dxa"/>
                  <w:tcBorders>
                    <w:tl2br w:val="nil"/>
                    <w:tr2bl w:val="nil"/>
                  </w:tcBorders>
                  <w:tcMar>
                    <w:left w:w="6" w:type="dxa"/>
                    <w:right w:w="6"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执行标准</w:t>
                  </w:r>
                </w:p>
              </w:tc>
              <w:tc>
                <w:tcPr>
                  <w:tcW w:w="946" w:type="dxa"/>
                  <w:tcBorders>
                    <w:tl2br w:val="nil"/>
                    <w:tr2bl w:val="nil"/>
                  </w:tcBorders>
                  <w:tcMar>
                    <w:left w:w="6" w:type="dxa"/>
                    <w:right w:w="6"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监测频次</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59" w:hRule="atLeast"/>
              </w:trPr>
              <w:tc>
                <w:tcPr>
                  <w:tcW w:w="1047" w:type="dxa"/>
                  <w:vMerge w:val="restart"/>
                  <w:tcBorders>
                    <w:tl2br w:val="nil"/>
                    <w:tr2bl w:val="nil"/>
                  </w:tcBorders>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有组织废气</w:t>
                  </w:r>
                </w:p>
              </w:tc>
              <w:tc>
                <w:tcPr>
                  <w:tcW w:w="1155" w:type="dxa"/>
                  <w:tcBorders>
                    <w:bottom w:val="single" w:color="auto" w:sz="4" w:space="0"/>
                    <w:tl2br w:val="nil"/>
                    <w:tr2bl w:val="nil"/>
                  </w:tcBorders>
                  <w:tcMar>
                    <w:left w:w="6" w:type="dxa"/>
                    <w:right w:w="6" w:type="dxa"/>
                  </w:tcMar>
                  <w:vAlign w:val="center"/>
                </w:tcPr>
                <w:p>
                  <w:pPr>
                    <w:pStyle w:val="37"/>
                    <w:keepNext w:val="0"/>
                    <w:keepLines w:val="0"/>
                    <w:widowControl/>
                    <w:suppressLineNumbers w:val="0"/>
                    <w:tabs>
                      <w:tab w:val="left" w:pos="0"/>
                    </w:tabs>
                    <w:spacing w:before="0" w:beforeAutospacing="0" w:after="0" w:afterAutospacing="0"/>
                    <w:ind w:right="0"/>
                    <w:rPr>
                      <w:rFonts w:hint="eastAsia" w:ascii="Times New Roman" w:hAnsi="Times New Roman" w:eastAsia="宋体" w:cs="Times New Roman"/>
                      <w:color w:val="auto"/>
                      <w:szCs w:val="20"/>
                      <w:highlight w:val="none"/>
                      <w:lang w:eastAsia="zh-CN"/>
                    </w:rPr>
                  </w:pPr>
                  <w:r>
                    <w:rPr>
                      <w:rFonts w:hint="default" w:ascii="Times New Roman" w:hAnsi="Times New Roman" w:cs="Times New Roman"/>
                      <w:color w:val="auto"/>
                      <w:szCs w:val="20"/>
                      <w:highlight w:val="none"/>
                    </w:rPr>
                    <w:t>DA001</w:t>
                  </w:r>
                  <w:r>
                    <w:rPr>
                      <w:rFonts w:hint="eastAsia" w:cs="Times New Roman"/>
                      <w:color w:val="auto"/>
                      <w:szCs w:val="20"/>
                      <w:highlight w:val="none"/>
                      <w:lang w:eastAsia="zh-CN"/>
                    </w:rPr>
                    <w:t>、</w:t>
                  </w:r>
                  <w:r>
                    <w:rPr>
                      <w:rFonts w:hint="default" w:ascii="Times New Roman" w:hAnsi="Times New Roman" w:cs="Times New Roman"/>
                      <w:color w:val="auto"/>
                      <w:szCs w:val="20"/>
                      <w:highlight w:val="none"/>
                    </w:rPr>
                    <w:t>DA00</w:t>
                  </w:r>
                  <w:r>
                    <w:rPr>
                      <w:rFonts w:hint="eastAsia" w:cs="Times New Roman"/>
                      <w:color w:val="auto"/>
                      <w:szCs w:val="20"/>
                      <w:highlight w:val="none"/>
                      <w:lang w:val="en-US" w:eastAsia="zh-CN"/>
                    </w:rPr>
                    <w:t>2</w:t>
                  </w:r>
                </w:p>
              </w:tc>
              <w:tc>
                <w:tcPr>
                  <w:tcW w:w="1980" w:type="dxa"/>
                  <w:tcBorders>
                    <w:bottom w:val="single" w:color="auto" w:sz="4" w:space="0"/>
                    <w:tl2br w:val="nil"/>
                    <w:tr2bl w:val="nil"/>
                  </w:tcBorders>
                  <w:tcMar>
                    <w:left w:w="6" w:type="dxa"/>
                    <w:right w:w="6" w:type="dxa"/>
                  </w:tcMar>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ind w:left="63" w:leftChars="30" w:right="63" w:rightChars="30"/>
                    <w:textAlignment w:val="auto"/>
                    <w:rPr>
                      <w:rFonts w:hint="default" w:ascii="Times New Roman" w:hAnsi="Times New Roman" w:eastAsia="宋体" w:cs="Times New Roman"/>
                      <w:color w:val="auto"/>
                      <w:szCs w:val="20"/>
                      <w:highlight w:val="none"/>
                      <w:lang w:val="en-US" w:eastAsia="zh-CN"/>
                    </w:rPr>
                  </w:pPr>
                  <w:r>
                    <w:rPr>
                      <w:rFonts w:hint="default" w:ascii="Times New Roman" w:hAnsi="Times New Roman" w:eastAsia="宋体" w:cs="Times New Roman"/>
                      <w:color w:val="auto"/>
                      <w:szCs w:val="20"/>
                      <w:highlight w:val="none"/>
                      <w:lang w:val="en-US" w:eastAsia="zh-CN"/>
                    </w:rPr>
                    <w:t>氯化氢</w:t>
                  </w:r>
                  <w:r>
                    <w:rPr>
                      <w:rFonts w:hint="eastAsia" w:cs="Times New Roman"/>
                      <w:color w:val="auto"/>
                      <w:szCs w:val="20"/>
                      <w:highlight w:val="none"/>
                      <w:lang w:val="en-US" w:eastAsia="zh-CN"/>
                    </w:rPr>
                    <w:t>、</w:t>
                  </w:r>
                  <w:r>
                    <w:rPr>
                      <w:rFonts w:hint="default" w:ascii="Times New Roman" w:hAnsi="Times New Roman" w:cs="Times New Roman"/>
                      <w:color w:val="auto"/>
                      <w:szCs w:val="20"/>
                      <w:highlight w:val="none"/>
                      <w:lang w:val="en-US" w:eastAsia="zh-CN"/>
                    </w:rPr>
                    <w:t>硫酸雾</w:t>
                  </w:r>
                </w:p>
              </w:tc>
              <w:tc>
                <w:tcPr>
                  <w:tcW w:w="3004" w:type="dxa"/>
                  <w:tcBorders>
                    <w:tl2br w:val="nil"/>
                    <w:tr2bl w:val="nil"/>
                  </w:tcBorders>
                  <w:tcMar>
                    <w:left w:w="6" w:type="dxa"/>
                    <w:right w:w="6"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eastAsia="宋体" w:cs="Times New Roman"/>
                      <w:color w:val="auto"/>
                      <w:szCs w:val="20"/>
                      <w:highlight w:val="none"/>
                      <w:lang w:val="en-US" w:eastAsia="zh-CN"/>
                    </w:rPr>
                  </w:pPr>
                  <w:r>
                    <w:rPr>
                      <w:rFonts w:hint="default" w:ascii="Times New Roman" w:hAnsi="Times New Roman" w:eastAsia="宋体" w:cs="Times New Roman"/>
                      <w:color w:val="auto"/>
                      <w:szCs w:val="20"/>
                      <w:highlight w:val="none"/>
                      <w:lang w:val="en-US" w:eastAsia="zh-CN"/>
                    </w:rPr>
                    <w:t>《大气污染物综合排放标准》</w:t>
                  </w:r>
                  <w:r>
                    <w:rPr>
                      <w:rFonts w:hint="default" w:ascii="Times New Roman" w:hAnsi="Times New Roman" w:cs="Times New Roman"/>
                      <w:color w:val="auto"/>
                      <w:szCs w:val="20"/>
                      <w:highlight w:val="none"/>
                      <w:lang w:val="en-US" w:eastAsia="zh-CN"/>
                    </w:rPr>
                    <w:t>（</w:t>
                  </w:r>
                  <w:r>
                    <w:rPr>
                      <w:rFonts w:hint="default" w:ascii="Times New Roman" w:hAnsi="Times New Roman" w:eastAsia="宋体" w:cs="Times New Roman"/>
                      <w:color w:val="auto"/>
                      <w:szCs w:val="20"/>
                      <w:highlight w:val="none"/>
                      <w:lang w:val="en-US" w:eastAsia="zh-CN"/>
                    </w:rPr>
                    <w:t>GB16297-1996</w:t>
                  </w:r>
                  <w:r>
                    <w:rPr>
                      <w:rFonts w:hint="default" w:ascii="Times New Roman" w:hAnsi="Times New Roman" w:cs="Times New Roman"/>
                      <w:color w:val="auto"/>
                      <w:szCs w:val="20"/>
                      <w:highlight w:val="none"/>
                      <w:lang w:val="en-US" w:eastAsia="zh-CN"/>
                    </w:rPr>
                    <w:t>）</w:t>
                  </w:r>
                </w:p>
              </w:tc>
              <w:tc>
                <w:tcPr>
                  <w:tcW w:w="946" w:type="dxa"/>
                  <w:vMerge w:val="restart"/>
                  <w:tcBorders>
                    <w:tl2br w:val="nil"/>
                    <w:tr2bl w:val="nil"/>
                  </w:tcBorders>
                  <w:tcMar>
                    <w:left w:w="6" w:type="dxa"/>
                    <w:right w:w="6"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1次/年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34" w:hRule="atLeast"/>
              </w:trPr>
              <w:tc>
                <w:tcPr>
                  <w:tcW w:w="1047" w:type="dxa"/>
                  <w:vMerge w:val="continue"/>
                  <w:tcBorders>
                    <w:tl2br w:val="nil"/>
                    <w:tr2bl w:val="nil"/>
                  </w:tcBorders>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0"/>
                      <w:highlight w:val="none"/>
                    </w:rPr>
                  </w:pPr>
                </w:p>
              </w:tc>
              <w:tc>
                <w:tcPr>
                  <w:tcW w:w="1155" w:type="dxa"/>
                  <w:vMerge w:val="restart"/>
                  <w:tcBorders>
                    <w:tl2br w:val="nil"/>
                    <w:tr2bl w:val="nil"/>
                  </w:tcBorders>
                  <w:tcMar>
                    <w:left w:w="6" w:type="dxa"/>
                    <w:right w:w="6" w:type="dxa"/>
                  </w:tcMar>
                  <w:vAlign w:val="center"/>
                </w:tcPr>
                <w:p>
                  <w:pPr>
                    <w:pStyle w:val="37"/>
                    <w:keepNext w:val="0"/>
                    <w:keepLines w:val="0"/>
                    <w:widowControl/>
                    <w:suppressLineNumbers w:val="0"/>
                    <w:tabs>
                      <w:tab w:val="left" w:pos="0"/>
                    </w:tabs>
                    <w:spacing w:before="0" w:beforeAutospacing="0" w:after="0" w:afterAutospacing="0"/>
                    <w:ind w:right="0"/>
                    <w:rPr>
                      <w:rFonts w:hint="eastAsia" w:ascii="Times New Roman" w:hAnsi="Times New Roman" w:eastAsia="宋体" w:cs="Times New Roman"/>
                      <w:color w:val="auto"/>
                      <w:szCs w:val="20"/>
                      <w:highlight w:val="none"/>
                      <w:lang w:eastAsia="zh-CN"/>
                    </w:rPr>
                  </w:pPr>
                  <w:r>
                    <w:rPr>
                      <w:rFonts w:hint="default" w:ascii="Times New Roman" w:hAnsi="Times New Roman" w:cs="Times New Roman"/>
                      <w:color w:val="auto"/>
                      <w:szCs w:val="20"/>
                      <w:highlight w:val="none"/>
                    </w:rPr>
                    <w:t>DA00</w:t>
                  </w:r>
                  <w:r>
                    <w:rPr>
                      <w:rFonts w:hint="eastAsia" w:cs="Times New Roman"/>
                      <w:color w:val="auto"/>
                      <w:szCs w:val="20"/>
                      <w:highlight w:val="none"/>
                      <w:lang w:val="en-US" w:eastAsia="zh-CN"/>
                    </w:rPr>
                    <w:t>3</w:t>
                  </w:r>
                  <w:r>
                    <w:rPr>
                      <w:rFonts w:hint="eastAsia" w:cs="Times New Roman"/>
                      <w:color w:val="auto"/>
                      <w:szCs w:val="20"/>
                      <w:highlight w:val="none"/>
                      <w:lang w:eastAsia="zh-CN"/>
                    </w:rPr>
                    <w:t>、</w:t>
                  </w:r>
                  <w:r>
                    <w:rPr>
                      <w:rFonts w:hint="default" w:ascii="Times New Roman" w:hAnsi="Times New Roman" w:cs="Times New Roman"/>
                      <w:color w:val="auto"/>
                      <w:szCs w:val="20"/>
                      <w:highlight w:val="none"/>
                    </w:rPr>
                    <w:t>DA00</w:t>
                  </w:r>
                  <w:r>
                    <w:rPr>
                      <w:rFonts w:hint="eastAsia" w:cs="Times New Roman"/>
                      <w:color w:val="auto"/>
                      <w:szCs w:val="20"/>
                      <w:highlight w:val="none"/>
                      <w:lang w:val="en-US" w:eastAsia="zh-CN"/>
                    </w:rPr>
                    <w:t>4</w:t>
                  </w:r>
                </w:p>
              </w:tc>
              <w:tc>
                <w:tcPr>
                  <w:tcW w:w="1980" w:type="dxa"/>
                  <w:tcBorders>
                    <w:bottom w:val="single" w:color="auto" w:sz="4" w:space="0"/>
                    <w:tl2br w:val="nil"/>
                    <w:tr2bl w:val="nil"/>
                  </w:tcBorders>
                  <w:tcMar>
                    <w:left w:w="6" w:type="dxa"/>
                    <w:right w:w="6" w:type="dxa"/>
                  </w:tcMar>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ind w:left="63" w:leftChars="30" w:right="63" w:rightChars="30"/>
                    <w:textAlignment w:val="auto"/>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非甲烷总烃</w:t>
                  </w:r>
                </w:p>
              </w:tc>
              <w:tc>
                <w:tcPr>
                  <w:tcW w:w="3004" w:type="dxa"/>
                  <w:tcBorders>
                    <w:tl2br w:val="nil"/>
                    <w:tr2bl w:val="nil"/>
                  </w:tcBorders>
                  <w:tcMar>
                    <w:left w:w="6" w:type="dxa"/>
                    <w:right w:w="6"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eastAsia="宋体" w:cs="Times New Roman"/>
                      <w:color w:val="auto"/>
                      <w:szCs w:val="20"/>
                      <w:highlight w:val="none"/>
                      <w:lang w:val="en-US" w:eastAsia="zh-CN"/>
                    </w:rPr>
                  </w:pPr>
                  <w:r>
                    <w:rPr>
                      <w:rFonts w:hint="default" w:ascii="Times New Roman" w:hAnsi="Times New Roman" w:eastAsia="宋体" w:cs="Times New Roman"/>
                      <w:color w:val="auto"/>
                      <w:szCs w:val="20"/>
                      <w:highlight w:val="none"/>
                      <w:lang w:val="en-US" w:eastAsia="zh-CN"/>
                    </w:rPr>
                    <w:t>《大气污染物综合排放标准》</w:t>
                  </w:r>
                  <w:r>
                    <w:rPr>
                      <w:rFonts w:hint="default" w:ascii="Times New Roman" w:hAnsi="Times New Roman" w:cs="Times New Roman"/>
                      <w:color w:val="auto"/>
                      <w:szCs w:val="20"/>
                      <w:highlight w:val="none"/>
                      <w:lang w:val="en-US" w:eastAsia="zh-CN"/>
                    </w:rPr>
                    <w:t>（</w:t>
                  </w:r>
                  <w:r>
                    <w:rPr>
                      <w:rFonts w:hint="default" w:ascii="Times New Roman" w:hAnsi="Times New Roman" w:eastAsia="宋体" w:cs="Times New Roman"/>
                      <w:color w:val="auto"/>
                      <w:szCs w:val="20"/>
                      <w:highlight w:val="none"/>
                      <w:lang w:val="en-US" w:eastAsia="zh-CN"/>
                    </w:rPr>
                    <w:t>GB16297-1996</w:t>
                  </w:r>
                  <w:r>
                    <w:rPr>
                      <w:rFonts w:hint="default" w:ascii="Times New Roman" w:hAnsi="Times New Roman" w:cs="Times New Roman"/>
                      <w:color w:val="auto"/>
                      <w:szCs w:val="20"/>
                      <w:highlight w:val="none"/>
                      <w:lang w:val="en-US" w:eastAsia="zh-CN"/>
                    </w:rPr>
                    <w:t>）</w:t>
                  </w:r>
                </w:p>
              </w:tc>
              <w:tc>
                <w:tcPr>
                  <w:tcW w:w="946" w:type="dxa"/>
                  <w:vMerge w:val="continue"/>
                  <w:tcBorders>
                    <w:tl2br w:val="nil"/>
                    <w:tr2bl w:val="nil"/>
                  </w:tcBorders>
                  <w:tcMar>
                    <w:left w:w="6" w:type="dxa"/>
                    <w:right w:w="6"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29" w:hRule="atLeast"/>
              </w:trPr>
              <w:tc>
                <w:tcPr>
                  <w:tcW w:w="1047" w:type="dxa"/>
                  <w:vMerge w:val="continue"/>
                  <w:tcBorders>
                    <w:tl2br w:val="nil"/>
                    <w:tr2bl w:val="nil"/>
                  </w:tcBorders>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0"/>
                      <w:highlight w:val="none"/>
                    </w:rPr>
                  </w:pPr>
                </w:p>
              </w:tc>
              <w:tc>
                <w:tcPr>
                  <w:tcW w:w="1155" w:type="dxa"/>
                  <w:vMerge w:val="continue"/>
                  <w:tcBorders>
                    <w:tl2br w:val="nil"/>
                    <w:tr2bl w:val="nil"/>
                  </w:tcBorders>
                  <w:tcMar>
                    <w:left w:w="6" w:type="dxa"/>
                    <w:right w:w="6" w:type="dxa"/>
                  </w:tcMar>
                  <w:vAlign w:val="center"/>
                </w:tcPr>
                <w:p>
                  <w:pPr>
                    <w:pStyle w:val="37"/>
                    <w:keepNext w:val="0"/>
                    <w:keepLines w:val="0"/>
                    <w:widowControl/>
                    <w:suppressLineNumbers w:val="0"/>
                    <w:tabs>
                      <w:tab w:val="left" w:pos="0"/>
                    </w:tabs>
                    <w:spacing w:before="0" w:beforeAutospacing="0" w:after="0" w:afterAutospacing="0"/>
                    <w:ind w:right="0"/>
                    <w:rPr>
                      <w:rFonts w:hint="eastAsia" w:ascii="Times New Roman" w:hAnsi="Times New Roman" w:eastAsia="宋体" w:cs="Times New Roman"/>
                      <w:color w:val="auto"/>
                      <w:szCs w:val="20"/>
                      <w:highlight w:val="none"/>
                      <w:lang w:eastAsia="zh-CN"/>
                    </w:rPr>
                  </w:pPr>
                </w:p>
              </w:tc>
              <w:tc>
                <w:tcPr>
                  <w:tcW w:w="1980" w:type="dxa"/>
                  <w:tcBorders>
                    <w:top w:val="single" w:color="auto" w:sz="4" w:space="0"/>
                    <w:tl2br w:val="nil"/>
                    <w:tr2bl w:val="nil"/>
                  </w:tcBorders>
                  <w:tcMar>
                    <w:left w:w="6" w:type="dxa"/>
                    <w:right w:w="6" w:type="dxa"/>
                  </w:tcMar>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ind w:right="63" w:rightChars="30"/>
                    <w:jc w:val="center"/>
                    <w:textAlignment w:val="auto"/>
                    <w:rPr>
                      <w:rFonts w:hint="default" w:ascii="Times New Roman" w:hAnsi="Times New Roman" w:eastAsia="宋体" w:cs="Times New Roman"/>
                      <w:color w:val="auto"/>
                      <w:szCs w:val="20"/>
                      <w:highlight w:val="none"/>
                      <w:lang w:val="en-US" w:eastAsia="zh-CN"/>
                    </w:rPr>
                  </w:pPr>
                  <w:r>
                    <w:rPr>
                      <w:rFonts w:hint="eastAsia" w:cs="Times New Roman"/>
                      <w:color w:val="auto"/>
                      <w:szCs w:val="20"/>
                      <w:highlight w:val="none"/>
                      <w:lang w:val="en-US" w:eastAsia="zh-CN"/>
                    </w:rPr>
                    <w:t>氨、臭气浓度</w:t>
                  </w:r>
                </w:p>
              </w:tc>
              <w:tc>
                <w:tcPr>
                  <w:tcW w:w="3004" w:type="dxa"/>
                  <w:tcBorders>
                    <w:tl2br w:val="nil"/>
                    <w:tr2bl w:val="nil"/>
                  </w:tcBorders>
                  <w:tcMar>
                    <w:left w:w="6" w:type="dxa"/>
                    <w:right w:w="6"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eastAsia="宋体" w:cs="Times New Roman"/>
                      <w:color w:val="auto"/>
                      <w:szCs w:val="20"/>
                      <w:highlight w:val="none"/>
                      <w:lang w:val="en-US" w:eastAsia="zh-CN"/>
                    </w:rPr>
                  </w:pPr>
                  <w:r>
                    <w:rPr>
                      <w:rFonts w:hint="eastAsia"/>
                      <w:color w:val="auto"/>
                      <w:szCs w:val="20"/>
                      <w:highlight w:val="none"/>
                      <w:lang w:val="en-US" w:eastAsia="zh-CN"/>
                    </w:rPr>
                    <w:t>《恶臭污染物排放标准》（</w:t>
                  </w:r>
                  <w:r>
                    <w:rPr>
                      <w:rFonts w:hint="default"/>
                      <w:color w:val="auto"/>
                      <w:szCs w:val="20"/>
                      <w:highlight w:val="none"/>
                      <w:lang w:val="en-US" w:eastAsia="zh-CN"/>
                    </w:rPr>
                    <w:t>GB14554-93</w:t>
                  </w:r>
                  <w:r>
                    <w:rPr>
                      <w:rFonts w:hint="eastAsia"/>
                      <w:color w:val="auto"/>
                      <w:szCs w:val="20"/>
                      <w:highlight w:val="none"/>
                      <w:lang w:val="en-US" w:eastAsia="zh-CN"/>
                    </w:rPr>
                    <w:t>）</w:t>
                  </w:r>
                </w:p>
              </w:tc>
              <w:tc>
                <w:tcPr>
                  <w:tcW w:w="946" w:type="dxa"/>
                  <w:vMerge w:val="continue"/>
                  <w:tcBorders>
                    <w:tl2br w:val="nil"/>
                    <w:tr2bl w:val="nil"/>
                  </w:tcBorders>
                  <w:tcMar>
                    <w:left w:w="6" w:type="dxa"/>
                    <w:right w:w="6"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29" w:hRule="atLeast"/>
              </w:trPr>
              <w:tc>
                <w:tcPr>
                  <w:tcW w:w="1047" w:type="dxa"/>
                  <w:vMerge w:val="restart"/>
                  <w:tcBorders>
                    <w:tl2br w:val="nil"/>
                    <w:tr2bl w:val="nil"/>
                  </w:tcBorders>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eastAsia="宋体" w:cs="Times New Roman"/>
                      <w:color w:val="auto"/>
                      <w:szCs w:val="20"/>
                      <w:highlight w:val="none"/>
                      <w:lang w:val="en-US" w:eastAsia="zh-CN"/>
                    </w:rPr>
                  </w:pPr>
                  <w:r>
                    <w:rPr>
                      <w:rFonts w:hint="eastAsia" w:cs="Times New Roman"/>
                      <w:color w:val="auto"/>
                      <w:szCs w:val="20"/>
                      <w:highlight w:val="none"/>
                      <w:lang w:val="en-US" w:eastAsia="zh-CN"/>
                    </w:rPr>
                    <w:t>无组织废气</w:t>
                  </w:r>
                </w:p>
              </w:tc>
              <w:tc>
                <w:tcPr>
                  <w:tcW w:w="1155" w:type="dxa"/>
                  <w:vMerge w:val="restart"/>
                  <w:tcBorders>
                    <w:tl2br w:val="nil"/>
                    <w:tr2bl w:val="nil"/>
                  </w:tcBorders>
                  <w:tcMar>
                    <w:left w:w="6" w:type="dxa"/>
                    <w:right w:w="6" w:type="dxa"/>
                  </w:tcMar>
                  <w:vAlign w:val="center"/>
                </w:tcPr>
                <w:p>
                  <w:pPr>
                    <w:pStyle w:val="37"/>
                    <w:keepNext w:val="0"/>
                    <w:keepLines w:val="0"/>
                    <w:widowControl/>
                    <w:suppressLineNumbers w:val="0"/>
                    <w:tabs>
                      <w:tab w:val="left" w:pos="0"/>
                    </w:tabs>
                    <w:spacing w:before="0" w:beforeAutospacing="0" w:after="0" w:afterAutospacing="0"/>
                    <w:ind w:right="0"/>
                    <w:rPr>
                      <w:rFonts w:hint="eastAsia" w:ascii="Times New Roman" w:hAnsi="Times New Roman" w:eastAsia="宋体" w:cs="Times New Roman"/>
                      <w:color w:val="auto"/>
                      <w:szCs w:val="20"/>
                      <w:highlight w:val="none"/>
                      <w:lang w:val="en-US" w:eastAsia="zh-CN"/>
                    </w:rPr>
                  </w:pPr>
                  <w:r>
                    <w:rPr>
                      <w:rFonts w:hint="eastAsia" w:cs="Times New Roman"/>
                      <w:color w:val="auto"/>
                      <w:szCs w:val="20"/>
                      <w:highlight w:val="none"/>
                      <w:lang w:val="en-US" w:eastAsia="zh-CN"/>
                    </w:rPr>
                    <w:t>厂界</w:t>
                  </w:r>
                </w:p>
              </w:tc>
              <w:tc>
                <w:tcPr>
                  <w:tcW w:w="1980" w:type="dxa"/>
                  <w:tcBorders>
                    <w:tl2br w:val="nil"/>
                    <w:tr2bl w:val="nil"/>
                  </w:tcBorders>
                  <w:tcMar>
                    <w:left w:w="6" w:type="dxa"/>
                    <w:right w:w="6" w:type="dxa"/>
                  </w:tcMar>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ind w:left="63" w:leftChars="30" w:right="63" w:rightChars="30"/>
                    <w:textAlignment w:val="auto"/>
                    <w:rPr>
                      <w:rFonts w:hint="default" w:ascii="Times New Roman" w:hAnsi="Times New Roman" w:cs="Times New Roman"/>
                      <w:color w:val="auto"/>
                      <w:szCs w:val="20"/>
                      <w:highlight w:val="none"/>
                      <w:lang w:val="en-US" w:eastAsia="zh-CN"/>
                    </w:rPr>
                  </w:pPr>
                  <w:r>
                    <w:rPr>
                      <w:rFonts w:hint="default" w:ascii="Times New Roman" w:hAnsi="Times New Roman" w:eastAsia="宋体" w:cs="Times New Roman"/>
                      <w:color w:val="auto"/>
                      <w:szCs w:val="20"/>
                      <w:highlight w:val="none"/>
                      <w:lang w:val="en-US" w:eastAsia="zh-CN"/>
                    </w:rPr>
                    <w:t>氯化氢</w:t>
                  </w:r>
                  <w:r>
                    <w:rPr>
                      <w:rFonts w:hint="eastAsia" w:cs="Times New Roman"/>
                      <w:color w:val="auto"/>
                      <w:szCs w:val="20"/>
                      <w:highlight w:val="none"/>
                      <w:lang w:val="en-US" w:eastAsia="zh-CN"/>
                    </w:rPr>
                    <w:t>、</w:t>
                  </w:r>
                  <w:r>
                    <w:rPr>
                      <w:rFonts w:hint="default" w:ascii="Times New Roman" w:hAnsi="Times New Roman" w:cs="Times New Roman"/>
                      <w:color w:val="auto"/>
                      <w:szCs w:val="20"/>
                      <w:highlight w:val="none"/>
                      <w:lang w:val="en-US" w:eastAsia="zh-CN"/>
                    </w:rPr>
                    <w:t>硫酸雾</w:t>
                  </w:r>
                  <w:r>
                    <w:rPr>
                      <w:rFonts w:hint="eastAsia" w:ascii="Times New Roman" w:hAnsi="Times New Roman" w:cs="Times New Roman"/>
                      <w:color w:val="auto"/>
                      <w:szCs w:val="20"/>
                      <w:highlight w:val="none"/>
                      <w:lang w:val="en-US" w:eastAsia="zh-CN"/>
                    </w:rPr>
                    <w:t>、</w:t>
                  </w:r>
                  <w:r>
                    <w:rPr>
                      <w:rFonts w:hint="default" w:ascii="Times New Roman" w:hAnsi="Times New Roman" w:cs="Times New Roman"/>
                      <w:color w:val="auto"/>
                      <w:szCs w:val="20"/>
                      <w:highlight w:val="none"/>
                      <w:lang w:val="en-US" w:eastAsia="zh-CN"/>
                    </w:rPr>
                    <w:t>非甲烷总烃</w:t>
                  </w:r>
                </w:p>
              </w:tc>
              <w:tc>
                <w:tcPr>
                  <w:tcW w:w="3004" w:type="dxa"/>
                  <w:tcBorders>
                    <w:tl2br w:val="nil"/>
                    <w:tr2bl w:val="nil"/>
                  </w:tcBorders>
                  <w:tcMar>
                    <w:left w:w="6" w:type="dxa"/>
                    <w:right w:w="6" w:type="dxa"/>
                  </w:tcMar>
                  <w:vAlign w:val="center"/>
                </w:tcPr>
                <w:p>
                  <w:pPr>
                    <w:pStyle w:val="37"/>
                    <w:keepNext w:val="0"/>
                    <w:keepLines w:val="0"/>
                    <w:widowControl/>
                    <w:suppressLineNumbers w:val="0"/>
                    <w:tabs>
                      <w:tab w:val="left" w:pos="0"/>
                    </w:tabs>
                    <w:spacing w:before="0" w:beforeAutospacing="0" w:after="0" w:afterAutospacing="0"/>
                    <w:ind w:left="0" w:leftChars="0" w:right="0" w:rightChars="0" w:firstLine="0" w:firstLineChars="0"/>
                    <w:rPr>
                      <w:rFonts w:hint="default" w:ascii="Times New Roman" w:hAnsi="Times New Roman" w:cs="Times New Roman"/>
                      <w:color w:val="auto"/>
                      <w:szCs w:val="20"/>
                      <w:highlight w:val="none"/>
                      <w:lang w:val="en-US"/>
                    </w:rPr>
                  </w:pPr>
                  <w:r>
                    <w:rPr>
                      <w:rFonts w:hint="default" w:ascii="Times New Roman" w:hAnsi="Times New Roman" w:eastAsia="宋体" w:cs="Times New Roman"/>
                      <w:color w:val="auto"/>
                      <w:szCs w:val="20"/>
                      <w:highlight w:val="none"/>
                      <w:lang w:val="en-US" w:eastAsia="zh-CN"/>
                    </w:rPr>
                    <w:t>《大气污染物综合排放标准》</w:t>
                  </w:r>
                  <w:r>
                    <w:rPr>
                      <w:rFonts w:hint="default" w:ascii="Times New Roman" w:hAnsi="Times New Roman" w:cs="Times New Roman"/>
                      <w:color w:val="auto"/>
                      <w:szCs w:val="20"/>
                      <w:highlight w:val="none"/>
                      <w:lang w:val="en-US" w:eastAsia="zh-CN"/>
                    </w:rPr>
                    <w:t>（</w:t>
                  </w:r>
                  <w:r>
                    <w:rPr>
                      <w:rFonts w:hint="default" w:ascii="Times New Roman" w:hAnsi="Times New Roman" w:eastAsia="宋体" w:cs="Times New Roman"/>
                      <w:color w:val="auto"/>
                      <w:szCs w:val="20"/>
                      <w:highlight w:val="none"/>
                      <w:lang w:val="en-US" w:eastAsia="zh-CN"/>
                    </w:rPr>
                    <w:t>GB16297-1996</w:t>
                  </w:r>
                  <w:r>
                    <w:rPr>
                      <w:rFonts w:hint="default" w:ascii="Times New Roman" w:hAnsi="Times New Roman" w:cs="Times New Roman"/>
                      <w:color w:val="auto"/>
                      <w:szCs w:val="20"/>
                      <w:highlight w:val="none"/>
                      <w:lang w:val="en-US" w:eastAsia="zh-CN"/>
                    </w:rPr>
                    <w:t>）</w:t>
                  </w:r>
                </w:p>
              </w:tc>
              <w:tc>
                <w:tcPr>
                  <w:tcW w:w="946" w:type="dxa"/>
                  <w:vMerge w:val="continue"/>
                  <w:tcBorders>
                    <w:tl2br w:val="nil"/>
                    <w:tr2bl w:val="nil"/>
                  </w:tcBorders>
                  <w:tcMar>
                    <w:left w:w="6" w:type="dxa"/>
                    <w:right w:w="6"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0"/>
                      <w:highlight w:val="none"/>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04" w:hRule="atLeast"/>
              </w:trPr>
              <w:tc>
                <w:tcPr>
                  <w:tcW w:w="1047" w:type="dxa"/>
                  <w:vMerge w:val="continue"/>
                  <w:tcBorders>
                    <w:tl2br w:val="nil"/>
                    <w:tr2bl w:val="nil"/>
                  </w:tcBorders>
                  <w:vAlign w:val="center"/>
                </w:tcPr>
                <w:p>
                  <w:pPr>
                    <w:pStyle w:val="37"/>
                    <w:keepNext w:val="0"/>
                    <w:keepLines w:val="0"/>
                    <w:widowControl/>
                    <w:suppressLineNumbers w:val="0"/>
                    <w:tabs>
                      <w:tab w:val="left" w:pos="0"/>
                    </w:tabs>
                    <w:spacing w:before="0" w:beforeAutospacing="0" w:after="0" w:afterAutospacing="0"/>
                    <w:ind w:right="0"/>
                    <w:rPr>
                      <w:rFonts w:hint="eastAsia" w:cs="Times New Roman"/>
                      <w:color w:val="auto"/>
                      <w:szCs w:val="20"/>
                      <w:highlight w:val="none"/>
                      <w:lang w:val="en-US" w:eastAsia="zh-CN"/>
                    </w:rPr>
                  </w:pPr>
                </w:p>
              </w:tc>
              <w:tc>
                <w:tcPr>
                  <w:tcW w:w="1155" w:type="dxa"/>
                  <w:vMerge w:val="continue"/>
                  <w:tcBorders>
                    <w:tl2br w:val="nil"/>
                    <w:tr2bl w:val="nil"/>
                  </w:tcBorders>
                  <w:tcMar>
                    <w:left w:w="6" w:type="dxa"/>
                    <w:right w:w="6" w:type="dxa"/>
                  </w:tcMar>
                  <w:vAlign w:val="center"/>
                </w:tcPr>
                <w:p>
                  <w:pPr>
                    <w:pStyle w:val="37"/>
                    <w:keepNext w:val="0"/>
                    <w:keepLines w:val="0"/>
                    <w:widowControl/>
                    <w:suppressLineNumbers w:val="0"/>
                    <w:tabs>
                      <w:tab w:val="left" w:pos="0"/>
                    </w:tabs>
                    <w:spacing w:before="0" w:beforeAutospacing="0" w:after="0" w:afterAutospacing="0"/>
                    <w:ind w:right="0"/>
                    <w:rPr>
                      <w:rFonts w:hint="eastAsia" w:cs="Times New Roman"/>
                      <w:color w:val="auto"/>
                      <w:szCs w:val="20"/>
                      <w:highlight w:val="none"/>
                      <w:lang w:val="en-US" w:eastAsia="zh-CN"/>
                    </w:rPr>
                  </w:pPr>
                </w:p>
              </w:tc>
              <w:tc>
                <w:tcPr>
                  <w:tcW w:w="1980" w:type="dxa"/>
                  <w:tcBorders>
                    <w:tl2br w:val="nil"/>
                    <w:tr2bl w:val="nil"/>
                  </w:tcBorders>
                  <w:tcMar>
                    <w:left w:w="6" w:type="dxa"/>
                    <w:right w:w="6" w:type="dxa"/>
                  </w:tcMar>
                  <w:vAlign w:val="center"/>
                </w:tcPr>
                <w:p>
                  <w:pPr>
                    <w:pStyle w:val="37"/>
                    <w:keepNext w:val="0"/>
                    <w:keepLines w:val="0"/>
                    <w:pageBreakBefore w:val="0"/>
                    <w:widowControl/>
                    <w:suppressLineNumbers w:val="0"/>
                    <w:tabs>
                      <w:tab w:val="left" w:pos="0"/>
                    </w:tabs>
                    <w:kinsoku/>
                    <w:wordWrap/>
                    <w:overflowPunct/>
                    <w:topLinePunct w:val="0"/>
                    <w:autoSpaceDE/>
                    <w:autoSpaceDN/>
                    <w:bidi w:val="0"/>
                    <w:adjustRightInd/>
                    <w:snapToGrid/>
                    <w:spacing w:before="0" w:beforeAutospacing="0" w:after="0" w:afterAutospacing="0"/>
                    <w:ind w:left="63" w:leftChars="30" w:right="63" w:rightChars="30"/>
                    <w:textAlignment w:val="auto"/>
                    <w:rPr>
                      <w:rFonts w:hint="default" w:ascii="Times New Roman" w:hAnsi="Times New Roman" w:eastAsia="宋体" w:cs="Times New Roman"/>
                      <w:color w:val="auto"/>
                      <w:szCs w:val="20"/>
                      <w:highlight w:val="none"/>
                      <w:lang w:val="en-US" w:eastAsia="zh-CN"/>
                    </w:rPr>
                  </w:pPr>
                  <w:r>
                    <w:rPr>
                      <w:rFonts w:hint="eastAsia" w:cs="Times New Roman"/>
                      <w:color w:val="auto"/>
                      <w:szCs w:val="20"/>
                      <w:highlight w:val="none"/>
                      <w:lang w:val="en-US" w:eastAsia="zh-CN"/>
                    </w:rPr>
                    <w:t>氨、臭气浓度</w:t>
                  </w:r>
                </w:p>
              </w:tc>
              <w:tc>
                <w:tcPr>
                  <w:tcW w:w="3004" w:type="dxa"/>
                  <w:tcBorders>
                    <w:tl2br w:val="nil"/>
                    <w:tr2bl w:val="nil"/>
                  </w:tcBorders>
                  <w:tcMar>
                    <w:left w:w="6" w:type="dxa"/>
                    <w:right w:w="6" w:type="dxa"/>
                  </w:tcMar>
                  <w:vAlign w:val="center"/>
                </w:tcPr>
                <w:p>
                  <w:pPr>
                    <w:pStyle w:val="37"/>
                    <w:keepNext w:val="0"/>
                    <w:keepLines w:val="0"/>
                    <w:widowControl/>
                    <w:suppressLineNumbers w:val="0"/>
                    <w:tabs>
                      <w:tab w:val="left" w:pos="0"/>
                    </w:tabs>
                    <w:spacing w:before="0" w:beforeAutospacing="0" w:after="0" w:afterAutospacing="0"/>
                    <w:ind w:left="0" w:leftChars="0" w:right="0" w:rightChars="0" w:firstLine="0" w:firstLineChars="0"/>
                    <w:rPr>
                      <w:rFonts w:hint="default" w:ascii="Times New Roman" w:hAnsi="Times New Roman" w:cs="Times New Roman"/>
                      <w:color w:val="auto"/>
                      <w:szCs w:val="20"/>
                      <w:highlight w:val="none"/>
                      <w:lang w:val="en-US"/>
                    </w:rPr>
                  </w:pPr>
                  <w:r>
                    <w:rPr>
                      <w:rFonts w:hint="eastAsia"/>
                      <w:color w:val="auto"/>
                      <w:szCs w:val="20"/>
                      <w:highlight w:val="none"/>
                      <w:lang w:val="en-US" w:eastAsia="zh-CN"/>
                    </w:rPr>
                    <w:t>《恶臭污染物排放标准》（</w:t>
                  </w:r>
                  <w:r>
                    <w:rPr>
                      <w:rFonts w:hint="default"/>
                      <w:color w:val="auto"/>
                      <w:szCs w:val="20"/>
                      <w:highlight w:val="none"/>
                      <w:lang w:val="en-US" w:eastAsia="zh-CN"/>
                    </w:rPr>
                    <w:t>GB14554-93</w:t>
                  </w:r>
                  <w:r>
                    <w:rPr>
                      <w:rFonts w:hint="eastAsia"/>
                      <w:color w:val="auto"/>
                      <w:szCs w:val="20"/>
                      <w:highlight w:val="none"/>
                      <w:lang w:val="en-US" w:eastAsia="zh-CN"/>
                    </w:rPr>
                    <w:t>）</w:t>
                  </w:r>
                </w:p>
              </w:tc>
              <w:tc>
                <w:tcPr>
                  <w:tcW w:w="946" w:type="dxa"/>
                  <w:vMerge w:val="continue"/>
                  <w:tcBorders>
                    <w:tl2br w:val="nil"/>
                    <w:tr2bl w:val="nil"/>
                  </w:tcBorders>
                  <w:tcMar>
                    <w:left w:w="6" w:type="dxa"/>
                    <w:right w:w="6" w:type="dxa"/>
                  </w:tcMar>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0"/>
                      <w:highlight w:val="none"/>
                    </w:rPr>
                  </w:pPr>
                </w:p>
              </w:tc>
            </w:tr>
          </w:tbl>
          <w:p>
            <w:pPr>
              <w:pStyle w:val="3"/>
              <w:suppressLineNumbers w:val="0"/>
              <w:bidi w:val="0"/>
              <w:spacing w:beforeAutospacing="0" w:afterAutospacing="0"/>
              <w:ind w:right="0"/>
              <w:rPr>
                <w:rFonts w:hint="default"/>
                <w:color w:val="auto"/>
                <w:highlight w:val="none"/>
              </w:rPr>
            </w:pPr>
            <w:bookmarkStart w:id="90" w:name="_Toc22349"/>
            <w:r>
              <w:rPr>
                <w:rFonts w:hint="eastAsia"/>
                <w:color w:val="auto"/>
                <w:highlight w:val="none"/>
                <w:lang w:val="en-US" w:eastAsia="zh-CN"/>
              </w:rPr>
              <w:t>运营期地表水环境</w:t>
            </w:r>
            <w:r>
              <w:rPr>
                <w:rFonts w:hint="default"/>
                <w:color w:val="auto"/>
                <w:highlight w:val="none"/>
                <w:lang w:val="en-US" w:eastAsia="zh-CN"/>
              </w:rPr>
              <w:t>影响和保护措施</w:t>
            </w:r>
            <w:bookmarkEnd w:id="90"/>
          </w:p>
          <w:p>
            <w:pPr>
              <w:pStyle w:val="4"/>
              <w:suppressLineNumbers w:val="0"/>
              <w:bidi w:val="0"/>
              <w:spacing w:beforeAutospacing="0" w:afterAutospacing="0"/>
              <w:ind w:right="0"/>
              <w:rPr>
                <w:rFonts w:hint="default"/>
                <w:color w:val="auto"/>
                <w:highlight w:val="none"/>
                <w:lang w:val="en-US" w:eastAsia="zh-CN"/>
              </w:rPr>
            </w:pPr>
            <w:r>
              <w:rPr>
                <w:rFonts w:hint="eastAsia"/>
                <w:color w:val="auto"/>
                <w:highlight w:val="none"/>
                <w:lang w:val="en-US" w:eastAsia="zh-CN"/>
              </w:rPr>
              <w:t>废水污染源</w:t>
            </w:r>
            <w:r>
              <w:rPr>
                <w:rFonts w:hint="default"/>
                <w:color w:val="auto"/>
                <w:highlight w:val="none"/>
                <w:lang w:val="en-US" w:eastAsia="zh-CN"/>
              </w:rPr>
              <w:t>分析</w:t>
            </w:r>
          </w:p>
          <w:p>
            <w:pPr>
              <w:pStyle w:val="36"/>
              <w:keepNext w:val="0"/>
              <w:keepLines w:val="0"/>
              <w:suppressLineNumbers w:val="0"/>
              <w:bidi w:val="0"/>
              <w:spacing w:before="0" w:beforeAutospacing="0" w:after="0" w:afterAutospacing="0"/>
              <w:ind w:left="0" w:right="0"/>
              <w:rPr>
                <w:rFonts w:hint="eastAsia"/>
                <w:color w:val="auto"/>
                <w:highlight w:val="none"/>
                <w:lang w:val="en-US" w:eastAsia="zh-CN"/>
              </w:rPr>
            </w:pPr>
            <w:r>
              <w:rPr>
                <w:rFonts w:hint="eastAsia"/>
                <w:color w:val="auto"/>
                <w:highlight w:val="none"/>
                <w:lang w:val="en-US" w:eastAsia="zh-CN"/>
              </w:rPr>
              <w:t>本项目废水主要有实验器具清洗废水W1、仪器排水W2、水样排水W3、制纯浓水W4、生活污水W5。其中实验器具清洗废水W1先经过污水处理设施处理后再与其余废水一同排入化粪池。废水</w:t>
            </w:r>
            <w:r>
              <w:rPr>
                <w:rFonts w:hint="eastAsia"/>
                <w:color w:val="auto"/>
                <w:highlight w:val="none"/>
              </w:rPr>
              <w:t>治理设施</w:t>
            </w:r>
            <w:r>
              <w:rPr>
                <w:rFonts w:hint="eastAsia"/>
                <w:color w:val="auto"/>
                <w:highlight w:val="none"/>
                <w:lang w:eastAsia="zh-CN"/>
              </w:rPr>
              <w:t>、</w:t>
            </w:r>
            <w:r>
              <w:rPr>
                <w:rFonts w:hint="eastAsia"/>
                <w:color w:val="auto"/>
                <w:highlight w:val="none"/>
                <w:lang w:val="en-US" w:eastAsia="zh-CN"/>
              </w:rPr>
              <w:t>废水</w:t>
            </w:r>
            <w:r>
              <w:rPr>
                <w:rFonts w:hint="eastAsia"/>
                <w:color w:val="auto"/>
                <w:highlight w:val="none"/>
              </w:rPr>
              <w:t>污染物</w:t>
            </w:r>
            <w:r>
              <w:rPr>
                <w:rFonts w:hint="eastAsia"/>
                <w:color w:val="auto"/>
                <w:highlight w:val="none"/>
                <w:lang w:val="en-US" w:eastAsia="zh-CN"/>
              </w:rPr>
              <w:t>产排情况详见</w:t>
            </w:r>
            <w:r>
              <w:rPr>
                <w:rFonts w:hint="eastAsia"/>
                <w:color w:val="auto"/>
                <w:highlight w:val="none"/>
                <w:lang w:val="en-US" w:eastAsia="zh-CN"/>
              </w:rPr>
              <w:fldChar w:fldCharType="begin"/>
            </w:r>
            <w:r>
              <w:rPr>
                <w:rFonts w:hint="eastAsia"/>
                <w:color w:val="auto"/>
                <w:highlight w:val="none"/>
                <w:lang w:val="en-US" w:eastAsia="zh-CN"/>
              </w:rPr>
              <w:instrText xml:space="preserve"> REF _Ref22264 \n \h </w:instrText>
            </w:r>
            <w:r>
              <w:rPr>
                <w:rFonts w:hint="eastAsia"/>
                <w:color w:val="auto"/>
                <w:highlight w:val="none"/>
                <w:lang w:val="en-US" w:eastAsia="zh-CN"/>
              </w:rPr>
              <w:fldChar w:fldCharType="separate"/>
            </w:r>
            <w:r>
              <w:rPr>
                <w:rFonts w:hint="eastAsia"/>
                <w:color w:val="auto"/>
                <w:highlight w:val="none"/>
                <w:lang w:val="en-US" w:eastAsia="zh-CN"/>
              </w:rPr>
              <w:t>表4.3-1</w:t>
            </w:r>
            <w:r>
              <w:rPr>
                <w:rFonts w:hint="eastAsia"/>
                <w:color w:val="auto"/>
                <w:highlight w:val="none"/>
                <w:lang w:val="en-US" w:eastAsia="zh-CN"/>
              </w:rPr>
              <w:fldChar w:fldCharType="end"/>
            </w:r>
            <w:r>
              <w:rPr>
                <w:rFonts w:hint="eastAsia"/>
                <w:color w:val="auto"/>
                <w:highlight w:val="none"/>
                <w:lang w:val="en-US" w:eastAsia="zh-CN"/>
              </w:rPr>
              <w:t>、</w:t>
            </w:r>
            <w:r>
              <w:rPr>
                <w:rFonts w:hint="eastAsia"/>
                <w:color w:val="auto"/>
                <w:highlight w:val="none"/>
                <w:lang w:val="en-US" w:eastAsia="zh-CN"/>
              </w:rPr>
              <w:fldChar w:fldCharType="begin"/>
            </w:r>
            <w:r>
              <w:rPr>
                <w:rFonts w:hint="eastAsia"/>
                <w:color w:val="auto"/>
                <w:highlight w:val="none"/>
                <w:lang w:val="en-US" w:eastAsia="zh-CN"/>
              </w:rPr>
              <w:instrText xml:space="preserve"> REF _Ref32669 \n \h </w:instrText>
            </w:r>
            <w:r>
              <w:rPr>
                <w:rFonts w:hint="eastAsia"/>
                <w:color w:val="auto"/>
                <w:highlight w:val="none"/>
                <w:lang w:val="en-US" w:eastAsia="zh-CN"/>
              </w:rPr>
              <w:fldChar w:fldCharType="separate"/>
            </w:r>
            <w:r>
              <w:rPr>
                <w:rFonts w:hint="eastAsia"/>
                <w:color w:val="auto"/>
                <w:highlight w:val="none"/>
                <w:lang w:val="en-US" w:eastAsia="zh-CN"/>
              </w:rPr>
              <w:t>表4.3-2</w:t>
            </w:r>
            <w:r>
              <w:rPr>
                <w:rFonts w:hint="eastAsia"/>
                <w:color w:val="auto"/>
                <w:highlight w:val="none"/>
                <w:lang w:val="en-US" w:eastAsia="zh-CN"/>
              </w:rPr>
              <w:fldChar w:fldCharType="end"/>
            </w:r>
            <w:r>
              <w:rPr>
                <w:rFonts w:hint="eastAsia"/>
                <w:color w:val="auto"/>
                <w:highlight w:val="none"/>
                <w:lang w:val="en-US" w:eastAsia="zh-CN"/>
              </w:rPr>
              <w:t>。</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157" w:beforeLines="50" w:beforeAutospacing="0" w:after="0" w:afterAutospacing="0"/>
              <w:ind w:right="0"/>
              <w:textAlignment w:val="auto"/>
              <w:rPr>
                <w:rFonts w:hint="eastAsia" w:ascii="Times New Roman" w:hAnsi="Times New Roman" w:eastAsia="宋体" w:cs="Times New Roman"/>
                <w:color w:val="auto"/>
                <w:highlight w:val="none"/>
                <w:lang w:val="en-US" w:eastAsia="zh-CN"/>
              </w:rPr>
            </w:pPr>
            <w:bookmarkStart w:id="91" w:name="_Ref22264"/>
            <w:r>
              <w:rPr>
                <w:rFonts w:hint="eastAsia" w:ascii="Times New Roman" w:hAnsi="Times New Roman" w:eastAsia="宋体" w:cs="Times New Roman"/>
                <w:color w:val="auto"/>
                <w:highlight w:val="none"/>
                <w:lang w:val="en-US" w:eastAsia="zh-CN"/>
              </w:rPr>
              <w:t>项目废水治理设施一览表</w:t>
            </w:r>
            <w:bookmarkEnd w:id="91"/>
          </w:p>
          <w:tbl>
            <w:tblPr>
              <w:tblStyle w:val="32"/>
              <w:tblW w:w="813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094"/>
              <w:gridCol w:w="1027"/>
              <w:gridCol w:w="1049"/>
              <w:gridCol w:w="1177"/>
              <w:gridCol w:w="777"/>
              <w:gridCol w:w="2001"/>
              <w:gridCol w:w="10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295" w:hRule="atLeast"/>
                <w:tblHeader/>
                <w:jc w:val="center"/>
              </w:trPr>
              <w:tc>
                <w:tcPr>
                  <w:tcW w:w="1094" w:type="dxa"/>
                  <w:vMerge w:val="restart"/>
                  <w:vAlign w:val="center"/>
                </w:tcPr>
                <w:p>
                  <w:pPr>
                    <w:keepNext w:val="0"/>
                    <w:keepLines w:val="0"/>
                    <w:suppressLineNumbers w:val="0"/>
                    <w:spacing w:before="0" w:beforeAutospacing="0" w:after="0" w:afterAutospacing="0"/>
                    <w:ind w:left="0" w:right="0"/>
                    <w:jc w:val="center"/>
                    <w:rPr>
                      <w:rFonts w:hint="default"/>
                      <w:color w:val="auto"/>
                      <w:highlight w:val="none"/>
                    </w:rPr>
                  </w:pPr>
                  <w:r>
                    <w:rPr>
                      <w:rFonts w:hint="eastAsia"/>
                      <w:color w:val="auto"/>
                      <w:highlight w:val="none"/>
                    </w:rPr>
                    <w:t>污染源</w:t>
                  </w:r>
                </w:p>
              </w:tc>
              <w:tc>
                <w:tcPr>
                  <w:tcW w:w="1027" w:type="dxa"/>
                  <w:vMerge w:val="restart"/>
                  <w:vAlign w:val="center"/>
                </w:tcPr>
                <w:p>
                  <w:pPr>
                    <w:keepNext w:val="0"/>
                    <w:keepLines w:val="0"/>
                    <w:suppressLineNumbers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废水排放量t/a</w:t>
                  </w:r>
                </w:p>
              </w:tc>
              <w:tc>
                <w:tcPr>
                  <w:tcW w:w="1049" w:type="dxa"/>
                  <w:vMerge w:val="restart"/>
                  <w:vAlign w:val="center"/>
                </w:tcPr>
                <w:p>
                  <w:pPr>
                    <w:keepNext w:val="0"/>
                    <w:keepLines w:val="0"/>
                    <w:suppressLineNumbers w:val="0"/>
                    <w:spacing w:before="0" w:beforeAutospacing="0" w:after="0" w:afterAutospacing="0"/>
                    <w:ind w:left="0" w:right="0"/>
                    <w:jc w:val="center"/>
                    <w:rPr>
                      <w:rFonts w:hint="eastAsia"/>
                      <w:color w:val="auto"/>
                      <w:szCs w:val="21"/>
                      <w:highlight w:val="none"/>
                    </w:rPr>
                  </w:pPr>
                  <w:r>
                    <w:rPr>
                      <w:rFonts w:hint="eastAsia"/>
                      <w:color w:val="auto"/>
                      <w:szCs w:val="21"/>
                      <w:highlight w:val="none"/>
                    </w:rPr>
                    <w:t>污染物</w:t>
                  </w:r>
                </w:p>
                <w:p>
                  <w:pPr>
                    <w:keepNext w:val="0"/>
                    <w:keepLines w:val="0"/>
                    <w:suppressLineNumbers w:val="0"/>
                    <w:spacing w:before="0" w:beforeAutospacing="0" w:after="0" w:afterAutospacing="0"/>
                    <w:ind w:left="0" w:right="0"/>
                    <w:jc w:val="center"/>
                    <w:rPr>
                      <w:rFonts w:hint="default"/>
                      <w:color w:val="auto"/>
                      <w:highlight w:val="none"/>
                    </w:rPr>
                  </w:pPr>
                  <w:r>
                    <w:rPr>
                      <w:rFonts w:hint="eastAsia"/>
                      <w:color w:val="auto"/>
                      <w:szCs w:val="21"/>
                      <w:highlight w:val="none"/>
                      <w:lang w:val="en-US" w:eastAsia="zh-CN"/>
                    </w:rPr>
                    <w:t>种类</w:t>
                  </w:r>
                </w:p>
              </w:tc>
              <w:tc>
                <w:tcPr>
                  <w:tcW w:w="3955" w:type="dxa"/>
                  <w:gridSpan w:val="3"/>
                  <w:vAlign w:val="center"/>
                </w:tcPr>
                <w:p>
                  <w:pPr>
                    <w:keepNext w:val="0"/>
                    <w:keepLines w:val="0"/>
                    <w:suppressLineNumbers w:val="0"/>
                    <w:spacing w:before="0" w:beforeAutospacing="0" w:after="0" w:afterAutospacing="0"/>
                    <w:ind w:left="0" w:right="0"/>
                    <w:jc w:val="center"/>
                    <w:rPr>
                      <w:rFonts w:hint="default"/>
                      <w:color w:val="auto"/>
                      <w:highlight w:val="none"/>
                    </w:rPr>
                  </w:pPr>
                  <w:r>
                    <w:rPr>
                      <w:rFonts w:hint="default"/>
                      <w:color w:val="auto"/>
                      <w:highlight w:val="none"/>
                    </w:rPr>
                    <w:t>治理措施</w:t>
                  </w:r>
                </w:p>
              </w:tc>
              <w:tc>
                <w:tcPr>
                  <w:tcW w:w="1007" w:type="dxa"/>
                  <w:vMerge w:val="restart"/>
                  <w:vAlign w:val="center"/>
                </w:tcPr>
                <w:p>
                  <w:pPr>
                    <w:keepNext w:val="0"/>
                    <w:keepLines w:val="0"/>
                    <w:suppressLineNumbers w:val="0"/>
                    <w:spacing w:before="0" w:beforeAutospacing="0" w:after="0" w:afterAutospacing="0"/>
                    <w:ind w:left="0" w:right="0"/>
                    <w:jc w:val="center"/>
                    <w:rPr>
                      <w:rFonts w:hint="default"/>
                      <w:color w:val="auto"/>
                      <w:highlight w:val="none"/>
                    </w:rPr>
                  </w:pPr>
                  <w:r>
                    <w:rPr>
                      <w:rFonts w:hint="eastAsia"/>
                      <w:color w:val="auto"/>
                      <w:highlight w:val="none"/>
                    </w:rPr>
                    <w:t>是否为可行技术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30" w:hRule="atLeast"/>
                <w:tblHeader/>
                <w:jc w:val="center"/>
              </w:trPr>
              <w:tc>
                <w:tcPr>
                  <w:tcW w:w="1094" w:type="dxa"/>
                  <w:vMerge w:val="continue"/>
                  <w:vAlign w:val="center"/>
                </w:tcPr>
                <w:p>
                  <w:pPr>
                    <w:keepNext w:val="0"/>
                    <w:keepLines w:val="0"/>
                    <w:suppressLineNumbers w:val="0"/>
                    <w:spacing w:before="0" w:beforeAutospacing="0" w:after="0" w:afterAutospacing="0"/>
                    <w:ind w:left="0" w:right="0"/>
                    <w:jc w:val="center"/>
                    <w:rPr>
                      <w:rFonts w:hint="default"/>
                      <w:color w:val="auto"/>
                      <w:highlight w:val="none"/>
                    </w:rPr>
                  </w:pPr>
                </w:p>
              </w:tc>
              <w:tc>
                <w:tcPr>
                  <w:tcW w:w="1027" w:type="dxa"/>
                  <w:vMerge w:val="continue"/>
                  <w:vAlign w:val="center"/>
                </w:tcPr>
                <w:p>
                  <w:pPr>
                    <w:keepNext w:val="0"/>
                    <w:keepLines w:val="0"/>
                    <w:suppressLineNumbers w:val="0"/>
                    <w:spacing w:before="0" w:beforeAutospacing="0" w:after="0" w:afterAutospacing="0"/>
                    <w:ind w:left="0" w:right="0"/>
                    <w:jc w:val="center"/>
                    <w:rPr>
                      <w:rFonts w:hint="default"/>
                      <w:color w:val="auto"/>
                      <w:highlight w:val="none"/>
                    </w:rPr>
                  </w:pPr>
                </w:p>
              </w:tc>
              <w:tc>
                <w:tcPr>
                  <w:tcW w:w="1049" w:type="dxa"/>
                  <w:vMerge w:val="continue"/>
                  <w:vAlign w:val="center"/>
                </w:tcPr>
                <w:p>
                  <w:pPr>
                    <w:keepNext w:val="0"/>
                    <w:keepLines w:val="0"/>
                    <w:suppressLineNumbers w:val="0"/>
                    <w:spacing w:before="0" w:beforeAutospacing="0" w:after="0" w:afterAutospacing="0"/>
                    <w:ind w:left="0" w:right="0"/>
                    <w:jc w:val="center"/>
                    <w:rPr>
                      <w:rFonts w:hint="default"/>
                      <w:color w:val="auto"/>
                      <w:highlight w:val="none"/>
                    </w:rPr>
                  </w:pPr>
                </w:p>
              </w:tc>
              <w:tc>
                <w:tcPr>
                  <w:tcW w:w="1177" w:type="dxa"/>
                  <w:vAlign w:val="center"/>
                </w:tcPr>
                <w:p>
                  <w:pPr>
                    <w:keepNext w:val="0"/>
                    <w:keepLines w:val="0"/>
                    <w:suppressLineNumbers w:val="0"/>
                    <w:spacing w:before="0" w:beforeAutospacing="0" w:after="0" w:afterAutospacing="0"/>
                    <w:ind w:left="0" w:right="0"/>
                    <w:jc w:val="center"/>
                    <w:rPr>
                      <w:rFonts w:hint="default" w:eastAsia="宋体"/>
                      <w:color w:val="auto"/>
                      <w:highlight w:val="none"/>
                      <w:lang w:val="en-US" w:eastAsia="zh-CN"/>
                    </w:rPr>
                  </w:pPr>
                  <w:r>
                    <w:rPr>
                      <w:rFonts w:hint="eastAsia"/>
                      <w:color w:val="auto"/>
                      <w:highlight w:val="none"/>
                      <w:lang w:val="en-US" w:eastAsia="zh-CN"/>
                    </w:rPr>
                    <w:t>处理设施</w:t>
                  </w:r>
                </w:p>
              </w:tc>
              <w:tc>
                <w:tcPr>
                  <w:tcW w:w="777" w:type="dxa"/>
                  <w:vAlign w:val="center"/>
                </w:tcPr>
                <w:p>
                  <w:pPr>
                    <w:keepNext w:val="0"/>
                    <w:keepLines w:val="0"/>
                    <w:suppressLineNumbers w:val="0"/>
                    <w:spacing w:before="0" w:beforeAutospacing="0" w:after="0" w:afterAutospacing="0"/>
                    <w:ind w:left="0" w:right="0"/>
                    <w:jc w:val="center"/>
                    <w:rPr>
                      <w:rFonts w:hint="default"/>
                      <w:color w:val="auto"/>
                      <w:highlight w:val="none"/>
                    </w:rPr>
                  </w:pPr>
                  <w:r>
                    <w:rPr>
                      <w:rFonts w:hint="eastAsia"/>
                      <w:color w:val="auto"/>
                      <w:highlight w:val="none"/>
                      <w:lang w:val="en-US" w:eastAsia="zh-CN"/>
                    </w:rPr>
                    <w:t>规模</w:t>
                  </w:r>
                </w:p>
              </w:tc>
              <w:tc>
                <w:tcPr>
                  <w:tcW w:w="2001" w:type="dxa"/>
                  <w:vAlign w:val="center"/>
                </w:tcPr>
                <w:p>
                  <w:pPr>
                    <w:keepNext w:val="0"/>
                    <w:keepLines w:val="0"/>
                    <w:suppressLineNumbers w:val="0"/>
                    <w:spacing w:before="0" w:beforeAutospacing="0" w:after="0" w:afterAutospacing="0"/>
                    <w:ind w:left="0" w:right="0"/>
                    <w:jc w:val="center"/>
                    <w:rPr>
                      <w:rFonts w:hint="default"/>
                      <w:color w:val="auto"/>
                      <w:highlight w:val="none"/>
                    </w:rPr>
                  </w:pPr>
                  <w:r>
                    <w:rPr>
                      <w:rFonts w:hint="eastAsia"/>
                      <w:color w:val="auto"/>
                      <w:highlight w:val="none"/>
                      <w:lang w:val="en-US" w:eastAsia="zh-CN"/>
                    </w:rPr>
                    <w:t>工艺/</w:t>
                  </w:r>
                  <w:r>
                    <w:rPr>
                      <w:rFonts w:hint="eastAsia"/>
                      <w:color w:val="auto"/>
                      <w:highlight w:val="none"/>
                    </w:rPr>
                    <w:t>去除</w:t>
                  </w:r>
                  <w:r>
                    <w:rPr>
                      <w:rFonts w:hint="default"/>
                      <w:color w:val="auto"/>
                      <w:highlight w:val="none"/>
                    </w:rPr>
                    <w:t>效率%</w:t>
                  </w:r>
                </w:p>
              </w:tc>
              <w:tc>
                <w:tcPr>
                  <w:tcW w:w="1007" w:type="dxa"/>
                  <w:vMerge w:val="continue"/>
                  <w:vAlign w:val="center"/>
                </w:tcPr>
                <w:p>
                  <w:pPr>
                    <w:keepNext w:val="0"/>
                    <w:keepLines w:val="0"/>
                    <w:suppressLineNumbers w:val="0"/>
                    <w:spacing w:before="0" w:beforeAutospacing="0" w:after="0" w:afterAutospacing="0"/>
                    <w:ind w:left="0" w:right="0"/>
                    <w:jc w:val="center"/>
                    <w:rPr>
                      <w:rFonts w:hint="default"/>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06" w:hRule="exact"/>
                <w:jc w:val="center"/>
              </w:trPr>
              <w:tc>
                <w:tcPr>
                  <w:tcW w:w="1094" w:type="dxa"/>
                  <w:vMerge w:val="restart"/>
                  <w:vAlign w:val="center"/>
                </w:tcPr>
                <w:p>
                  <w:pPr>
                    <w:keepNext w:val="0"/>
                    <w:keepLines w:val="0"/>
                    <w:suppressLineNumbers w:val="0"/>
                    <w:spacing w:before="0" w:beforeAutospacing="0" w:after="0" w:afterAutospacing="0"/>
                    <w:ind w:left="0" w:right="0"/>
                    <w:jc w:val="center"/>
                    <w:rPr>
                      <w:rFonts w:hint="default" w:eastAsia="宋体"/>
                      <w:color w:val="auto"/>
                      <w:highlight w:val="none"/>
                      <w:lang w:val="en-US" w:eastAsia="zh-CN"/>
                    </w:rPr>
                  </w:pPr>
                  <w:r>
                    <w:rPr>
                      <w:rFonts w:hint="eastAsia"/>
                      <w:color w:val="auto"/>
                      <w:sz w:val="21"/>
                      <w:szCs w:val="21"/>
                      <w:highlight w:val="none"/>
                    </w:rPr>
                    <w:t>实验器具</w:t>
                  </w:r>
                  <w:r>
                    <w:rPr>
                      <w:rFonts w:hint="eastAsia"/>
                      <w:color w:val="auto"/>
                      <w:highlight w:val="none"/>
                      <w:lang w:val="en-US" w:eastAsia="zh-CN"/>
                    </w:rPr>
                    <w:t>清洗废水W1</w:t>
                  </w:r>
                </w:p>
              </w:tc>
              <w:tc>
                <w:tcPr>
                  <w:tcW w:w="1027" w:type="dxa"/>
                  <w:vMerge w:val="restart"/>
                  <w:vAlign w:val="center"/>
                </w:tcPr>
                <w:p>
                  <w:pPr>
                    <w:keepNext w:val="0"/>
                    <w:keepLines w:val="0"/>
                    <w:suppressLineNumbers w:val="0"/>
                    <w:adjustRightInd w:val="0"/>
                    <w:snapToGrid w:val="0"/>
                    <w:spacing w:before="0" w:beforeAutospacing="0" w:after="0" w:afterAutospacing="0"/>
                    <w:ind w:left="420" w:right="0" w:hanging="420"/>
                    <w:jc w:val="center"/>
                    <w:rPr>
                      <w:rFonts w:hint="default" w:eastAsia="宋体"/>
                      <w:color w:val="auto"/>
                      <w:szCs w:val="21"/>
                      <w:highlight w:val="none"/>
                      <w:lang w:val="en-US" w:eastAsia="zh-CN"/>
                    </w:rPr>
                  </w:pPr>
                  <w:r>
                    <w:rPr>
                      <w:rFonts w:hint="eastAsia"/>
                      <w:color w:val="auto"/>
                      <w:szCs w:val="21"/>
                      <w:highlight w:val="none"/>
                      <w:lang w:val="en-US" w:eastAsia="zh-CN"/>
                    </w:rPr>
                    <w:t>174</w:t>
                  </w:r>
                </w:p>
              </w:tc>
              <w:tc>
                <w:tcPr>
                  <w:tcW w:w="1049"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default"/>
                      <w:color w:val="auto"/>
                      <w:szCs w:val="21"/>
                      <w:highlight w:val="none"/>
                    </w:rPr>
                  </w:pPr>
                  <w:r>
                    <w:rPr>
                      <w:rFonts w:hint="eastAsia" w:ascii="Times New Roman" w:hAnsi="Times New Roman" w:eastAsia="宋体" w:cs="Times New Roman"/>
                      <w:color w:val="auto"/>
                      <w:szCs w:val="21"/>
                      <w:highlight w:val="none"/>
                      <w:lang w:val="en-US" w:eastAsia="zh-CN"/>
                    </w:rPr>
                    <w:t>COD</w:t>
                  </w:r>
                </w:p>
              </w:tc>
              <w:tc>
                <w:tcPr>
                  <w:tcW w:w="1177" w:type="dxa"/>
                  <w:vMerge w:val="restar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污水处理设施</w:t>
                  </w:r>
                </w:p>
              </w:tc>
              <w:tc>
                <w:tcPr>
                  <w:tcW w:w="777" w:type="dxa"/>
                  <w:vMerge w:val="restart"/>
                  <w:vAlign w:val="center"/>
                </w:tcPr>
                <w:p>
                  <w:pPr>
                    <w:keepNext w:val="0"/>
                    <w:keepLines w:val="0"/>
                    <w:suppressLineNumbers w:val="0"/>
                    <w:adjustRightInd w:val="0"/>
                    <w:snapToGrid w:val="0"/>
                    <w:spacing w:before="0" w:beforeAutospacing="0" w:after="0" w:afterAutospacing="0"/>
                    <w:ind w:left="420" w:right="0" w:hanging="420"/>
                    <w:jc w:val="center"/>
                    <w:rPr>
                      <w:rFonts w:hint="default" w:eastAsia="宋体"/>
                      <w:color w:val="auto"/>
                      <w:szCs w:val="21"/>
                      <w:highlight w:val="none"/>
                      <w:lang w:val="en-US" w:eastAsia="zh-CN"/>
                    </w:rPr>
                  </w:pPr>
                  <w:r>
                    <w:rPr>
                      <w:rFonts w:hint="eastAsia"/>
                      <w:color w:val="auto"/>
                      <w:szCs w:val="21"/>
                      <w:highlight w:val="none"/>
                      <w:lang w:val="en-US" w:eastAsia="zh-CN"/>
                    </w:rPr>
                    <w:t>1m</w:t>
                  </w:r>
                  <w:r>
                    <w:rPr>
                      <w:rFonts w:hint="eastAsia"/>
                      <w:color w:val="auto"/>
                      <w:szCs w:val="21"/>
                      <w:highlight w:val="none"/>
                      <w:vertAlign w:val="superscript"/>
                      <w:lang w:val="en-US" w:eastAsia="zh-CN"/>
                    </w:rPr>
                    <w:t>3</w:t>
                  </w:r>
                </w:p>
              </w:tc>
              <w:tc>
                <w:tcPr>
                  <w:tcW w:w="2001" w:type="dxa"/>
                  <w:vMerge w:val="restart"/>
                  <w:vAlign w:val="center"/>
                </w:tcPr>
                <w:p>
                  <w:pPr>
                    <w:pStyle w:val="37"/>
                    <w:keepNext w:val="0"/>
                    <w:keepLines w:val="0"/>
                    <w:widowControl/>
                    <w:suppressLineNumbers w:val="0"/>
                    <w:bidi w:val="0"/>
                    <w:spacing w:before="0" w:beforeAutospacing="0" w:after="0" w:afterAutospacing="0"/>
                    <w:ind w:right="0"/>
                    <w:rPr>
                      <w:rFonts w:hint="eastAsia" w:eastAsia="宋体"/>
                      <w:color w:val="auto"/>
                      <w:szCs w:val="21"/>
                      <w:highlight w:val="none"/>
                      <w:lang w:val="en-US" w:eastAsia="zh-CN"/>
                    </w:rPr>
                  </w:pPr>
                  <w:r>
                    <w:rPr>
                      <w:rFonts w:hint="eastAsia"/>
                      <w:color w:val="auto"/>
                      <w:szCs w:val="20"/>
                      <w:highlight w:val="none"/>
                      <w:lang w:val="en-US" w:eastAsia="zh-CN"/>
                    </w:rPr>
                    <w:t>预处理，调节pH值，重金属吸附，高级氧化，过滤，消毒</w:t>
                  </w:r>
                  <w:r>
                    <w:rPr>
                      <w:rFonts w:hint="eastAsia"/>
                      <w:color w:val="auto"/>
                      <w:szCs w:val="20"/>
                      <w:highlight w:val="none"/>
                      <w:lang w:eastAsia="zh-CN"/>
                    </w:rPr>
                    <w:t>（</w:t>
                  </w:r>
                  <w:r>
                    <w:rPr>
                      <w:rFonts w:hint="eastAsia"/>
                      <w:color w:val="auto"/>
                      <w:szCs w:val="20"/>
                      <w:highlight w:val="none"/>
                      <w:lang w:val="en-US" w:eastAsia="zh-CN"/>
                    </w:rPr>
                    <w:t>具体见</w:t>
                  </w:r>
                  <w:r>
                    <w:rPr>
                      <w:rFonts w:hint="eastAsia"/>
                      <w:color w:val="auto"/>
                      <w:szCs w:val="20"/>
                      <w:highlight w:val="none"/>
                      <w:lang w:val="en-US" w:eastAsia="zh-CN"/>
                    </w:rPr>
                    <w:fldChar w:fldCharType="begin"/>
                  </w:r>
                  <w:r>
                    <w:rPr>
                      <w:rFonts w:hint="eastAsia"/>
                      <w:color w:val="auto"/>
                      <w:szCs w:val="20"/>
                      <w:highlight w:val="none"/>
                      <w:lang w:val="en-US" w:eastAsia="zh-CN"/>
                    </w:rPr>
                    <w:instrText xml:space="preserve"> REF _Ref1492 \r \h </w:instrText>
                  </w:r>
                  <w:r>
                    <w:rPr>
                      <w:rFonts w:hint="eastAsia"/>
                      <w:color w:val="auto"/>
                      <w:szCs w:val="20"/>
                      <w:highlight w:val="none"/>
                      <w:lang w:val="en-US" w:eastAsia="zh-CN"/>
                    </w:rPr>
                    <w:fldChar w:fldCharType="separate"/>
                  </w:r>
                  <w:r>
                    <w:rPr>
                      <w:rFonts w:hint="eastAsia"/>
                      <w:color w:val="auto"/>
                      <w:szCs w:val="20"/>
                      <w:highlight w:val="none"/>
                      <w:lang w:val="en-US" w:eastAsia="zh-CN"/>
                    </w:rPr>
                    <w:t>图4.3-1</w:t>
                  </w:r>
                  <w:r>
                    <w:rPr>
                      <w:rFonts w:hint="eastAsia"/>
                      <w:color w:val="auto"/>
                      <w:szCs w:val="20"/>
                      <w:highlight w:val="none"/>
                      <w:lang w:val="en-US" w:eastAsia="zh-CN"/>
                    </w:rPr>
                    <w:fldChar w:fldCharType="end"/>
                  </w:r>
                  <w:r>
                    <w:rPr>
                      <w:rFonts w:hint="eastAsia"/>
                      <w:color w:val="auto"/>
                      <w:szCs w:val="20"/>
                      <w:highlight w:val="none"/>
                      <w:lang w:eastAsia="zh-CN"/>
                    </w:rPr>
                    <w:t>）</w:t>
                  </w:r>
                </w:p>
              </w:tc>
              <w:tc>
                <w:tcPr>
                  <w:tcW w:w="1007" w:type="dxa"/>
                  <w:vMerge w:val="restart"/>
                  <w:vAlign w:val="center"/>
                </w:tcPr>
                <w:p>
                  <w:pPr>
                    <w:keepNext w:val="0"/>
                    <w:keepLines w:val="0"/>
                    <w:suppressLineNumbers w:val="0"/>
                    <w:spacing w:before="0" w:beforeAutospacing="0" w:after="0" w:afterAutospacing="0"/>
                    <w:ind w:left="0" w:right="0"/>
                    <w:jc w:val="center"/>
                    <w:rPr>
                      <w:rFonts w:hint="default"/>
                      <w:color w:val="auto"/>
                      <w:highlight w:val="none"/>
                    </w:rPr>
                  </w:pPr>
                  <w:r>
                    <w:rPr>
                      <w:rFonts w:hint="eastAsia"/>
                      <w:color w:val="auto"/>
                      <w:highlight w:val="none"/>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06" w:hRule="exact"/>
                <w:jc w:val="center"/>
              </w:trPr>
              <w:tc>
                <w:tcPr>
                  <w:tcW w:w="1094" w:type="dxa"/>
                  <w:vMerge w:val="continue"/>
                  <w:vAlign w:val="center"/>
                </w:tcPr>
                <w:p>
                  <w:pPr>
                    <w:keepNext w:val="0"/>
                    <w:keepLines w:val="0"/>
                    <w:suppressLineNumbers w:val="0"/>
                    <w:spacing w:before="0" w:beforeAutospacing="0" w:after="0" w:afterAutospacing="0"/>
                    <w:ind w:left="0" w:right="0"/>
                    <w:jc w:val="center"/>
                    <w:rPr>
                      <w:rFonts w:hint="eastAsia"/>
                      <w:color w:val="auto"/>
                      <w:highlight w:val="none"/>
                      <w:lang w:val="en-US" w:eastAsia="zh-CN"/>
                    </w:rPr>
                  </w:pPr>
                </w:p>
              </w:tc>
              <w:tc>
                <w:tcPr>
                  <w:tcW w:w="1027" w:type="dxa"/>
                  <w:vMerge w:val="continue"/>
                  <w:vAlign w:val="center"/>
                </w:tcPr>
                <w:p>
                  <w:pPr>
                    <w:keepNext w:val="0"/>
                    <w:keepLines w:val="0"/>
                    <w:suppressLineNumbers w:val="0"/>
                    <w:adjustRightInd w:val="0"/>
                    <w:snapToGrid w:val="0"/>
                    <w:spacing w:before="0" w:beforeAutospacing="0" w:after="0" w:afterAutospacing="0"/>
                    <w:ind w:left="420" w:right="0" w:hanging="420"/>
                    <w:jc w:val="center"/>
                    <w:rPr>
                      <w:rFonts w:hint="eastAsia"/>
                      <w:color w:val="auto"/>
                      <w:szCs w:val="21"/>
                      <w:highlight w:val="none"/>
                      <w:lang w:val="en-US" w:eastAsia="zh-CN"/>
                    </w:rPr>
                  </w:pPr>
                </w:p>
              </w:tc>
              <w:tc>
                <w:tcPr>
                  <w:tcW w:w="1049"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Style w:val="48"/>
                      <w:rFonts w:hint="eastAsia"/>
                      <w:color w:val="auto"/>
                      <w:highlight w:val="none"/>
                      <w:lang w:val="en-US" w:eastAsia="zh-CN"/>
                    </w:rPr>
                  </w:pPr>
                  <w:r>
                    <w:rPr>
                      <w:rFonts w:hint="eastAsia" w:ascii="Times New Roman" w:hAnsi="Times New Roman" w:eastAsia="宋体" w:cs="Times New Roman"/>
                      <w:color w:val="auto"/>
                      <w:szCs w:val="21"/>
                      <w:highlight w:val="none"/>
                      <w:lang w:val="en-US" w:eastAsia="zh-CN"/>
                    </w:rPr>
                    <w:t>氨氮</w:t>
                  </w:r>
                </w:p>
              </w:tc>
              <w:tc>
                <w:tcPr>
                  <w:tcW w:w="1177" w:type="dxa"/>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center"/>
                    <w:textAlignment w:val="auto"/>
                    <w:rPr>
                      <w:rFonts w:hint="eastAsia"/>
                      <w:color w:val="auto"/>
                      <w:highlight w:val="none"/>
                      <w:lang w:val="en-US" w:eastAsia="zh-CN"/>
                    </w:rPr>
                  </w:pPr>
                </w:p>
              </w:tc>
              <w:tc>
                <w:tcPr>
                  <w:tcW w:w="777" w:type="dxa"/>
                  <w:vMerge w:val="continue"/>
                  <w:vAlign w:val="center"/>
                </w:tcPr>
                <w:p>
                  <w:pPr>
                    <w:keepNext w:val="0"/>
                    <w:keepLines w:val="0"/>
                    <w:suppressLineNumbers w:val="0"/>
                    <w:adjustRightInd w:val="0"/>
                    <w:snapToGrid w:val="0"/>
                    <w:spacing w:before="0" w:beforeAutospacing="0" w:after="0" w:afterAutospacing="0"/>
                    <w:ind w:left="420" w:right="0" w:hanging="420"/>
                    <w:jc w:val="center"/>
                    <w:rPr>
                      <w:rFonts w:hint="eastAsia"/>
                      <w:color w:val="auto"/>
                      <w:szCs w:val="21"/>
                      <w:highlight w:val="none"/>
                      <w:lang w:val="en-US" w:eastAsia="zh-CN"/>
                    </w:rPr>
                  </w:pPr>
                </w:p>
              </w:tc>
              <w:tc>
                <w:tcPr>
                  <w:tcW w:w="2001" w:type="dxa"/>
                  <w:vMerge w:val="continue"/>
                  <w:vAlign w:val="center"/>
                </w:tcPr>
                <w:p>
                  <w:pPr>
                    <w:keepNext w:val="0"/>
                    <w:keepLines w:val="0"/>
                    <w:suppressLineNumbers w:val="0"/>
                    <w:adjustRightInd w:val="0"/>
                    <w:snapToGrid w:val="0"/>
                    <w:spacing w:before="0" w:beforeAutospacing="0" w:after="0" w:afterAutospacing="0"/>
                    <w:ind w:left="420" w:right="0" w:hanging="420"/>
                    <w:jc w:val="center"/>
                    <w:rPr>
                      <w:rFonts w:hint="eastAsia"/>
                      <w:color w:val="auto"/>
                      <w:szCs w:val="21"/>
                      <w:highlight w:val="none"/>
                      <w:lang w:val="en-US" w:eastAsia="zh-CN"/>
                    </w:rPr>
                  </w:pPr>
                </w:p>
              </w:tc>
              <w:tc>
                <w:tcPr>
                  <w:tcW w:w="1007" w:type="dxa"/>
                  <w:vMerge w:val="continue"/>
                  <w:vAlign w:val="center"/>
                </w:tcPr>
                <w:p>
                  <w:pPr>
                    <w:keepNext w:val="0"/>
                    <w:keepLines w:val="0"/>
                    <w:suppressLineNumbers w:val="0"/>
                    <w:spacing w:before="0" w:beforeAutospacing="0" w:after="0" w:afterAutospacing="0"/>
                    <w:ind w:left="0" w:right="0"/>
                    <w:jc w:val="center"/>
                    <w:rPr>
                      <w:rFonts w:hint="eastAsia"/>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06" w:hRule="exact"/>
                <w:jc w:val="center"/>
              </w:trPr>
              <w:tc>
                <w:tcPr>
                  <w:tcW w:w="1094" w:type="dxa"/>
                  <w:vMerge w:val="continue"/>
                  <w:vAlign w:val="center"/>
                </w:tcPr>
                <w:p>
                  <w:pPr>
                    <w:keepNext w:val="0"/>
                    <w:keepLines w:val="0"/>
                    <w:suppressLineNumbers w:val="0"/>
                    <w:spacing w:before="0" w:beforeAutospacing="0" w:after="0" w:afterAutospacing="0"/>
                    <w:ind w:left="0" w:right="0"/>
                    <w:jc w:val="center"/>
                    <w:rPr>
                      <w:rFonts w:hint="eastAsia"/>
                      <w:color w:val="auto"/>
                      <w:highlight w:val="none"/>
                      <w:lang w:val="en-US" w:eastAsia="zh-CN"/>
                    </w:rPr>
                  </w:pPr>
                </w:p>
              </w:tc>
              <w:tc>
                <w:tcPr>
                  <w:tcW w:w="1027" w:type="dxa"/>
                  <w:vMerge w:val="continue"/>
                  <w:vAlign w:val="center"/>
                </w:tcPr>
                <w:p>
                  <w:pPr>
                    <w:keepNext w:val="0"/>
                    <w:keepLines w:val="0"/>
                    <w:suppressLineNumbers w:val="0"/>
                    <w:adjustRightInd w:val="0"/>
                    <w:snapToGrid w:val="0"/>
                    <w:spacing w:before="0" w:beforeAutospacing="0" w:after="0" w:afterAutospacing="0"/>
                    <w:ind w:left="420" w:right="0" w:hanging="420"/>
                    <w:jc w:val="center"/>
                    <w:rPr>
                      <w:rFonts w:hint="eastAsia"/>
                      <w:color w:val="auto"/>
                      <w:szCs w:val="21"/>
                      <w:highlight w:val="none"/>
                      <w:lang w:val="en-US" w:eastAsia="zh-CN"/>
                    </w:rPr>
                  </w:pPr>
                </w:p>
              </w:tc>
              <w:tc>
                <w:tcPr>
                  <w:tcW w:w="1049"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Style w:val="48"/>
                      <w:rFonts w:hint="eastAsia"/>
                      <w:color w:val="auto"/>
                      <w:highlight w:val="none"/>
                      <w:lang w:val="en-US" w:eastAsia="zh-CN"/>
                    </w:rPr>
                  </w:pPr>
                  <w:r>
                    <w:rPr>
                      <w:rFonts w:hint="eastAsia" w:ascii="Times New Roman" w:hAnsi="Times New Roman" w:eastAsia="宋体" w:cs="Times New Roman"/>
                      <w:color w:val="auto"/>
                      <w:szCs w:val="21"/>
                      <w:highlight w:val="none"/>
                      <w:lang w:val="en-US" w:eastAsia="zh-CN"/>
                    </w:rPr>
                    <w:t>BOD</w:t>
                  </w:r>
                  <w:r>
                    <w:rPr>
                      <w:rFonts w:hint="eastAsia" w:ascii="Times New Roman" w:hAnsi="Times New Roman" w:eastAsia="宋体" w:cs="Times New Roman"/>
                      <w:color w:val="auto"/>
                      <w:szCs w:val="21"/>
                      <w:highlight w:val="none"/>
                      <w:vertAlign w:val="subscript"/>
                      <w:lang w:val="en-US" w:eastAsia="zh-CN"/>
                    </w:rPr>
                    <w:t>5</w:t>
                  </w:r>
                </w:p>
              </w:tc>
              <w:tc>
                <w:tcPr>
                  <w:tcW w:w="1177" w:type="dxa"/>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center"/>
                    <w:textAlignment w:val="auto"/>
                    <w:rPr>
                      <w:rFonts w:hint="eastAsia"/>
                      <w:color w:val="auto"/>
                      <w:highlight w:val="none"/>
                      <w:lang w:val="en-US" w:eastAsia="zh-CN"/>
                    </w:rPr>
                  </w:pPr>
                </w:p>
              </w:tc>
              <w:tc>
                <w:tcPr>
                  <w:tcW w:w="777" w:type="dxa"/>
                  <w:vMerge w:val="continue"/>
                  <w:vAlign w:val="center"/>
                </w:tcPr>
                <w:p>
                  <w:pPr>
                    <w:keepNext w:val="0"/>
                    <w:keepLines w:val="0"/>
                    <w:suppressLineNumbers w:val="0"/>
                    <w:adjustRightInd w:val="0"/>
                    <w:snapToGrid w:val="0"/>
                    <w:spacing w:before="0" w:beforeAutospacing="0" w:after="0" w:afterAutospacing="0"/>
                    <w:ind w:left="420" w:right="0" w:hanging="420"/>
                    <w:jc w:val="center"/>
                    <w:rPr>
                      <w:rFonts w:hint="eastAsia"/>
                      <w:color w:val="auto"/>
                      <w:szCs w:val="21"/>
                      <w:highlight w:val="none"/>
                      <w:lang w:val="en-US" w:eastAsia="zh-CN"/>
                    </w:rPr>
                  </w:pPr>
                </w:p>
              </w:tc>
              <w:tc>
                <w:tcPr>
                  <w:tcW w:w="2001" w:type="dxa"/>
                  <w:vMerge w:val="continue"/>
                  <w:vAlign w:val="center"/>
                </w:tcPr>
                <w:p>
                  <w:pPr>
                    <w:keepNext w:val="0"/>
                    <w:keepLines w:val="0"/>
                    <w:suppressLineNumbers w:val="0"/>
                    <w:adjustRightInd w:val="0"/>
                    <w:snapToGrid w:val="0"/>
                    <w:spacing w:before="0" w:beforeAutospacing="0" w:after="0" w:afterAutospacing="0"/>
                    <w:ind w:left="420" w:right="0" w:hanging="420"/>
                    <w:jc w:val="center"/>
                    <w:rPr>
                      <w:rFonts w:hint="eastAsia"/>
                      <w:color w:val="auto"/>
                      <w:szCs w:val="21"/>
                      <w:highlight w:val="none"/>
                      <w:lang w:val="en-US" w:eastAsia="zh-CN"/>
                    </w:rPr>
                  </w:pPr>
                </w:p>
              </w:tc>
              <w:tc>
                <w:tcPr>
                  <w:tcW w:w="1007" w:type="dxa"/>
                  <w:vMerge w:val="continue"/>
                  <w:vAlign w:val="center"/>
                </w:tcPr>
                <w:p>
                  <w:pPr>
                    <w:keepNext w:val="0"/>
                    <w:keepLines w:val="0"/>
                    <w:suppressLineNumbers w:val="0"/>
                    <w:spacing w:before="0" w:beforeAutospacing="0" w:after="0" w:afterAutospacing="0"/>
                    <w:ind w:left="0" w:right="0"/>
                    <w:jc w:val="center"/>
                    <w:rPr>
                      <w:rFonts w:hint="eastAsia"/>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06" w:hRule="exact"/>
                <w:jc w:val="center"/>
              </w:trPr>
              <w:tc>
                <w:tcPr>
                  <w:tcW w:w="1094" w:type="dxa"/>
                  <w:vMerge w:val="continue"/>
                  <w:vAlign w:val="center"/>
                </w:tcPr>
                <w:p>
                  <w:pPr>
                    <w:keepNext w:val="0"/>
                    <w:keepLines w:val="0"/>
                    <w:suppressLineNumbers w:val="0"/>
                    <w:spacing w:before="0" w:beforeAutospacing="0" w:after="0" w:afterAutospacing="0"/>
                    <w:ind w:left="0" w:right="0"/>
                    <w:jc w:val="center"/>
                    <w:rPr>
                      <w:rFonts w:hint="eastAsia"/>
                      <w:color w:val="auto"/>
                      <w:highlight w:val="none"/>
                      <w:lang w:val="en-US" w:eastAsia="zh-CN"/>
                    </w:rPr>
                  </w:pPr>
                </w:p>
              </w:tc>
              <w:tc>
                <w:tcPr>
                  <w:tcW w:w="1027" w:type="dxa"/>
                  <w:vMerge w:val="continue"/>
                  <w:vAlign w:val="center"/>
                </w:tcPr>
                <w:p>
                  <w:pPr>
                    <w:keepNext w:val="0"/>
                    <w:keepLines w:val="0"/>
                    <w:suppressLineNumbers w:val="0"/>
                    <w:adjustRightInd w:val="0"/>
                    <w:snapToGrid w:val="0"/>
                    <w:spacing w:before="0" w:beforeAutospacing="0" w:after="0" w:afterAutospacing="0"/>
                    <w:ind w:left="420" w:right="0" w:hanging="420"/>
                    <w:jc w:val="center"/>
                    <w:rPr>
                      <w:rFonts w:hint="eastAsia"/>
                      <w:color w:val="auto"/>
                      <w:szCs w:val="21"/>
                      <w:highlight w:val="none"/>
                      <w:lang w:val="en-US" w:eastAsia="zh-CN"/>
                    </w:rPr>
                  </w:pPr>
                </w:p>
              </w:tc>
              <w:tc>
                <w:tcPr>
                  <w:tcW w:w="1049"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Style w:val="48"/>
                      <w:rFonts w:hint="eastAsia"/>
                      <w:color w:val="auto"/>
                      <w:highlight w:val="none"/>
                      <w:lang w:val="en-US" w:eastAsia="zh-CN"/>
                    </w:rPr>
                  </w:pPr>
                  <w:r>
                    <w:rPr>
                      <w:rFonts w:hint="eastAsia" w:ascii="Times New Roman" w:hAnsi="Times New Roman" w:eastAsia="宋体" w:cs="Times New Roman"/>
                      <w:color w:val="auto"/>
                      <w:szCs w:val="21"/>
                      <w:highlight w:val="none"/>
                      <w:lang w:val="en-US" w:eastAsia="zh-CN"/>
                    </w:rPr>
                    <w:t>SS</w:t>
                  </w:r>
                </w:p>
              </w:tc>
              <w:tc>
                <w:tcPr>
                  <w:tcW w:w="1177" w:type="dxa"/>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center"/>
                    <w:textAlignment w:val="auto"/>
                    <w:rPr>
                      <w:rFonts w:hint="eastAsia"/>
                      <w:color w:val="auto"/>
                      <w:highlight w:val="none"/>
                      <w:lang w:val="en-US" w:eastAsia="zh-CN"/>
                    </w:rPr>
                  </w:pPr>
                </w:p>
              </w:tc>
              <w:tc>
                <w:tcPr>
                  <w:tcW w:w="777" w:type="dxa"/>
                  <w:vMerge w:val="continue"/>
                  <w:vAlign w:val="center"/>
                </w:tcPr>
                <w:p>
                  <w:pPr>
                    <w:keepNext w:val="0"/>
                    <w:keepLines w:val="0"/>
                    <w:suppressLineNumbers w:val="0"/>
                    <w:adjustRightInd w:val="0"/>
                    <w:snapToGrid w:val="0"/>
                    <w:spacing w:before="0" w:beforeAutospacing="0" w:after="0" w:afterAutospacing="0"/>
                    <w:ind w:left="420" w:right="0" w:hanging="420"/>
                    <w:jc w:val="center"/>
                    <w:rPr>
                      <w:rFonts w:hint="eastAsia"/>
                      <w:color w:val="auto"/>
                      <w:szCs w:val="21"/>
                      <w:highlight w:val="none"/>
                      <w:lang w:val="en-US" w:eastAsia="zh-CN"/>
                    </w:rPr>
                  </w:pPr>
                </w:p>
              </w:tc>
              <w:tc>
                <w:tcPr>
                  <w:tcW w:w="2001" w:type="dxa"/>
                  <w:vMerge w:val="continue"/>
                  <w:vAlign w:val="center"/>
                </w:tcPr>
                <w:p>
                  <w:pPr>
                    <w:keepNext w:val="0"/>
                    <w:keepLines w:val="0"/>
                    <w:suppressLineNumbers w:val="0"/>
                    <w:adjustRightInd w:val="0"/>
                    <w:snapToGrid w:val="0"/>
                    <w:spacing w:before="0" w:beforeAutospacing="0" w:after="0" w:afterAutospacing="0"/>
                    <w:ind w:left="420" w:right="0" w:hanging="420"/>
                    <w:jc w:val="center"/>
                    <w:rPr>
                      <w:rFonts w:hint="default" w:eastAsia="宋体"/>
                      <w:color w:val="auto"/>
                      <w:szCs w:val="21"/>
                      <w:highlight w:val="none"/>
                      <w:lang w:val="en-US" w:eastAsia="zh-CN"/>
                    </w:rPr>
                  </w:pPr>
                </w:p>
              </w:tc>
              <w:tc>
                <w:tcPr>
                  <w:tcW w:w="1007" w:type="dxa"/>
                  <w:vMerge w:val="continue"/>
                  <w:vAlign w:val="center"/>
                </w:tcPr>
                <w:p>
                  <w:pPr>
                    <w:keepNext w:val="0"/>
                    <w:keepLines w:val="0"/>
                    <w:suppressLineNumbers w:val="0"/>
                    <w:spacing w:before="0" w:beforeAutospacing="0" w:after="0" w:afterAutospacing="0"/>
                    <w:ind w:left="0" w:right="0"/>
                    <w:jc w:val="center"/>
                    <w:rPr>
                      <w:rFonts w:hint="eastAsia"/>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63" w:hRule="exact"/>
                <w:jc w:val="center"/>
              </w:trPr>
              <w:tc>
                <w:tcPr>
                  <w:tcW w:w="1094" w:type="dxa"/>
                  <w:vMerge w:val="restart"/>
                  <w:vAlign w:val="center"/>
                </w:tcPr>
                <w:p>
                  <w:pPr>
                    <w:keepNext w:val="0"/>
                    <w:keepLines w:val="0"/>
                    <w:suppressLineNumbers w:val="0"/>
                    <w:spacing w:before="0" w:beforeAutospacing="0" w:after="0" w:afterAutospacing="0"/>
                    <w:ind w:left="0" w:right="0"/>
                    <w:jc w:val="center"/>
                    <w:rPr>
                      <w:rFonts w:hint="default" w:eastAsia="宋体"/>
                      <w:color w:val="auto"/>
                      <w:highlight w:val="none"/>
                      <w:lang w:val="en-US" w:eastAsia="zh-CN"/>
                    </w:rPr>
                  </w:pPr>
                  <w:r>
                    <w:rPr>
                      <w:rFonts w:hint="eastAsia"/>
                      <w:color w:val="auto"/>
                      <w:highlight w:val="none"/>
                      <w:lang w:val="en-US" w:eastAsia="zh-CN"/>
                    </w:rPr>
                    <w:t>综合污水（W1~W5）</w:t>
                  </w:r>
                </w:p>
              </w:tc>
              <w:tc>
                <w:tcPr>
                  <w:tcW w:w="1027" w:type="dxa"/>
                  <w:vMerge w:val="restart"/>
                  <w:vAlign w:val="center"/>
                </w:tcPr>
                <w:p>
                  <w:pPr>
                    <w:keepNext w:val="0"/>
                    <w:keepLines w:val="0"/>
                    <w:suppressLineNumbers w:val="0"/>
                    <w:adjustRightInd w:val="0"/>
                    <w:snapToGrid w:val="0"/>
                    <w:spacing w:before="0" w:beforeAutospacing="0" w:after="0" w:afterAutospacing="0"/>
                    <w:ind w:left="420" w:right="0" w:hanging="420"/>
                    <w:jc w:val="center"/>
                    <w:rPr>
                      <w:rFonts w:hint="default" w:eastAsia="宋体"/>
                      <w:color w:val="auto"/>
                      <w:szCs w:val="21"/>
                      <w:highlight w:val="none"/>
                      <w:lang w:val="en-US" w:eastAsia="zh-CN"/>
                    </w:rPr>
                  </w:pPr>
                  <w:r>
                    <w:rPr>
                      <w:rFonts w:hint="eastAsia"/>
                      <w:color w:val="auto"/>
                      <w:szCs w:val="21"/>
                      <w:highlight w:val="none"/>
                      <w:lang w:val="en-US" w:eastAsia="zh-CN"/>
                    </w:rPr>
                    <w:t>668.5</w:t>
                  </w:r>
                </w:p>
              </w:tc>
              <w:tc>
                <w:tcPr>
                  <w:tcW w:w="1049" w:type="dxa"/>
                  <w:vAlign w:val="center"/>
                </w:tcPr>
                <w:p>
                  <w:pPr>
                    <w:pStyle w:val="3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42" w:leftChars="20" w:right="42" w:rightChars="20"/>
                    <w:textAlignment w:val="auto"/>
                    <w:rPr>
                      <w:rFonts w:hint="default"/>
                      <w:color w:val="auto"/>
                      <w:szCs w:val="21"/>
                      <w:highlight w:val="none"/>
                    </w:rPr>
                  </w:pPr>
                  <w:r>
                    <w:rPr>
                      <w:rStyle w:val="48"/>
                      <w:rFonts w:hint="eastAsia" w:ascii="Times New Roman" w:hAnsi="Times New Roman" w:eastAsia="宋体" w:cs="Times New Roman"/>
                      <w:color w:val="auto"/>
                      <w:kern w:val="2"/>
                      <w:szCs w:val="24"/>
                      <w:highlight w:val="none"/>
                      <w:lang w:val="en-US" w:eastAsia="zh-CN" w:bidi="ar-SA"/>
                    </w:rPr>
                    <w:t>COD</w:t>
                  </w:r>
                </w:p>
              </w:tc>
              <w:tc>
                <w:tcPr>
                  <w:tcW w:w="1177" w:type="dxa"/>
                  <w:vMerge w:val="restar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center"/>
                    <w:textAlignment w:val="auto"/>
                    <w:rPr>
                      <w:rFonts w:hint="default"/>
                      <w:color w:val="auto"/>
                      <w:szCs w:val="21"/>
                      <w:highlight w:val="none"/>
                      <w:lang w:val="en-US"/>
                    </w:rPr>
                  </w:pPr>
                  <w:r>
                    <w:rPr>
                      <w:rFonts w:hint="eastAsia"/>
                      <w:color w:val="auto"/>
                      <w:highlight w:val="none"/>
                      <w:lang w:val="en-US" w:eastAsia="zh-CN"/>
                    </w:rPr>
                    <w:t>化粪池</w:t>
                  </w:r>
                </w:p>
              </w:tc>
              <w:tc>
                <w:tcPr>
                  <w:tcW w:w="777" w:type="dxa"/>
                  <w:vMerge w:val="restart"/>
                  <w:vAlign w:val="center"/>
                </w:tcPr>
                <w:p>
                  <w:pPr>
                    <w:keepNext w:val="0"/>
                    <w:keepLines w:val="0"/>
                    <w:suppressLineNumbers w:val="0"/>
                    <w:adjustRightInd w:val="0"/>
                    <w:snapToGrid w:val="0"/>
                    <w:spacing w:before="0" w:beforeAutospacing="0" w:after="0" w:afterAutospacing="0"/>
                    <w:ind w:left="420" w:right="0" w:hanging="420"/>
                    <w:jc w:val="center"/>
                    <w:rPr>
                      <w:rFonts w:hint="default"/>
                      <w:color w:val="auto"/>
                      <w:szCs w:val="21"/>
                      <w:highlight w:val="none"/>
                    </w:rPr>
                  </w:pPr>
                  <w:r>
                    <w:rPr>
                      <w:rFonts w:hint="eastAsia"/>
                      <w:color w:val="auto"/>
                      <w:szCs w:val="21"/>
                      <w:highlight w:val="none"/>
                      <w:lang w:val="en-US" w:eastAsia="zh-CN"/>
                    </w:rPr>
                    <w:t>20m</w:t>
                  </w:r>
                  <w:r>
                    <w:rPr>
                      <w:rFonts w:hint="eastAsia"/>
                      <w:color w:val="auto"/>
                      <w:szCs w:val="21"/>
                      <w:highlight w:val="none"/>
                      <w:vertAlign w:val="superscript"/>
                      <w:lang w:val="en-US" w:eastAsia="zh-CN"/>
                    </w:rPr>
                    <w:t>3</w:t>
                  </w:r>
                </w:p>
              </w:tc>
              <w:tc>
                <w:tcPr>
                  <w:tcW w:w="2001" w:type="dxa"/>
                  <w:vAlign w:val="center"/>
                </w:tcPr>
                <w:p>
                  <w:pPr>
                    <w:keepNext w:val="0"/>
                    <w:keepLines w:val="0"/>
                    <w:suppressLineNumbers w:val="0"/>
                    <w:adjustRightInd w:val="0"/>
                    <w:snapToGrid w:val="0"/>
                    <w:spacing w:before="0" w:beforeAutospacing="0" w:after="0" w:afterAutospacing="0"/>
                    <w:ind w:left="420" w:right="0" w:hanging="420"/>
                    <w:jc w:val="center"/>
                    <w:rPr>
                      <w:rFonts w:hint="default" w:eastAsia="宋体"/>
                      <w:color w:val="auto"/>
                      <w:szCs w:val="21"/>
                      <w:highlight w:val="none"/>
                      <w:lang w:val="en-US" w:eastAsia="zh-CN"/>
                    </w:rPr>
                  </w:pPr>
                  <w:r>
                    <w:rPr>
                      <w:rFonts w:hint="eastAsia"/>
                      <w:color w:val="auto"/>
                      <w:szCs w:val="21"/>
                      <w:highlight w:val="none"/>
                      <w:lang w:val="en-US" w:eastAsia="zh-CN"/>
                    </w:rPr>
                    <w:t>15</w:t>
                  </w:r>
                </w:p>
              </w:tc>
              <w:tc>
                <w:tcPr>
                  <w:tcW w:w="1007" w:type="dxa"/>
                  <w:vMerge w:val="restart"/>
                  <w:vAlign w:val="center"/>
                </w:tcPr>
                <w:p>
                  <w:pPr>
                    <w:keepNext w:val="0"/>
                    <w:keepLines w:val="0"/>
                    <w:suppressLineNumbers w:val="0"/>
                    <w:spacing w:before="0" w:beforeAutospacing="0" w:after="0" w:afterAutospacing="0"/>
                    <w:ind w:left="0" w:right="0"/>
                    <w:jc w:val="center"/>
                    <w:rPr>
                      <w:rFonts w:hint="default"/>
                      <w:color w:val="auto"/>
                      <w:highlight w:val="none"/>
                    </w:rPr>
                  </w:pPr>
                  <w:r>
                    <w:rPr>
                      <w:rFonts w:hint="eastAsia"/>
                      <w:color w:val="auto"/>
                      <w:highlight w:val="none"/>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63" w:hRule="exact"/>
                <w:jc w:val="center"/>
              </w:trPr>
              <w:tc>
                <w:tcPr>
                  <w:tcW w:w="1094" w:type="dxa"/>
                  <w:vMerge w:val="continue"/>
                  <w:vAlign w:val="center"/>
                </w:tcPr>
                <w:p>
                  <w:pPr>
                    <w:keepNext w:val="0"/>
                    <w:keepLines w:val="0"/>
                    <w:suppressLineNumbers w:val="0"/>
                    <w:spacing w:before="0" w:beforeAutospacing="0" w:after="0" w:afterAutospacing="0"/>
                    <w:ind w:left="0" w:right="0"/>
                    <w:jc w:val="center"/>
                    <w:rPr>
                      <w:rFonts w:hint="eastAsia"/>
                      <w:color w:val="auto"/>
                      <w:highlight w:val="none"/>
                      <w:lang w:val="en-US" w:eastAsia="zh-CN"/>
                    </w:rPr>
                  </w:pPr>
                </w:p>
              </w:tc>
              <w:tc>
                <w:tcPr>
                  <w:tcW w:w="1027" w:type="dxa"/>
                  <w:vMerge w:val="continue"/>
                  <w:vAlign w:val="center"/>
                </w:tcPr>
                <w:p>
                  <w:pPr>
                    <w:keepNext w:val="0"/>
                    <w:keepLines w:val="0"/>
                    <w:suppressLineNumbers w:val="0"/>
                    <w:adjustRightInd w:val="0"/>
                    <w:snapToGrid w:val="0"/>
                    <w:spacing w:before="0" w:beforeAutospacing="0" w:after="0" w:afterAutospacing="0"/>
                    <w:ind w:left="420" w:right="0" w:hanging="420"/>
                    <w:jc w:val="center"/>
                    <w:rPr>
                      <w:rFonts w:hint="eastAsia"/>
                      <w:color w:val="auto"/>
                      <w:szCs w:val="21"/>
                      <w:highlight w:val="none"/>
                      <w:lang w:val="en-US" w:eastAsia="zh-CN"/>
                    </w:rPr>
                  </w:pPr>
                </w:p>
              </w:tc>
              <w:tc>
                <w:tcPr>
                  <w:tcW w:w="1049" w:type="dxa"/>
                  <w:vAlign w:val="center"/>
                </w:tcPr>
                <w:p>
                  <w:pPr>
                    <w:pStyle w:val="3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42" w:leftChars="20" w:right="42" w:rightChars="20"/>
                    <w:textAlignment w:val="auto"/>
                    <w:rPr>
                      <w:rStyle w:val="48"/>
                      <w:rFonts w:hint="eastAsia" w:ascii="Times New Roman" w:hAnsi="Times New Roman" w:eastAsia="宋体" w:cs="Times New Roman"/>
                      <w:color w:val="auto"/>
                      <w:kern w:val="2"/>
                      <w:szCs w:val="24"/>
                      <w:highlight w:val="none"/>
                      <w:lang w:val="en-US" w:eastAsia="zh-CN" w:bidi="ar-SA"/>
                    </w:rPr>
                  </w:pPr>
                  <w:r>
                    <w:rPr>
                      <w:rStyle w:val="48"/>
                      <w:rFonts w:hint="eastAsia" w:ascii="Times New Roman" w:hAnsi="Times New Roman" w:eastAsia="宋体" w:cs="Times New Roman"/>
                      <w:color w:val="auto"/>
                      <w:kern w:val="2"/>
                      <w:szCs w:val="24"/>
                      <w:highlight w:val="none"/>
                      <w:lang w:val="en-US" w:eastAsia="zh-CN" w:bidi="ar-SA"/>
                    </w:rPr>
                    <w:t>氨氮</w:t>
                  </w:r>
                </w:p>
              </w:tc>
              <w:tc>
                <w:tcPr>
                  <w:tcW w:w="1177" w:type="dxa"/>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center"/>
                    <w:textAlignment w:val="auto"/>
                    <w:rPr>
                      <w:rFonts w:hint="eastAsia"/>
                      <w:color w:val="auto"/>
                      <w:highlight w:val="none"/>
                      <w:lang w:val="en-US" w:eastAsia="zh-CN"/>
                    </w:rPr>
                  </w:pPr>
                </w:p>
              </w:tc>
              <w:tc>
                <w:tcPr>
                  <w:tcW w:w="777" w:type="dxa"/>
                  <w:vMerge w:val="continue"/>
                  <w:vAlign w:val="center"/>
                </w:tcPr>
                <w:p>
                  <w:pPr>
                    <w:keepNext w:val="0"/>
                    <w:keepLines w:val="0"/>
                    <w:suppressLineNumbers w:val="0"/>
                    <w:adjustRightInd w:val="0"/>
                    <w:snapToGrid w:val="0"/>
                    <w:spacing w:before="0" w:beforeAutospacing="0" w:after="0" w:afterAutospacing="0"/>
                    <w:ind w:left="420" w:right="0" w:hanging="420"/>
                    <w:jc w:val="center"/>
                    <w:rPr>
                      <w:rFonts w:hint="eastAsia"/>
                      <w:color w:val="auto"/>
                      <w:szCs w:val="21"/>
                      <w:highlight w:val="none"/>
                      <w:lang w:val="en-US" w:eastAsia="zh-CN"/>
                    </w:rPr>
                  </w:pPr>
                </w:p>
              </w:tc>
              <w:tc>
                <w:tcPr>
                  <w:tcW w:w="2001" w:type="dxa"/>
                  <w:vAlign w:val="center"/>
                </w:tcPr>
                <w:p>
                  <w:pPr>
                    <w:keepNext w:val="0"/>
                    <w:keepLines w:val="0"/>
                    <w:suppressLineNumbers w:val="0"/>
                    <w:adjustRightInd w:val="0"/>
                    <w:snapToGrid w:val="0"/>
                    <w:spacing w:before="0" w:beforeAutospacing="0" w:after="0" w:afterAutospacing="0"/>
                    <w:ind w:left="420" w:right="0" w:hanging="420"/>
                    <w:jc w:val="center"/>
                    <w:rPr>
                      <w:rFonts w:hint="default" w:eastAsia="宋体"/>
                      <w:color w:val="auto"/>
                      <w:szCs w:val="21"/>
                      <w:highlight w:val="none"/>
                      <w:lang w:val="en-US" w:eastAsia="zh-CN"/>
                    </w:rPr>
                  </w:pPr>
                  <w:r>
                    <w:rPr>
                      <w:rFonts w:hint="eastAsia"/>
                      <w:color w:val="auto"/>
                      <w:szCs w:val="21"/>
                      <w:highlight w:val="none"/>
                      <w:lang w:val="en-US" w:eastAsia="zh-CN"/>
                    </w:rPr>
                    <w:t>3</w:t>
                  </w:r>
                </w:p>
              </w:tc>
              <w:tc>
                <w:tcPr>
                  <w:tcW w:w="1007" w:type="dxa"/>
                  <w:vMerge w:val="continue"/>
                  <w:vAlign w:val="center"/>
                </w:tcPr>
                <w:p>
                  <w:pPr>
                    <w:keepNext w:val="0"/>
                    <w:keepLines w:val="0"/>
                    <w:suppressLineNumbers w:val="0"/>
                    <w:spacing w:before="0" w:beforeAutospacing="0" w:after="0" w:afterAutospacing="0"/>
                    <w:ind w:left="0" w:right="0"/>
                    <w:jc w:val="center"/>
                    <w:rPr>
                      <w:rFonts w:hint="eastAsia"/>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63" w:hRule="exact"/>
                <w:jc w:val="center"/>
              </w:trPr>
              <w:tc>
                <w:tcPr>
                  <w:tcW w:w="1094" w:type="dxa"/>
                  <w:vMerge w:val="continue"/>
                  <w:vAlign w:val="center"/>
                </w:tcPr>
                <w:p>
                  <w:pPr>
                    <w:keepNext w:val="0"/>
                    <w:keepLines w:val="0"/>
                    <w:suppressLineNumbers w:val="0"/>
                    <w:spacing w:before="0" w:beforeAutospacing="0" w:after="0" w:afterAutospacing="0"/>
                    <w:ind w:left="0" w:right="0"/>
                    <w:jc w:val="center"/>
                    <w:rPr>
                      <w:rFonts w:hint="eastAsia"/>
                      <w:color w:val="auto"/>
                      <w:highlight w:val="none"/>
                      <w:lang w:val="en-US" w:eastAsia="zh-CN"/>
                    </w:rPr>
                  </w:pPr>
                </w:p>
              </w:tc>
              <w:tc>
                <w:tcPr>
                  <w:tcW w:w="1027" w:type="dxa"/>
                  <w:vMerge w:val="continue"/>
                  <w:vAlign w:val="center"/>
                </w:tcPr>
                <w:p>
                  <w:pPr>
                    <w:keepNext w:val="0"/>
                    <w:keepLines w:val="0"/>
                    <w:suppressLineNumbers w:val="0"/>
                    <w:adjustRightInd w:val="0"/>
                    <w:snapToGrid w:val="0"/>
                    <w:spacing w:before="0" w:beforeAutospacing="0" w:after="0" w:afterAutospacing="0"/>
                    <w:ind w:left="420" w:right="0" w:hanging="420"/>
                    <w:jc w:val="center"/>
                    <w:rPr>
                      <w:rFonts w:hint="eastAsia"/>
                      <w:color w:val="auto"/>
                      <w:szCs w:val="21"/>
                      <w:highlight w:val="none"/>
                      <w:lang w:val="en-US" w:eastAsia="zh-CN"/>
                    </w:rPr>
                  </w:pPr>
                </w:p>
              </w:tc>
              <w:tc>
                <w:tcPr>
                  <w:tcW w:w="1049" w:type="dxa"/>
                  <w:vAlign w:val="center"/>
                </w:tcPr>
                <w:p>
                  <w:pPr>
                    <w:pStyle w:val="3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42" w:leftChars="20" w:right="42" w:rightChars="20"/>
                    <w:textAlignment w:val="auto"/>
                    <w:rPr>
                      <w:rStyle w:val="48"/>
                      <w:rFonts w:hint="eastAsia" w:ascii="Times New Roman" w:hAnsi="Times New Roman" w:eastAsia="宋体" w:cs="Times New Roman"/>
                      <w:color w:val="auto"/>
                      <w:kern w:val="2"/>
                      <w:szCs w:val="24"/>
                      <w:highlight w:val="none"/>
                      <w:lang w:val="en-US" w:eastAsia="zh-CN" w:bidi="ar-SA"/>
                    </w:rPr>
                  </w:pPr>
                  <w:r>
                    <w:rPr>
                      <w:rStyle w:val="48"/>
                      <w:rFonts w:hint="eastAsia" w:ascii="Times New Roman" w:hAnsi="Times New Roman" w:eastAsia="宋体" w:cs="Times New Roman"/>
                      <w:color w:val="auto"/>
                      <w:kern w:val="2"/>
                      <w:szCs w:val="24"/>
                      <w:highlight w:val="none"/>
                      <w:lang w:val="en-US" w:eastAsia="zh-CN" w:bidi="ar-SA"/>
                    </w:rPr>
                    <w:t>BOD</w:t>
                  </w:r>
                  <w:r>
                    <w:rPr>
                      <w:rStyle w:val="48"/>
                      <w:rFonts w:hint="eastAsia" w:ascii="Times New Roman" w:hAnsi="Times New Roman" w:eastAsia="宋体" w:cs="Times New Roman"/>
                      <w:color w:val="auto"/>
                      <w:kern w:val="2"/>
                      <w:szCs w:val="24"/>
                      <w:highlight w:val="none"/>
                      <w:vertAlign w:val="subscript"/>
                      <w:lang w:val="en-US" w:eastAsia="zh-CN" w:bidi="ar-SA"/>
                    </w:rPr>
                    <w:t>5</w:t>
                  </w:r>
                </w:p>
              </w:tc>
              <w:tc>
                <w:tcPr>
                  <w:tcW w:w="1177" w:type="dxa"/>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center"/>
                    <w:textAlignment w:val="auto"/>
                    <w:rPr>
                      <w:rFonts w:hint="eastAsia"/>
                      <w:color w:val="auto"/>
                      <w:highlight w:val="none"/>
                      <w:lang w:val="en-US" w:eastAsia="zh-CN"/>
                    </w:rPr>
                  </w:pPr>
                </w:p>
              </w:tc>
              <w:tc>
                <w:tcPr>
                  <w:tcW w:w="777" w:type="dxa"/>
                  <w:vMerge w:val="continue"/>
                  <w:vAlign w:val="center"/>
                </w:tcPr>
                <w:p>
                  <w:pPr>
                    <w:keepNext w:val="0"/>
                    <w:keepLines w:val="0"/>
                    <w:suppressLineNumbers w:val="0"/>
                    <w:adjustRightInd w:val="0"/>
                    <w:snapToGrid w:val="0"/>
                    <w:spacing w:before="0" w:beforeAutospacing="0" w:after="0" w:afterAutospacing="0"/>
                    <w:ind w:left="420" w:right="0" w:hanging="420"/>
                    <w:jc w:val="center"/>
                    <w:rPr>
                      <w:rFonts w:hint="eastAsia"/>
                      <w:color w:val="auto"/>
                      <w:szCs w:val="21"/>
                      <w:highlight w:val="none"/>
                      <w:lang w:val="en-US" w:eastAsia="zh-CN"/>
                    </w:rPr>
                  </w:pPr>
                </w:p>
              </w:tc>
              <w:tc>
                <w:tcPr>
                  <w:tcW w:w="2001" w:type="dxa"/>
                  <w:vAlign w:val="center"/>
                </w:tcPr>
                <w:p>
                  <w:pPr>
                    <w:keepNext w:val="0"/>
                    <w:keepLines w:val="0"/>
                    <w:suppressLineNumbers w:val="0"/>
                    <w:adjustRightInd w:val="0"/>
                    <w:snapToGrid w:val="0"/>
                    <w:spacing w:before="0" w:beforeAutospacing="0" w:after="0" w:afterAutospacing="0"/>
                    <w:ind w:left="420" w:right="0" w:hanging="420"/>
                    <w:jc w:val="center"/>
                    <w:rPr>
                      <w:rFonts w:hint="default" w:eastAsia="宋体"/>
                      <w:color w:val="auto"/>
                      <w:szCs w:val="21"/>
                      <w:highlight w:val="none"/>
                      <w:lang w:val="en-US" w:eastAsia="zh-CN"/>
                    </w:rPr>
                  </w:pPr>
                  <w:r>
                    <w:rPr>
                      <w:rFonts w:hint="eastAsia"/>
                      <w:color w:val="auto"/>
                      <w:szCs w:val="21"/>
                      <w:highlight w:val="none"/>
                      <w:lang w:val="en-US" w:eastAsia="zh-CN"/>
                    </w:rPr>
                    <w:t>9</w:t>
                  </w:r>
                </w:p>
              </w:tc>
              <w:tc>
                <w:tcPr>
                  <w:tcW w:w="1007" w:type="dxa"/>
                  <w:vMerge w:val="continue"/>
                  <w:vAlign w:val="center"/>
                </w:tcPr>
                <w:p>
                  <w:pPr>
                    <w:keepNext w:val="0"/>
                    <w:keepLines w:val="0"/>
                    <w:suppressLineNumbers w:val="0"/>
                    <w:spacing w:before="0" w:beforeAutospacing="0" w:after="0" w:afterAutospacing="0"/>
                    <w:ind w:left="0" w:right="0"/>
                    <w:jc w:val="center"/>
                    <w:rPr>
                      <w:rFonts w:hint="eastAsia"/>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63" w:hRule="exact"/>
                <w:jc w:val="center"/>
              </w:trPr>
              <w:tc>
                <w:tcPr>
                  <w:tcW w:w="1094" w:type="dxa"/>
                  <w:vMerge w:val="continue"/>
                  <w:vAlign w:val="center"/>
                </w:tcPr>
                <w:p>
                  <w:pPr>
                    <w:keepNext w:val="0"/>
                    <w:keepLines w:val="0"/>
                    <w:suppressLineNumbers w:val="0"/>
                    <w:spacing w:before="0" w:beforeAutospacing="0" w:after="0" w:afterAutospacing="0"/>
                    <w:ind w:left="0" w:right="0"/>
                    <w:jc w:val="center"/>
                    <w:rPr>
                      <w:rFonts w:hint="eastAsia"/>
                      <w:color w:val="auto"/>
                      <w:highlight w:val="none"/>
                      <w:lang w:val="en-US" w:eastAsia="zh-CN"/>
                    </w:rPr>
                  </w:pPr>
                </w:p>
              </w:tc>
              <w:tc>
                <w:tcPr>
                  <w:tcW w:w="1027" w:type="dxa"/>
                  <w:vMerge w:val="continue"/>
                  <w:vAlign w:val="center"/>
                </w:tcPr>
                <w:p>
                  <w:pPr>
                    <w:keepNext w:val="0"/>
                    <w:keepLines w:val="0"/>
                    <w:suppressLineNumbers w:val="0"/>
                    <w:adjustRightInd w:val="0"/>
                    <w:snapToGrid w:val="0"/>
                    <w:spacing w:before="0" w:beforeAutospacing="0" w:after="0" w:afterAutospacing="0"/>
                    <w:ind w:left="420" w:right="0" w:hanging="420"/>
                    <w:jc w:val="center"/>
                    <w:rPr>
                      <w:rFonts w:hint="eastAsia"/>
                      <w:color w:val="auto"/>
                      <w:szCs w:val="21"/>
                      <w:highlight w:val="none"/>
                      <w:lang w:val="en-US" w:eastAsia="zh-CN"/>
                    </w:rPr>
                  </w:pPr>
                </w:p>
              </w:tc>
              <w:tc>
                <w:tcPr>
                  <w:tcW w:w="1049" w:type="dxa"/>
                  <w:vAlign w:val="center"/>
                </w:tcPr>
                <w:p>
                  <w:pPr>
                    <w:pStyle w:val="3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42" w:leftChars="20" w:right="42" w:rightChars="20"/>
                    <w:textAlignment w:val="auto"/>
                    <w:rPr>
                      <w:rStyle w:val="48"/>
                      <w:rFonts w:hint="eastAsia" w:ascii="Times New Roman" w:hAnsi="Times New Roman" w:eastAsia="宋体" w:cs="Times New Roman"/>
                      <w:color w:val="auto"/>
                      <w:kern w:val="2"/>
                      <w:szCs w:val="24"/>
                      <w:highlight w:val="none"/>
                      <w:lang w:val="en-US" w:eastAsia="zh-CN" w:bidi="ar-SA"/>
                    </w:rPr>
                  </w:pPr>
                  <w:r>
                    <w:rPr>
                      <w:rStyle w:val="48"/>
                      <w:rFonts w:hint="eastAsia" w:ascii="Times New Roman" w:hAnsi="Times New Roman" w:eastAsia="宋体" w:cs="Times New Roman"/>
                      <w:color w:val="auto"/>
                      <w:kern w:val="2"/>
                      <w:szCs w:val="24"/>
                      <w:highlight w:val="none"/>
                      <w:lang w:val="en-US" w:eastAsia="zh-CN" w:bidi="ar-SA"/>
                    </w:rPr>
                    <w:t>SS</w:t>
                  </w:r>
                </w:p>
              </w:tc>
              <w:tc>
                <w:tcPr>
                  <w:tcW w:w="1177" w:type="dxa"/>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63" w:leftChars="30" w:right="63" w:rightChars="30"/>
                    <w:jc w:val="center"/>
                    <w:textAlignment w:val="auto"/>
                    <w:rPr>
                      <w:rFonts w:hint="eastAsia"/>
                      <w:color w:val="auto"/>
                      <w:highlight w:val="none"/>
                      <w:lang w:val="en-US" w:eastAsia="zh-CN"/>
                    </w:rPr>
                  </w:pPr>
                </w:p>
              </w:tc>
              <w:tc>
                <w:tcPr>
                  <w:tcW w:w="777" w:type="dxa"/>
                  <w:vMerge w:val="continue"/>
                  <w:vAlign w:val="center"/>
                </w:tcPr>
                <w:p>
                  <w:pPr>
                    <w:keepNext w:val="0"/>
                    <w:keepLines w:val="0"/>
                    <w:suppressLineNumbers w:val="0"/>
                    <w:adjustRightInd w:val="0"/>
                    <w:snapToGrid w:val="0"/>
                    <w:spacing w:before="0" w:beforeAutospacing="0" w:after="0" w:afterAutospacing="0"/>
                    <w:ind w:left="420" w:right="0" w:hanging="420"/>
                    <w:jc w:val="center"/>
                    <w:rPr>
                      <w:rFonts w:hint="eastAsia"/>
                      <w:color w:val="auto"/>
                      <w:szCs w:val="21"/>
                      <w:highlight w:val="none"/>
                      <w:lang w:val="en-US" w:eastAsia="zh-CN"/>
                    </w:rPr>
                  </w:pPr>
                </w:p>
              </w:tc>
              <w:tc>
                <w:tcPr>
                  <w:tcW w:w="2001" w:type="dxa"/>
                  <w:vAlign w:val="center"/>
                </w:tcPr>
                <w:p>
                  <w:pPr>
                    <w:keepNext w:val="0"/>
                    <w:keepLines w:val="0"/>
                    <w:suppressLineNumbers w:val="0"/>
                    <w:adjustRightInd w:val="0"/>
                    <w:snapToGrid w:val="0"/>
                    <w:spacing w:before="0" w:beforeAutospacing="0" w:after="0" w:afterAutospacing="0"/>
                    <w:ind w:left="420" w:right="0" w:hanging="420"/>
                    <w:jc w:val="center"/>
                    <w:rPr>
                      <w:rFonts w:hint="default" w:eastAsia="宋体"/>
                      <w:color w:val="auto"/>
                      <w:szCs w:val="21"/>
                      <w:highlight w:val="none"/>
                      <w:lang w:val="en-US" w:eastAsia="zh-CN"/>
                    </w:rPr>
                  </w:pPr>
                  <w:r>
                    <w:rPr>
                      <w:rFonts w:hint="eastAsia"/>
                      <w:color w:val="auto"/>
                      <w:szCs w:val="21"/>
                      <w:highlight w:val="none"/>
                      <w:lang w:val="en-US" w:eastAsia="zh-CN"/>
                    </w:rPr>
                    <w:t>30</w:t>
                  </w:r>
                </w:p>
              </w:tc>
              <w:tc>
                <w:tcPr>
                  <w:tcW w:w="1007" w:type="dxa"/>
                  <w:vMerge w:val="continue"/>
                  <w:vAlign w:val="center"/>
                </w:tcPr>
                <w:p>
                  <w:pPr>
                    <w:keepNext w:val="0"/>
                    <w:keepLines w:val="0"/>
                    <w:suppressLineNumbers w:val="0"/>
                    <w:spacing w:before="0" w:beforeAutospacing="0" w:after="0" w:afterAutospacing="0"/>
                    <w:ind w:left="0" w:right="0"/>
                    <w:jc w:val="center"/>
                    <w:rPr>
                      <w:rFonts w:hint="eastAsia"/>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63" w:hRule="exact"/>
                <w:jc w:val="center"/>
              </w:trPr>
              <w:tc>
                <w:tcPr>
                  <w:tcW w:w="8132" w:type="dxa"/>
                  <w:gridSpan w:val="7"/>
                  <w:vAlign w:val="center"/>
                </w:tcPr>
                <w:p>
                  <w:pPr>
                    <w:keepNext w:val="0"/>
                    <w:keepLines w:val="0"/>
                    <w:suppressLineNumbers w:val="0"/>
                    <w:spacing w:before="0" w:beforeAutospacing="0" w:after="0" w:afterAutospacing="0"/>
                    <w:ind w:left="0" w:right="0"/>
                    <w:jc w:val="both"/>
                    <w:rPr>
                      <w:rFonts w:hint="default" w:eastAsia="宋体"/>
                      <w:color w:val="auto"/>
                      <w:highlight w:val="none"/>
                      <w:lang w:val="en-US" w:eastAsia="zh-CN"/>
                    </w:rPr>
                  </w:pPr>
                  <w:bookmarkStart w:id="92" w:name="_Ref32669"/>
                  <w:r>
                    <w:rPr>
                      <w:rFonts w:hint="eastAsia"/>
                      <w:b/>
                      <w:bCs/>
                      <w:color w:val="auto"/>
                      <w:sz w:val="18"/>
                      <w:szCs w:val="21"/>
                      <w:highlight w:val="none"/>
                      <w:lang w:val="en-US" w:eastAsia="zh-CN"/>
                    </w:rPr>
                    <w:t>注：</w:t>
                  </w:r>
                  <w:r>
                    <w:rPr>
                      <w:rFonts w:hint="eastAsia"/>
                      <w:b/>
                      <w:bCs/>
                      <w:color w:val="auto"/>
                      <w:sz w:val="18"/>
                      <w:szCs w:val="18"/>
                      <w:highlight w:val="none"/>
                    </w:rPr>
                    <w:t>实验器具</w:t>
                  </w:r>
                  <w:r>
                    <w:rPr>
                      <w:rFonts w:hint="eastAsia"/>
                      <w:b/>
                      <w:bCs/>
                      <w:color w:val="auto"/>
                      <w:sz w:val="18"/>
                      <w:szCs w:val="21"/>
                      <w:highlight w:val="none"/>
                      <w:lang w:val="en-US" w:eastAsia="zh-CN"/>
                    </w:rPr>
                    <w:t>清洗废水W1先经过</w:t>
                  </w:r>
                  <w:r>
                    <w:rPr>
                      <w:rFonts w:hint="eastAsia"/>
                      <w:b/>
                      <w:bCs/>
                      <w:color w:val="auto"/>
                      <w:sz w:val="18"/>
                      <w:szCs w:val="18"/>
                      <w:highlight w:val="none"/>
                      <w:lang w:val="en-US" w:eastAsia="zh-CN"/>
                    </w:rPr>
                    <w:t>污水处理设施处理后再与其余废水一同排入化粪池。</w:t>
                  </w:r>
                </w:p>
              </w:tc>
            </w:tr>
          </w:tbl>
          <w:p>
            <w:pPr>
              <w:pStyle w:val="36"/>
              <w:keepNext w:val="0"/>
              <w:keepLines w:val="0"/>
              <w:suppressLineNumbers w:val="0"/>
              <w:bidi w:val="0"/>
              <w:spacing w:before="0" w:beforeAutospacing="0" w:after="0" w:afterAutospacing="0"/>
              <w:ind w:left="0" w:right="0"/>
              <w:rPr>
                <w:rFonts w:hint="default"/>
                <w:color w:val="auto"/>
                <w:highlight w:val="none"/>
              </w:rPr>
            </w:pPr>
          </w:p>
          <w:p>
            <w:pPr>
              <w:pStyle w:val="36"/>
              <w:keepNext w:val="0"/>
              <w:keepLines w:val="0"/>
              <w:suppressLineNumbers w:val="0"/>
              <w:bidi w:val="0"/>
              <w:spacing w:before="0" w:beforeAutospacing="0" w:after="0" w:afterAutospacing="0"/>
              <w:ind w:left="0" w:right="0"/>
              <w:rPr>
                <w:rFonts w:hint="default"/>
                <w:color w:val="auto"/>
                <w:highlight w:val="none"/>
              </w:rPr>
            </w:pPr>
          </w:p>
          <w:p>
            <w:pPr>
              <w:pStyle w:val="36"/>
              <w:keepNext w:val="0"/>
              <w:keepLines w:val="0"/>
              <w:suppressLineNumbers w:val="0"/>
              <w:bidi w:val="0"/>
              <w:spacing w:before="0" w:beforeAutospacing="0" w:after="0" w:afterAutospacing="0"/>
              <w:ind w:left="0" w:right="0"/>
              <w:rPr>
                <w:rFonts w:hint="default"/>
                <w:color w:val="auto"/>
                <w:highlight w:val="none"/>
              </w:rPr>
            </w:pPr>
          </w:p>
          <w:p>
            <w:pPr>
              <w:pStyle w:val="35"/>
              <w:keepNext w:val="0"/>
              <w:keepLines w:val="0"/>
              <w:pageBreakBefore w:val="0"/>
              <w:widowControl w:val="0"/>
              <w:suppressLineNumbers w:val="0"/>
              <w:kinsoku/>
              <w:wordWrap/>
              <w:overflowPunct/>
              <w:topLinePunct w:val="0"/>
              <w:autoSpaceDE w:val="0"/>
              <w:autoSpaceDN w:val="0"/>
              <w:bidi w:val="0"/>
              <w:adjustRightInd/>
              <w:snapToGrid/>
              <w:spacing w:before="157" w:beforeLines="50" w:beforeAutospacing="0" w:after="0" w:afterAutospacing="0"/>
              <w:ind w:right="0"/>
              <w:textAlignment w:val="auto"/>
              <w:rPr>
                <w:rFonts w:hint="default"/>
                <w:color w:val="auto"/>
                <w:highlight w:val="none"/>
              </w:rPr>
            </w:pPr>
            <w:r>
              <w:rPr>
                <w:rFonts w:hint="eastAsia"/>
                <w:color w:val="auto"/>
                <w:highlight w:val="none"/>
                <w:lang w:val="en-US" w:eastAsia="zh-CN"/>
              </w:rPr>
              <w:t>项目废水</w:t>
            </w:r>
            <w:r>
              <w:rPr>
                <w:rFonts w:hint="eastAsia"/>
                <w:color w:val="auto"/>
                <w:highlight w:val="none"/>
              </w:rPr>
              <w:t>污染物</w:t>
            </w:r>
            <w:r>
              <w:rPr>
                <w:rFonts w:hint="eastAsia"/>
                <w:color w:val="auto"/>
                <w:highlight w:val="none"/>
                <w:lang w:val="en-US" w:eastAsia="zh-CN"/>
              </w:rPr>
              <w:t>产排情况</w:t>
            </w:r>
            <w:r>
              <w:rPr>
                <w:rFonts w:hint="eastAsia"/>
                <w:color w:val="auto"/>
                <w:highlight w:val="none"/>
              </w:rPr>
              <w:t>一览表</w:t>
            </w:r>
            <w:bookmarkEnd w:id="92"/>
          </w:p>
          <w:tbl>
            <w:tblPr>
              <w:tblStyle w:val="32"/>
              <w:tblW w:w="813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058"/>
              <w:gridCol w:w="1362"/>
              <w:gridCol w:w="1177"/>
              <w:gridCol w:w="1038"/>
              <w:gridCol w:w="1154"/>
              <w:gridCol w:w="1045"/>
              <w:gridCol w:w="12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tblHeader/>
                <w:jc w:val="center"/>
              </w:trPr>
              <w:tc>
                <w:tcPr>
                  <w:tcW w:w="1058" w:type="dxa"/>
                  <w:vMerge w:val="restart"/>
                  <w:tcBorders>
                    <w:top w:val="single" w:color="auto" w:sz="12"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b w:val="0"/>
                      <w:bCs w:val="0"/>
                      <w:color w:val="auto"/>
                      <w:szCs w:val="21"/>
                      <w:highlight w:val="none"/>
                    </w:rPr>
                  </w:pPr>
                  <w:r>
                    <w:rPr>
                      <w:rFonts w:hint="eastAsia"/>
                      <w:b w:val="0"/>
                      <w:bCs w:val="0"/>
                      <w:color w:val="auto"/>
                      <w:highlight w:val="none"/>
                    </w:rPr>
                    <w:t>污染源</w:t>
                  </w:r>
                </w:p>
              </w:tc>
              <w:tc>
                <w:tcPr>
                  <w:tcW w:w="1362" w:type="dxa"/>
                  <w:vMerge w:val="restart"/>
                  <w:tcBorders>
                    <w:top w:val="single" w:color="auto" w:sz="12"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b w:val="0"/>
                      <w:bCs w:val="0"/>
                      <w:color w:val="auto"/>
                      <w:szCs w:val="21"/>
                      <w:highlight w:val="none"/>
                    </w:rPr>
                  </w:pPr>
                  <w:r>
                    <w:rPr>
                      <w:rFonts w:hint="eastAsia"/>
                      <w:b w:val="0"/>
                      <w:bCs w:val="0"/>
                      <w:color w:val="auto"/>
                      <w:szCs w:val="21"/>
                      <w:highlight w:val="none"/>
                    </w:rPr>
                    <w:t>污染物</w:t>
                  </w:r>
                </w:p>
                <w:p>
                  <w:pPr>
                    <w:keepNext w:val="0"/>
                    <w:keepLines w:val="0"/>
                    <w:suppressLineNumbers w:val="0"/>
                    <w:spacing w:before="0" w:beforeAutospacing="0" w:after="0" w:afterAutospacing="0"/>
                    <w:ind w:left="0" w:right="0"/>
                    <w:jc w:val="center"/>
                    <w:rPr>
                      <w:rFonts w:hint="eastAsia" w:eastAsia="宋体"/>
                      <w:b w:val="0"/>
                      <w:bCs w:val="0"/>
                      <w:color w:val="auto"/>
                      <w:szCs w:val="21"/>
                      <w:highlight w:val="none"/>
                      <w:lang w:val="en-US" w:eastAsia="zh-CN"/>
                    </w:rPr>
                  </w:pPr>
                  <w:r>
                    <w:rPr>
                      <w:rFonts w:hint="eastAsia"/>
                      <w:b w:val="0"/>
                      <w:bCs w:val="0"/>
                      <w:color w:val="auto"/>
                      <w:szCs w:val="21"/>
                      <w:highlight w:val="none"/>
                      <w:lang w:val="en-US" w:eastAsia="zh-CN"/>
                    </w:rPr>
                    <w:t>种类</w:t>
                  </w:r>
                </w:p>
              </w:tc>
              <w:tc>
                <w:tcPr>
                  <w:tcW w:w="2215" w:type="dxa"/>
                  <w:gridSpan w:val="2"/>
                  <w:tcBorders>
                    <w:top w:val="single" w:color="auto" w:sz="12" w:space="0"/>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b w:val="0"/>
                      <w:bCs w:val="0"/>
                      <w:color w:val="auto"/>
                      <w:szCs w:val="21"/>
                      <w:highlight w:val="none"/>
                      <w:lang w:val="en-US" w:eastAsia="zh-CN"/>
                    </w:rPr>
                  </w:pPr>
                  <w:r>
                    <w:rPr>
                      <w:rFonts w:hint="eastAsia"/>
                      <w:b w:val="0"/>
                      <w:bCs w:val="0"/>
                      <w:color w:val="auto"/>
                      <w:szCs w:val="21"/>
                      <w:highlight w:val="none"/>
                      <w:lang w:val="en-US" w:eastAsia="zh-CN"/>
                    </w:rPr>
                    <w:t>产生情况</w:t>
                  </w:r>
                </w:p>
              </w:tc>
              <w:tc>
                <w:tcPr>
                  <w:tcW w:w="2199" w:type="dxa"/>
                  <w:gridSpan w:val="2"/>
                  <w:tcBorders>
                    <w:top w:val="single" w:color="auto" w:sz="12" w:space="0"/>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b w:val="0"/>
                      <w:bCs w:val="0"/>
                      <w:color w:val="auto"/>
                      <w:szCs w:val="21"/>
                      <w:highlight w:val="none"/>
                      <w:lang w:val="en-US" w:eastAsia="zh-CN"/>
                    </w:rPr>
                  </w:pPr>
                  <w:r>
                    <w:rPr>
                      <w:rFonts w:hint="eastAsia"/>
                      <w:b w:val="0"/>
                      <w:bCs w:val="0"/>
                      <w:color w:val="auto"/>
                      <w:szCs w:val="21"/>
                      <w:highlight w:val="none"/>
                      <w:lang w:val="en-US" w:eastAsia="zh-CN"/>
                    </w:rPr>
                    <w:t>排放情况</w:t>
                  </w:r>
                </w:p>
              </w:tc>
              <w:tc>
                <w:tcPr>
                  <w:tcW w:w="1298" w:type="dxa"/>
                  <w:vMerge w:val="restart"/>
                  <w:tcBorders>
                    <w:top w:val="single" w:color="auto" w:sz="12" w:space="0"/>
                    <w:left w:val="single" w:color="auto" w:sz="4" w:space="0"/>
                    <w:right w:val="nil"/>
                  </w:tcBorders>
                  <w:vAlign w:val="center"/>
                </w:tcPr>
                <w:p>
                  <w:pPr>
                    <w:keepNext w:val="0"/>
                    <w:keepLines w:val="0"/>
                    <w:suppressLineNumbers w:val="0"/>
                    <w:spacing w:before="0" w:beforeAutospacing="0" w:after="0" w:afterAutospacing="0"/>
                    <w:ind w:left="0" w:right="0"/>
                    <w:jc w:val="center"/>
                    <w:rPr>
                      <w:rFonts w:hint="eastAsia" w:eastAsia="宋体"/>
                      <w:b w:val="0"/>
                      <w:bCs w:val="0"/>
                      <w:color w:val="auto"/>
                      <w:szCs w:val="21"/>
                      <w:highlight w:val="none"/>
                      <w:lang w:eastAsia="zh-CN"/>
                    </w:rPr>
                  </w:pPr>
                  <w:r>
                    <w:rPr>
                      <w:rFonts w:hint="eastAsia"/>
                      <w:b w:val="0"/>
                      <w:bCs w:val="0"/>
                      <w:color w:val="auto"/>
                      <w:szCs w:val="21"/>
                      <w:highlight w:val="none"/>
                    </w:rPr>
                    <w:t>排放浓度</w:t>
                  </w:r>
                  <w:r>
                    <w:rPr>
                      <w:rFonts w:hint="eastAsia"/>
                      <w:b w:val="0"/>
                      <w:bCs w:val="0"/>
                      <w:color w:val="auto"/>
                      <w:szCs w:val="21"/>
                      <w:highlight w:val="none"/>
                      <w:lang w:val="en-US" w:eastAsia="zh-CN"/>
                    </w:rPr>
                    <w:t>限值</w:t>
                  </w:r>
                  <w:r>
                    <w:rPr>
                      <w:rFonts w:hint="default"/>
                      <w:b w:val="0"/>
                      <w:bCs w:val="0"/>
                      <w:color w:val="auto"/>
                      <w:szCs w:val="21"/>
                      <w:highlight w:val="none"/>
                    </w:rPr>
                    <w:t>mg/m</w:t>
                  </w:r>
                  <w:r>
                    <w:rPr>
                      <w:rFonts w:hint="default"/>
                      <w:b w:val="0"/>
                      <w:bCs w:val="0"/>
                      <w:color w:val="auto"/>
                      <w:szCs w:val="21"/>
                      <w:highlight w:val="none"/>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tblHeader/>
                <w:jc w:val="center"/>
              </w:trPr>
              <w:tc>
                <w:tcPr>
                  <w:tcW w:w="1058" w:type="dxa"/>
                  <w:vMerge w:val="continue"/>
                  <w:tcBorders>
                    <w:top w:val="single" w:color="auto" w:sz="12"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left"/>
                    <w:rPr>
                      <w:rFonts w:hint="default"/>
                      <w:b w:val="0"/>
                      <w:bCs w:val="0"/>
                      <w:color w:val="auto"/>
                      <w:spacing w:val="4"/>
                      <w:kern w:val="0"/>
                      <w:szCs w:val="21"/>
                      <w:highlight w:val="none"/>
                    </w:rPr>
                  </w:pPr>
                </w:p>
              </w:tc>
              <w:tc>
                <w:tcPr>
                  <w:tcW w:w="1362" w:type="dxa"/>
                  <w:vMerge w:val="continue"/>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left"/>
                    <w:rPr>
                      <w:rFonts w:hint="default"/>
                      <w:b w:val="0"/>
                      <w:bCs w:val="0"/>
                      <w:color w:val="auto"/>
                      <w:spacing w:val="4"/>
                      <w:kern w:val="0"/>
                      <w:szCs w:val="21"/>
                      <w:highlight w:val="none"/>
                    </w:rPr>
                  </w:pPr>
                </w:p>
              </w:tc>
              <w:tc>
                <w:tcPr>
                  <w:tcW w:w="1177" w:type="dxa"/>
                  <w:tcBorders>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b w:val="0"/>
                      <w:bCs w:val="0"/>
                      <w:color w:val="auto"/>
                      <w:szCs w:val="21"/>
                      <w:highlight w:val="none"/>
                      <w:lang w:val="en-US"/>
                    </w:rPr>
                  </w:pPr>
                  <w:r>
                    <w:rPr>
                      <w:rFonts w:hint="eastAsia"/>
                      <w:b w:val="0"/>
                      <w:bCs w:val="0"/>
                      <w:color w:val="auto"/>
                      <w:szCs w:val="21"/>
                      <w:highlight w:val="none"/>
                      <w:lang w:val="en-US" w:eastAsia="zh-CN"/>
                    </w:rPr>
                    <w:t>产生浓度mg/L</w:t>
                  </w:r>
                </w:p>
              </w:tc>
              <w:tc>
                <w:tcPr>
                  <w:tcW w:w="1038" w:type="dxa"/>
                  <w:tcBorders>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b w:val="0"/>
                      <w:bCs w:val="0"/>
                      <w:color w:val="auto"/>
                      <w:szCs w:val="21"/>
                      <w:highlight w:val="none"/>
                      <w:lang w:val="en-US" w:eastAsia="zh-CN"/>
                    </w:rPr>
                  </w:pPr>
                  <w:r>
                    <w:rPr>
                      <w:rFonts w:hint="eastAsia"/>
                      <w:b w:val="0"/>
                      <w:bCs w:val="0"/>
                      <w:color w:val="auto"/>
                      <w:szCs w:val="21"/>
                      <w:highlight w:val="none"/>
                      <w:lang w:val="en-US" w:eastAsia="zh-CN"/>
                    </w:rPr>
                    <w:t>产生量</w:t>
                  </w:r>
                </w:p>
                <w:p>
                  <w:pPr>
                    <w:keepNext w:val="0"/>
                    <w:keepLines w:val="0"/>
                    <w:suppressLineNumbers w:val="0"/>
                    <w:spacing w:before="0" w:beforeAutospacing="0" w:after="0" w:afterAutospacing="0"/>
                    <w:ind w:left="0" w:right="0"/>
                    <w:jc w:val="center"/>
                    <w:rPr>
                      <w:rFonts w:hint="default" w:eastAsia="宋体"/>
                      <w:b w:val="0"/>
                      <w:bCs w:val="0"/>
                      <w:color w:val="auto"/>
                      <w:szCs w:val="21"/>
                      <w:highlight w:val="none"/>
                      <w:lang w:val="en-US" w:eastAsia="zh-CN"/>
                    </w:rPr>
                  </w:pPr>
                  <w:r>
                    <w:rPr>
                      <w:rFonts w:hint="eastAsia"/>
                      <w:b w:val="0"/>
                      <w:bCs w:val="0"/>
                      <w:color w:val="auto"/>
                      <w:szCs w:val="21"/>
                      <w:highlight w:val="none"/>
                      <w:lang w:val="en-US" w:eastAsia="zh-CN"/>
                    </w:rPr>
                    <w:t>t/a</w:t>
                  </w:r>
                </w:p>
              </w:tc>
              <w:tc>
                <w:tcPr>
                  <w:tcW w:w="115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1"/>
                      <w:highlight w:val="none"/>
                      <w:lang w:val="en-US" w:eastAsia="zh-CN"/>
                    </w:rPr>
                  </w:pPr>
                  <w:r>
                    <w:rPr>
                      <w:rFonts w:hint="eastAsia"/>
                      <w:b w:val="0"/>
                      <w:bCs w:val="0"/>
                      <w:color w:val="auto"/>
                      <w:szCs w:val="21"/>
                      <w:highlight w:val="none"/>
                      <w:lang w:val="en-US" w:eastAsia="zh-CN"/>
                    </w:rPr>
                    <w:t>排放浓度mg/L</w:t>
                  </w:r>
                </w:p>
              </w:tc>
              <w:tc>
                <w:tcPr>
                  <w:tcW w:w="104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Cs w:val="21"/>
                      <w:highlight w:val="none"/>
                    </w:rPr>
                  </w:pPr>
                  <w:r>
                    <w:rPr>
                      <w:rFonts w:hint="eastAsia" w:ascii="Times New Roman" w:hAnsi="Times New Roman" w:eastAsia="宋体" w:cs="Times New Roman"/>
                      <w:b w:val="0"/>
                      <w:bCs w:val="0"/>
                      <w:color w:val="auto"/>
                      <w:szCs w:val="21"/>
                      <w:highlight w:val="none"/>
                    </w:rPr>
                    <w:t>排放量</w:t>
                  </w:r>
                </w:p>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Cs w:val="21"/>
                      <w:highlight w:val="none"/>
                    </w:rPr>
                  </w:pPr>
                  <w:r>
                    <w:rPr>
                      <w:rFonts w:hint="eastAsia" w:ascii="Times New Roman" w:hAnsi="Times New Roman" w:eastAsia="宋体" w:cs="Times New Roman"/>
                      <w:b w:val="0"/>
                      <w:bCs w:val="0"/>
                      <w:color w:val="auto"/>
                      <w:szCs w:val="21"/>
                      <w:highlight w:val="none"/>
                    </w:rPr>
                    <w:t>t/a</w:t>
                  </w:r>
                </w:p>
              </w:tc>
              <w:tc>
                <w:tcPr>
                  <w:tcW w:w="1298" w:type="dxa"/>
                  <w:vMerge w:val="continue"/>
                  <w:tcBorders>
                    <w:left w:val="single" w:color="auto" w:sz="4" w:space="0"/>
                    <w:bottom w:val="single" w:color="auto" w:sz="4" w:space="0"/>
                    <w:right w:val="nil"/>
                  </w:tcBorders>
                  <w:vAlign w:val="center"/>
                </w:tcPr>
                <w:p>
                  <w:pPr>
                    <w:keepNext w:val="0"/>
                    <w:keepLines w:val="0"/>
                    <w:suppressLineNumbers w:val="0"/>
                    <w:spacing w:before="0" w:beforeAutospacing="0" w:after="0" w:afterAutospacing="0"/>
                    <w:ind w:left="0" w:right="0"/>
                    <w:jc w:val="center"/>
                    <w:rPr>
                      <w:rFonts w:hint="default" w:eastAsia="宋体"/>
                      <w:b w:val="0"/>
                      <w:bCs w:val="0"/>
                      <w:color w:val="auto"/>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1058" w:type="dxa"/>
                  <w:vMerge w:val="restart"/>
                  <w:tcBorders>
                    <w:right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eastAsia" w:ascii="Times New Roman" w:hAnsi="Times New Roman" w:eastAsia="宋体" w:cs="Times New Roman"/>
                      <w:b w:val="0"/>
                      <w:bCs w:val="0"/>
                      <w:color w:val="auto"/>
                      <w:szCs w:val="21"/>
                      <w:highlight w:val="none"/>
                      <w:lang w:val="en-US" w:eastAsia="zh-CN"/>
                    </w:rPr>
                  </w:pPr>
                  <w:r>
                    <w:rPr>
                      <w:rFonts w:hint="eastAsia"/>
                      <w:b w:val="0"/>
                      <w:bCs w:val="0"/>
                      <w:color w:val="auto"/>
                      <w:highlight w:val="none"/>
                      <w:lang w:val="en-US" w:eastAsia="zh-CN"/>
                    </w:rPr>
                    <w:t>综合污水</w:t>
                  </w:r>
                  <w:r>
                    <w:rPr>
                      <w:rFonts w:hint="eastAsia" w:ascii="Times New Roman" w:hAnsi="Times New Roman" w:eastAsia="宋体" w:cs="Times New Roman"/>
                      <w:b w:val="0"/>
                      <w:bCs w:val="0"/>
                      <w:color w:val="auto"/>
                      <w:szCs w:val="21"/>
                      <w:highlight w:val="none"/>
                      <w:lang w:val="en-US" w:eastAsia="zh-CN"/>
                    </w:rPr>
                    <w:t>DW001</w:t>
                  </w:r>
                </w:p>
              </w:tc>
              <w:tc>
                <w:tcPr>
                  <w:tcW w:w="136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eastAsia"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废水量</w:t>
                  </w:r>
                </w:p>
              </w:tc>
              <w:tc>
                <w:tcPr>
                  <w:tcW w:w="117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1038"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668.5</w:t>
                  </w:r>
                </w:p>
              </w:tc>
              <w:tc>
                <w:tcPr>
                  <w:tcW w:w="115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104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668.5</w:t>
                  </w:r>
                </w:p>
              </w:tc>
              <w:tc>
                <w:tcPr>
                  <w:tcW w:w="1298" w:type="dxa"/>
                  <w:tcBorders>
                    <w:top w:val="single" w:color="auto" w:sz="4" w:space="0"/>
                    <w:left w:val="single" w:color="auto" w:sz="4" w:space="0"/>
                    <w:bottom w:val="single" w:color="auto" w:sz="4" w:space="0"/>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1058" w:type="dxa"/>
                  <w:vMerge w:val="continue"/>
                  <w:tcBorders>
                    <w:right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eastAsia" w:ascii="Times New Roman" w:hAnsi="Times New Roman" w:eastAsia="宋体" w:cs="Times New Roman"/>
                      <w:b w:val="0"/>
                      <w:bCs w:val="0"/>
                      <w:color w:val="auto"/>
                      <w:szCs w:val="21"/>
                      <w:highlight w:val="none"/>
                      <w:lang w:val="en-US" w:eastAsia="zh-CN"/>
                    </w:rPr>
                  </w:pPr>
                </w:p>
              </w:tc>
              <w:tc>
                <w:tcPr>
                  <w:tcW w:w="136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eastAsia"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COD</w:t>
                  </w:r>
                </w:p>
              </w:tc>
              <w:tc>
                <w:tcPr>
                  <w:tcW w:w="117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 xml:space="preserve">265.5 </w:t>
                  </w:r>
                </w:p>
              </w:tc>
              <w:tc>
                <w:tcPr>
                  <w:tcW w:w="1038"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 xml:space="preserve">0.1775 </w:t>
                  </w:r>
                </w:p>
              </w:tc>
              <w:tc>
                <w:tcPr>
                  <w:tcW w:w="115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 xml:space="preserve">225.7 </w:t>
                  </w:r>
                </w:p>
              </w:tc>
              <w:tc>
                <w:tcPr>
                  <w:tcW w:w="104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 xml:space="preserve">0.1509 </w:t>
                  </w:r>
                </w:p>
              </w:tc>
              <w:tc>
                <w:tcPr>
                  <w:tcW w:w="1298" w:type="dxa"/>
                  <w:tcBorders>
                    <w:top w:val="single" w:color="auto" w:sz="4" w:space="0"/>
                    <w:left w:val="single" w:color="auto" w:sz="4" w:space="0"/>
                    <w:bottom w:val="single" w:color="auto" w:sz="4" w:space="0"/>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1058" w:type="dxa"/>
                  <w:vMerge w:val="continue"/>
                  <w:tcBorders>
                    <w:right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eastAsia" w:ascii="Times New Roman" w:hAnsi="Times New Roman" w:eastAsia="宋体" w:cs="Times New Roman"/>
                      <w:b w:val="0"/>
                      <w:bCs w:val="0"/>
                      <w:color w:val="auto"/>
                      <w:szCs w:val="21"/>
                      <w:highlight w:val="none"/>
                      <w:lang w:val="en-US" w:eastAsia="zh-CN"/>
                    </w:rPr>
                  </w:pPr>
                </w:p>
              </w:tc>
              <w:tc>
                <w:tcPr>
                  <w:tcW w:w="136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eastAsia"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氨氮</w:t>
                  </w:r>
                </w:p>
              </w:tc>
              <w:tc>
                <w:tcPr>
                  <w:tcW w:w="117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 xml:space="preserve">20.9 </w:t>
                  </w:r>
                </w:p>
              </w:tc>
              <w:tc>
                <w:tcPr>
                  <w:tcW w:w="1038"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 xml:space="preserve">0.0140 </w:t>
                  </w:r>
                </w:p>
              </w:tc>
              <w:tc>
                <w:tcPr>
                  <w:tcW w:w="115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 xml:space="preserve">20.3 </w:t>
                  </w:r>
                </w:p>
              </w:tc>
              <w:tc>
                <w:tcPr>
                  <w:tcW w:w="104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 xml:space="preserve">0.0136 </w:t>
                  </w:r>
                </w:p>
              </w:tc>
              <w:tc>
                <w:tcPr>
                  <w:tcW w:w="1298" w:type="dxa"/>
                  <w:tcBorders>
                    <w:top w:val="single" w:color="auto" w:sz="4" w:space="0"/>
                    <w:left w:val="single" w:color="auto" w:sz="4" w:space="0"/>
                    <w:bottom w:val="single" w:color="auto" w:sz="4" w:space="0"/>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1058" w:type="dxa"/>
                  <w:vMerge w:val="continue"/>
                  <w:tcBorders>
                    <w:right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eastAsia" w:ascii="Times New Roman" w:hAnsi="Times New Roman" w:eastAsia="宋体" w:cs="Times New Roman"/>
                      <w:b w:val="0"/>
                      <w:bCs w:val="0"/>
                      <w:color w:val="auto"/>
                      <w:szCs w:val="21"/>
                      <w:highlight w:val="none"/>
                      <w:lang w:val="en-US" w:eastAsia="zh-CN"/>
                    </w:rPr>
                  </w:pPr>
                </w:p>
              </w:tc>
              <w:tc>
                <w:tcPr>
                  <w:tcW w:w="136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eastAsia"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BOD</w:t>
                  </w:r>
                  <w:r>
                    <w:rPr>
                      <w:rFonts w:hint="eastAsia" w:ascii="Times New Roman" w:hAnsi="Times New Roman" w:eastAsia="宋体" w:cs="Times New Roman"/>
                      <w:b w:val="0"/>
                      <w:bCs w:val="0"/>
                      <w:color w:val="auto"/>
                      <w:szCs w:val="21"/>
                      <w:highlight w:val="none"/>
                      <w:vertAlign w:val="subscript"/>
                      <w:lang w:val="en-US" w:eastAsia="zh-CN"/>
                    </w:rPr>
                    <w:t>5</w:t>
                  </w:r>
                </w:p>
              </w:tc>
              <w:tc>
                <w:tcPr>
                  <w:tcW w:w="117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 xml:space="preserve">125.8 </w:t>
                  </w:r>
                </w:p>
              </w:tc>
              <w:tc>
                <w:tcPr>
                  <w:tcW w:w="1038"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 xml:space="preserve">0.0841 </w:t>
                  </w:r>
                </w:p>
              </w:tc>
              <w:tc>
                <w:tcPr>
                  <w:tcW w:w="115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 xml:space="preserve">114.4 </w:t>
                  </w:r>
                </w:p>
              </w:tc>
              <w:tc>
                <w:tcPr>
                  <w:tcW w:w="104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 xml:space="preserve">0.0765 </w:t>
                  </w:r>
                </w:p>
              </w:tc>
              <w:tc>
                <w:tcPr>
                  <w:tcW w:w="1298" w:type="dxa"/>
                  <w:tcBorders>
                    <w:top w:val="single" w:color="auto" w:sz="4" w:space="0"/>
                    <w:left w:val="single" w:color="auto" w:sz="4" w:space="0"/>
                    <w:bottom w:val="single" w:color="auto" w:sz="4" w:space="0"/>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eastAsia"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1058" w:type="dxa"/>
                  <w:vMerge w:val="continue"/>
                  <w:tcBorders>
                    <w:bottom w:val="single" w:color="auto" w:sz="12" w:space="0"/>
                    <w:right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eastAsia" w:ascii="Times New Roman" w:hAnsi="Times New Roman" w:eastAsia="宋体" w:cs="Times New Roman"/>
                      <w:b w:val="0"/>
                      <w:bCs w:val="0"/>
                      <w:color w:val="auto"/>
                      <w:szCs w:val="21"/>
                      <w:highlight w:val="none"/>
                      <w:lang w:val="en-US" w:eastAsia="zh-CN"/>
                    </w:rPr>
                  </w:pPr>
                </w:p>
              </w:tc>
              <w:tc>
                <w:tcPr>
                  <w:tcW w:w="1362" w:type="dxa"/>
                  <w:tcBorders>
                    <w:top w:val="single" w:color="auto" w:sz="4" w:space="0"/>
                    <w:left w:val="single" w:color="auto" w:sz="4" w:space="0"/>
                    <w:bottom w:val="single" w:color="auto" w:sz="12" w:space="0"/>
                    <w:right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eastAsia"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SS</w:t>
                  </w:r>
                </w:p>
              </w:tc>
              <w:tc>
                <w:tcPr>
                  <w:tcW w:w="1177" w:type="dxa"/>
                  <w:tcBorders>
                    <w:top w:val="single" w:color="auto" w:sz="4" w:space="0"/>
                    <w:left w:val="single" w:color="auto" w:sz="4" w:space="0"/>
                    <w:bottom w:val="single" w:color="auto" w:sz="12"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 xml:space="preserve">140.8 </w:t>
                  </w:r>
                </w:p>
              </w:tc>
              <w:tc>
                <w:tcPr>
                  <w:tcW w:w="1038" w:type="dxa"/>
                  <w:tcBorders>
                    <w:top w:val="single" w:color="auto" w:sz="4" w:space="0"/>
                    <w:left w:val="single" w:color="auto" w:sz="4" w:space="0"/>
                    <w:bottom w:val="single" w:color="auto" w:sz="12"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 xml:space="preserve">0.0941 </w:t>
                  </w:r>
                </w:p>
              </w:tc>
              <w:tc>
                <w:tcPr>
                  <w:tcW w:w="1154" w:type="dxa"/>
                  <w:tcBorders>
                    <w:top w:val="single" w:color="auto" w:sz="4" w:space="0"/>
                    <w:left w:val="single" w:color="auto" w:sz="4" w:space="0"/>
                    <w:bottom w:val="single" w:color="auto" w:sz="12"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 xml:space="preserve">98.5 </w:t>
                  </w:r>
                </w:p>
              </w:tc>
              <w:tc>
                <w:tcPr>
                  <w:tcW w:w="1045" w:type="dxa"/>
                  <w:tcBorders>
                    <w:top w:val="single" w:color="auto" w:sz="4" w:space="0"/>
                    <w:left w:val="single" w:color="auto" w:sz="4" w:space="0"/>
                    <w:bottom w:val="single" w:color="auto" w:sz="12"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 xml:space="preserve">0.0659 </w:t>
                  </w:r>
                </w:p>
              </w:tc>
              <w:tc>
                <w:tcPr>
                  <w:tcW w:w="1298" w:type="dxa"/>
                  <w:tcBorders>
                    <w:top w:val="single" w:color="auto" w:sz="4" w:space="0"/>
                    <w:left w:val="single" w:color="auto" w:sz="4" w:space="0"/>
                    <w:bottom w:val="single" w:color="auto" w:sz="12" w:space="0"/>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default"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400</w:t>
                  </w:r>
                </w:p>
              </w:tc>
            </w:tr>
          </w:tbl>
          <w:p>
            <w:pPr>
              <w:pStyle w:val="4"/>
              <w:suppressLineNumbers w:val="0"/>
              <w:bidi w:val="0"/>
              <w:spacing w:beforeAutospacing="0" w:afterAutospacing="0"/>
              <w:ind w:right="0"/>
              <w:rPr>
                <w:rFonts w:hint="default"/>
                <w:color w:val="auto"/>
                <w:highlight w:val="none"/>
                <w:lang w:val="en-US" w:eastAsia="zh-CN"/>
              </w:rPr>
            </w:pPr>
            <w:r>
              <w:rPr>
                <w:rFonts w:hint="eastAsia"/>
                <w:color w:val="auto"/>
                <w:highlight w:val="none"/>
                <w:lang w:val="en-US" w:eastAsia="zh-CN"/>
              </w:rPr>
              <w:t>废水污染源强计算过程及治理措施</w:t>
            </w:r>
          </w:p>
          <w:p>
            <w:pPr>
              <w:pStyle w:val="36"/>
              <w:keepNext w:val="0"/>
              <w:keepLines w:val="0"/>
              <w:suppressLineNumbers w:val="0"/>
              <w:bidi w:val="0"/>
              <w:spacing w:before="0" w:beforeAutospacing="0" w:after="0" w:afterAutospacing="0"/>
              <w:ind w:left="0" w:right="0"/>
              <w:rPr>
                <w:rFonts w:hint="eastAsia" w:ascii="Times New Roman" w:hAnsi="Times New Roman" w:eastAsia="宋体" w:cs="宋体"/>
                <w:color w:val="auto"/>
                <w:highlight w:val="none"/>
                <w:lang w:val="en-US" w:eastAsia="zh-CN"/>
              </w:rPr>
            </w:pPr>
            <w:r>
              <w:rPr>
                <w:rFonts w:hint="eastAsia" w:ascii="Times New Roman" w:hAnsi="Times New Roman" w:eastAsia="宋体" w:cs="宋体"/>
                <w:b w:val="0"/>
                <w:bCs w:val="0"/>
                <w:color w:val="auto"/>
                <w:highlight w:val="none"/>
                <w:lang w:val="en-US" w:eastAsia="zh-CN"/>
              </w:rPr>
              <w:t>（1）</w:t>
            </w:r>
            <w:r>
              <w:rPr>
                <w:rFonts w:hint="eastAsia" w:ascii="Times New Roman" w:hAnsi="Times New Roman" w:eastAsia="宋体" w:cs="宋体"/>
                <w:color w:val="auto"/>
                <w:highlight w:val="none"/>
                <w:lang w:val="en-US" w:eastAsia="zh-CN"/>
              </w:rPr>
              <w:t>实验废水</w:t>
            </w:r>
          </w:p>
          <w:p>
            <w:pPr>
              <w:pStyle w:val="36"/>
              <w:keepNext w:val="0"/>
              <w:keepLines w:val="0"/>
              <w:suppressLineNumbers w:val="0"/>
              <w:bidi w:val="0"/>
              <w:spacing w:before="0" w:beforeAutospacing="0" w:after="0" w:afterAutospacing="0"/>
              <w:ind w:left="0" w:right="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项目运营期产生的实验废水主要为实验器具清洗废水W1、仪器排水W2、样品排水W3、制纯浓水W4。根据项目水平衡分析，实验器具清洗废水W1排放量约为174t/a，实验仪器排水W2约为96t/a，样品排水W3约为2.85t/a，项目制纯浓水W4排放量约为10t/a。</w:t>
            </w:r>
          </w:p>
          <w:p>
            <w:pPr>
              <w:pStyle w:val="36"/>
              <w:keepNext w:val="0"/>
              <w:keepLines w:val="0"/>
              <w:suppressLineNumbers w:val="0"/>
              <w:bidi w:val="0"/>
              <w:spacing w:before="0" w:beforeAutospacing="0" w:after="0" w:afterAutospacing="0"/>
              <w:ind w:left="0" w:right="0"/>
              <w:rPr>
                <w:rFonts w:hint="default"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①实验器具清洗废水W1</w:t>
            </w:r>
          </w:p>
          <w:p>
            <w:pPr>
              <w:pStyle w:val="36"/>
              <w:keepNext w:val="0"/>
              <w:keepLines w:val="0"/>
              <w:suppressLineNumbers w:val="0"/>
              <w:bidi w:val="0"/>
              <w:spacing w:before="0" w:beforeAutospacing="0" w:after="0" w:afterAutospacing="0"/>
              <w:ind w:left="0" w:right="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类比同类项目，项目实验器具清洗废水W1主要污染物浓度按COD</w:t>
            </w:r>
            <w:r>
              <w:rPr>
                <w:rFonts w:hint="eastAsia" w:ascii="Times New Roman" w:hAnsi="Times New Roman" w:eastAsia="宋体" w:cs="宋体"/>
                <w:color w:val="auto"/>
                <w:highlight w:val="none"/>
                <w:vertAlign w:val="subscript"/>
                <w:lang w:val="en-US" w:eastAsia="zh-CN"/>
              </w:rPr>
              <w:t>cr</w:t>
            </w:r>
            <w:r>
              <w:rPr>
                <w:rFonts w:hint="eastAsia" w:ascii="Times New Roman" w:hAnsi="Times New Roman" w:eastAsia="宋体" w:cs="宋体"/>
                <w:color w:val="auto"/>
                <w:highlight w:val="none"/>
                <w:lang w:val="en-US" w:eastAsia="zh-CN"/>
              </w:rPr>
              <w:t>：500mg/L，BOD</w:t>
            </w:r>
            <w:r>
              <w:rPr>
                <w:rFonts w:hint="eastAsia" w:ascii="Times New Roman" w:hAnsi="Times New Roman" w:eastAsia="宋体" w:cs="宋体"/>
                <w:color w:val="auto"/>
                <w:highlight w:val="none"/>
                <w:vertAlign w:val="subscript"/>
                <w:lang w:val="en-US" w:eastAsia="zh-CN"/>
              </w:rPr>
              <w:t>5</w:t>
            </w:r>
            <w:r>
              <w:rPr>
                <w:rFonts w:hint="eastAsia" w:cs="宋体"/>
                <w:color w:val="auto"/>
                <w:highlight w:val="none"/>
                <w:vertAlign w:val="subscript"/>
                <w:lang w:val="en-US" w:eastAsia="zh-CN"/>
              </w:rPr>
              <w:t>:</w:t>
            </w:r>
            <w:r>
              <w:rPr>
                <w:rFonts w:hint="eastAsia" w:ascii="Times New Roman" w:hAnsi="Times New Roman" w:eastAsia="宋体" w:cs="宋体"/>
                <w:color w:val="auto"/>
                <w:highlight w:val="none"/>
                <w:lang w:val="en-US" w:eastAsia="zh-CN"/>
              </w:rPr>
              <w:t>300mg/L，SS：400mg/L，NH</w:t>
            </w:r>
            <w:r>
              <w:rPr>
                <w:rFonts w:hint="eastAsia" w:ascii="Times New Roman" w:hAnsi="Times New Roman" w:eastAsia="宋体" w:cs="宋体"/>
                <w:color w:val="auto"/>
                <w:highlight w:val="none"/>
                <w:vertAlign w:val="subscript"/>
                <w:lang w:val="en-US" w:eastAsia="zh-CN"/>
              </w:rPr>
              <w:t>3</w:t>
            </w:r>
            <w:r>
              <w:rPr>
                <w:rFonts w:hint="eastAsia" w:ascii="Times New Roman" w:hAnsi="Times New Roman" w:eastAsia="宋体" w:cs="宋体"/>
                <w:color w:val="auto"/>
                <w:highlight w:val="none"/>
                <w:lang w:val="en-US" w:eastAsia="zh-CN"/>
              </w:rPr>
              <w:t>-N：40mg/L计。</w:t>
            </w:r>
          </w:p>
          <w:p>
            <w:pPr>
              <w:pStyle w:val="36"/>
              <w:keepNext w:val="0"/>
              <w:keepLines w:val="0"/>
              <w:suppressLineNumbers w:val="0"/>
              <w:bidi w:val="0"/>
              <w:spacing w:before="0" w:beforeAutospacing="0" w:after="0" w:afterAutospacing="0"/>
              <w:ind w:left="0" w:right="0"/>
              <w:rPr>
                <w:rFonts w:hint="default"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本项目实验器具清洗废水W1先经过污水处理设施处理后</w:t>
            </w:r>
            <w:r>
              <w:rPr>
                <w:rFonts w:hint="eastAsia" w:cs="宋体"/>
                <w:color w:val="auto"/>
                <w:highlight w:val="none"/>
                <w:lang w:val="en-US" w:eastAsia="zh-CN"/>
              </w:rPr>
              <w:t>再</w:t>
            </w:r>
            <w:r>
              <w:rPr>
                <w:rFonts w:hint="eastAsia" w:ascii="Times New Roman" w:hAnsi="Times New Roman" w:eastAsia="宋体" w:cs="宋体"/>
                <w:color w:val="auto"/>
                <w:highlight w:val="none"/>
                <w:lang w:val="en-US" w:eastAsia="zh-CN"/>
              </w:rPr>
              <w:t>进入市政管网，废水处理设施工艺流程图如下：</w:t>
            </w:r>
          </w:p>
          <w:p>
            <w:pPr>
              <w:pStyle w:val="3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firstLine="0" w:firstLineChars="0"/>
              <w:textAlignment w:val="auto"/>
              <w:rPr>
                <w:rFonts w:hint="default"/>
                <w:color w:val="auto"/>
                <w:highlight w:val="none"/>
              </w:rPr>
            </w:pPr>
            <w:r>
              <w:rPr>
                <w:rFonts w:hint="default"/>
                <w:color w:val="auto"/>
                <w:sz w:val="24"/>
                <w:highlight w:val="none"/>
              </w:rPr>
              <mc:AlternateContent>
                <mc:Choice Requires="wps">
                  <w:drawing>
                    <wp:anchor distT="0" distB="0" distL="114300" distR="114300" simplePos="0" relativeHeight="251670528" behindDoc="0" locked="0" layoutInCell="1" allowOverlap="1">
                      <wp:simplePos x="0" y="0"/>
                      <wp:positionH relativeFrom="column">
                        <wp:posOffset>212090</wp:posOffset>
                      </wp:positionH>
                      <wp:positionV relativeFrom="paragraph">
                        <wp:posOffset>1426210</wp:posOffset>
                      </wp:positionV>
                      <wp:extent cx="733425" cy="325755"/>
                      <wp:effectExtent l="0" t="0" r="0" b="0"/>
                      <wp:wrapNone/>
                      <wp:docPr id="4" name="文本框 4"/>
                      <wp:cNvGraphicFramePr/>
                      <a:graphic xmlns:a="http://schemas.openxmlformats.org/drawingml/2006/main">
                        <a:graphicData uri="http://schemas.microsoft.com/office/word/2010/wordprocessingShape">
                          <wps:wsp>
                            <wps:cNvSpPr txBox="1"/>
                            <wps:spPr>
                              <a:xfrm>
                                <a:off x="1848485" y="2157730"/>
                                <a:ext cx="733425" cy="3257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000000" w:themeColor="text1"/>
                                      <w:sz w:val="16"/>
                                      <w:szCs w:val="20"/>
                                      <w:lang w:val="en-US" w:eastAsia="zh-CN"/>
                                      <w14:textFill>
                                        <w14:solidFill>
                                          <w14:schemeClr w14:val="tx1"/>
                                        </w14:solidFill>
                                      </w14:textFill>
                                    </w:rPr>
                                  </w:pPr>
                                  <w:r>
                                    <w:rPr>
                                      <w:rFonts w:hint="eastAsia"/>
                                      <w:color w:val="000000" w:themeColor="text1"/>
                                      <w:sz w:val="16"/>
                                      <w:szCs w:val="20"/>
                                      <w:lang w:val="en-US" w:eastAsia="zh-CN"/>
                                      <w14:textFill>
                                        <w14:solidFill>
                                          <w14:schemeClr w14:val="tx1"/>
                                        </w14:solidFill>
                                      </w14:textFill>
                                    </w:rPr>
                                    <w:t>市政管网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7pt;margin-top:112.3pt;height:25.65pt;width:57.75pt;z-index:251670528;mso-width-relative:page;mso-height-relative:page;" filled="f" stroked="f" coordsize="21600,21600" o:gfxdata="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JvF5M3AAAAAoBAAAPAAAAAAAAAAEAIAAAACIAAABkcnMvZG93bnJldi54bWxQSwEC&#10;FAAUAAAACACHTuJALmlaDCkCAAAjBAAADgAAAAAAAAABACAAAAArAQAAZHJzL2Uyb0RvYy54bWxQ&#10;SwUGAAAAAAYABgBZAQAAxgUAAAAA&#10;">
                      <v:fill on="f" focussize="0,0"/>
                      <v:stroke on="f" weight="0.5pt"/>
                      <v:imagedata o:title=""/>
                      <o:lock v:ext="edit" aspectratio="f"/>
                      <v:textbox>
                        <w:txbxContent>
                          <w:p>
                            <w:pPr>
                              <w:rPr>
                                <w:rFonts w:hint="default" w:eastAsia="宋体"/>
                                <w:color w:val="000000" w:themeColor="text1"/>
                                <w:sz w:val="16"/>
                                <w:szCs w:val="20"/>
                                <w:lang w:val="en-US" w:eastAsia="zh-CN"/>
                                <w14:textFill>
                                  <w14:solidFill>
                                    <w14:schemeClr w14:val="tx1"/>
                                  </w14:solidFill>
                                </w14:textFill>
                              </w:rPr>
                            </w:pPr>
                            <w:r>
                              <w:rPr>
                                <w:rFonts w:hint="eastAsia"/>
                                <w:color w:val="000000" w:themeColor="text1"/>
                                <w:sz w:val="16"/>
                                <w:szCs w:val="20"/>
                                <w:lang w:val="en-US" w:eastAsia="zh-CN"/>
                                <w14:textFill>
                                  <w14:solidFill>
                                    <w14:schemeClr w14:val="tx1"/>
                                  </w14:solidFill>
                                </w14:textFill>
                              </w:rPr>
                              <w:t>市政管网</w:t>
                            </w:r>
                          </w:p>
                        </w:txbxContent>
                      </v:textbox>
                    </v:shape>
                  </w:pict>
                </mc:Fallback>
              </mc:AlternateContent>
            </w:r>
            <w:r>
              <w:rPr>
                <w:rFonts w:hint="default"/>
                <w:color w:val="auto"/>
                <w:sz w:val="24"/>
                <w:highlight w:val="none"/>
              </w:rPr>
              <mc:AlternateContent>
                <mc:Choice Requires="wps">
                  <w:drawing>
                    <wp:anchor distT="0" distB="0" distL="114300" distR="114300" simplePos="0" relativeHeight="251669504" behindDoc="0" locked="0" layoutInCell="1" allowOverlap="1">
                      <wp:simplePos x="0" y="0"/>
                      <wp:positionH relativeFrom="column">
                        <wp:posOffset>782320</wp:posOffset>
                      </wp:positionH>
                      <wp:positionV relativeFrom="paragraph">
                        <wp:posOffset>1537970</wp:posOffset>
                      </wp:positionV>
                      <wp:extent cx="236855" cy="2540"/>
                      <wp:effectExtent l="0" t="36195" r="10795" b="37465"/>
                      <wp:wrapNone/>
                      <wp:docPr id="3" name="直接箭头连接符 3"/>
                      <wp:cNvGraphicFramePr/>
                      <a:graphic xmlns:a="http://schemas.openxmlformats.org/drawingml/2006/main">
                        <a:graphicData uri="http://schemas.microsoft.com/office/word/2010/wordprocessingShape">
                          <wps:wsp>
                            <wps:cNvCnPr/>
                            <wps:spPr>
                              <a:xfrm flipH="1">
                                <a:off x="2199640" y="2621280"/>
                                <a:ext cx="236855" cy="2540"/>
                              </a:xfrm>
                              <a:prstGeom prst="straightConnector1">
                                <a:avLst/>
                              </a:prstGeom>
                              <a:ln w="12700">
                                <a:solidFill>
                                  <a:schemeClr val="tx1"/>
                                </a:solidFill>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61.6pt;margin-top:121.1pt;height:0.2pt;width:18.65pt;z-index:251669504;mso-width-relative:page;mso-height-relative:page;" filled="f" stroked="t" coordsize="21600,21600" o:gfxdata="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DHWeA9sAAAALAQAADwAAAAAAAAABACAAAAAiAAAAZHJzL2Rv&#10;d25yZXYueG1sUEsBAhQAFAAAAAgAh07iQHGbWcr+AQAApwMAAA4AAAAAAAAAAQAgAAAAKgEAAGRy&#10;cy9lMm9Eb2MueG1sUEsFBgAAAAAGAAYAWQEAAJoFAAAAAA==&#10;">
                      <v:fill on="f" focussize="0,0"/>
                      <v:stroke weight="1pt" color="#000000 [3213]" joinstyle="round" endarrow="block"/>
                      <v:imagedata o:title=""/>
                      <o:lock v:ext="edit" aspectratio="f"/>
                    </v:shape>
                  </w:pict>
                </mc:Fallback>
              </mc:AlternateContent>
            </w:r>
            <w:r>
              <w:rPr>
                <w:rFonts w:hint="default"/>
                <w:color w:val="auto"/>
                <w:highlight w:val="none"/>
              </w:rPr>
              <w:drawing>
                <wp:inline distT="0" distB="0" distL="114300" distR="114300">
                  <wp:extent cx="5154295" cy="1788795"/>
                  <wp:effectExtent l="0" t="0" r="8255" b="1905"/>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27"/>
                          <a:stretch>
                            <a:fillRect/>
                          </a:stretch>
                        </pic:blipFill>
                        <pic:spPr>
                          <a:xfrm>
                            <a:off x="0" y="0"/>
                            <a:ext cx="5154295" cy="1788795"/>
                          </a:xfrm>
                          <a:prstGeom prst="rect">
                            <a:avLst/>
                          </a:prstGeom>
                          <a:noFill/>
                          <a:ln>
                            <a:noFill/>
                          </a:ln>
                        </pic:spPr>
                      </pic:pic>
                    </a:graphicData>
                  </a:graphic>
                </wp:inline>
              </w:drawing>
            </w:r>
          </w:p>
          <w:p>
            <w:pPr>
              <w:pStyle w:val="38"/>
              <w:keepNext w:val="0"/>
              <w:keepLines w:val="0"/>
              <w:pageBreakBefore w:val="0"/>
              <w:widowControl w:val="0"/>
              <w:suppressLineNumbers w:val="0"/>
              <w:tabs>
                <w:tab w:val="left" w:pos="0"/>
                <w:tab w:val="clear" w:pos="420"/>
              </w:tabs>
              <w:kinsoku/>
              <w:wordWrap/>
              <w:overflowPunct/>
              <w:topLinePunct w:val="0"/>
              <w:autoSpaceDE/>
              <w:autoSpaceDN/>
              <w:bidi w:val="0"/>
              <w:adjustRightInd/>
              <w:snapToGrid/>
              <w:spacing w:before="157" w:beforeLines="50" w:beforeAutospacing="0" w:after="0" w:afterAutospacing="0"/>
              <w:ind w:left="1582" w:right="0" w:hanging="1582"/>
              <w:textAlignment w:val="auto"/>
              <w:rPr>
                <w:rFonts w:hint="default" w:ascii="Times New Roman" w:hAnsi="Times New Roman" w:cs="Times New Roman"/>
                <w:color w:val="auto"/>
                <w:highlight w:val="none"/>
                <w:lang w:val="en-US" w:eastAsia="zh-CN"/>
              </w:rPr>
            </w:pPr>
            <w:bookmarkStart w:id="93" w:name="_Ref1492"/>
            <w:r>
              <w:rPr>
                <w:rFonts w:hint="eastAsia" w:ascii="Times New Roman" w:hAnsi="Times New Roman" w:cs="Times New Roman"/>
                <w:color w:val="auto"/>
                <w:highlight w:val="none"/>
                <w:lang w:val="en-US" w:eastAsia="zh-CN"/>
              </w:rPr>
              <w:t>污水处理</w:t>
            </w:r>
            <w:r>
              <w:rPr>
                <w:rFonts w:hint="default" w:ascii="Times New Roman" w:hAnsi="Times New Roman" w:cs="Times New Roman"/>
                <w:color w:val="auto"/>
                <w:highlight w:val="none"/>
                <w:lang w:val="en-US" w:eastAsia="zh-CN"/>
              </w:rPr>
              <w:t>工艺流程图</w:t>
            </w:r>
            <w:bookmarkEnd w:id="93"/>
          </w:p>
          <w:p>
            <w:pPr>
              <w:pStyle w:val="36"/>
              <w:keepNext w:val="0"/>
              <w:keepLines w:val="0"/>
              <w:suppressLineNumbers w:val="0"/>
              <w:bidi w:val="0"/>
              <w:spacing w:before="0" w:beforeAutospacing="0" w:after="0" w:afterAutospacing="0"/>
              <w:ind w:left="0" w:right="0"/>
              <w:rPr>
                <w:rFonts w:hint="default"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工艺简介：</w:t>
            </w:r>
          </w:p>
          <w:p>
            <w:pPr>
              <w:pStyle w:val="36"/>
              <w:keepNext w:val="0"/>
              <w:keepLines w:val="0"/>
              <w:suppressLineNumbers w:val="0"/>
              <w:bidi w:val="0"/>
              <w:spacing w:before="0" w:beforeAutospacing="0" w:after="0" w:afterAutospacing="0"/>
              <w:ind w:left="0" w:right="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1）收集池：除了起废水收集和水质均衡的作用，同时废水首先互相中和，减少pH调节所需酸、碱的量；</w:t>
            </w:r>
          </w:p>
          <w:p>
            <w:pPr>
              <w:pStyle w:val="36"/>
              <w:keepNext w:val="0"/>
              <w:keepLines w:val="0"/>
              <w:suppressLineNumbers w:val="0"/>
              <w:bidi w:val="0"/>
              <w:spacing w:before="0" w:beforeAutospacing="0" w:after="0" w:afterAutospacing="0"/>
              <w:ind w:left="0" w:right="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2）pH调节：去除水中酸、碱污染物，同时保证后续处理的效果；</w:t>
            </w:r>
          </w:p>
          <w:p>
            <w:pPr>
              <w:pStyle w:val="36"/>
              <w:keepNext w:val="0"/>
              <w:keepLines w:val="0"/>
              <w:suppressLineNumbers w:val="0"/>
              <w:bidi w:val="0"/>
              <w:spacing w:before="0" w:beforeAutospacing="0" w:after="0" w:afterAutospacing="0"/>
              <w:ind w:left="0" w:right="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3）混凝池：通过加入螯合能力更强、更环保的第三代半重金属螯合剂及助凝剂，高效去除重金属、胶体及悬浮物等污染物；</w:t>
            </w:r>
          </w:p>
          <w:p>
            <w:pPr>
              <w:pStyle w:val="36"/>
              <w:keepNext w:val="0"/>
              <w:keepLines w:val="0"/>
              <w:suppressLineNumbers w:val="0"/>
              <w:bidi w:val="0"/>
              <w:spacing w:before="0" w:beforeAutospacing="0" w:after="0" w:afterAutospacing="0"/>
              <w:ind w:left="0" w:right="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4）臭氧氧化池：利用臭氧氧化的高级氧化处理技术，主要用于水的消毒、去除水中酚、氰等污染物质，水的脱色、除去水中铁、锰等金属离子，除异味和臭味；</w:t>
            </w:r>
          </w:p>
          <w:p>
            <w:pPr>
              <w:pStyle w:val="36"/>
              <w:keepNext w:val="0"/>
              <w:keepLines w:val="0"/>
              <w:suppressLineNumbers w:val="0"/>
              <w:bidi w:val="0"/>
              <w:spacing w:before="0" w:beforeAutospacing="0" w:after="0" w:afterAutospacing="0"/>
              <w:ind w:left="0" w:right="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5）催化微电解：属于高级氧化处理技术。采用新型催化微电解填料，可高效去除COD、降低色度、提高可生化性，处理效果稳定，可避免运行过程中的填料钝化、板结等现象，对洗涤废水效果明显；</w:t>
            </w:r>
          </w:p>
          <w:p>
            <w:pPr>
              <w:pStyle w:val="36"/>
              <w:keepNext w:val="0"/>
              <w:keepLines w:val="0"/>
              <w:suppressLineNumbers w:val="0"/>
              <w:bidi w:val="0"/>
              <w:spacing w:before="0" w:beforeAutospacing="0" w:after="0" w:afterAutospacing="0"/>
              <w:ind w:left="0" w:right="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6）多</w:t>
            </w:r>
            <w:r>
              <w:rPr>
                <w:rFonts w:hint="eastAsia" w:cs="宋体"/>
                <w:color w:val="auto"/>
                <w:highlight w:val="none"/>
                <w:lang w:val="en-US" w:eastAsia="zh-CN"/>
              </w:rPr>
              <w:t>介质</w:t>
            </w:r>
            <w:r>
              <w:rPr>
                <w:rFonts w:hint="eastAsia" w:ascii="Times New Roman" w:hAnsi="Times New Roman" w:eastAsia="宋体" w:cs="宋体"/>
                <w:color w:val="auto"/>
                <w:highlight w:val="none"/>
                <w:lang w:val="en-US" w:eastAsia="zh-CN"/>
              </w:rPr>
              <w:t>过滤：去除水中的细小颗粒、悬浮物、胶体、有机物等杂质及农药、锰、细菌、病毒等污染物；</w:t>
            </w:r>
          </w:p>
          <w:p>
            <w:pPr>
              <w:pStyle w:val="36"/>
              <w:keepNext w:val="0"/>
              <w:keepLines w:val="0"/>
              <w:suppressLineNumbers w:val="0"/>
              <w:bidi w:val="0"/>
              <w:spacing w:before="0" w:beforeAutospacing="0" w:after="0" w:afterAutospacing="0"/>
              <w:ind w:left="0" w:right="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7）多功能光催化氧化处理：对异味、微生物、胶体及色素、重金属离子、小分子有机污染物等有较明显的吸附去除作用；</w:t>
            </w:r>
          </w:p>
          <w:p>
            <w:pPr>
              <w:pStyle w:val="36"/>
              <w:keepNext w:val="0"/>
              <w:keepLines w:val="0"/>
              <w:suppressLineNumbers w:val="0"/>
              <w:bidi w:val="0"/>
              <w:spacing w:before="0" w:beforeAutospacing="0" w:after="0" w:afterAutospacing="0"/>
              <w:ind w:left="0" w:right="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8）复合式杀菌消毒：降解有机物，同时具有广谱杀菌作用，几乎对所有微生物、细菌、病毒和藻类生物都起作用。</w:t>
            </w:r>
          </w:p>
          <w:p>
            <w:pPr>
              <w:pStyle w:val="36"/>
              <w:keepNext w:val="0"/>
              <w:keepLines w:val="0"/>
              <w:suppressLineNumbers w:val="0"/>
              <w:bidi w:val="0"/>
              <w:spacing w:before="0" w:beforeAutospacing="0" w:after="0" w:afterAutospacing="0"/>
              <w:ind w:left="0" w:right="0"/>
              <w:rPr>
                <w:rFonts w:hint="eastAsia" w:ascii="Times New Roman" w:hAnsi="Times New Roman" w:eastAsia="宋体" w:cs="宋体"/>
                <w:color w:val="auto"/>
                <w:highlight w:val="none"/>
                <w:lang w:val="en-US" w:eastAsia="zh-CN"/>
              </w:rPr>
            </w:pPr>
            <w:r>
              <w:rPr>
                <w:rFonts w:hint="eastAsia" w:hAnsi="宋体"/>
                <w:color w:val="auto"/>
                <w:kern w:val="0"/>
                <w:highlight w:val="none"/>
              </w:rPr>
              <w:t>根据建设单位提供的资料，</w:t>
            </w:r>
            <w:r>
              <w:rPr>
                <w:rFonts w:hint="eastAsia" w:ascii="Times New Roman" w:hAnsi="Times New Roman" w:eastAsia="宋体" w:cs="宋体"/>
                <w:color w:val="auto"/>
                <w:highlight w:val="none"/>
                <w:lang w:val="en-US" w:eastAsia="zh-CN"/>
              </w:rPr>
              <w:t>经过污水处理设施处理后实验器具清洗废水W1主要污染物浓度可达到COD</w:t>
            </w:r>
            <w:r>
              <w:rPr>
                <w:rFonts w:hint="eastAsia" w:ascii="Times New Roman" w:hAnsi="Times New Roman" w:eastAsia="宋体" w:cs="宋体"/>
                <w:color w:val="auto"/>
                <w:highlight w:val="none"/>
                <w:vertAlign w:val="subscript"/>
                <w:lang w:val="en-US" w:eastAsia="zh-CN"/>
              </w:rPr>
              <w:t>cr</w:t>
            </w:r>
            <w:r>
              <w:rPr>
                <w:rFonts w:hint="eastAsia" w:ascii="Times New Roman" w:hAnsi="Times New Roman" w:eastAsia="宋体" w:cs="宋体"/>
                <w:color w:val="auto"/>
                <w:highlight w:val="none"/>
                <w:lang w:val="en-US" w:eastAsia="zh-CN"/>
              </w:rPr>
              <w:t>：150mg/L，BOD</w:t>
            </w:r>
            <w:r>
              <w:rPr>
                <w:rFonts w:hint="eastAsia" w:ascii="Times New Roman" w:hAnsi="Times New Roman" w:eastAsia="宋体" w:cs="宋体"/>
                <w:color w:val="auto"/>
                <w:highlight w:val="none"/>
                <w:vertAlign w:val="subscript"/>
                <w:lang w:val="en-US" w:eastAsia="zh-CN"/>
              </w:rPr>
              <w:t>5</w:t>
            </w:r>
            <w:r>
              <w:rPr>
                <w:rFonts w:hint="eastAsia" w:cs="宋体"/>
                <w:color w:val="auto"/>
                <w:highlight w:val="none"/>
                <w:vertAlign w:val="subscript"/>
                <w:lang w:val="en-US" w:eastAsia="zh-CN"/>
              </w:rPr>
              <w:t>:</w:t>
            </w:r>
            <w:r>
              <w:rPr>
                <w:rFonts w:hint="eastAsia" w:ascii="Times New Roman" w:hAnsi="Times New Roman" w:eastAsia="宋体" w:cs="宋体"/>
                <w:color w:val="auto"/>
                <w:highlight w:val="none"/>
                <w:lang w:val="en-US" w:eastAsia="zh-CN"/>
              </w:rPr>
              <w:t>45mg/L，SS：40mg/L，NH</w:t>
            </w:r>
            <w:r>
              <w:rPr>
                <w:rFonts w:hint="eastAsia" w:ascii="Times New Roman" w:hAnsi="Times New Roman" w:eastAsia="宋体" w:cs="宋体"/>
                <w:color w:val="auto"/>
                <w:highlight w:val="none"/>
                <w:vertAlign w:val="subscript"/>
                <w:lang w:val="en-US" w:eastAsia="zh-CN"/>
              </w:rPr>
              <w:t>3</w:t>
            </w:r>
            <w:r>
              <w:rPr>
                <w:rFonts w:hint="eastAsia" w:ascii="Times New Roman" w:hAnsi="Times New Roman" w:eastAsia="宋体" w:cs="宋体"/>
                <w:color w:val="auto"/>
                <w:highlight w:val="none"/>
                <w:lang w:val="en-US" w:eastAsia="zh-CN"/>
              </w:rPr>
              <w:t>-N：5mg/L。</w:t>
            </w:r>
          </w:p>
          <w:p>
            <w:pPr>
              <w:pStyle w:val="35"/>
              <w:keepNext w:val="0"/>
              <w:keepLines w:val="0"/>
              <w:pageBreakBefore w:val="0"/>
              <w:widowControl w:val="0"/>
              <w:suppressLineNumbers w:val="0"/>
              <w:kinsoku/>
              <w:wordWrap/>
              <w:overflowPunct/>
              <w:topLinePunct w:val="0"/>
              <w:autoSpaceDE w:val="0"/>
              <w:autoSpaceDN w:val="0"/>
              <w:bidi w:val="0"/>
              <w:adjustRightInd/>
              <w:snapToGrid/>
              <w:spacing w:before="0" w:beforeLines="0" w:beforeAutospacing="0" w:after="0" w:afterAutospacing="0"/>
              <w:ind w:right="0"/>
              <w:textAlignment w:val="auto"/>
              <w:rPr>
                <w:rFonts w:hint="default"/>
                <w:color w:val="auto"/>
                <w:highlight w:val="none"/>
              </w:rPr>
            </w:pPr>
            <w:r>
              <w:rPr>
                <w:rFonts w:hint="eastAsia"/>
                <w:color w:val="auto"/>
                <w:highlight w:val="none"/>
                <w:lang w:val="en-US" w:eastAsia="zh-CN"/>
              </w:rPr>
              <w:t>实验器具清洗废水产排情况</w:t>
            </w:r>
            <w:r>
              <w:rPr>
                <w:rFonts w:hint="eastAsia"/>
                <w:color w:val="auto"/>
                <w:highlight w:val="none"/>
              </w:rPr>
              <w:t>一览表</w:t>
            </w:r>
          </w:p>
          <w:tbl>
            <w:tblPr>
              <w:tblStyle w:val="32"/>
              <w:tblW w:w="813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058"/>
              <w:gridCol w:w="1182"/>
              <w:gridCol w:w="1125"/>
              <w:gridCol w:w="1000"/>
              <w:gridCol w:w="1100"/>
              <w:gridCol w:w="1137"/>
              <w:gridCol w:w="15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tblHeader/>
                <w:jc w:val="center"/>
              </w:trPr>
              <w:tc>
                <w:tcPr>
                  <w:tcW w:w="1058"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highlight w:val="none"/>
                    </w:rPr>
                    <w:t>污染源</w:t>
                  </w:r>
                </w:p>
              </w:tc>
              <w:tc>
                <w:tcPr>
                  <w:tcW w:w="1182"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highlight w:val="none"/>
                    </w:rPr>
                  </w:pPr>
                  <w:r>
                    <w:rPr>
                      <w:rFonts w:hint="eastAsia"/>
                      <w:color w:val="auto"/>
                      <w:szCs w:val="21"/>
                      <w:highlight w:val="none"/>
                    </w:rPr>
                    <w:t>污染物</w:t>
                  </w:r>
                </w:p>
                <w:p>
                  <w:pPr>
                    <w:keepNext w:val="0"/>
                    <w:keepLines w:val="0"/>
                    <w:suppressLineNumbers w:val="0"/>
                    <w:spacing w:before="0" w:beforeAutospacing="0" w:after="0" w:afterAutospacing="0"/>
                    <w:ind w:left="0" w:right="0"/>
                    <w:jc w:val="center"/>
                    <w:rPr>
                      <w:rFonts w:hint="eastAsia" w:eastAsia="宋体"/>
                      <w:color w:val="auto"/>
                      <w:szCs w:val="21"/>
                      <w:highlight w:val="none"/>
                      <w:lang w:val="en-US" w:eastAsia="zh-CN"/>
                    </w:rPr>
                  </w:pPr>
                  <w:r>
                    <w:rPr>
                      <w:rFonts w:hint="eastAsia"/>
                      <w:color w:val="auto"/>
                      <w:szCs w:val="21"/>
                      <w:highlight w:val="none"/>
                      <w:lang w:val="en-US" w:eastAsia="zh-CN"/>
                    </w:rPr>
                    <w:t>种类</w:t>
                  </w:r>
                </w:p>
              </w:tc>
              <w:tc>
                <w:tcPr>
                  <w:tcW w:w="2125"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处理前</w:t>
                  </w:r>
                </w:p>
              </w:tc>
              <w:tc>
                <w:tcPr>
                  <w:tcW w:w="2237"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处理后</w:t>
                  </w:r>
                </w:p>
              </w:tc>
              <w:tc>
                <w:tcPr>
                  <w:tcW w:w="1530"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tblHeader/>
                <w:jc w:val="center"/>
              </w:trPr>
              <w:tc>
                <w:tcPr>
                  <w:tcW w:w="1058"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olor w:val="auto"/>
                      <w:spacing w:val="4"/>
                      <w:kern w:val="0"/>
                      <w:szCs w:val="21"/>
                      <w:highlight w:val="none"/>
                    </w:rPr>
                  </w:pPr>
                </w:p>
              </w:tc>
              <w:tc>
                <w:tcPr>
                  <w:tcW w:w="1182"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olor w:val="auto"/>
                      <w:spacing w:val="4"/>
                      <w:kern w:val="0"/>
                      <w:szCs w:val="21"/>
                      <w:highlight w:val="none"/>
                    </w:rPr>
                  </w:pPr>
                </w:p>
              </w:tc>
              <w:tc>
                <w:tcPr>
                  <w:tcW w:w="112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lang w:val="en-US"/>
                    </w:rPr>
                  </w:pPr>
                  <w:r>
                    <w:rPr>
                      <w:rFonts w:hint="eastAsia"/>
                      <w:color w:val="auto"/>
                      <w:szCs w:val="21"/>
                      <w:highlight w:val="none"/>
                      <w:lang w:val="en-US" w:eastAsia="zh-CN"/>
                    </w:rPr>
                    <w:t>产生浓度mg/L</w:t>
                  </w:r>
                </w:p>
              </w:tc>
              <w:tc>
                <w:tcPr>
                  <w:tcW w:w="1000"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highlight w:val="none"/>
                      <w:lang w:val="en-US" w:eastAsia="zh-CN"/>
                    </w:rPr>
                  </w:pPr>
                  <w:r>
                    <w:rPr>
                      <w:rFonts w:hint="eastAsia"/>
                      <w:color w:val="auto"/>
                      <w:szCs w:val="21"/>
                      <w:highlight w:val="none"/>
                      <w:lang w:val="en-US" w:eastAsia="zh-CN"/>
                    </w:rPr>
                    <w:t>产生量</w:t>
                  </w:r>
                </w:p>
                <w:p>
                  <w:pPr>
                    <w:keepNext w:val="0"/>
                    <w:keepLines w:val="0"/>
                    <w:suppressLineNumbers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t/a</w:t>
                  </w:r>
                </w:p>
              </w:tc>
              <w:tc>
                <w:tcPr>
                  <w:tcW w:w="110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rPr>
                    <w:t>排放</w:t>
                  </w:r>
                  <w:r>
                    <w:rPr>
                      <w:rFonts w:hint="eastAsia"/>
                      <w:color w:val="auto"/>
                      <w:szCs w:val="21"/>
                      <w:highlight w:val="none"/>
                      <w:lang w:val="en-US" w:eastAsia="zh-CN"/>
                    </w:rPr>
                    <w:t>浓度mg/L</w:t>
                  </w:r>
                </w:p>
              </w:tc>
              <w:tc>
                <w:tcPr>
                  <w:tcW w:w="1137"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排放量</w:t>
                  </w:r>
                </w:p>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t/a</w:t>
                  </w:r>
                </w:p>
              </w:tc>
              <w:tc>
                <w:tcPr>
                  <w:tcW w:w="153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1058" w:type="dxa"/>
                  <w:vMerge w:val="restart"/>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color w:val="auto"/>
                      <w:sz w:val="21"/>
                      <w:szCs w:val="21"/>
                      <w:highlight w:val="none"/>
                      <w:lang w:val="en-US"/>
                    </w:rPr>
                  </w:pPr>
                  <w:r>
                    <w:rPr>
                      <w:rFonts w:hint="eastAsia"/>
                      <w:color w:val="auto"/>
                      <w:sz w:val="21"/>
                      <w:szCs w:val="21"/>
                      <w:highlight w:val="none"/>
                    </w:rPr>
                    <w:t>实验器具清洗废水</w:t>
                  </w:r>
                  <w:r>
                    <w:rPr>
                      <w:rFonts w:hint="eastAsia"/>
                      <w:color w:val="auto"/>
                      <w:highlight w:val="none"/>
                      <w:lang w:val="en-US" w:eastAsia="zh-CN"/>
                    </w:rPr>
                    <w:t>W1</w:t>
                  </w:r>
                </w:p>
              </w:tc>
              <w:tc>
                <w:tcPr>
                  <w:tcW w:w="1182"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eastAsia" w:eastAsia="宋体"/>
                      <w:color w:val="auto"/>
                      <w:highlight w:val="none"/>
                      <w:lang w:val="en-US" w:eastAsia="zh-CN"/>
                    </w:rPr>
                  </w:pPr>
                  <w:r>
                    <w:rPr>
                      <w:rFonts w:hint="eastAsia" w:eastAsia="宋体"/>
                      <w:color w:val="auto"/>
                      <w:highlight w:val="none"/>
                      <w:lang w:val="en-US" w:eastAsia="zh-CN"/>
                    </w:rPr>
                    <w:t>废水量</w:t>
                  </w:r>
                </w:p>
              </w:tc>
              <w:tc>
                <w:tcPr>
                  <w:tcW w:w="112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0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174</w:t>
                  </w:r>
                </w:p>
              </w:tc>
              <w:tc>
                <w:tcPr>
                  <w:tcW w:w="1100"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37"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174</w:t>
                  </w:r>
                </w:p>
              </w:tc>
              <w:tc>
                <w:tcPr>
                  <w:tcW w:w="1530" w:type="dxa"/>
                  <w:vMerge w:val="restart"/>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表中排放浓度</w:t>
                  </w:r>
                  <w:r>
                    <w:rPr>
                      <w:rFonts w:hint="eastAsia" w:cs="Times New Roman"/>
                      <w:i w:val="0"/>
                      <w:iCs w:val="0"/>
                      <w:color w:val="auto"/>
                      <w:kern w:val="0"/>
                      <w:sz w:val="21"/>
                      <w:szCs w:val="21"/>
                      <w:highlight w:val="none"/>
                      <w:u w:val="none"/>
                      <w:lang w:val="en-US" w:eastAsia="zh-CN" w:bidi="ar"/>
                    </w:rPr>
                    <w:t>指的是废水处理设备处理后进入化粪池废水</w:t>
                  </w:r>
                  <w:r>
                    <w:rPr>
                      <w:rFonts w:hint="eastAsia" w:ascii="Times New Roman" w:hAnsi="Times New Roman" w:eastAsia="宋体" w:cs="Times New Roman"/>
                      <w:i w:val="0"/>
                      <w:iCs w:val="0"/>
                      <w:color w:val="auto"/>
                      <w:kern w:val="0"/>
                      <w:sz w:val="21"/>
                      <w:szCs w:val="21"/>
                      <w:highlight w:val="none"/>
                      <w:u w:val="none"/>
                      <w:lang w:val="en-US" w:eastAsia="zh-CN" w:bidi="ar"/>
                    </w:rPr>
                    <w:t>浓度</w:t>
                  </w:r>
                  <w:r>
                    <w:rPr>
                      <w:rFonts w:hint="eastAsia" w:cs="Times New Roman"/>
                      <w:i w:val="0"/>
                      <w:iCs w:val="0"/>
                      <w:color w:val="auto"/>
                      <w:kern w:val="0"/>
                      <w:sz w:val="21"/>
                      <w:szCs w:val="21"/>
                      <w:highlight w:val="none"/>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1058" w:type="dxa"/>
                  <w:vMerge w:val="continue"/>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olor w:val="auto"/>
                      <w:sz w:val="21"/>
                      <w:szCs w:val="21"/>
                      <w:highlight w:val="none"/>
                    </w:rPr>
                  </w:pPr>
                </w:p>
              </w:tc>
              <w:tc>
                <w:tcPr>
                  <w:tcW w:w="1182"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eastAsia" w:eastAsia="宋体"/>
                      <w:color w:val="auto"/>
                      <w:highlight w:val="none"/>
                      <w:lang w:val="en-US" w:eastAsia="zh-CN"/>
                    </w:rPr>
                  </w:pPr>
                  <w:r>
                    <w:rPr>
                      <w:rFonts w:hint="eastAsia" w:ascii="Times New Roman" w:hAnsi="Times New Roman" w:eastAsia="宋体" w:cs="Times New Roman"/>
                      <w:color w:val="auto"/>
                      <w:szCs w:val="21"/>
                      <w:highlight w:val="none"/>
                      <w:lang w:val="en-US" w:eastAsia="zh-CN"/>
                    </w:rPr>
                    <w:t>COD</w:t>
                  </w:r>
                </w:p>
              </w:tc>
              <w:tc>
                <w:tcPr>
                  <w:tcW w:w="112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500</w:t>
                  </w:r>
                </w:p>
              </w:tc>
              <w:tc>
                <w:tcPr>
                  <w:tcW w:w="100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0.0870 </w:t>
                  </w:r>
                </w:p>
              </w:tc>
              <w:tc>
                <w:tcPr>
                  <w:tcW w:w="1100"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150</w:t>
                  </w:r>
                </w:p>
              </w:tc>
              <w:tc>
                <w:tcPr>
                  <w:tcW w:w="1137"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0.0261 </w:t>
                  </w:r>
                </w:p>
              </w:tc>
              <w:tc>
                <w:tcPr>
                  <w:tcW w:w="1530"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2"/>
                      <w:szCs w:val="22"/>
                      <w:highlight w:val="none"/>
                      <w:u w:val="none"/>
                      <w:lang w:val="en-US" w:eastAsia="zh-CN"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1058" w:type="dxa"/>
                  <w:vMerge w:val="continue"/>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olor w:val="auto"/>
                      <w:sz w:val="21"/>
                      <w:szCs w:val="21"/>
                      <w:highlight w:val="none"/>
                    </w:rPr>
                  </w:pPr>
                </w:p>
              </w:tc>
              <w:tc>
                <w:tcPr>
                  <w:tcW w:w="1182"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eastAsia" w:eastAsia="宋体"/>
                      <w:color w:val="auto"/>
                      <w:highlight w:val="none"/>
                      <w:lang w:val="en-US" w:eastAsia="zh-CN"/>
                    </w:rPr>
                  </w:pPr>
                  <w:r>
                    <w:rPr>
                      <w:rFonts w:hint="eastAsia" w:ascii="Times New Roman" w:hAnsi="Times New Roman" w:eastAsia="宋体" w:cs="Times New Roman"/>
                      <w:color w:val="auto"/>
                      <w:szCs w:val="21"/>
                      <w:highlight w:val="none"/>
                      <w:lang w:val="en-US" w:eastAsia="zh-CN"/>
                    </w:rPr>
                    <w:t>氨氮</w:t>
                  </w:r>
                </w:p>
              </w:tc>
              <w:tc>
                <w:tcPr>
                  <w:tcW w:w="112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40</w:t>
                  </w:r>
                </w:p>
              </w:tc>
              <w:tc>
                <w:tcPr>
                  <w:tcW w:w="100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0.0070 </w:t>
                  </w:r>
                </w:p>
              </w:tc>
              <w:tc>
                <w:tcPr>
                  <w:tcW w:w="1100"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137"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0.0009 </w:t>
                  </w:r>
                </w:p>
              </w:tc>
              <w:tc>
                <w:tcPr>
                  <w:tcW w:w="1530"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2"/>
                      <w:szCs w:val="22"/>
                      <w:highlight w:val="none"/>
                      <w:u w:val="none"/>
                      <w:lang w:val="en-US" w:eastAsia="zh-CN"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1058" w:type="dxa"/>
                  <w:vMerge w:val="continue"/>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olor w:val="auto"/>
                      <w:sz w:val="21"/>
                      <w:szCs w:val="21"/>
                      <w:highlight w:val="none"/>
                    </w:rPr>
                  </w:pPr>
                </w:p>
              </w:tc>
              <w:tc>
                <w:tcPr>
                  <w:tcW w:w="1182"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eastAsia" w:eastAsia="宋体"/>
                      <w:color w:val="auto"/>
                      <w:highlight w:val="none"/>
                      <w:lang w:val="en-US" w:eastAsia="zh-CN"/>
                    </w:rPr>
                  </w:pPr>
                  <w:r>
                    <w:rPr>
                      <w:rFonts w:hint="eastAsia" w:ascii="Times New Roman" w:hAnsi="Times New Roman" w:eastAsia="宋体" w:cs="Times New Roman"/>
                      <w:color w:val="auto"/>
                      <w:szCs w:val="21"/>
                      <w:highlight w:val="none"/>
                      <w:lang w:val="en-US" w:eastAsia="zh-CN"/>
                    </w:rPr>
                    <w:t>BOD</w:t>
                  </w:r>
                  <w:r>
                    <w:rPr>
                      <w:rFonts w:hint="eastAsia" w:ascii="Times New Roman" w:hAnsi="Times New Roman" w:eastAsia="宋体" w:cs="Times New Roman"/>
                      <w:color w:val="auto"/>
                      <w:szCs w:val="21"/>
                      <w:highlight w:val="none"/>
                      <w:vertAlign w:val="subscript"/>
                      <w:lang w:val="en-US" w:eastAsia="zh-CN"/>
                    </w:rPr>
                    <w:t>5</w:t>
                  </w:r>
                </w:p>
              </w:tc>
              <w:tc>
                <w:tcPr>
                  <w:tcW w:w="112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0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0.0522 </w:t>
                  </w:r>
                </w:p>
              </w:tc>
              <w:tc>
                <w:tcPr>
                  <w:tcW w:w="1100"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w:t>
                  </w:r>
                  <w:r>
                    <w:rPr>
                      <w:rFonts w:hint="eastAsia" w:ascii="Times New Roman" w:hAnsi="Times New Roman" w:eastAsia="宋体" w:cs="Times New Roman"/>
                      <w:i w:val="0"/>
                      <w:iCs w:val="0"/>
                      <w:color w:val="auto"/>
                      <w:kern w:val="0"/>
                      <w:sz w:val="21"/>
                      <w:szCs w:val="21"/>
                      <w:highlight w:val="none"/>
                      <w:u w:val="none"/>
                      <w:lang w:val="en-US" w:eastAsia="zh-CN" w:bidi="ar"/>
                    </w:rPr>
                    <w:t>5</w:t>
                  </w:r>
                </w:p>
              </w:tc>
              <w:tc>
                <w:tcPr>
                  <w:tcW w:w="1137"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0.0078 </w:t>
                  </w:r>
                </w:p>
              </w:tc>
              <w:tc>
                <w:tcPr>
                  <w:tcW w:w="1530"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2"/>
                      <w:szCs w:val="22"/>
                      <w:highlight w:val="none"/>
                      <w:u w:val="none"/>
                      <w:lang w:val="en-US" w:eastAsia="zh-CN"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1058" w:type="dxa"/>
                  <w:vMerge w:val="continue"/>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olor w:val="auto"/>
                      <w:sz w:val="21"/>
                      <w:szCs w:val="21"/>
                      <w:highlight w:val="none"/>
                    </w:rPr>
                  </w:pPr>
                </w:p>
              </w:tc>
              <w:tc>
                <w:tcPr>
                  <w:tcW w:w="1182"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eastAsia" w:eastAsia="宋体"/>
                      <w:color w:val="auto"/>
                      <w:highlight w:val="none"/>
                      <w:lang w:val="en-US" w:eastAsia="zh-CN"/>
                    </w:rPr>
                  </w:pPr>
                  <w:r>
                    <w:rPr>
                      <w:rFonts w:hint="eastAsia" w:ascii="Times New Roman" w:hAnsi="Times New Roman" w:eastAsia="宋体" w:cs="Times New Roman"/>
                      <w:color w:val="auto"/>
                      <w:szCs w:val="21"/>
                      <w:highlight w:val="none"/>
                      <w:lang w:val="en-US" w:eastAsia="zh-CN"/>
                    </w:rPr>
                    <w:t>SS</w:t>
                  </w:r>
                </w:p>
              </w:tc>
              <w:tc>
                <w:tcPr>
                  <w:tcW w:w="112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400</w:t>
                  </w:r>
                </w:p>
              </w:tc>
              <w:tc>
                <w:tcPr>
                  <w:tcW w:w="100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0.0696 </w:t>
                  </w:r>
                </w:p>
              </w:tc>
              <w:tc>
                <w:tcPr>
                  <w:tcW w:w="1100"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40</w:t>
                  </w:r>
                </w:p>
              </w:tc>
              <w:tc>
                <w:tcPr>
                  <w:tcW w:w="1137"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0.0070 </w:t>
                  </w:r>
                </w:p>
              </w:tc>
              <w:tc>
                <w:tcPr>
                  <w:tcW w:w="1530"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2"/>
                      <w:szCs w:val="22"/>
                      <w:highlight w:val="none"/>
                      <w:u w:val="none"/>
                      <w:lang w:val="en-US" w:eastAsia="zh-CN" w:bidi="ar"/>
                    </w:rPr>
                  </w:pPr>
                </w:p>
              </w:tc>
            </w:tr>
          </w:tbl>
          <w:p>
            <w:pPr>
              <w:pStyle w:val="36"/>
              <w:keepNext w:val="0"/>
              <w:keepLines w:val="0"/>
              <w:suppressLineNumbers w:val="0"/>
              <w:bidi w:val="0"/>
              <w:spacing w:before="0" w:beforeAutospacing="0" w:after="0" w:afterAutospacing="0"/>
              <w:ind w:left="0" w:right="0"/>
              <w:rPr>
                <w:rFonts w:hint="default"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②实验仪器排水W2、制纯浓水W4</w:t>
            </w:r>
          </w:p>
          <w:p>
            <w:pPr>
              <w:pStyle w:val="36"/>
              <w:keepNext w:val="0"/>
              <w:keepLines w:val="0"/>
              <w:suppressLineNumbers w:val="0"/>
              <w:bidi w:val="0"/>
              <w:spacing w:before="0" w:beforeAutospacing="0" w:after="0" w:afterAutospacing="0"/>
              <w:ind w:left="0" w:right="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实验仪器排水W2主要为</w:t>
            </w:r>
            <w:r>
              <w:rPr>
                <w:rFonts w:hint="eastAsia" w:hAnsi="宋体"/>
                <w:color w:val="auto"/>
                <w:kern w:val="0"/>
                <w:highlight w:val="none"/>
                <w:lang w:val="en-US" w:eastAsia="zh-CN"/>
              </w:rPr>
              <w:t>仪器</w:t>
            </w:r>
            <w:r>
              <w:rPr>
                <w:rFonts w:hint="eastAsia" w:hAnsi="宋体"/>
                <w:color w:val="auto"/>
                <w:kern w:val="0"/>
                <w:highlight w:val="none"/>
              </w:rPr>
              <w:t>冷却循环</w:t>
            </w:r>
            <w:r>
              <w:rPr>
                <w:rFonts w:hint="eastAsia"/>
                <w:color w:val="auto"/>
                <w:highlight w:val="none"/>
              </w:rPr>
              <w:t>排</w:t>
            </w:r>
            <w:r>
              <w:rPr>
                <w:rFonts w:hint="eastAsia" w:hAnsi="宋体"/>
                <w:color w:val="auto"/>
                <w:kern w:val="0"/>
                <w:highlight w:val="none"/>
              </w:rPr>
              <w:t>水</w:t>
            </w:r>
            <w:r>
              <w:rPr>
                <w:rFonts w:hint="eastAsia" w:hAnsi="宋体"/>
                <w:color w:val="auto"/>
                <w:kern w:val="0"/>
                <w:highlight w:val="none"/>
                <w:lang w:eastAsia="zh-CN"/>
              </w:rPr>
              <w:t>，</w:t>
            </w:r>
            <w:r>
              <w:rPr>
                <w:rFonts w:hint="eastAsia" w:hAnsi="宋体"/>
                <w:color w:val="auto"/>
                <w:kern w:val="0"/>
                <w:highlight w:val="none"/>
              </w:rPr>
              <w:t>冷却用水采用新鲜水，且为间接冷却，</w:t>
            </w:r>
            <w:r>
              <w:rPr>
                <w:rFonts w:hint="eastAsia"/>
                <w:color w:val="auto"/>
                <w:highlight w:val="none"/>
              </w:rPr>
              <w:t>水质较简单</w:t>
            </w:r>
            <w:r>
              <w:rPr>
                <w:rFonts w:hint="eastAsia" w:hAnsi="宋体"/>
                <w:color w:val="auto"/>
                <w:kern w:val="0"/>
                <w:highlight w:val="none"/>
                <w:lang w:eastAsia="zh-CN"/>
              </w:rPr>
              <w:t>；</w:t>
            </w:r>
            <w:r>
              <w:rPr>
                <w:rFonts w:hint="eastAsia" w:ascii="Times New Roman" w:hAnsi="Times New Roman" w:eastAsia="宋体" w:cs="宋体"/>
                <w:color w:val="auto"/>
                <w:highlight w:val="none"/>
                <w:lang w:val="en-US" w:eastAsia="zh-CN"/>
              </w:rPr>
              <w:t>制纯浓水W4是</w:t>
            </w:r>
            <w:r>
              <w:rPr>
                <w:rFonts w:hint="default"/>
                <w:color w:val="auto"/>
                <w:highlight w:val="none"/>
                <w:lang w:val="en-US" w:eastAsia="zh-CN"/>
              </w:rPr>
              <w:t>纯水制备</w:t>
            </w:r>
            <w:r>
              <w:rPr>
                <w:rFonts w:hint="eastAsia"/>
                <w:color w:val="auto"/>
                <w:highlight w:val="none"/>
                <w:lang w:val="en-US" w:eastAsia="zh-CN"/>
              </w:rPr>
              <w:t>产生，</w:t>
            </w:r>
            <w:r>
              <w:rPr>
                <w:rFonts w:hint="default"/>
                <w:color w:val="auto"/>
                <w:highlight w:val="none"/>
                <w:lang w:val="en-US" w:eastAsia="zh-CN"/>
              </w:rPr>
              <w:t>纯水制备主要是去除</w:t>
            </w:r>
            <w:r>
              <w:rPr>
                <w:rFonts w:hint="eastAsia"/>
                <w:color w:val="auto"/>
                <w:highlight w:val="none"/>
                <w:lang w:val="en-US" w:eastAsia="zh-CN"/>
              </w:rPr>
              <w:t>水中</w:t>
            </w:r>
            <w:r>
              <w:rPr>
                <w:rFonts w:hint="default"/>
                <w:color w:val="auto"/>
                <w:highlight w:val="none"/>
                <w:lang w:val="en-US" w:eastAsia="zh-CN"/>
              </w:rPr>
              <w:t>悬浮物，降低硬度，主要污染物是悬浮物，水质与制水原水水质相关，项目主要采用自来水原水，水质较好，产生悬浮物浓度较低</w:t>
            </w:r>
            <w:r>
              <w:rPr>
                <w:rFonts w:hint="eastAsia"/>
                <w:color w:val="auto"/>
                <w:highlight w:val="none"/>
                <w:lang w:val="en-US" w:eastAsia="zh-CN"/>
              </w:rPr>
              <w:t>。</w:t>
            </w:r>
            <w:r>
              <w:rPr>
                <w:rFonts w:hint="eastAsia" w:hAnsi="宋体"/>
                <w:color w:val="auto"/>
                <w:kern w:val="0"/>
                <w:highlight w:val="none"/>
              </w:rPr>
              <w:t>类比相同类型的实验室废水，</w:t>
            </w:r>
            <w:r>
              <w:rPr>
                <w:rFonts w:hint="eastAsia" w:ascii="Times New Roman" w:hAnsi="Times New Roman" w:eastAsia="宋体" w:cs="宋体"/>
                <w:color w:val="auto"/>
                <w:highlight w:val="none"/>
                <w:lang w:val="en-US" w:eastAsia="zh-CN"/>
              </w:rPr>
              <w:t>实验仪器排水W2、制纯浓水W4主要</w:t>
            </w:r>
            <w:r>
              <w:rPr>
                <w:rFonts w:hint="eastAsia" w:hAnsi="宋体"/>
                <w:color w:val="auto"/>
                <w:kern w:val="0"/>
                <w:highlight w:val="none"/>
              </w:rPr>
              <w:t>污染物浓度</w:t>
            </w:r>
            <w:r>
              <w:rPr>
                <w:rFonts w:hint="eastAsia" w:ascii="Times New Roman" w:hAnsi="Times New Roman" w:eastAsia="宋体" w:cs="宋体"/>
                <w:color w:val="auto"/>
                <w:highlight w:val="none"/>
                <w:lang w:val="en-US" w:eastAsia="zh-CN"/>
              </w:rPr>
              <w:t>按COD</w:t>
            </w:r>
            <w:r>
              <w:rPr>
                <w:rFonts w:hint="eastAsia" w:ascii="Times New Roman" w:hAnsi="Times New Roman" w:eastAsia="宋体" w:cs="宋体"/>
                <w:color w:val="auto"/>
                <w:highlight w:val="none"/>
                <w:vertAlign w:val="subscript"/>
                <w:lang w:val="en-US" w:eastAsia="zh-CN"/>
              </w:rPr>
              <w:t>cr</w:t>
            </w:r>
            <w:r>
              <w:rPr>
                <w:rFonts w:hint="eastAsia" w:ascii="Times New Roman" w:hAnsi="Times New Roman" w:eastAsia="宋体" w:cs="宋体"/>
                <w:color w:val="auto"/>
                <w:highlight w:val="none"/>
                <w:lang w:val="en-US" w:eastAsia="zh-CN"/>
              </w:rPr>
              <w:t>：70mg/L，BOD</w:t>
            </w:r>
            <w:r>
              <w:rPr>
                <w:rFonts w:hint="eastAsia" w:ascii="Times New Roman" w:hAnsi="Times New Roman" w:eastAsia="宋体" w:cs="宋体"/>
                <w:color w:val="auto"/>
                <w:highlight w:val="none"/>
                <w:vertAlign w:val="subscript"/>
                <w:lang w:val="en-US" w:eastAsia="zh-CN"/>
              </w:rPr>
              <w:t>5</w:t>
            </w:r>
            <w:r>
              <w:rPr>
                <w:rFonts w:hint="eastAsia" w:cs="宋体"/>
                <w:color w:val="auto"/>
                <w:highlight w:val="none"/>
                <w:vertAlign w:val="subscript"/>
                <w:lang w:val="en-US" w:eastAsia="zh-CN"/>
              </w:rPr>
              <w:t>:</w:t>
            </w:r>
            <w:r>
              <w:rPr>
                <w:rFonts w:hint="eastAsia" w:ascii="Times New Roman" w:hAnsi="Times New Roman" w:eastAsia="宋体" w:cs="宋体"/>
                <w:color w:val="auto"/>
                <w:highlight w:val="none"/>
                <w:lang w:val="en-US" w:eastAsia="zh-CN"/>
              </w:rPr>
              <w:t>40mg/L，SS：75mg/L，NH</w:t>
            </w:r>
            <w:r>
              <w:rPr>
                <w:rFonts w:hint="eastAsia" w:ascii="Times New Roman" w:hAnsi="Times New Roman" w:eastAsia="宋体" w:cs="宋体"/>
                <w:color w:val="auto"/>
                <w:highlight w:val="none"/>
                <w:vertAlign w:val="subscript"/>
                <w:lang w:val="en-US" w:eastAsia="zh-CN"/>
              </w:rPr>
              <w:t>3</w:t>
            </w:r>
            <w:r>
              <w:rPr>
                <w:rFonts w:hint="eastAsia" w:ascii="Times New Roman" w:hAnsi="Times New Roman" w:eastAsia="宋体" w:cs="宋体"/>
                <w:color w:val="auto"/>
                <w:highlight w:val="none"/>
                <w:lang w:val="en-US" w:eastAsia="zh-CN"/>
              </w:rPr>
              <w:t>-N：5mg/L计。</w:t>
            </w:r>
          </w:p>
          <w:p>
            <w:pPr>
              <w:pStyle w:val="36"/>
              <w:keepNext w:val="0"/>
              <w:keepLines w:val="0"/>
              <w:suppressLineNumbers w:val="0"/>
              <w:bidi w:val="0"/>
              <w:spacing w:before="0" w:beforeAutospacing="0" w:after="0" w:afterAutospacing="0"/>
              <w:ind w:left="0" w:right="0"/>
              <w:rPr>
                <w:rFonts w:hint="default"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③样品排水W3</w:t>
            </w:r>
          </w:p>
          <w:p>
            <w:pPr>
              <w:pStyle w:val="36"/>
              <w:keepNext w:val="0"/>
              <w:keepLines w:val="0"/>
              <w:suppressLineNumbers w:val="0"/>
              <w:bidi w:val="0"/>
              <w:spacing w:before="0" w:beforeAutospacing="0" w:after="0" w:afterAutospacing="0"/>
              <w:ind w:left="0" w:right="0"/>
              <w:rPr>
                <w:rFonts w:hint="default"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本项目检测水样基本为自来水厂出水水样，水中</w:t>
            </w:r>
            <w:r>
              <w:rPr>
                <w:rFonts w:hint="eastAsia" w:hAnsi="宋体"/>
                <w:color w:val="auto"/>
                <w:kern w:val="0"/>
                <w:highlight w:val="none"/>
              </w:rPr>
              <w:t>污染物浓度</w:t>
            </w:r>
            <w:r>
              <w:rPr>
                <w:rFonts w:hint="eastAsia" w:hAnsi="宋体"/>
                <w:color w:val="auto"/>
                <w:kern w:val="0"/>
                <w:highlight w:val="none"/>
                <w:lang w:val="en-US" w:eastAsia="zh-CN"/>
              </w:rPr>
              <w:t>低，不做定量分析。</w:t>
            </w:r>
          </w:p>
          <w:p>
            <w:pPr>
              <w:pStyle w:val="36"/>
              <w:keepNext w:val="0"/>
              <w:keepLines w:val="0"/>
              <w:suppressLineNumbers w:val="0"/>
              <w:bidi w:val="0"/>
              <w:spacing w:before="0" w:beforeAutospacing="0" w:after="0" w:afterAutospacing="0"/>
              <w:ind w:left="0" w:right="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（2）生活污水</w:t>
            </w:r>
          </w:p>
          <w:p>
            <w:pPr>
              <w:pStyle w:val="36"/>
              <w:keepNext w:val="0"/>
              <w:keepLines w:val="0"/>
              <w:suppressLineNumbers w:val="0"/>
              <w:bidi w:val="0"/>
              <w:spacing w:before="0" w:beforeAutospacing="0" w:after="0" w:afterAutospacing="0"/>
              <w:ind w:left="0" w:right="0"/>
              <w:rPr>
                <w:rFonts w:hint="eastAsia"/>
                <w:color w:val="auto"/>
                <w:highlight w:val="none"/>
                <w:u w:val="none"/>
                <w:lang w:eastAsia="zh-CN"/>
              </w:rPr>
            </w:pPr>
            <w:r>
              <w:rPr>
                <w:rFonts w:hint="eastAsia"/>
                <w:color w:val="auto"/>
                <w:highlight w:val="none"/>
                <w:u w:val="none"/>
                <w:lang w:val="en-US" w:eastAsia="zh-CN"/>
              </w:rPr>
              <w:t>本项目生活污水产生量为360t/a，</w:t>
            </w:r>
            <w:r>
              <w:rPr>
                <w:rFonts w:hint="eastAsia"/>
                <w:color w:val="auto"/>
                <w:highlight w:val="none"/>
                <w:u w:val="none"/>
              </w:rPr>
              <w:t>生活污水中的主要污染物为</w:t>
            </w:r>
            <w:r>
              <w:rPr>
                <w:rFonts w:hint="default"/>
                <w:color w:val="auto"/>
                <w:highlight w:val="none"/>
                <w:u w:val="none"/>
              </w:rPr>
              <w:t>COD</w:t>
            </w:r>
            <w:r>
              <w:rPr>
                <w:rFonts w:hint="eastAsia"/>
                <w:color w:val="auto"/>
                <w:highlight w:val="none"/>
                <w:u w:val="none"/>
                <w:lang w:eastAsia="zh-CN"/>
              </w:rPr>
              <w:t>、</w:t>
            </w:r>
            <w:r>
              <w:rPr>
                <w:rFonts w:hint="default"/>
                <w:color w:val="auto"/>
                <w:highlight w:val="none"/>
                <w:u w:val="none"/>
              </w:rPr>
              <w:t>NH</w:t>
            </w:r>
            <w:r>
              <w:rPr>
                <w:rFonts w:hint="default"/>
                <w:color w:val="auto"/>
                <w:highlight w:val="none"/>
                <w:u w:val="none"/>
                <w:vertAlign w:val="subscript"/>
              </w:rPr>
              <w:t>3</w:t>
            </w:r>
            <w:r>
              <w:rPr>
                <w:rFonts w:hint="default"/>
                <w:color w:val="auto"/>
                <w:highlight w:val="none"/>
                <w:u w:val="none"/>
              </w:rPr>
              <w:t>-N</w:t>
            </w:r>
            <w:r>
              <w:rPr>
                <w:rFonts w:hint="eastAsia"/>
                <w:color w:val="auto"/>
                <w:highlight w:val="none"/>
                <w:u w:val="none"/>
              </w:rPr>
              <w:t>、</w:t>
            </w:r>
            <w:r>
              <w:rPr>
                <w:rFonts w:hint="default"/>
                <w:color w:val="auto"/>
                <w:highlight w:val="none"/>
                <w:u w:val="none"/>
              </w:rPr>
              <w:t>BOD</w:t>
            </w:r>
            <w:r>
              <w:rPr>
                <w:rFonts w:hint="default"/>
                <w:color w:val="auto"/>
                <w:highlight w:val="none"/>
                <w:u w:val="none"/>
                <w:vertAlign w:val="subscript"/>
              </w:rPr>
              <w:t>5</w:t>
            </w:r>
            <w:r>
              <w:rPr>
                <w:rFonts w:hint="eastAsia"/>
                <w:color w:val="auto"/>
                <w:highlight w:val="none"/>
                <w:u w:val="none"/>
              </w:rPr>
              <w:t>和</w:t>
            </w:r>
            <w:r>
              <w:rPr>
                <w:rFonts w:hint="default"/>
                <w:color w:val="auto"/>
                <w:highlight w:val="none"/>
                <w:u w:val="none"/>
              </w:rPr>
              <w:t>SS</w:t>
            </w:r>
            <w:r>
              <w:rPr>
                <w:rFonts w:hint="eastAsia"/>
                <w:color w:val="auto"/>
                <w:highlight w:val="none"/>
                <w:u w:val="none"/>
              </w:rPr>
              <w:t>等，参考《给排水常用数据手册》，取典型生活污水中主要污染浓度为：</w:t>
            </w:r>
            <w:r>
              <w:rPr>
                <w:rFonts w:hint="default"/>
                <w:color w:val="auto"/>
                <w:highlight w:val="none"/>
                <w:u w:val="none"/>
              </w:rPr>
              <w:t>COD</w:t>
            </w:r>
            <w:r>
              <w:rPr>
                <w:rFonts w:hint="eastAsia"/>
                <w:color w:val="auto"/>
                <w:highlight w:val="none"/>
                <w:u w:val="none"/>
              </w:rPr>
              <w:t>：</w:t>
            </w:r>
            <w:r>
              <w:rPr>
                <w:rFonts w:hint="default"/>
                <w:color w:val="auto"/>
                <w:highlight w:val="none"/>
                <w:u w:val="none"/>
              </w:rPr>
              <w:t>400mg/L</w:t>
            </w:r>
            <w:r>
              <w:rPr>
                <w:rFonts w:hint="eastAsia"/>
                <w:color w:val="auto"/>
                <w:highlight w:val="none"/>
                <w:u w:val="none"/>
              </w:rPr>
              <w:t>、</w:t>
            </w:r>
            <w:r>
              <w:rPr>
                <w:rFonts w:hint="default"/>
                <w:color w:val="auto"/>
                <w:highlight w:val="none"/>
                <w:u w:val="none"/>
              </w:rPr>
              <w:t>NH</w:t>
            </w:r>
            <w:r>
              <w:rPr>
                <w:rFonts w:hint="default"/>
                <w:color w:val="auto"/>
                <w:highlight w:val="none"/>
                <w:u w:val="none"/>
                <w:vertAlign w:val="subscript"/>
              </w:rPr>
              <w:t>3</w:t>
            </w:r>
            <w:r>
              <w:rPr>
                <w:rFonts w:hint="default"/>
                <w:color w:val="auto"/>
                <w:highlight w:val="none"/>
                <w:u w:val="none"/>
              </w:rPr>
              <w:t>-N</w:t>
            </w:r>
            <w:r>
              <w:rPr>
                <w:rFonts w:hint="eastAsia"/>
                <w:color w:val="auto"/>
                <w:highlight w:val="none"/>
                <w:u w:val="none"/>
              </w:rPr>
              <w:t>：</w:t>
            </w:r>
            <w:r>
              <w:rPr>
                <w:rFonts w:hint="default"/>
                <w:color w:val="auto"/>
                <w:highlight w:val="none"/>
                <w:u w:val="none"/>
              </w:rPr>
              <w:t>35mg/L</w:t>
            </w:r>
            <w:r>
              <w:rPr>
                <w:rFonts w:hint="eastAsia"/>
                <w:color w:val="auto"/>
                <w:highlight w:val="none"/>
                <w:u w:val="none"/>
              </w:rPr>
              <w:t>、</w:t>
            </w:r>
            <w:r>
              <w:rPr>
                <w:rFonts w:hint="default"/>
                <w:color w:val="auto"/>
                <w:highlight w:val="none"/>
                <w:u w:val="none"/>
              </w:rPr>
              <w:t>BOD</w:t>
            </w:r>
            <w:r>
              <w:rPr>
                <w:rFonts w:hint="default"/>
                <w:color w:val="auto"/>
                <w:highlight w:val="none"/>
                <w:u w:val="none"/>
                <w:vertAlign w:val="subscript"/>
              </w:rPr>
              <w:t>5</w:t>
            </w:r>
            <w:r>
              <w:rPr>
                <w:rFonts w:hint="eastAsia"/>
                <w:color w:val="auto"/>
                <w:highlight w:val="none"/>
                <w:u w:val="none"/>
                <w:vertAlign w:val="subscript"/>
                <w:lang w:eastAsia="zh-CN"/>
              </w:rPr>
              <w:t>:</w:t>
            </w:r>
            <w:r>
              <w:rPr>
                <w:rFonts w:hint="default"/>
                <w:color w:val="auto"/>
                <w:highlight w:val="none"/>
                <w:u w:val="none"/>
              </w:rPr>
              <w:t>200mg/L</w:t>
            </w:r>
            <w:r>
              <w:rPr>
                <w:rFonts w:hint="eastAsia"/>
                <w:color w:val="auto"/>
                <w:highlight w:val="none"/>
                <w:u w:val="none"/>
              </w:rPr>
              <w:t>、</w:t>
            </w:r>
            <w:r>
              <w:rPr>
                <w:rFonts w:hint="default"/>
                <w:color w:val="auto"/>
                <w:highlight w:val="none"/>
                <w:u w:val="none"/>
              </w:rPr>
              <w:t>SS</w:t>
            </w:r>
            <w:r>
              <w:rPr>
                <w:rFonts w:hint="eastAsia"/>
                <w:color w:val="auto"/>
                <w:highlight w:val="none"/>
                <w:u w:val="none"/>
              </w:rPr>
              <w:t>：</w:t>
            </w:r>
            <w:r>
              <w:rPr>
                <w:rFonts w:hint="default"/>
                <w:color w:val="auto"/>
                <w:highlight w:val="none"/>
                <w:u w:val="none"/>
              </w:rPr>
              <w:t>220mg/L</w:t>
            </w:r>
            <w:r>
              <w:rPr>
                <w:rFonts w:hint="eastAsia"/>
                <w:color w:val="auto"/>
                <w:highlight w:val="none"/>
                <w:u w:val="none"/>
                <w:lang w:eastAsia="zh-CN"/>
              </w:rPr>
              <w:t>。</w:t>
            </w:r>
          </w:p>
          <w:p>
            <w:pPr>
              <w:pStyle w:val="36"/>
              <w:keepNext w:val="0"/>
              <w:keepLines w:val="0"/>
              <w:suppressLineNumbers w:val="0"/>
              <w:bidi w:val="0"/>
              <w:spacing w:before="0" w:beforeAutospacing="0" w:after="0" w:afterAutospacing="0"/>
              <w:ind w:left="0" w:right="0"/>
              <w:rPr>
                <w:rFonts w:hint="default"/>
                <w:color w:val="auto"/>
                <w:highlight w:val="none"/>
                <w:u w:val="none"/>
                <w:lang w:val="en-US" w:eastAsia="zh-CN"/>
              </w:rPr>
            </w:pPr>
            <w:r>
              <w:rPr>
                <w:rFonts w:hint="eastAsia"/>
                <w:color w:val="auto"/>
                <w:highlight w:val="none"/>
                <w:u w:val="none"/>
                <w:lang w:val="en-US" w:eastAsia="zh-CN"/>
              </w:rPr>
              <w:t>各类废水产生情况见下表：</w:t>
            </w:r>
          </w:p>
          <w:p>
            <w:pPr>
              <w:pStyle w:val="36"/>
              <w:keepNext w:val="0"/>
              <w:keepLines w:val="0"/>
              <w:suppressLineNumbers w:val="0"/>
              <w:bidi w:val="0"/>
              <w:spacing w:before="0" w:beforeAutospacing="0" w:after="0" w:afterAutospacing="0"/>
              <w:ind w:left="0" w:right="0"/>
              <w:rPr>
                <w:rFonts w:hint="default"/>
                <w:color w:val="auto"/>
                <w:highlight w:val="none"/>
                <w:lang w:val="en-US" w:eastAsia="zh-CN"/>
              </w:rPr>
            </w:pPr>
          </w:p>
          <w:p>
            <w:pPr>
              <w:pStyle w:val="36"/>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tc>
      </w:tr>
    </w:tbl>
    <w:p>
      <w:pPr>
        <w:sectPr>
          <w:pgSz w:w="11907" w:h="16840"/>
          <w:pgMar w:top="1701" w:right="1531" w:bottom="2127"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19"/>
      </w:pPr>
    </w:p>
    <w:tbl>
      <w:tblPr>
        <w:tblStyle w:val="32"/>
        <w:tblW w:w="13227"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08"/>
        <w:gridCol w:w="1261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8568" w:hRule="atLeast"/>
          <w:jc w:val="center"/>
        </w:trPr>
        <w:tc>
          <w:tcPr>
            <w:tcW w:w="608" w:type="dxa"/>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运营</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期环</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境影</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响和</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保护</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措施</w:t>
            </w:r>
          </w:p>
        </w:tc>
        <w:tc>
          <w:tcPr>
            <w:tcW w:w="12619" w:type="dxa"/>
            <w:tcBorders>
              <w:top w:val="single" w:color="auto" w:sz="4" w:space="0"/>
              <w:bottom w:val="single" w:color="auto" w:sz="4" w:space="0"/>
              <w:right w:val="single" w:color="auto" w:sz="4" w:space="0"/>
            </w:tcBorders>
            <w:vAlign w:val="top"/>
          </w:tcPr>
          <w:p>
            <w:pPr>
              <w:pStyle w:val="35"/>
              <w:keepNext w:val="0"/>
              <w:keepLines w:val="0"/>
              <w:pageBreakBefore w:val="0"/>
              <w:widowControl w:val="0"/>
              <w:suppressLineNumbers w:val="0"/>
              <w:kinsoku/>
              <w:wordWrap/>
              <w:overflowPunct/>
              <w:topLinePunct w:val="0"/>
              <w:autoSpaceDE w:val="0"/>
              <w:autoSpaceDN w:val="0"/>
              <w:bidi w:val="0"/>
              <w:adjustRightInd/>
              <w:snapToGrid/>
              <w:spacing w:before="157" w:beforeLines="50" w:beforeAutospacing="0" w:after="0" w:afterAutospacing="0"/>
              <w:ind w:right="0"/>
              <w:textAlignment w:val="auto"/>
              <w:rPr>
                <w:rFonts w:hint="default"/>
                <w:color w:val="auto"/>
                <w:highlight w:val="none"/>
              </w:rPr>
            </w:pPr>
            <w:r>
              <w:rPr>
                <w:rFonts w:hint="eastAsia"/>
                <w:color w:val="auto"/>
                <w:highlight w:val="none"/>
                <w:lang w:val="en-US" w:eastAsia="zh-CN"/>
              </w:rPr>
              <w:t>项目各废水</w:t>
            </w:r>
            <w:r>
              <w:rPr>
                <w:rFonts w:hint="eastAsia"/>
                <w:color w:val="auto"/>
                <w:highlight w:val="none"/>
              </w:rPr>
              <w:t>污染物</w:t>
            </w:r>
            <w:r>
              <w:rPr>
                <w:rFonts w:hint="eastAsia"/>
                <w:color w:val="auto"/>
                <w:highlight w:val="none"/>
                <w:lang w:val="en-US" w:eastAsia="zh-CN"/>
              </w:rPr>
              <w:t>产生情况</w:t>
            </w:r>
            <w:r>
              <w:rPr>
                <w:rFonts w:hint="eastAsia"/>
                <w:color w:val="auto"/>
                <w:highlight w:val="none"/>
              </w:rPr>
              <w:t>一览表</w:t>
            </w:r>
          </w:p>
          <w:tbl>
            <w:tblPr>
              <w:tblStyle w:val="32"/>
              <w:tblW w:w="1240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527"/>
              <w:gridCol w:w="954"/>
              <w:gridCol w:w="874"/>
              <w:gridCol w:w="867"/>
              <w:gridCol w:w="898"/>
              <w:gridCol w:w="985"/>
              <w:gridCol w:w="834"/>
              <w:gridCol w:w="935"/>
              <w:gridCol w:w="920"/>
              <w:gridCol w:w="958"/>
              <w:gridCol w:w="912"/>
              <w:gridCol w:w="858"/>
              <w:gridCol w:w="8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420" w:hRule="atLeast"/>
                <w:tblHeader/>
                <w:jc w:val="center"/>
              </w:trPr>
              <w:tc>
                <w:tcPr>
                  <w:tcW w:w="1527" w:type="dxa"/>
                  <w:vMerge w:val="restart"/>
                  <w:tcBorders>
                    <w:tl2br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right"/>
                    <w:textAlignment w:val="auto"/>
                    <w:rPr>
                      <w:rFonts w:hint="eastAsia"/>
                      <w:color w:val="auto"/>
                    </w:rPr>
                  </w:pPr>
                  <w:r>
                    <w:rPr>
                      <w:rFonts w:hint="eastAsia"/>
                      <w:color w:val="auto"/>
                    </w:rPr>
                    <w:t>污染源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color w:val="auto"/>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left"/>
                    <w:textAlignment w:val="auto"/>
                    <w:rPr>
                      <w:rFonts w:hint="eastAsia" w:eastAsia="宋体"/>
                      <w:color w:val="auto"/>
                      <w:szCs w:val="21"/>
                      <w:lang w:val="en-US" w:eastAsia="zh-CN"/>
                    </w:rPr>
                  </w:pPr>
                  <w:r>
                    <w:rPr>
                      <w:rFonts w:hint="eastAsia"/>
                      <w:color w:val="auto"/>
                      <w:szCs w:val="21"/>
                    </w:rPr>
                    <w:t>污染物</w:t>
                  </w:r>
                  <w:r>
                    <w:rPr>
                      <w:rFonts w:hint="eastAsia"/>
                      <w:color w:val="auto"/>
                      <w:szCs w:val="21"/>
                      <w:lang w:val="en-US" w:eastAsia="zh-CN"/>
                    </w:rPr>
                    <w:t>种类</w:t>
                  </w:r>
                </w:p>
              </w:tc>
              <w:tc>
                <w:tcPr>
                  <w:tcW w:w="1828"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 w:val="21"/>
                      <w:szCs w:val="21"/>
                    </w:rPr>
                    <w:t>清洗废水</w:t>
                  </w:r>
                  <w:r>
                    <w:rPr>
                      <w:rFonts w:hint="eastAsia"/>
                      <w:color w:val="auto"/>
                      <w:lang w:val="en-US" w:eastAsia="zh-CN"/>
                    </w:rPr>
                    <w:t>W1</w:t>
                  </w:r>
                </w:p>
              </w:tc>
              <w:tc>
                <w:tcPr>
                  <w:tcW w:w="1765"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 w:val="21"/>
                      <w:szCs w:val="21"/>
                    </w:rPr>
                    <w:t>仪器排水</w:t>
                  </w:r>
                  <w:r>
                    <w:rPr>
                      <w:rFonts w:hint="eastAsia"/>
                      <w:color w:val="auto"/>
                      <w:lang w:val="en-US" w:eastAsia="zh-CN"/>
                    </w:rPr>
                    <w:t>W2</w:t>
                  </w:r>
                </w:p>
              </w:tc>
              <w:tc>
                <w:tcPr>
                  <w:tcW w:w="1819"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 w:val="21"/>
                      <w:szCs w:val="21"/>
                    </w:rPr>
                    <w:t>水样排水</w:t>
                  </w:r>
                  <w:r>
                    <w:rPr>
                      <w:rFonts w:hint="eastAsia"/>
                      <w:color w:val="auto"/>
                      <w:lang w:val="en-US" w:eastAsia="zh-CN"/>
                    </w:rPr>
                    <w:t>W3</w:t>
                  </w:r>
                </w:p>
              </w:tc>
              <w:tc>
                <w:tcPr>
                  <w:tcW w:w="1855"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 w:val="21"/>
                      <w:szCs w:val="21"/>
                    </w:rPr>
                    <w:t>制纯浓水</w:t>
                  </w:r>
                  <w:r>
                    <w:rPr>
                      <w:rFonts w:hint="eastAsia"/>
                      <w:color w:val="auto"/>
                      <w:lang w:val="en-US" w:eastAsia="zh-CN"/>
                    </w:rPr>
                    <w:t>W4</w:t>
                  </w:r>
                </w:p>
              </w:tc>
              <w:tc>
                <w:tcPr>
                  <w:tcW w:w="1870"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ascii="Times New Roman" w:hAnsi="Times New Roman" w:eastAsia="宋体" w:cs="Times New Roman"/>
                      <w:color w:val="auto"/>
                      <w:kern w:val="2"/>
                      <w:sz w:val="21"/>
                      <w:szCs w:val="21"/>
                      <w:lang w:val="en-US" w:eastAsia="zh-CN" w:bidi="ar-SA"/>
                    </w:rPr>
                    <w:t>生活污水</w:t>
                  </w:r>
                  <w:r>
                    <w:rPr>
                      <w:rFonts w:hint="eastAsia" w:cs="Times New Roman"/>
                      <w:color w:val="auto"/>
                      <w:kern w:val="2"/>
                      <w:sz w:val="21"/>
                      <w:szCs w:val="21"/>
                      <w:lang w:val="en-US" w:eastAsia="zh-CN" w:bidi="ar-SA"/>
                    </w:rPr>
                    <w:t>W5</w:t>
                  </w:r>
                </w:p>
              </w:tc>
              <w:tc>
                <w:tcPr>
                  <w:tcW w:w="1738"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eastAsia" w:cs="Times New Roman"/>
                      <w:b/>
                      <w:bCs/>
                      <w:color w:val="auto"/>
                      <w:kern w:val="2"/>
                      <w:sz w:val="21"/>
                      <w:szCs w:val="21"/>
                      <w:lang w:val="en-US" w:eastAsia="zh-CN" w:bidi="ar-SA"/>
                    </w:rPr>
                    <w:t>合计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tblHeader/>
                <w:jc w:val="center"/>
              </w:trPr>
              <w:tc>
                <w:tcPr>
                  <w:tcW w:w="1527"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left"/>
                    <w:rPr>
                      <w:rFonts w:hint="default"/>
                      <w:color w:val="auto"/>
                      <w:spacing w:val="4"/>
                      <w:kern w:val="0"/>
                      <w:szCs w:val="21"/>
                    </w:rPr>
                  </w:pPr>
                </w:p>
              </w:tc>
              <w:tc>
                <w:tcPr>
                  <w:tcW w:w="95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lang w:val="en-US"/>
                    </w:rPr>
                  </w:pPr>
                  <w:r>
                    <w:rPr>
                      <w:rFonts w:hint="eastAsia"/>
                      <w:color w:val="auto"/>
                      <w:szCs w:val="21"/>
                      <w:lang w:val="en-US" w:eastAsia="zh-CN"/>
                    </w:rPr>
                    <w:t>产生浓度mg/L</w:t>
                  </w:r>
                </w:p>
              </w:tc>
              <w:tc>
                <w:tcPr>
                  <w:tcW w:w="874"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产生量</w:t>
                  </w:r>
                </w:p>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t/a</w:t>
                  </w:r>
                </w:p>
              </w:tc>
              <w:tc>
                <w:tcPr>
                  <w:tcW w:w="867"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olor w:val="auto"/>
                      <w:szCs w:val="21"/>
                      <w:lang w:val="en-US" w:eastAsia="zh-CN"/>
                    </w:rPr>
                  </w:pPr>
                  <w:r>
                    <w:rPr>
                      <w:rFonts w:hint="eastAsia"/>
                      <w:color w:val="auto"/>
                      <w:szCs w:val="21"/>
                      <w:lang w:val="en-US" w:eastAsia="zh-CN"/>
                    </w:rPr>
                    <w:t>产生浓度mg/L</w:t>
                  </w:r>
                </w:p>
              </w:tc>
              <w:tc>
                <w:tcPr>
                  <w:tcW w:w="898"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产生量</w:t>
                  </w:r>
                </w:p>
                <w:p>
                  <w:pPr>
                    <w:keepNext w:val="0"/>
                    <w:keepLines w:val="0"/>
                    <w:suppressLineNumbers w:val="0"/>
                    <w:spacing w:before="0" w:beforeAutospacing="0" w:after="0" w:afterAutospacing="0"/>
                    <w:ind w:left="0" w:leftChars="0" w:right="0" w:rightChars="0"/>
                    <w:jc w:val="center"/>
                    <w:rPr>
                      <w:rFonts w:hint="eastAsia"/>
                      <w:color w:val="auto"/>
                      <w:szCs w:val="21"/>
                      <w:lang w:val="en-US" w:eastAsia="zh-CN"/>
                    </w:rPr>
                  </w:pPr>
                  <w:r>
                    <w:rPr>
                      <w:rFonts w:hint="eastAsia"/>
                      <w:color w:val="auto"/>
                      <w:szCs w:val="21"/>
                      <w:lang w:val="en-US" w:eastAsia="zh-CN"/>
                    </w:rPr>
                    <w:t>t/a</w:t>
                  </w:r>
                </w:p>
              </w:tc>
              <w:tc>
                <w:tcPr>
                  <w:tcW w:w="98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color w:val="auto"/>
                      <w:szCs w:val="21"/>
                      <w:lang w:val="en-US" w:eastAsia="zh-CN"/>
                    </w:rPr>
                    <w:t>排放浓度mg/L</w:t>
                  </w:r>
                </w:p>
              </w:tc>
              <w:tc>
                <w:tcPr>
                  <w:tcW w:w="834"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rPr>
                    <w:t>排放量</w:t>
                  </w:r>
                </w:p>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rPr>
                    <w:t>t/a</w:t>
                  </w:r>
                </w:p>
              </w:tc>
              <w:tc>
                <w:tcPr>
                  <w:tcW w:w="935"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Cs w:val="21"/>
                    </w:rPr>
                  </w:pPr>
                  <w:r>
                    <w:rPr>
                      <w:rFonts w:hint="eastAsia"/>
                      <w:color w:val="auto"/>
                      <w:szCs w:val="21"/>
                      <w:lang w:val="en-US" w:eastAsia="zh-CN"/>
                    </w:rPr>
                    <w:t>产生浓度mg/L</w:t>
                  </w:r>
                </w:p>
              </w:tc>
              <w:tc>
                <w:tcPr>
                  <w:tcW w:w="920"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产生量</w:t>
                  </w:r>
                </w:p>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Cs w:val="21"/>
                    </w:rPr>
                  </w:pPr>
                  <w:r>
                    <w:rPr>
                      <w:rFonts w:hint="eastAsia"/>
                      <w:color w:val="auto"/>
                      <w:szCs w:val="21"/>
                      <w:lang w:val="en-US" w:eastAsia="zh-CN"/>
                    </w:rPr>
                    <w:t>t/a</w:t>
                  </w:r>
                </w:p>
              </w:tc>
              <w:tc>
                <w:tcPr>
                  <w:tcW w:w="958"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Cs w:val="21"/>
                    </w:rPr>
                  </w:pPr>
                  <w:r>
                    <w:rPr>
                      <w:rFonts w:hint="eastAsia"/>
                      <w:color w:val="auto"/>
                      <w:szCs w:val="21"/>
                      <w:lang w:val="en-US" w:eastAsia="zh-CN"/>
                    </w:rPr>
                    <w:t>产生浓度mg/L</w:t>
                  </w:r>
                </w:p>
              </w:tc>
              <w:tc>
                <w:tcPr>
                  <w:tcW w:w="912"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产生量</w:t>
                  </w:r>
                </w:p>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Cs w:val="21"/>
                    </w:rPr>
                  </w:pPr>
                  <w:r>
                    <w:rPr>
                      <w:rFonts w:hint="eastAsia"/>
                      <w:color w:val="auto"/>
                      <w:szCs w:val="21"/>
                      <w:lang w:val="en-US" w:eastAsia="zh-CN"/>
                    </w:rPr>
                    <w:t>t/a</w:t>
                  </w:r>
                </w:p>
              </w:tc>
              <w:tc>
                <w:tcPr>
                  <w:tcW w:w="858"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Cs w:val="21"/>
                    </w:rPr>
                  </w:pPr>
                  <w:r>
                    <w:rPr>
                      <w:rFonts w:hint="eastAsia"/>
                      <w:color w:val="auto"/>
                      <w:szCs w:val="21"/>
                      <w:lang w:val="en-US" w:eastAsia="zh-CN"/>
                    </w:rPr>
                    <w:t>产生浓度mg/L</w:t>
                  </w:r>
                </w:p>
              </w:tc>
              <w:tc>
                <w:tcPr>
                  <w:tcW w:w="880"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产生量</w:t>
                  </w:r>
                </w:p>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Cs w:val="21"/>
                    </w:rPr>
                  </w:pPr>
                  <w:r>
                    <w:rPr>
                      <w:rFonts w:hint="eastAsia"/>
                      <w:color w:val="auto"/>
                      <w:szCs w:val="21"/>
                      <w:lang w:val="en-US" w:eastAsia="zh-CN"/>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97" w:hRule="atLeast"/>
                <w:jc w:val="center"/>
              </w:trPr>
              <w:tc>
                <w:tcPr>
                  <w:tcW w:w="152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default" w:eastAsia="宋体"/>
                      <w:color w:val="auto"/>
                      <w:lang w:val="en-US" w:eastAsia="zh-CN"/>
                    </w:rPr>
                  </w:pPr>
                  <w:r>
                    <w:rPr>
                      <w:rFonts w:hint="eastAsia" w:eastAsia="宋体"/>
                      <w:color w:val="auto"/>
                      <w:lang w:val="en-US" w:eastAsia="zh-CN"/>
                    </w:rPr>
                    <w:t>废水量</w:t>
                  </w:r>
                </w:p>
              </w:tc>
              <w:tc>
                <w:tcPr>
                  <w:tcW w:w="954"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874"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174</w:t>
                  </w:r>
                </w:p>
              </w:tc>
              <w:tc>
                <w:tcPr>
                  <w:tcW w:w="867"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898"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96</w:t>
                  </w:r>
                </w:p>
              </w:tc>
              <w:tc>
                <w:tcPr>
                  <w:tcW w:w="985"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834"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i w:val="0"/>
                      <w:iCs w:val="0"/>
                      <w:color w:val="auto"/>
                      <w:kern w:val="0"/>
                      <w:sz w:val="21"/>
                      <w:szCs w:val="21"/>
                      <w:u w:val="none"/>
                      <w:lang w:val="en-US" w:eastAsia="zh-CN" w:bidi="ar"/>
                    </w:rPr>
                    <w:t>28.5</w:t>
                  </w:r>
                </w:p>
              </w:tc>
              <w:tc>
                <w:tcPr>
                  <w:tcW w:w="935"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920"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10</w:t>
                  </w:r>
                </w:p>
              </w:tc>
              <w:tc>
                <w:tcPr>
                  <w:tcW w:w="958"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912"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360</w:t>
                  </w:r>
                </w:p>
              </w:tc>
              <w:tc>
                <w:tcPr>
                  <w:tcW w:w="858"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bCs/>
                      <w:color w:val="auto"/>
                      <w:szCs w:val="21"/>
                      <w:lang w:val="en-US" w:eastAsia="zh-CN"/>
                    </w:rPr>
                  </w:pPr>
                  <w:r>
                    <w:rPr>
                      <w:rFonts w:hint="default" w:ascii="Times New Roman" w:hAnsi="Times New Roman" w:eastAsia="宋体" w:cs="Times New Roman"/>
                      <w:b/>
                      <w:bCs/>
                      <w:i w:val="0"/>
                      <w:iCs w:val="0"/>
                      <w:color w:val="auto"/>
                      <w:kern w:val="0"/>
                      <w:sz w:val="21"/>
                      <w:szCs w:val="21"/>
                      <w:u w:val="none"/>
                      <w:lang w:val="en-US" w:eastAsia="zh-CN" w:bidi="ar"/>
                    </w:rPr>
                    <w:t>/</w:t>
                  </w:r>
                </w:p>
              </w:tc>
              <w:tc>
                <w:tcPr>
                  <w:tcW w:w="880"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bCs/>
                      <w:color w:val="auto"/>
                      <w:szCs w:val="21"/>
                      <w:lang w:val="en-US" w:eastAsia="zh-CN"/>
                    </w:rPr>
                  </w:pPr>
                  <w:r>
                    <w:rPr>
                      <w:rFonts w:hint="default" w:ascii="Times New Roman" w:hAnsi="Times New Roman" w:eastAsia="宋体" w:cs="Times New Roman"/>
                      <w:b/>
                      <w:bCs/>
                      <w:i w:val="0"/>
                      <w:iCs w:val="0"/>
                      <w:color w:val="auto"/>
                      <w:kern w:val="0"/>
                      <w:sz w:val="21"/>
                      <w:szCs w:val="21"/>
                      <w:u w:val="none"/>
                      <w:lang w:val="en-US" w:eastAsia="zh-CN" w:bidi="ar"/>
                    </w:rPr>
                    <w:t>668.5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97" w:hRule="atLeast"/>
                <w:jc w:val="center"/>
              </w:trPr>
              <w:tc>
                <w:tcPr>
                  <w:tcW w:w="152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default" w:eastAsia="宋体"/>
                      <w:color w:val="auto"/>
                      <w:lang w:val="en-US" w:eastAsia="zh-CN"/>
                    </w:rPr>
                  </w:pPr>
                  <w:r>
                    <w:rPr>
                      <w:rFonts w:hint="eastAsia" w:ascii="Times New Roman" w:hAnsi="Times New Roman" w:eastAsia="宋体" w:cs="Times New Roman"/>
                      <w:color w:val="auto"/>
                      <w:szCs w:val="21"/>
                      <w:lang w:val="en-US" w:eastAsia="zh-CN"/>
                    </w:rPr>
                    <w:t>COD</w:t>
                  </w:r>
                </w:p>
              </w:tc>
              <w:tc>
                <w:tcPr>
                  <w:tcW w:w="954"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i w:val="0"/>
                      <w:iCs w:val="0"/>
                      <w:color w:val="auto"/>
                      <w:kern w:val="0"/>
                      <w:sz w:val="21"/>
                      <w:szCs w:val="21"/>
                      <w:u w:val="none"/>
                      <w:lang w:val="en-US" w:eastAsia="zh-CN" w:bidi="ar"/>
                    </w:rPr>
                    <w:t>150</w:t>
                  </w:r>
                </w:p>
              </w:tc>
              <w:tc>
                <w:tcPr>
                  <w:tcW w:w="874"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0.0261 </w:t>
                  </w:r>
                </w:p>
              </w:tc>
              <w:tc>
                <w:tcPr>
                  <w:tcW w:w="867"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70</w:t>
                  </w:r>
                </w:p>
              </w:tc>
              <w:tc>
                <w:tcPr>
                  <w:tcW w:w="898"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0.0067 </w:t>
                  </w:r>
                </w:p>
              </w:tc>
              <w:tc>
                <w:tcPr>
                  <w:tcW w:w="985"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834"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935"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70</w:t>
                  </w:r>
                </w:p>
              </w:tc>
              <w:tc>
                <w:tcPr>
                  <w:tcW w:w="920"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0.0007 </w:t>
                  </w:r>
                </w:p>
              </w:tc>
              <w:tc>
                <w:tcPr>
                  <w:tcW w:w="958"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400</w:t>
                  </w:r>
                </w:p>
              </w:tc>
              <w:tc>
                <w:tcPr>
                  <w:tcW w:w="912"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0.1440 </w:t>
                  </w:r>
                </w:p>
              </w:tc>
              <w:tc>
                <w:tcPr>
                  <w:tcW w:w="858"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bCs/>
                      <w:color w:val="auto"/>
                      <w:szCs w:val="21"/>
                      <w:lang w:val="en-US" w:eastAsia="zh-CN"/>
                    </w:rPr>
                  </w:pPr>
                  <w:r>
                    <w:rPr>
                      <w:rFonts w:hint="default" w:ascii="Times New Roman" w:hAnsi="Times New Roman" w:eastAsia="宋体" w:cs="Times New Roman"/>
                      <w:b/>
                      <w:bCs/>
                      <w:i w:val="0"/>
                      <w:iCs w:val="0"/>
                      <w:color w:val="auto"/>
                      <w:kern w:val="0"/>
                      <w:sz w:val="21"/>
                      <w:szCs w:val="21"/>
                      <w:u w:val="none"/>
                      <w:lang w:val="en-US" w:eastAsia="zh-CN" w:bidi="ar"/>
                    </w:rPr>
                    <w:t xml:space="preserve">265.5 </w:t>
                  </w:r>
                </w:p>
              </w:tc>
              <w:tc>
                <w:tcPr>
                  <w:tcW w:w="880"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bCs/>
                      <w:color w:val="auto"/>
                      <w:szCs w:val="21"/>
                      <w:lang w:val="en-US" w:eastAsia="zh-CN"/>
                    </w:rPr>
                  </w:pPr>
                  <w:r>
                    <w:rPr>
                      <w:rFonts w:hint="default" w:ascii="Times New Roman" w:hAnsi="Times New Roman" w:eastAsia="宋体" w:cs="Times New Roman"/>
                      <w:b/>
                      <w:bCs/>
                      <w:i w:val="0"/>
                      <w:iCs w:val="0"/>
                      <w:color w:val="auto"/>
                      <w:kern w:val="0"/>
                      <w:sz w:val="21"/>
                      <w:szCs w:val="21"/>
                      <w:u w:val="none"/>
                      <w:lang w:val="en-US" w:eastAsia="zh-CN" w:bidi="ar"/>
                    </w:rPr>
                    <w:t xml:space="preserve">0.1775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97" w:hRule="atLeast"/>
                <w:jc w:val="center"/>
              </w:trPr>
              <w:tc>
                <w:tcPr>
                  <w:tcW w:w="152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Style w:val="48"/>
                      <w:rFonts w:hint="eastAsia"/>
                      <w:color w:val="auto"/>
                      <w:lang w:val="en-US" w:eastAsia="zh-CN"/>
                    </w:rPr>
                  </w:pPr>
                  <w:r>
                    <w:rPr>
                      <w:rFonts w:hint="eastAsia" w:ascii="Times New Roman" w:hAnsi="Times New Roman" w:eastAsia="宋体" w:cs="Times New Roman"/>
                      <w:color w:val="auto"/>
                      <w:szCs w:val="21"/>
                      <w:lang w:val="en-US" w:eastAsia="zh-CN"/>
                    </w:rPr>
                    <w:t>氨氮</w:t>
                  </w:r>
                </w:p>
              </w:tc>
              <w:tc>
                <w:tcPr>
                  <w:tcW w:w="954"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5</w:t>
                  </w:r>
                </w:p>
              </w:tc>
              <w:tc>
                <w:tcPr>
                  <w:tcW w:w="874"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0.0009 </w:t>
                  </w:r>
                </w:p>
              </w:tc>
              <w:tc>
                <w:tcPr>
                  <w:tcW w:w="867"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w:t>
                  </w:r>
                </w:p>
              </w:tc>
              <w:tc>
                <w:tcPr>
                  <w:tcW w:w="898"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0.0005 </w:t>
                  </w:r>
                </w:p>
              </w:tc>
              <w:tc>
                <w:tcPr>
                  <w:tcW w:w="985"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834"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935"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5</w:t>
                  </w:r>
                </w:p>
              </w:tc>
              <w:tc>
                <w:tcPr>
                  <w:tcW w:w="920"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0.0001 </w:t>
                  </w:r>
                </w:p>
              </w:tc>
              <w:tc>
                <w:tcPr>
                  <w:tcW w:w="958"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35</w:t>
                  </w:r>
                </w:p>
              </w:tc>
              <w:tc>
                <w:tcPr>
                  <w:tcW w:w="912"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0.0126 </w:t>
                  </w:r>
                </w:p>
              </w:tc>
              <w:tc>
                <w:tcPr>
                  <w:tcW w:w="858"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bCs/>
                      <w:color w:val="auto"/>
                      <w:szCs w:val="21"/>
                      <w:lang w:val="en-US" w:eastAsia="zh-CN"/>
                    </w:rPr>
                  </w:pPr>
                  <w:r>
                    <w:rPr>
                      <w:rFonts w:hint="default" w:ascii="Times New Roman" w:hAnsi="Times New Roman" w:eastAsia="宋体" w:cs="Times New Roman"/>
                      <w:b/>
                      <w:bCs/>
                      <w:i w:val="0"/>
                      <w:iCs w:val="0"/>
                      <w:color w:val="auto"/>
                      <w:kern w:val="0"/>
                      <w:sz w:val="21"/>
                      <w:szCs w:val="21"/>
                      <w:u w:val="none"/>
                      <w:lang w:val="en-US" w:eastAsia="zh-CN" w:bidi="ar"/>
                    </w:rPr>
                    <w:t xml:space="preserve">20.9 </w:t>
                  </w:r>
                </w:p>
              </w:tc>
              <w:tc>
                <w:tcPr>
                  <w:tcW w:w="880"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bCs/>
                      <w:color w:val="auto"/>
                      <w:szCs w:val="21"/>
                      <w:lang w:val="en-US" w:eastAsia="zh-CN"/>
                    </w:rPr>
                  </w:pPr>
                  <w:r>
                    <w:rPr>
                      <w:rFonts w:hint="default" w:ascii="Times New Roman" w:hAnsi="Times New Roman" w:eastAsia="宋体" w:cs="Times New Roman"/>
                      <w:b/>
                      <w:bCs/>
                      <w:i w:val="0"/>
                      <w:iCs w:val="0"/>
                      <w:color w:val="auto"/>
                      <w:kern w:val="0"/>
                      <w:sz w:val="21"/>
                      <w:szCs w:val="21"/>
                      <w:u w:val="none"/>
                      <w:lang w:val="en-US" w:eastAsia="zh-CN" w:bidi="ar"/>
                    </w:rPr>
                    <w:t xml:space="preserve">0.0140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97" w:hRule="atLeast"/>
                <w:jc w:val="center"/>
              </w:trPr>
              <w:tc>
                <w:tcPr>
                  <w:tcW w:w="152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Style w:val="48"/>
                      <w:rFonts w:hint="eastAsia"/>
                      <w:color w:val="auto"/>
                      <w:lang w:val="en-US" w:eastAsia="zh-CN"/>
                    </w:rPr>
                  </w:pPr>
                  <w:r>
                    <w:rPr>
                      <w:rFonts w:hint="eastAsia" w:ascii="Times New Roman" w:hAnsi="Times New Roman" w:eastAsia="宋体" w:cs="Times New Roman"/>
                      <w:color w:val="auto"/>
                      <w:szCs w:val="21"/>
                      <w:lang w:val="en-US" w:eastAsia="zh-CN"/>
                    </w:rPr>
                    <w:t>BOD</w:t>
                  </w:r>
                  <w:r>
                    <w:rPr>
                      <w:rFonts w:hint="eastAsia" w:ascii="Times New Roman" w:hAnsi="Times New Roman" w:eastAsia="宋体" w:cs="Times New Roman"/>
                      <w:color w:val="auto"/>
                      <w:szCs w:val="21"/>
                      <w:vertAlign w:val="subscript"/>
                      <w:lang w:val="en-US" w:eastAsia="zh-CN"/>
                    </w:rPr>
                    <w:t>5</w:t>
                  </w:r>
                </w:p>
              </w:tc>
              <w:tc>
                <w:tcPr>
                  <w:tcW w:w="954"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w:t>
                  </w:r>
                  <w:r>
                    <w:rPr>
                      <w:rFonts w:hint="eastAsia" w:ascii="Times New Roman" w:hAnsi="Times New Roman" w:eastAsia="宋体" w:cs="Times New Roman"/>
                      <w:i w:val="0"/>
                      <w:iCs w:val="0"/>
                      <w:color w:val="auto"/>
                      <w:kern w:val="0"/>
                      <w:sz w:val="21"/>
                      <w:szCs w:val="21"/>
                      <w:u w:val="none"/>
                      <w:lang w:val="en-US" w:eastAsia="zh-CN" w:bidi="ar"/>
                    </w:rPr>
                    <w:t>5</w:t>
                  </w:r>
                </w:p>
              </w:tc>
              <w:tc>
                <w:tcPr>
                  <w:tcW w:w="874"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0.0078 </w:t>
                  </w:r>
                </w:p>
              </w:tc>
              <w:tc>
                <w:tcPr>
                  <w:tcW w:w="867"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40</w:t>
                  </w:r>
                </w:p>
              </w:tc>
              <w:tc>
                <w:tcPr>
                  <w:tcW w:w="898"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0.0038 </w:t>
                  </w:r>
                </w:p>
              </w:tc>
              <w:tc>
                <w:tcPr>
                  <w:tcW w:w="985"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834"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935"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40</w:t>
                  </w:r>
                </w:p>
              </w:tc>
              <w:tc>
                <w:tcPr>
                  <w:tcW w:w="920"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0.0004 </w:t>
                  </w:r>
                </w:p>
              </w:tc>
              <w:tc>
                <w:tcPr>
                  <w:tcW w:w="958"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200</w:t>
                  </w:r>
                </w:p>
              </w:tc>
              <w:tc>
                <w:tcPr>
                  <w:tcW w:w="912"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0.0720 </w:t>
                  </w:r>
                </w:p>
              </w:tc>
              <w:tc>
                <w:tcPr>
                  <w:tcW w:w="858"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bCs/>
                      <w:color w:val="auto"/>
                      <w:szCs w:val="21"/>
                      <w:lang w:val="en-US" w:eastAsia="zh-CN"/>
                    </w:rPr>
                  </w:pPr>
                  <w:r>
                    <w:rPr>
                      <w:rFonts w:hint="default" w:ascii="Times New Roman" w:hAnsi="Times New Roman" w:eastAsia="宋体" w:cs="Times New Roman"/>
                      <w:b/>
                      <w:bCs/>
                      <w:i w:val="0"/>
                      <w:iCs w:val="0"/>
                      <w:color w:val="auto"/>
                      <w:kern w:val="0"/>
                      <w:sz w:val="21"/>
                      <w:szCs w:val="21"/>
                      <w:u w:val="none"/>
                      <w:lang w:val="en-US" w:eastAsia="zh-CN" w:bidi="ar"/>
                    </w:rPr>
                    <w:t xml:space="preserve">125.8 </w:t>
                  </w:r>
                </w:p>
              </w:tc>
              <w:tc>
                <w:tcPr>
                  <w:tcW w:w="880"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bCs/>
                      <w:color w:val="auto"/>
                      <w:szCs w:val="21"/>
                      <w:lang w:val="en-US" w:eastAsia="zh-CN"/>
                    </w:rPr>
                  </w:pPr>
                  <w:r>
                    <w:rPr>
                      <w:rFonts w:hint="default" w:ascii="Times New Roman" w:hAnsi="Times New Roman" w:eastAsia="宋体" w:cs="Times New Roman"/>
                      <w:b/>
                      <w:bCs/>
                      <w:i w:val="0"/>
                      <w:iCs w:val="0"/>
                      <w:color w:val="auto"/>
                      <w:kern w:val="0"/>
                      <w:sz w:val="21"/>
                      <w:szCs w:val="21"/>
                      <w:u w:val="none"/>
                      <w:lang w:val="en-US" w:eastAsia="zh-CN" w:bidi="ar"/>
                    </w:rPr>
                    <w:t xml:space="preserve">0.0841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97" w:hRule="atLeast"/>
                <w:jc w:val="center"/>
              </w:trPr>
              <w:tc>
                <w:tcPr>
                  <w:tcW w:w="152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default"/>
                      <w:color w:val="auto"/>
                    </w:rPr>
                  </w:pPr>
                  <w:r>
                    <w:rPr>
                      <w:rFonts w:hint="eastAsia" w:ascii="Times New Roman" w:hAnsi="Times New Roman" w:eastAsia="宋体" w:cs="Times New Roman"/>
                      <w:color w:val="auto"/>
                      <w:szCs w:val="21"/>
                      <w:lang w:val="en-US" w:eastAsia="zh-CN"/>
                    </w:rPr>
                    <w:t>SS</w:t>
                  </w:r>
                </w:p>
              </w:tc>
              <w:tc>
                <w:tcPr>
                  <w:tcW w:w="954"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i w:val="0"/>
                      <w:iCs w:val="0"/>
                      <w:color w:val="auto"/>
                      <w:kern w:val="0"/>
                      <w:sz w:val="21"/>
                      <w:szCs w:val="21"/>
                      <w:u w:val="none"/>
                      <w:lang w:val="en-US" w:eastAsia="zh-CN" w:bidi="ar"/>
                    </w:rPr>
                    <w:t>40</w:t>
                  </w:r>
                </w:p>
              </w:tc>
              <w:tc>
                <w:tcPr>
                  <w:tcW w:w="874"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0.0070 </w:t>
                  </w:r>
                </w:p>
              </w:tc>
              <w:tc>
                <w:tcPr>
                  <w:tcW w:w="867"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75</w:t>
                  </w:r>
                </w:p>
              </w:tc>
              <w:tc>
                <w:tcPr>
                  <w:tcW w:w="898"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0.0072 </w:t>
                  </w:r>
                </w:p>
              </w:tc>
              <w:tc>
                <w:tcPr>
                  <w:tcW w:w="985"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834"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935"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75</w:t>
                  </w:r>
                </w:p>
              </w:tc>
              <w:tc>
                <w:tcPr>
                  <w:tcW w:w="920"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0.0008 </w:t>
                  </w:r>
                </w:p>
              </w:tc>
              <w:tc>
                <w:tcPr>
                  <w:tcW w:w="958"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220</w:t>
                  </w:r>
                </w:p>
              </w:tc>
              <w:tc>
                <w:tcPr>
                  <w:tcW w:w="912"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0.0792 </w:t>
                  </w:r>
                </w:p>
              </w:tc>
              <w:tc>
                <w:tcPr>
                  <w:tcW w:w="858"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bCs/>
                      <w:color w:val="auto"/>
                      <w:szCs w:val="21"/>
                      <w:lang w:val="en-US" w:eastAsia="zh-CN"/>
                    </w:rPr>
                  </w:pPr>
                  <w:r>
                    <w:rPr>
                      <w:rFonts w:hint="default" w:ascii="Times New Roman" w:hAnsi="Times New Roman" w:eastAsia="宋体" w:cs="Times New Roman"/>
                      <w:b/>
                      <w:bCs/>
                      <w:i w:val="0"/>
                      <w:iCs w:val="0"/>
                      <w:color w:val="auto"/>
                      <w:kern w:val="0"/>
                      <w:sz w:val="21"/>
                      <w:szCs w:val="21"/>
                      <w:u w:val="none"/>
                      <w:lang w:val="en-US" w:eastAsia="zh-CN" w:bidi="ar"/>
                    </w:rPr>
                    <w:t xml:space="preserve">140.8 </w:t>
                  </w:r>
                </w:p>
              </w:tc>
              <w:tc>
                <w:tcPr>
                  <w:tcW w:w="880" w:type="dxa"/>
                  <w:tcBorders>
                    <w:tl2br w:val="nil"/>
                    <w:tr2bl w:val="nil"/>
                  </w:tcBorders>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bCs/>
                      <w:color w:val="auto"/>
                      <w:szCs w:val="21"/>
                      <w:lang w:val="en-US" w:eastAsia="zh-CN"/>
                    </w:rPr>
                  </w:pPr>
                  <w:r>
                    <w:rPr>
                      <w:rFonts w:hint="default" w:ascii="Times New Roman" w:hAnsi="Times New Roman" w:eastAsia="宋体" w:cs="Times New Roman"/>
                      <w:b/>
                      <w:bCs/>
                      <w:i w:val="0"/>
                      <w:iCs w:val="0"/>
                      <w:color w:val="auto"/>
                      <w:kern w:val="0"/>
                      <w:sz w:val="21"/>
                      <w:szCs w:val="21"/>
                      <w:u w:val="none"/>
                      <w:lang w:val="en-US" w:eastAsia="zh-CN" w:bidi="ar"/>
                    </w:rPr>
                    <w:t xml:space="preserve">0.0941 </w:t>
                  </w:r>
                </w:p>
              </w:tc>
            </w:tr>
          </w:tbl>
          <w:p>
            <w:pPr>
              <w:pStyle w:val="36"/>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color w:val="auto"/>
              </w:rPr>
              <w:t>参考环评手册中《常用污水处理设备及去除率》，化粪池对污水的处理效率一般为COD：15%、氨氮：3%、BOD</w:t>
            </w:r>
            <w:r>
              <w:rPr>
                <w:rFonts w:hint="default"/>
                <w:color w:val="auto"/>
                <w:vertAlign w:val="subscript"/>
              </w:rPr>
              <w:t>5</w:t>
            </w:r>
            <w:r>
              <w:rPr>
                <w:rFonts w:hint="eastAsia"/>
                <w:color w:val="auto"/>
                <w:vertAlign w:val="subscript"/>
                <w:lang w:eastAsia="zh-CN"/>
              </w:rPr>
              <w:t>:</w:t>
            </w:r>
            <w:r>
              <w:rPr>
                <w:rFonts w:hint="default"/>
                <w:color w:val="auto"/>
              </w:rPr>
              <w:t>9%、SS：30%</w:t>
            </w:r>
            <w:r>
              <w:rPr>
                <w:rFonts w:hint="eastAsia"/>
                <w:color w:val="auto"/>
              </w:rPr>
              <w:t>。</w:t>
            </w:r>
            <w:r>
              <w:rPr>
                <w:rFonts w:hint="eastAsia"/>
                <w:color w:val="auto"/>
                <w:lang w:val="en-US" w:eastAsia="zh-CN"/>
              </w:rPr>
              <w:t>经计算，废水</w:t>
            </w:r>
            <w:r>
              <w:rPr>
                <w:rFonts w:hint="eastAsia"/>
                <w:color w:val="auto"/>
              </w:rPr>
              <w:t>污染物</w:t>
            </w:r>
            <w:r>
              <w:rPr>
                <w:rFonts w:hint="eastAsia"/>
                <w:color w:val="auto"/>
                <w:lang w:val="en-US" w:eastAsia="zh-CN"/>
              </w:rPr>
              <w:t>产排情况详见</w:t>
            </w:r>
            <w:r>
              <w:rPr>
                <w:rFonts w:hint="eastAsia"/>
                <w:color w:val="auto"/>
                <w:lang w:val="en-US" w:eastAsia="zh-CN"/>
              </w:rPr>
              <w:fldChar w:fldCharType="begin"/>
            </w:r>
            <w:r>
              <w:rPr>
                <w:rFonts w:hint="eastAsia"/>
                <w:color w:val="auto"/>
                <w:lang w:val="en-US" w:eastAsia="zh-CN"/>
              </w:rPr>
              <w:instrText xml:space="preserve"> REF _Ref32669 \n \h </w:instrText>
            </w:r>
            <w:r>
              <w:rPr>
                <w:rFonts w:hint="eastAsia"/>
                <w:color w:val="auto"/>
                <w:lang w:val="en-US" w:eastAsia="zh-CN"/>
              </w:rPr>
              <w:fldChar w:fldCharType="separate"/>
            </w:r>
            <w:r>
              <w:rPr>
                <w:rFonts w:hint="eastAsia"/>
                <w:color w:val="auto"/>
                <w:lang w:val="en-US" w:eastAsia="zh-CN"/>
              </w:rPr>
              <w:t>表4.3-2</w:t>
            </w:r>
            <w:r>
              <w:rPr>
                <w:rFonts w:hint="eastAsia"/>
                <w:color w:val="auto"/>
                <w:lang w:val="en-US" w:eastAsia="zh-CN"/>
              </w:rPr>
              <w:fldChar w:fldCharType="end"/>
            </w:r>
            <w:r>
              <w:rPr>
                <w:rFonts w:hint="eastAsia"/>
                <w:color w:val="auto"/>
                <w:lang w:val="en-US" w:eastAsia="zh-CN"/>
              </w:rPr>
              <w:t>。</w:t>
            </w:r>
          </w:p>
        </w:tc>
      </w:tr>
    </w:tbl>
    <w:p>
      <w:pPr>
        <w:sectPr>
          <w:pgSz w:w="16840" w:h="11907" w:orient="landscape"/>
          <w:pgMar w:top="1531" w:right="1701" w:bottom="1531" w:left="2127" w:header="851" w:footer="851" w:gutter="0"/>
          <w:pgBorders>
            <w:top w:val="none" w:sz="0" w:space="0"/>
            <w:left w:val="none" w:sz="0" w:space="0"/>
            <w:bottom w:val="none" w:sz="0" w:space="0"/>
            <w:right w:val="none" w:sz="0" w:space="0"/>
          </w:pgBorders>
          <w:pgNumType w:fmt="numberInDash"/>
          <w:cols w:space="720" w:num="1"/>
          <w:docGrid w:linePitch="312" w:charSpace="0"/>
        </w:sectPr>
      </w:pPr>
    </w:p>
    <w:tbl>
      <w:tblPr>
        <w:tblStyle w:val="32"/>
        <w:tblW w:w="8981"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30"/>
        <w:gridCol w:w="835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2705" w:hRule="atLeast"/>
          <w:jc w:val="center"/>
        </w:trPr>
        <w:tc>
          <w:tcPr>
            <w:tcW w:w="630" w:type="dxa"/>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szCs w:val="24"/>
                <w:highlight w:val="none"/>
              </w:rPr>
            </w:pPr>
          </w:p>
        </w:tc>
        <w:tc>
          <w:tcPr>
            <w:tcW w:w="8351" w:type="dxa"/>
            <w:tcBorders>
              <w:top w:val="single" w:color="auto" w:sz="4" w:space="0"/>
              <w:bottom w:val="single" w:color="auto" w:sz="4" w:space="0"/>
              <w:right w:val="single" w:color="auto" w:sz="4" w:space="0"/>
            </w:tcBorders>
            <w:vAlign w:val="top"/>
          </w:tcPr>
          <w:p>
            <w:pPr>
              <w:pStyle w:val="4"/>
              <w:suppressLineNumbers w:val="0"/>
              <w:bidi w:val="0"/>
              <w:spacing w:beforeAutospacing="0" w:afterAutospacing="0"/>
              <w:ind w:right="0"/>
              <w:rPr>
                <w:rFonts w:hint="default"/>
                <w:color w:val="auto"/>
                <w:highlight w:val="none"/>
                <w:lang w:val="en-US" w:eastAsia="zh-CN"/>
              </w:rPr>
            </w:pPr>
            <w:r>
              <w:rPr>
                <w:rFonts w:hint="default"/>
                <w:color w:val="auto"/>
                <w:highlight w:val="none"/>
                <w:lang w:val="en-US" w:eastAsia="zh-CN"/>
              </w:rPr>
              <w:t>水污染环境影响分析</w:t>
            </w:r>
          </w:p>
          <w:p>
            <w:pPr>
              <w:pStyle w:val="36"/>
              <w:keepNext w:val="0"/>
              <w:keepLines w:val="0"/>
              <w:suppressLineNumbers w:val="0"/>
              <w:bidi w:val="0"/>
              <w:spacing w:before="0" w:beforeAutospacing="0" w:after="0" w:afterAutospacing="0"/>
              <w:ind w:left="0" w:right="0"/>
              <w:rPr>
                <w:rFonts w:hint="default"/>
                <w:color w:val="auto"/>
                <w:highlight w:val="none"/>
                <w:lang w:val="en-US" w:eastAsia="zh-CN"/>
              </w:rPr>
            </w:pPr>
            <w:r>
              <w:rPr>
                <w:rFonts w:hint="eastAsia"/>
                <w:color w:val="auto"/>
                <w:highlight w:val="none"/>
                <w:lang w:val="en-US" w:eastAsia="zh-CN"/>
              </w:rPr>
              <w:t>本项目废水经厂区内预处理达到</w:t>
            </w:r>
            <w:r>
              <w:rPr>
                <w:rFonts w:hint="eastAsia"/>
                <w:color w:val="auto"/>
                <w:highlight w:val="none"/>
                <w:lang w:val="zh-CN"/>
              </w:rPr>
              <w:t>《污水综合排放标准》（GB897</w:t>
            </w:r>
            <w:r>
              <w:rPr>
                <w:rFonts w:hint="eastAsia"/>
                <w:color w:val="auto"/>
                <w:highlight w:val="none"/>
                <w:lang w:val="en-US" w:eastAsia="zh-CN"/>
              </w:rPr>
              <w:t>8</w:t>
            </w:r>
            <w:r>
              <w:rPr>
                <w:rFonts w:hint="eastAsia"/>
                <w:color w:val="auto"/>
                <w:highlight w:val="none"/>
                <w:lang w:val="zh-CN"/>
              </w:rPr>
              <w:t>-1996）表4中的三级排放标准（其中</w:t>
            </w:r>
            <w:r>
              <w:rPr>
                <w:rFonts w:hint="default"/>
                <w:color w:val="auto"/>
                <w:highlight w:val="none"/>
              </w:rPr>
              <w:t>NH</w:t>
            </w:r>
            <w:r>
              <w:rPr>
                <w:rFonts w:hint="default"/>
                <w:color w:val="auto"/>
                <w:highlight w:val="none"/>
                <w:vertAlign w:val="subscript"/>
              </w:rPr>
              <w:t>3</w:t>
            </w:r>
            <w:r>
              <w:rPr>
                <w:rFonts w:hint="default"/>
                <w:color w:val="auto"/>
                <w:highlight w:val="none"/>
              </w:rPr>
              <w:t>-N</w:t>
            </w:r>
            <w:r>
              <w:rPr>
                <w:rFonts w:hint="eastAsia"/>
                <w:color w:val="auto"/>
                <w:highlight w:val="none"/>
              </w:rPr>
              <w:t>参照《污水排入城镇下水道水质标准》（</w:t>
            </w:r>
            <w:r>
              <w:rPr>
                <w:rFonts w:hint="default"/>
                <w:color w:val="auto"/>
                <w:highlight w:val="none"/>
              </w:rPr>
              <w:t>GB/T31962-2015</w:t>
            </w:r>
            <w:r>
              <w:rPr>
                <w:rFonts w:hint="eastAsia"/>
                <w:color w:val="auto"/>
                <w:highlight w:val="none"/>
              </w:rPr>
              <w:t>）表</w:t>
            </w:r>
            <w:r>
              <w:rPr>
                <w:rFonts w:hint="default"/>
                <w:color w:val="auto"/>
                <w:highlight w:val="none"/>
              </w:rPr>
              <w:t>1</w:t>
            </w:r>
            <w:r>
              <w:rPr>
                <w:rFonts w:hint="eastAsia"/>
                <w:color w:val="auto"/>
                <w:highlight w:val="none"/>
              </w:rPr>
              <w:t>中的</w:t>
            </w:r>
            <w:r>
              <w:rPr>
                <w:rFonts w:hint="default"/>
                <w:color w:val="auto"/>
                <w:highlight w:val="none"/>
              </w:rPr>
              <w:t>B</w:t>
            </w:r>
            <w:r>
              <w:rPr>
                <w:rFonts w:hint="eastAsia"/>
                <w:color w:val="auto"/>
                <w:highlight w:val="none"/>
              </w:rPr>
              <w:t>级标准</w:t>
            </w:r>
            <w:r>
              <w:rPr>
                <w:rFonts w:hint="eastAsia"/>
                <w:color w:val="auto"/>
                <w:highlight w:val="none"/>
                <w:lang w:val="zh-CN"/>
              </w:rPr>
              <w:t>）</w:t>
            </w:r>
            <w:r>
              <w:rPr>
                <w:rFonts w:hint="eastAsia"/>
                <w:color w:val="auto"/>
                <w:highlight w:val="none"/>
                <w:lang w:val="en-US" w:eastAsia="zh-CN"/>
              </w:rPr>
              <w:t>要求后，</w:t>
            </w:r>
            <w:r>
              <w:rPr>
                <w:rFonts w:hint="eastAsia"/>
                <w:color w:val="auto"/>
                <w:highlight w:val="none"/>
              </w:rPr>
              <w:t>通过</w:t>
            </w:r>
            <w:r>
              <w:rPr>
                <w:rFonts w:hint="eastAsia"/>
                <w:color w:val="auto"/>
                <w:highlight w:val="none"/>
                <w:lang w:val="en-US" w:eastAsia="zh-CN"/>
              </w:rPr>
              <w:t>市政污水管网</w:t>
            </w:r>
            <w:r>
              <w:rPr>
                <w:rFonts w:hint="eastAsia"/>
                <w:color w:val="auto"/>
                <w:highlight w:val="none"/>
              </w:rPr>
              <w:t>排入</w:t>
            </w:r>
            <w:r>
              <w:rPr>
                <w:rFonts w:hint="eastAsia"/>
                <w:color w:val="auto"/>
                <w:highlight w:val="none"/>
                <w:lang w:val="en-US" w:eastAsia="zh-CN"/>
              </w:rPr>
              <w:t>福清市融元污水处理厂</w:t>
            </w:r>
            <w:r>
              <w:rPr>
                <w:rFonts w:hint="eastAsia"/>
                <w:color w:val="auto"/>
                <w:highlight w:val="none"/>
              </w:rPr>
              <w:t>进一步处理</w:t>
            </w:r>
            <w:r>
              <w:rPr>
                <w:rFonts w:hint="eastAsia"/>
                <w:color w:val="auto"/>
                <w:highlight w:val="none"/>
                <w:lang w:eastAsia="zh-CN"/>
              </w:rPr>
              <w:t>，</w:t>
            </w:r>
            <w:r>
              <w:rPr>
                <w:rFonts w:hint="eastAsia"/>
                <w:color w:val="auto"/>
                <w:highlight w:val="none"/>
                <w:lang w:val="en-US" w:eastAsia="zh-CN"/>
              </w:rPr>
              <w:t>不直接排放，</w:t>
            </w:r>
            <w:r>
              <w:rPr>
                <w:rFonts w:hint="eastAsia"/>
                <w:color w:val="auto"/>
                <w:highlight w:val="none"/>
              </w:rPr>
              <w:t>因此对</w:t>
            </w:r>
            <w:r>
              <w:rPr>
                <w:rFonts w:hint="eastAsia"/>
                <w:color w:val="auto"/>
                <w:highlight w:val="none"/>
                <w:lang w:val="en-US" w:eastAsia="zh-CN"/>
              </w:rPr>
              <w:t>周边地表</w:t>
            </w:r>
            <w:r>
              <w:rPr>
                <w:rFonts w:hint="eastAsia"/>
                <w:color w:val="auto"/>
                <w:highlight w:val="none"/>
              </w:rPr>
              <w:t>水环境影响较小</w:t>
            </w:r>
            <w:r>
              <w:rPr>
                <w:rFonts w:hint="eastAsia"/>
                <w:color w:val="auto"/>
                <w:highlight w:val="none"/>
                <w:lang w:val="en-US" w:eastAsia="zh-CN"/>
              </w:rPr>
              <w:t>。</w:t>
            </w:r>
          </w:p>
          <w:p>
            <w:pPr>
              <w:pStyle w:val="4"/>
              <w:suppressLineNumbers w:val="0"/>
              <w:bidi w:val="0"/>
              <w:spacing w:beforeAutospacing="0" w:afterAutospacing="0"/>
              <w:ind w:right="0"/>
              <w:rPr>
                <w:rFonts w:hint="default"/>
                <w:color w:val="auto"/>
                <w:lang w:val="en-US" w:eastAsia="zh-CN"/>
              </w:rPr>
            </w:pPr>
            <w:r>
              <w:rPr>
                <w:rFonts w:hint="eastAsia"/>
                <w:color w:val="auto"/>
                <w:lang w:val="en-US" w:eastAsia="zh-CN"/>
              </w:rPr>
              <w:t>依托集中污水处理厂的可行性分析</w:t>
            </w:r>
          </w:p>
          <w:p>
            <w:pPr>
              <w:pStyle w:val="36"/>
              <w:keepNext w:val="0"/>
              <w:keepLines w:val="0"/>
              <w:suppressLineNumbers w:val="0"/>
              <w:bidi w:val="0"/>
              <w:spacing w:before="0" w:beforeAutospacing="0" w:after="0" w:afterAutospacing="0"/>
              <w:ind w:left="0" w:right="0"/>
              <w:rPr>
                <w:rFonts w:hint="default" w:ascii="Times New Roman" w:hAnsi="Times New Roman" w:eastAsia="宋体" w:cs="宋体"/>
                <w:color w:val="auto"/>
                <w:lang w:val="en-US" w:eastAsia="zh-CN"/>
              </w:rPr>
            </w:pPr>
            <w:r>
              <w:rPr>
                <w:rFonts w:hint="eastAsia" w:ascii="Times New Roman" w:hAnsi="Times New Roman" w:eastAsia="宋体" w:cs="宋体"/>
                <w:color w:val="auto"/>
                <w:lang w:val="en-US" w:eastAsia="zh-CN"/>
              </w:rPr>
              <w:t>（1）福清市融元污水处理厂基本情况</w:t>
            </w:r>
          </w:p>
          <w:p>
            <w:pPr>
              <w:pStyle w:val="36"/>
              <w:keepNext w:val="0"/>
              <w:keepLines w:val="0"/>
              <w:suppressLineNumbers w:val="0"/>
              <w:bidi w:val="0"/>
              <w:spacing w:before="0" w:beforeAutospacing="0" w:after="0" w:afterAutospacing="0"/>
              <w:ind w:left="0" w:right="0"/>
              <w:rPr>
                <w:rFonts w:hint="eastAsia" w:ascii="Times New Roman" w:hAnsi="Times New Roman" w:eastAsia="宋体" w:cs="宋体"/>
                <w:color w:val="auto"/>
                <w:lang w:val="en-US" w:eastAsia="zh-CN"/>
              </w:rPr>
            </w:pPr>
            <w:r>
              <w:rPr>
                <w:rFonts w:hint="eastAsia" w:ascii="Times New Roman" w:hAnsi="Times New Roman" w:eastAsia="宋体" w:cs="宋体"/>
                <w:color w:val="auto"/>
                <w:lang w:val="en-US" w:eastAsia="zh-CN"/>
              </w:rPr>
              <w:t>福清市融元污水处理厂为城市二级污水处理厂，厂址位于福清市龙山街道玉塘村，占地面积80000m</w:t>
            </w:r>
            <w:r>
              <w:rPr>
                <w:rFonts w:hint="eastAsia" w:ascii="Times New Roman" w:hAnsi="Times New Roman" w:eastAsia="宋体" w:cs="宋体"/>
                <w:color w:val="auto"/>
                <w:vertAlign w:val="superscript"/>
                <w:lang w:val="en-US" w:eastAsia="zh-CN"/>
              </w:rPr>
              <w:t>2</w:t>
            </w:r>
            <w:r>
              <w:rPr>
                <w:rFonts w:hint="eastAsia" w:ascii="Times New Roman" w:hAnsi="Times New Roman" w:eastAsia="宋体" w:cs="宋体"/>
                <w:color w:val="auto"/>
                <w:lang w:val="en-US" w:eastAsia="zh-CN"/>
              </w:rPr>
              <w:t>，</w:t>
            </w:r>
            <w:r>
              <w:rPr>
                <w:rFonts w:hint="eastAsia" w:cs="宋体"/>
                <w:color w:val="auto"/>
                <w:lang w:val="en-US" w:eastAsia="zh-CN"/>
              </w:rPr>
              <w:t>污水处理厂</w:t>
            </w:r>
            <w:r>
              <w:rPr>
                <w:rFonts w:hint="eastAsia" w:ascii="Times New Roman" w:hAnsi="Times New Roman" w:eastAsia="宋体" w:cs="宋体"/>
                <w:color w:val="auto"/>
                <w:lang w:val="en-US" w:eastAsia="zh-CN"/>
              </w:rPr>
              <w:t>服务范围为洪宽工业村、大北溪沿线、自福业大道以东、黄阁重纶牌坊以西、龙江以北的城区。该项目采用多级A/O工艺（悬挂链移动曝气工艺）进行二级加强处理。规划远期总规模为18万m</w:t>
            </w:r>
            <w:r>
              <w:rPr>
                <w:rFonts w:hint="eastAsia" w:ascii="Times New Roman" w:hAnsi="Times New Roman" w:eastAsia="宋体" w:cs="宋体"/>
                <w:color w:val="auto"/>
                <w:vertAlign w:val="superscript"/>
                <w:lang w:val="en-US" w:eastAsia="zh-CN"/>
              </w:rPr>
              <w:t>3</w:t>
            </w:r>
            <w:r>
              <w:rPr>
                <w:rFonts w:hint="eastAsia" w:ascii="Times New Roman" w:hAnsi="Times New Roman" w:eastAsia="宋体" w:cs="宋体"/>
                <w:color w:val="auto"/>
                <w:lang w:val="en-US" w:eastAsia="zh-CN"/>
              </w:rPr>
              <w:t>/d，工程分三期实施，现状</w:t>
            </w:r>
            <w:r>
              <w:rPr>
                <w:rFonts w:hint="eastAsia" w:cs="宋体"/>
                <w:color w:val="auto"/>
                <w:lang w:val="en-US" w:eastAsia="zh-CN"/>
              </w:rPr>
              <w:t>（</w:t>
            </w:r>
            <w:r>
              <w:rPr>
                <w:rFonts w:hint="eastAsia" w:ascii="Times New Roman" w:hAnsi="Times New Roman" w:eastAsia="宋体" w:cs="宋体"/>
                <w:color w:val="auto"/>
                <w:lang w:val="en-US" w:eastAsia="zh-CN"/>
              </w:rPr>
              <w:t>已实施的一期及二期工程</w:t>
            </w:r>
            <w:r>
              <w:rPr>
                <w:rFonts w:hint="eastAsia" w:cs="宋体"/>
                <w:color w:val="auto"/>
                <w:lang w:val="en-US" w:eastAsia="zh-CN"/>
              </w:rPr>
              <w:t>）</w:t>
            </w:r>
            <w:r>
              <w:rPr>
                <w:rFonts w:hint="eastAsia" w:ascii="Times New Roman" w:hAnsi="Times New Roman" w:eastAsia="宋体" w:cs="宋体"/>
                <w:color w:val="auto"/>
                <w:lang w:val="en-US" w:eastAsia="zh-CN"/>
              </w:rPr>
              <w:t>规模为12万m</w:t>
            </w:r>
            <w:r>
              <w:rPr>
                <w:rFonts w:hint="eastAsia" w:ascii="Times New Roman" w:hAnsi="Times New Roman" w:eastAsia="宋体" w:cs="宋体"/>
                <w:color w:val="auto"/>
                <w:vertAlign w:val="superscript"/>
                <w:lang w:val="en-US" w:eastAsia="zh-CN"/>
              </w:rPr>
              <w:t>3</w:t>
            </w:r>
            <w:r>
              <w:rPr>
                <w:rFonts w:hint="eastAsia" w:ascii="Times New Roman" w:hAnsi="Times New Roman" w:eastAsia="宋体" w:cs="宋体"/>
                <w:color w:val="auto"/>
                <w:lang w:val="en-US" w:eastAsia="zh-CN"/>
              </w:rPr>
              <w:t>/d，远期扩建规模为6万m</w:t>
            </w:r>
            <w:r>
              <w:rPr>
                <w:rFonts w:hint="eastAsia" w:ascii="Times New Roman" w:hAnsi="Times New Roman" w:eastAsia="宋体" w:cs="宋体"/>
                <w:color w:val="auto"/>
                <w:vertAlign w:val="superscript"/>
                <w:lang w:val="en-US" w:eastAsia="zh-CN"/>
              </w:rPr>
              <w:t>3</w:t>
            </w:r>
            <w:r>
              <w:rPr>
                <w:rFonts w:hint="eastAsia" w:ascii="Times New Roman" w:hAnsi="Times New Roman" w:eastAsia="宋体" w:cs="宋体"/>
                <w:color w:val="auto"/>
                <w:lang w:val="en-US" w:eastAsia="zh-CN"/>
              </w:rPr>
              <w:t>/d；工程的规划建设年限为：近期2020年，远期2030年。一期工程于2008年1月通过了竣工环保验收；二期工程于2014年5月通过了竣工环保验收；2016年10月，福清黎阳水务有限公司对福清市融元污水处理厂厂内提标及改造，改造后</w:t>
            </w:r>
            <w:r>
              <w:rPr>
                <w:rFonts w:hint="eastAsia" w:cs="宋体"/>
                <w:color w:val="auto"/>
                <w:lang w:val="en-US" w:eastAsia="zh-CN"/>
              </w:rPr>
              <w:t>污水处理厂</w:t>
            </w:r>
            <w:r>
              <w:rPr>
                <w:rFonts w:hint="eastAsia" w:ascii="Times New Roman" w:hAnsi="Times New Roman" w:eastAsia="宋体" w:cs="宋体"/>
                <w:color w:val="auto"/>
                <w:lang w:val="en-US" w:eastAsia="zh-CN"/>
              </w:rPr>
              <w:t>总排口综合出水水质达到《城镇污水处理厂污染物排放标准》(GB18918-2002)及其修改单一级标准A标准。</w:t>
            </w:r>
          </w:p>
          <w:p>
            <w:pPr>
              <w:pStyle w:val="36"/>
              <w:keepNext w:val="0"/>
              <w:keepLines w:val="0"/>
              <w:suppressLineNumbers w:val="0"/>
              <w:bidi w:val="0"/>
              <w:spacing w:before="0" w:beforeAutospacing="0" w:after="0" w:afterAutospacing="0"/>
              <w:ind w:left="0" w:right="0"/>
              <w:rPr>
                <w:rFonts w:hint="eastAsia" w:ascii="Times New Roman" w:hAnsi="Times New Roman" w:eastAsia="宋体" w:cs="宋体"/>
                <w:color w:val="auto"/>
                <w:lang w:val="en-US" w:eastAsia="zh-CN"/>
              </w:rPr>
            </w:pPr>
            <w:r>
              <w:rPr>
                <w:rFonts w:hint="eastAsia" w:ascii="Times New Roman" w:hAnsi="Times New Roman" w:eastAsia="宋体" w:cs="宋体"/>
                <w:color w:val="auto"/>
                <w:lang w:val="en-US" w:eastAsia="zh-CN"/>
              </w:rPr>
              <w:t>（2）依托可行性分析</w:t>
            </w:r>
          </w:p>
          <w:p>
            <w:pPr>
              <w:pStyle w:val="36"/>
              <w:keepNext w:val="0"/>
              <w:keepLines w:val="0"/>
              <w:suppressLineNumbers w:val="0"/>
              <w:bidi w:val="0"/>
              <w:spacing w:before="0" w:beforeAutospacing="0" w:after="0" w:afterAutospacing="0"/>
              <w:ind w:left="0" w:right="0"/>
              <w:rPr>
                <w:rFonts w:hint="eastAsia" w:ascii="Times New Roman" w:hAnsi="Times New Roman" w:eastAsia="宋体" w:cs="宋体"/>
                <w:color w:val="auto"/>
                <w:lang w:val="en-US" w:eastAsia="zh-CN"/>
              </w:rPr>
            </w:pPr>
            <w:r>
              <w:rPr>
                <w:rFonts w:hint="eastAsia" w:ascii="Times New Roman" w:hAnsi="Times New Roman" w:eastAsia="宋体" w:cs="宋体"/>
                <w:color w:val="auto"/>
                <w:lang w:val="en-US" w:eastAsia="zh-CN"/>
              </w:rPr>
              <w:t>①接管可行性</w:t>
            </w:r>
          </w:p>
          <w:p>
            <w:pPr>
              <w:pStyle w:val="36"/>
              <w:keepNext w:val="0"/>
              <w:keepLines w:val="0"/>
              <w:suppressLineNumbers w:val="0"/>
              <w:bidi w:val="0"/>
              <w:spacing w:before="0" w:beforeAutospacing="0" w:after="0" w:afterAutospacing="0"/>
              <w:ind w:left="0" w:right="0"/>
              <w:rPr>
                <w:rFonts w:hint="eastAsia" w:ascii="Times New Roman" w:hAnsi="Times New Roman" w:eastAsia="宋体" w:cs="宋体"/>
                <w:color w:val="auto"/>
                <w:lang w:val="en-US" w:eastAsia="zh-CN"/>
              </w:rPr>
            </w:pPr>
            <w:r>
              <w:rPr>
                <w:rFonts w:hint="eastAsia" w:ascii="Times New Roman" w:hAnsi="Times New Roman" w:eastAsia="宋体" w:cs="宋体"/>
                <w:color w:val="auto"/>
                <w:lang w:val="en-US" w:eastAsia="zh-CN"/>
              </w:rPr>
              <w:t>本项目位于福清融侨经济技术开发区（租赁福清洪金机械有限公司办公楼4层、5层），该厂区属于福清市融元污水处理厂服务范围内。</w:t>
            </w:r>
            <w:r>
              <w:rPr>
                <w:rFonts w:hint="eastAsia" w:ascii="Times New Roman" w:hAnsi="Times New Roman" w:eastAsia="宋体" w:cs="宋体"/>
                <w:color w:val="auto"/>
                <w:highlight w:val="none"/>
                <w:lang w:val="en-US" w:eastAsia="zh-CN"/>
              </w:rPr>
              <w:t>根据附件</w:t>
            </w:r>
            <w:r>
              <w:rPr>
                <w:rFonts w:hint="eastAsia" w:cs="宋体"/>
                <w:color w:val="auto"/>
                <w:highlight w:val="none"/>
                <w:lang w:val="en-US" w:eastAsia="zh-CN"/>
              </w:rPr>
              <w:t>7</w:t>
            </w:r>
            <w:r>
              <w:rPr>
                <w:rFonts w:hint="eastAsia" w:ascii="Times New Roman" w:hAnsi="Times New Roman" w:eastAsia="宋体" w:cs="宋体"/>
                <w:color w:val="auto"/>
                <w:highlight w:val="none"/>
                <w:lang w:val="en-US" w:eastAsia="zh-CN"/>
              </w:rPr>
              <w:t>排水许可证</w:t>
            </w:r>
            <w:r>
              <w:rPr>
                <w:rFonts w:hint="eastAsia" w:ascii="Times New Roman" w:hAnsi="Times New Roman" w:eastAsia="宋体" w:cs="宋体"/>
                <w:color w:val="auto"/>
                <w:lang w:val="en-US" w:eastAsia="zh-CN"/>
              </w:rPr>
              <w:t>，福清洪金机械有限公司厂区污水已接入福清市融元污水处理厂污水管网系统。因此本项目污水可通过市政污水管网纳入福清市融元污水处理厂处理。</w:t>
            </w:r>
          </w:p>
          <w:p>
            <w:pPr>
              <w:pStyle w:val="36"/>
              <w:keepNext w:val="0"/>
              <w:keepLines w:val="0"/>
              <w:suppressLineNumbers w:val="0"/>
              <w:bidi w:val="0"/>
              <w:spacing w:before="0" w:beforeAutospacing="0" w:after="0" w:afterAutospacing="0"/>
              <w:ind w:left="0" w:right="0"/>
              <w:rPr>
                <w:rFonts w:hint="default" w:ascii="Times New Roman" w:hAnsi="Times New Roman" w:eastAsia="宋体" w:cs="宋体"/>
                <w:color w:val="auto"/>
                <w:lang w:val="en-US" w:eastAsia="zh-CN"/>
              </w:rPr>
            </w:pPr>
            <w:r>
              <w:rPr>
                <w:rFonts w:hint="default" w:ascii="Times New Roman" w:hAnsi="Times New Roman" w:eastAsia="宋体" w:cs="宋体"/>
                <w:color w:val="auto"/>
                <w:lang w:val="en-US" w:eastAsia="zh-CN"/>
              </w:rPr>
              <w:t>②水质负荷</w:t>
            </w:r>
          </w:p>
          <w:p>
            <w:pPr>
              <w:pStyle w:val="36"/>
              <w:keepNext w:val="0"/>
              <w:keepLines w:val="0"/>
              <w:suppressLineNumbers w:val="0"/>
              <w:bidi w:val="0"/>
              <w:spacing w:before="0" w:beforeAutospacing="0" w:after="0" w:afterAutospacing="0"/>
              <w:ind w:left="0" w:right="0"/>
              <w:rPr>
                <w:rFonts w:hint="default" w:ascii="Times New Roman" w:hAnsi="Times New Roman" w:eastAsia="宋体" w:cs="宋体"/>
                <w:color w:val="auto"/>
                <w:lang w:val="en-US" w:eastAsia="zh-CN"/>
              </w:rPr>
            </w:pPr>
            <w:r>
              <w:rPr>
                <w:rFonts w:hint="eastAsia" w:ascii="Times New Roman" w:hAnsi="Times New Roman" w:eastAsia="宋体" w:cs="宋体"/>
                <w:color w:val="auto"/>
                <w:lang w:val="en-US" w:eastAsia="zh-CN"/>
              </w:rPr>
              <w:t>根据工程分析可知，项目外排废水主要为实验器具清洗废水、职工日常生活污水、制纯浓水等，由于项目废水分质处理，含有高浓度污染物废水已作为危险废物检验废液委托处置，因此将外排的实验器具后续清洗废水、职工日常生活污水、制纯浓水等废水主要污染物为COD、BOD</w:t>
            </w:r>
            <w:r>
              <w:rPr>
                <w:rFonts w:hint="eastAsia" w:ascii="Times New Roman" w:hAnsi="Times New Roman" w:eastAsia="宋体" w:cs="宋体"/>
                <w:color w:val="auto"/>
                <w:vertAlign w:val="subscript"/>
                <w:lang w:val="en-US" w:eastAsia="zh-CN"/>
              </w:rPr>
              <w:t>5</w:t>
            </w:r>
            <w:r>
              <w:rPr>
                <w:rFonts w:hint="eastAsia" w:ascii="Times New Roman" w:hAnsi="Times New Roman" w:eastAsia="宋体" w:cs="宋体"/>
                <w:color w:val="auto"/>
                <w:lang w:val="en-US" w:eastAsia="zh-CN"/>
              </w:rPr>
              <w:t>、SS、NH</w:t>
            </w:r>
            <w:r>
              <w:rPr>
                <w:rFonts w:hint="eastAsia" w:ascii="Times New Roman" w:hAnsi="Times New Roman" w:eastAsia="宋体" w:cs="宋体"/>
                <w:color w:val="auto"/>
                <w:vertAlign w:val="subscript"/>
                <w:lang w:val="en-US" w:eastAsia="zh-CN"/>
              </w:rPr>
              <w:t>3</w:t>
            </w:r>
            <w:r>
              <w:rPr>
                <w:rFonts w:hint="eastAsia" w:ascii="Times New Roman" w:hAnsi="Times New Roman" w:eastAsia="宋体" w:cs="宋体"/>
                <w:color w:val="auto"/>
                <w:lang w:val="en-US" w:eastAsia="zh-CN"/>
              </w:rPr>
              <w:t>-N等，污染物成分简单，浓度较低。根据上文分析，项目经处理后的实验器具清洗废水、生活污水、制纯浓水、样品排水、实验仪器排水，水质可达《污水综合排放标准》(GB8978-1996)表4中三级标准及《污水排入城镇下水道水质标准》(GB/T 31962-2015)表1中B级标准，满足污水处理厂的进水水质标准，不会对污水处理厂的正常运行造成水质冲击影响。</w:t>
            </w:r>
          </w:p>
          <w:p>
            <w:pPr>
              <w:pStyle w:val="36"/>
              <w:keepNext w:val="0"/>
              <w:keepLines w:val="0"/>
              <w:suppressLineNumbers w:val="0"/>
              <w:bidi w:val="0"/>
              <w:spacing w:before="0" w:beforeAutospacing="0" w:after="0" w:afterAutospacing="0"/>
              <w:ind w:left="0" w:right="0"/>
              <w:rPr>
                <w:rFonts w:hint="default" w:ascii="Times New Roman" w:hAnsi="Times New Roman" w:eastAsia="宋体" w:cs="宋体"/>
                <w:color w:val="auto"/>
                <w:lang w:val="en-US" w:eastAsia="zh-CN"/>
              </w:rPr>
            </w:pPr>
            <w:r>
              <w:rPr>
                <w:rFonts w:hint="default" w:ascii="Times New Roman" w:hAnsi="Times New Roman" w:eastAsia="宋体" w:cs="宋体"/>
                <w:color w:val="auto"/>
                <w:lang w:val="en-US" w:eastAsia="zh-CN"/>
              </w:rPr>
              <w:t>③水量负荷</w:t>
            </w:r>
          </w:p>
          <w:p>
            <w:pPr>
              <w:pStyle w:val="36"/>
              <w:keepNext w:val="0"/>
              <w:keepLines w:val="0"/>
              <w:suppressLineNumbers w:val="0"/>
              <w:bidi w:val="0"/>
              <w:spacing w:before="0" w:beforeAutospacing="0" w:after="0" w:afterAutospacing="0"/>
              <w:ind w:left="0" w:right="0"/>
              <w:rPr>
                <w:rFonts w:hint="default" w:ascii="Times New Roman" w:hAnsi="Times New Roman" w:eastAsia="宋体" w:cs="宋体"/>
                <w:color w:val="auto"/>
                <w:lang w:val="en-US" w:eastAsia="zh-CN"/>
              </w:rPr>
            </w:pPr>
            <w:r>
              <w:rPr>
                <w:rFonts w:hint="default" w:ascii="Times New Roman" w:hAnsi="Times New Roman" w:eastAsia="宋体" w:cs="宋体"/>
                <w:color w:val="auto"/>
                <w:lang w:val="en-US" w:eastAsia="zh-CN"/>
              </w:rPr>
              <w:t>根据调查，目前福清市融元污水处理厂厂内提标及改造工程已经完成并正常使用，日平均处理规模约为11.85万m</w:t>
            </w:r>
            <w:r>
              <w:rPr>
                <w:rFonts w:hint="default" w:ascii="Times New Roman" w:hAnsi="Times New Roman" w:eastAsia="宋体" w:cs="宋体"/>
                <w:color w:val="auto"/>
                <w:vertAlign w:val="superscript"/>
                <w:lang w:val="en-US" w:eastAsia="zh-CN"/>
              </w:rPr>
              <w:t>3</w:t>
            </w:r>
            <w:r>
              <w:rPr>
                <w:rFonts w:hint="default" w:ascii="Times New Roman" w:hAnsi="Times New Roman" w:eastAsia="宋体" w:cs="宋体"/>
                <w:color w:val="auto"/>
                <w:lang w:val="en-US" w:eastAsia="zh-CN"/>
              </w:rPr>
              <w:t>/d，尚有0.15万m</w:t>
            </w:r>
            <w:r>
              <w:rPr>
                <w:rFonts w:hint="default" w:ascii="Times New Roman" w:hAnsi="Times New Roman" w:eastAsia="宋体" w:cs="宋体"/>
                <w:color w:val="auto"/>
                <w:vertAlign w:val="superscript"/>
                <w:lang w:val="en-US" w:eastAsia="zh-CN"/>
              </w:rPr>
              <w:t>3</w:t>
            </w:r>
            <w:r>
              <w:rPr>
                <w:rFonts w:hint="default" w:ascii="Times New Roman" w:hAnsi="Times New Roman" w:eastAsia="宋体" w:cs="宋体"/>
                <w:color w:val="auto"/>
                <w:lang w:val="en-US" w:eastAsia="zh-CN"/>
              </w:rPr>
              <w:t>/d的余量</w:t>
            </w:r>
            <w:r>
              <w:rPr>
                <w:rFonts w:hint="eastAsia" w:ascii="Times New Roman" w:hAnsi="Times New Roman" w:eastAsia="宋体" w:cs="宋体"/>
                <w:color w:val="auto"/>
                <w:lang w:val="en-US" w:eastAsia="zh-CN"/>
              </w:rPr>
              <w:t>，根据上文分析，本项目日排水量约为</w:t>
            </w:r>
            <w:r>
              <w:rPr>
                <w:rFonts w:hint="eastAsia" w:cs="宋体"/>
                <w:color w:val="auto"/>
                <w:lang w:val="en-US" w:eastAsia="zh-CN"/>
              </w:rPr>
              <w:t>2.228</w:t>
            </w:r>
            <w:r>
              <w:rPr>
                <w:rFonts w:hint="eastAsia" w:ascii="Times New Roman" w:hAnsi="Times New Roman" w:eastAsia="宋体" w:cs="宋体"/>
                <w:color w:val="auto"/>
                <w:lang w:val="en-US" w:eastAsia="zh-CN"/>
              </w:rPr>
              <w:t>t，仅占污水处理厂剩余处理能力的0.</w:t>
            </w:r>
            <w:r>
              <w:rPr>
                <w:rFonts w:hint="eastAsia" w:cs="宋体"/>
                <w:color w:val="auto"/>
                <w:lang w:val="en-US" w:eastAsia="zh-CN"/>
              </w:rPr>
              <w:t>15</w:t>
            </w:r>
            <w:r>
              <w:rPr>
                <w:rFonts w:hint="eastAsia" w:ascii="Times New Roman" w:hAnsi="Times New Roman" w:eastAsia="宋体" w:cs="宋体"/>
                <w:color w:val="auto"/>
                <w:lang w:val="en-US" w:eastAsia="zh-CN"/>
              </w:rPr>
              <w:t>%，因此福清市融元污水处理厂有余量</w:t>
            </w:r>
            <w:r>
              <w:rPr>
                <w:rFonts w:hint="default" w:ascii="Times New Roman" w:hAnsi="Times New Roman" w:eastAsia="宋体" w:cs="宋体"/>
                <w:color w:val="auto"/>
                <w:lang w:val="en-US" w:eastAsia="zh-CN"/>
              </w:rPr>
              <w:t>可接纳</w:t>
            </w:r>
            <w:r>
              <w:rPr>
                <w:rFonts w:hint="eastAsia" w:ascii="Times New Roman" w:hAnsi="Times New Roman" w:eastAsia="宋体" w:cs="宋体"/>
                <w:color w:val="auto"/>
                <w:lang w:val="en-US" w:eastAsia="zh-CN"/>
              </w:rPr>
              <w:t>本</w:t>
            </w:r>
            <w:r>
              <w:rPr>
                <w:rFonts w:hint="default" w:ascii="Times New Roman" w:hAnsi="Times New Roman" w:eastAsia="宋体" w:cs="宋体"/>
                <w:color w:val="auto"/>
                <w:lang w:val="en-US" w:eastAsia="zh-CN"/>
              </w:rPr>
              <w:t>项目废水排放量，不会对</w:t>
            </w:r>
            <w:r>
              <w:rPr>
                <w:rFonts w:hint="eastAsia" w:cs="宋体"/>
                <w:color w:val="auto"/>
                <w:lang w:val="en-US" w:eastAsia="zh-CN"/>
              </w:rPr>
              <w:t>污水处理厂</w:t>
            </w:r>
            <w:r>
              <w:rPr>
                <w:rFonts w:hint="default" w:ascii="Times New Roman" w:hAnsi="Times New Roman" w:eastAsia="宋体" w:cs="宋体"/>
                <w:color w:val="auto"/>
                <w:lang w:val="en-US" w:eastAsia="zh-CN"/>
              </w:rPr>
              <w:t>水量负荷造成冲击。</w:t>
            </w:r>
          </w:p>
          <w:p>
            <w:pPr>
              <w:pStyle w:val="36"/>
              <w:keepNext w:val="0"/>
              <w:keepLines w:val="0"/>
              <w:suppressLineNumbers w:val="0"/>
              <w:bidi w:val="0"/>
              <w:spacing w:before="0" w:beforeAutospacing="0" w:after="0" w:afterAutospacing="0"/>
              <w:ind w:left="0" w:right="0"/>
              <w:rPr>
                <w:rFonts w:hint="default" w:ascii="Times New Roman" w:hAnsi="Times New Roman" w:eastAsia="宋体" w:cs="宋体"/>
                <w:color w:val="auto"/>
                <w:lang w:val="en-US" w:eastAsia="zh-CN"/>
              </w:rPr>
            </w:pPr>
            <w:r>
              <w:rPr>
                <w:rFonts w:hint="default" w:ascii="Times New Roman" w:hAnsi="Times New Roman" w:eastAsia="宋体" w:cs="宋体"/>
                <w:color w:val="auto"/>
                <w:lang w:val="en-US" w:eastAsia="zh-CN"/>
              </w:rPr>
              <w:t>因此，从废水</w:t>
            </w:r>
            <w:r>
              <w:rPr>
                <w:rFonts w:hint="eastAsia" w:ascii="Times New Roman" w:hAnsi="Times New Roman" w:eastAsia="宋体" w:cs="宋体"/>
                <w:color w:val="auto"/>
                <w:lang w:val="en-US" w:eastAsia="zh-CN"/>
              </w:rPr>
              <w:t>接管情况、水质水量符合</w:t>
            </w:r>
            <w:r>
              <w:rPr>
                <w:rFonts w:hint="eastAsia" w:cs="宋体"/>
                <w:color w:val="auto"/>
                <w:lang w:val="en-US" w:eastAsia="zh-CN"/>
              </w:rPr>
              <w:t>性</w:t>
            </w:r>
            <w:r>
              <w:rPr>
                <w:rFonts w:hint="eastAsia" w:ascii="Times New Roman" w:hAnsi="Times New Roman" w:eastAsia="宋体" w:cs="宋体"/>
                <w:color w:val="auto"/>
                <w:lang w:val="en-US" w:eastAsia="zh-CN"/>
              </w:rPr>
              <w:t>分析</w:t>
            </w:r>
            <w:r>
              <w:rPr>
                <w:rFonts w:hint="default" w:ascii="Times New Roman" w:hAnsi="Times New Roman" w:eastAsia="宋体" w:cs="宋体"/>
                <w:color w:val="auto"/>
                <w:lang w:val="en-US" w:eastAsia="zh-CN"/>
              </w:rPr>
              <w:t>，本项目外排废水经</w:t>
            </w:r>
            <w:r>
              <w:rPr>
                <w:rFonts w:hint="eastAsia" w:ascii="Times New Roman" w:hAnsi="Times New Roman" w:eastAsia="宋体" w:cs="宋体"/>
                <w:color w:val="auto"/>
                <w:lang w:val="en-US" w:eastAsia="zh-CN"/>
              </w:rPr>
              <w:t>预处理</w:t>
            </w:r>
            <w:r>
              <w:rPr>
                <w:rFonts w:hint="default" w:ascii="Times New Roman" w:hAnsi="Times New Roman" w:eastAsia="宋体" w:cs="宋体"/>
                <w:color w:val="auto"/>
                <w:lang w:val="en-US" w:eastAsia="zh-CN"/>
              </w:rPr>
              <w:t>后接入市政污水管网排入福清市融元污水处理厂处理是可行的。</w:t>
            </w:r>
          </w:p>
          <w:p>
            <w:pPr>
              <w:pStyle w:val="4"/>
              <w:suppressLineNumbers w:val="0"/>
              <w:bidi w:val="0"/>
              <w:spacing w:beforeAutospacing="0" w:afterAutospacing="0"/>
              <w:ind w:right="0"/>
              <w:rPr>
                <w:rFonts w:hint="default"/>
                <w:color w:val="auto"/>
                <w:lang w:val="en-US" w:eastAsia="zh-CN"/>
              </w:rPr>
            </w:pPr>
            <w:r>
              <w:rPr>
                <w:rFonts w:hint="default"/>
                <w:color w:val="auto"/>
                <w:lang w:val="en-US" w:eastAsia="zh-CN"/>
              </w:rPr>
              <w:t>废水自行监测要求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对照《排污单位自行监测技术指南 总则》（HJ819-2017）中相关规定，项目废水自行监测要求详见</w:t>
            </w:r>
            <w:r>
              <w:rPr>
                <w:rFonts w:hint="eastAsia" w:cs="Times New Roman"/>
                <w:color w:val="auto"/>
                <w:kern w:val="2"/>
                <w:sz w:val="24"/>
                <w:szCs w:val="24"/>
                <w:lang w:val="en-US" w:eastAsia="zh-CN" w:bidi="ar-SA"/>
              </w:rPr>
              <w:t>下表</w:t>
            </w:r>
            <w:r>
              <w:rPr>
                <w:rFonts w:hint="default" w:ascii="Times New Roman" w:hAnsi="Times New Roman" w:eastAsia="宋体" w:cs="Times New Roman"/>
                <w:color w:val="auto"/>
                <w:kern w:val="2"/>
                <w:sz w:val="24"/>
                <w:szCs w:val="24"/>
                <w:lang w:val="en-US" w:eastAsia="zh-CN" w:bidi="ar-SA"/>
              </w:rPr>
              <w:t>。</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项目废水自行监测要求一览表</w:t>
            </w:r>
          </w:p>
          <w:tbl>
            <w:tblPr>
              <w:tblStyle w:val="32"/>
              <w:tblW w:w="813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7"/>
              <w:gridCol w:w="1279"/>
              <w:gridCol w:w="1916"/>
              <w:gridCol w:w="1785"/>
              <w:gridCol w:w="1200"/>
              <w:gridCol w:w="12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22" w:hRule="atLeast"/>
              </w:trPr>
              <w:tc>
                <w:tcPr>
                  <w:tcW w:w="697"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rPr>
                  </w:pPr>
                  <w:r>
                    <w:rPr>
                      <w:rFonts w:hint="default"/>
                      <w:color w:val="auto"/>
                      <w:szCs w:val="20"/>
                    </w:rPr>
                    <w:t>序号</w:t>
                  </w:r>
                </w:p>
              </w:tc>
              <w:tc>
                <w:tcPr>
                  <w:tcW w:w="1279"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rPr>
                  </w:pPr>
                  <w:r>
                    <w:rPr>
                      <w:rFonts w:hint="default"/>
                      <w:color w:val="auto"/>
                      <w:szCs w:val="20"/>
                    </w:rPr>
                    <w:t>污染源名称</w:t>
                  </w:r>
                </w:p>
              </w:tc>
              <w:tc>
                <w:tcPr>
                  <w:tcW w:w="1916"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rPr>
                  </w:pPr>
                  <w:r>
                    <w:rPr>
                      <w:rFonts w:hint="default"/>
                      <w:color w:val="auto"/>
                      <w:szCs w:val="20"/>
                    </w:rPr>
                    <w:t>监测位置</w:t>
                  </w:r>
                </w:p>
              </w:tc>
              <w:tc>
                <w:tcPr>
                  <w:tcW w:w="1785"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rPr>
                  </w:pPr>
                  <w:r>
                    <w:rPr>
                      <w:rFonts w:hint="default"/>
                      <w:color w:val="auto"/>
                      <w:szCs w:val="20"/>
                    </w:rPr>
                    <w:t>监测项目</w:t>
                  </w:r>
                </w:p>
              </w:tc>
              <w:tc>
                <w:tcPr>
                  <w:tcW w:w="1200"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rPr>
                  </w:pPr>
                  <w:r>
                    <w:rPr>
                      <w:rFonts w:hint="default"/>
                      <w:color w:val="auto"/>
                      <w:szCs w:val="20"/>
                    </w:rPr>
                    <w:t>监测频次</w:t>
                  </w:r>
                </w:p>
              </w:tc>
              <w:tc>
                <w:tcPr>
                  <w:tcW w:w="1255"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rPr>
                  </w:pPr>
                  <w:r>
                    <w:rPr>
                      <w:rFonts w:hint="default"/>
                      <w:color w:val="auto"/>
                      <w:szCs w:val="20"/>
                    </w:rPr>
                    <w:t>监测单位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693" w:hRule="atLeast"/>
              </w:trPr>
              <w:tc>
                <w:tcPr>
                  <w:tcW w:w="697"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val="en-US" w:eastAsia="zh-CN"/>
                    </w:rPr>
                  </w:pPr>
                  <w:r>
                    <w:rPr>
                      <w:rFonts w:hint="default"/>
                      <w:color w:val="auto"/>
                      <w:szCs w:val="20"/>
                      <w:lang w:val="en-US" w:eastAsia="zh-CN"/>
                    </w:rPr>
                    <w:t>1</w:t>
                  </w:r>
                </w:p>
              </w:tc>
              <w:tc>
                <w:tcPr>
                  <w:tcW w:w="1279"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rPr>
                  </w:pPr>
                  <w:r>
                    <w:rPr>
                      <w:rFonts w:hint="default"/>
                      <w:color w:val="auto"/>
                      <w:szCs w:val="20"/>
                      <w:lang w:eastAsia="zh-CN"/>
                    </w:rPr>
                    <w:t>废水</w:t>
                  </w:r>
                </w:p>
              </w:tc>
              <w:tc>
                <w:tcPr>
                  <w:tcW w:w="1916"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eastAsia="zh-CN"/>
                    </w:rPr>
                  </w:pPr>
                  <w:r>
                    <w:rPr>
                      <w:rFonts w:hint="eastAsia"/>
                      <w:color w:val="auto"/>
                      <w:szCs w:val="20"/>
                      <w:lang w:val="en-US" w:eastAsia="zh-CN"/>
                    </w:rPr>
                    <w:t>DW001</w:t>
                  </w:r>
                  <w:r>
                    <w:rPr>
                      <w:rFonts w:hint="default"/>
                      <w:color w:val="auto"/>
                      <w:szCs w:val="20"/>
                      <w:lang w:eastAsia="zh-CN"/>
                    </w:rPr>
                    <w:t>排放口</w:t>
                  </w:r>
                </w:p>
                <w:p>
                  <w:pPr>
                    <w:pStyle w:val="37"/>
                    <w:keepNext w:val="0"/>
                    <w:keepLines w:val="0"/>
                    <w:widowControl/>
                    <w:suppressLineNumbers w:val="0"/>
                    <w:bidi w:val="0"/>
                    <w:spacing w:before="0" w:beforeAutospacing="0" w:after="0" w:afterAutospacing="0"/>
                    <w:ind w:right="0"/>
                    <w:rPr>
                      <w:rFonts w:hint="default"/>
                      <w:color w:val="auto"/>
                      <w:szCs w:val="20"/>
                    </w:rPr>
                  </w:pPr>
                  <w:r>
                    <w:rPr>
                      <w:rFonts w:hint="eastAsia"/>
                      <w:color w:val="auto"/>
                      <w:szCs w:val="20"/>
                      <w:lang w:eastAsia="zh-CN"/>
                    </w:rPr>
                    <w:t>（</w:t>
                  </w:r>
                  <w:r>
                    <w:rPr>
                      <w:rFonts w:hint="eastAsia"/>
                      <w:color w:val="auto"/>
                      <w:szCs w:val="20"/>
                      <w:lang w:val="en-US" w:eastAsia="zh-CN"/>
                    </w:rPr>
                    <w:t>污水处理设施</w:t>
                  </w:r>
                  <w:r>
                    <w:rPr>
                      <w:rFonts w:hint="eastAsia"/>
                      <w:color w:val="auto"/>
                      <w:szCs w:val="20"/>
                      <w:lang w:eastAsia="zh-CN"/>
                    </w:rPr>
                    <w:t>）</w:t>
                  </w:r>
                </w:p>
              </w:tc>
              <w:tc>
                <w:tcPr>
                  <w:tcW w:w="1785"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eastAsia="zh-CN"/>
                    </w:rPr>
                  </w:pPr>
                  <w:r>
                    <w:rPr>
                      <w:rFonts w:hint="default"/>
                      <w:color w:val="auto"/>
                      <w:szCs w:val="20"/>
                    </w:rPr>
                    <w:t>pH、COD、BOD</w:t>
                  </w:r>
                  <w:r>
                    <w:rPr>
                      <w:rFonts w:hint="default"/>
                      <w:color w:val="auto"/>
                      <w:szCs w:val="20"/>
                      <w:vertAlign w:val="subscript"/>
                    </w:rPr>
                    <w:t>5</w:t>
                  </w:r>
                  <w:r>
                    <w:rPr>
                      <w:rFonts w:hint="default"/>
                      <w:color w:val="auto"/>
                      <w:szCs w:val="20"/>
                    </w:rPr>
                    <w:t>、SS、NH</w:t>
                  </w:r>
                  <w:r>
                    <w:rPr>
                      <w:rFonts w:hint="default"/>
                      <w:color w:val="auto"/>
                      <w:szCs w:val="20"/>
                      <w:vertAlign w:val="subscript"/>
                    </w:rPr>
                    <w:t>3</w:t>
                  </w:r>
                  <w:r>
                    <w:rPr>
                      <w:rFonts w:hint="default"/>
                      <w:color w:val="auto"/>
                      <w:szCs w:val="20"/>
                    </w:rPr>
                    <w:t>-N</w:t>
                  </w:r>
                </w:p>
              </w:tc>
              <w:tc>
                <w:tcPr>
                  <w:tcW w:w="1200"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rPr>
                  </w:pPr>
                  <w:r>
                    <w:rPr>
                      <w:rFonts w:hint="default"/>
                      <w:color w:val="auto"/>
                      <w:szCs w:val="20"/>
                    </w:rPr>
                    <w:t>1次/年</w:t>
                  </w:r>
                </w:p>
              </w:tc>
              <w:tc>
                <w:tcPr>
                  <w:tcW w:w="1255" w:type="dxa"/>
                  <w:tcBorders>
                    <w:tl2br w:val="nil"/>
                    <w:tr2bl w:val="nil"/>
                  </w:tcBorders>
                  <w:vAlign w:val="center"/>
                </w:tcPr>
                <w:p>
                  <w:pPr>
                    <w:pStyle w:val="37"/>
                    <w:keepNext w:val="0"/>
                    <w:keepLines w:val="0"/>
                    <w:widowControl/>
                    <w:suppressLineNumbers w:val="0"/>
                    <w:bidi w:val="0"/>
                    <w:spacing w:before="0" w:beforeAutospacing="0" w:after="0" w:afterAutospacing="0"/>
                    <w:ind w:right="0"/>
                    <w:rPr>
                      <w:rFonts w:hint="default"/>
                      <w:color w:val="auto"/>
                      <w:szCs w:val="20"/>
                      <w:lang w:eastAsia="zh-CN"/>
                    </w:rPr>
                  </w:pPr>
                  <w:r>
                    <w:rPr>
                      <w:rFonts w:hint="default"/>
                      <w:color w:val="auto"/>
                      <w:szCs w:val="20"/>
                      <w:lang w:eastAsia="zh-CN"/>
                    </w:rPr>
                    <w:t>有资质的监测单位</w:t>
                  </w:r>
                </w:p>
              </w:tc>
            </w:tr>
          </w:tbl>
          <w:p>
            <w:pPr>
              <w:pStyle w:val="3"/>
              <w:suppressLineNumbers w:val="0"/>
              <w:bidi w:val="0"/>
              <w:spacing w:beforeAutospacing="0" w:afterAutospacing="0"/>
              <w:ind w:right="0"/>
              <w:rPr>
                <w:rFonts w:hint="default"/>
                <w:color w:val="auto"/>
              </w:rPr>
            </w:pPr>
            <w:bookmarkStart w:id="94" w:name="_Toc6123"/>
            <w:r>
              <w:rPr>
                <w:rFonts w:hint="default"/>
                <w:color w:val="auto"/>
              </w:rPr>
              <w:t>运营期声环境</w:t>
            </w:r>
            <w:r>
              <w:rPr>
                <w:rFonts w:hint="default"/>
                <w:color w:val="auto"/>
                <w:lang w:val="en-US" w:eastAsia="zh-CN"/>
              </w:rPr>
              <w:t>影响和保护措施</w:t>
            </w:r>
            <w:bookmarkEnd w:id="94"/>
          </w:p>
          <w:p>
            <w:pPr>
              <w:pStyle w:val="4"/>
              <w:suppressLineNumbers w:val="0"/>
              <w:bidi w:val="0"/>
              <w:spacing w:beforeAutospacing="0" w:afterAutospacing="0"/>
              <w:ind w:right="0"/>
              <w:rPr>
                <w:rFonts w:hint="default"/>
                <w:color w:val="auto"/>
              </w:rPr>
            </w:pPr>
            <w:r>
              <w:rPr>
                <w:rFonts w:hint="default"/>
                <w:color w:val="auto"/>
              </w:rPr>
              <w:t>噪声污染源分析</w:t>
            </w:r>
          </w:p>
          <w:p>
            <w:pPr>
              <w:pStyle w:val="36"/>
              <w:keepNext w:val="0"/>
              <w:keepLines w:val="0"/>
              <w:suppressLineNumbers w:val="0"/>
              <w:bidi w:val="0"/>
              <w:spacing w:before="0" w:beforeAutospacing="0" w:after="0" w:afterAutospacing="0"/>
              <w:ind w:left="0" w:right="0"/>
              <w:rPr>
                <w:rFonts w:hint="default"/>
                <w:color w:val="auto"/>
                <w:lang w:val="en-US" w:eastAsia="zh-CN"/>
              </w:rPr>
            </w:pPr>
            <w:bookmarkStart w:id="95" w:name="_Toc15502"/>
            <w:bookmarkStart w:id="96" w:name="_Toc2598"/>
            <w:bookmarkStart w:id="97" w:name="_Toc21104"/>
            <w:r>
              <w:rPr>
                <w:rFonts w:hint="default"/>
                <w:color w:val="auto"/>
                <w:lang w:val="en-US" w:eastAsia="zh-CN"/>
              </w:rPr>
              <w:t>建设项目主要的噪声污染源来自离心机、搅拌器、干燥箱等设备，其污染噪声源强约在</w:t>
            </w:r>
            <w:r>
              <w:rPr>
                <w:rFonts w:hint="eastAsia"/>
                <w:color w:val="auto"/>
                <w:lang w:val="en-US" w:eastAsia="zh-CN"/>
              </w:rPr>
              <w:t>60</w:t>
            </w:r>
            <w:r>
              <w:rPr>
                <w:rFonts w:hint="default"/>
                <w:color w:val="auto"/>
                <w:lang w:val="en-US" w:eastAsia="zh-CN"/>
              </w:rPr>
              <w:t>-</w:t>
            </w:r>
            <w:r>
              <w:rPr>
                <w:rFonts w:hint="eastAsia"/>
                <w:color w:val="auto"/>
                <w:lang w:val="en-US" w:eastAsia="zh-CN"/>
              </w:rPr>
              <w:t>80</w:t>
            </w:r>
            <w:r>
              <w:rPr>
                <w:rFonts w:hint="default"/>
                <w:color w:val="auto"/>
                <w:lang w:val="en-US" w:eastAsia="zh-CN"/>
              </w:rPr>
              <w:t>dB（A）之间。各仪器噪声值详见</w:t>
            </w:r>
            <w:r>
              <w:rPr>
                <w:rFonts w:hint="eastAsia"/>
                <w:color w:val="auto"/>
                <w:lang w:val="en-US" w:eastAsia="zh-CN"/>
              </w:rPr>
              <w:t>下表</w:t>
            </w:r>
            <w:r>
              <w:rPr>
                <w:rFonts w:hint="default"/>
                <w:color w:val="auto"/>
                <w:lang w:val="en-US" w:eastAsia="zh-CN"/>
              </w:rPr>
              <w:t>。</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仪器噪声值一览表</w:t>
            </w:r>
          </w:p>
          <w:tbl>
            <w:tblPr>
              <w:tblStyle w:val="32"/>
              <w:tblW w:w="8132"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313"/>
              <w:gridCol w:w="2509"/>
              <w:gridCol w:w="1051"/>
              <w:gridCol w:w="915"/>
              <w:gridCol w:w="234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313"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序号</w:t>
                  </w:r>
                </w:p>
              </w:tc>
              <w:tc>
                <w:tcPr>
                  <w:tcW w:w="2509"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设备名称</w:t>
                  </w:r>
                </w:p>
              </w:tc>
              <w:tc>
                <w:tcPr>
                  <w:tcW w:w="105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数量</w:t>
                  </w:r>
                </w:p>
              </w:tc>
              <w:tc>
                <w:tcPr>
                  <w:tcW w:w="915"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单位</w:t>
                  </w:r>
                </w:p>
              </w:tc>
              <w:tc>
                <w:tcPr>
                  <w:tcW w:w="234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噪声源强</w:t>
                  </w:r>
                  <w:r>
                    <w:rPr>
                      <w:rFonts w:hint="eastAsia" w:ascii="Times New Roman" w:hAnsi="Times New Roman" w:cs="Times New Roman"/>
                      <w:b w:val="0"/>
                      <w:bCs w:val="0"/>
                      <w:color w:val="auto"/>
                      <w:sz w:val="21"/>
                      <w:szCs w:val="21"/>
                      <w:lang w:eastAsia="zh-CN"/>
                    </w:rPr>
                    <w:t>（</w:t>
                  </w:r>
                  <w:r>
                    <w:rPr>
                      <w:rFonts w:hint="default" w:ascii="Times New Roman" w:hAnsi="Times New Roman" w:cs="Times New Roman"/>
                      <w:b w:val="0"/>
                      <w:bCs w:val="0"/>
                      <w:color w:val="auto"/>
                      <w:sz w:val="21"/>
                      <w:szCs w:val="21"/>
                    </w:rPr>
                    <w:t>dB</w:t>
                  </w:r>
                  <w:r>
                    <w:rPr>
                      <w:rFonts w:hint="eastAsia" w:ascii="Times New Roman" w:hAnsi="Times New Roman" w:cs="Times New Roman"/>
                      <w:b w:val="0"/>
                      <w:bCs w:val="0"/>
                      <w:color w:val="auto"/>
                      <w:sz w:val="21"/>
                      <w:szCs w:val="21"/>
                      <w:lang w:val="en-US" w:eastAsia="zh-CN"/>
                    </w:rPr>
                    <w:t>(</w:t>
                  </w:r>
                  <w:r>
                    <w:rPr>
                      <w:rFonts w:hint="default" w:ascii="Times New Roman" w:hAnsi="Times New Roman" w:cs="Times New Roman"/>
                      <w:b w:val="0"/>
                      <w:bCs w:val="0"/>
                      <w:color w:val="auto"/>
                      <w:sz w:val="21"/>
                      <w:szCs w:val="21"/>
                    </w:rPr>
                    <w:t>A</w:t>
                  </w:r>
                  <w:r>
                    <w:rPr>
                      <w:rFonts w:hint="eastAsia" w:ascii="Times New Roman" w:hAnsi="Times New Roman" w:cs="Times New Roman"/>
                      <w:b w:val="0"/>
                      <w:bCs w:val="0"/>
                      <w:color w:val="auto"/>
                      <w:sz w:val="21"/>
                      <w:szCs w:val="21"/>
                      <w:lang w:val="en-US" w:eastAsia="zh-CN"/>
                    </w:rPr>
                    <w:t>)</w:t>
                  </w:r>
                  <w:r>
                    <w:rPr>
                      <w:rFonts w:hint="eastAsia" w:ascii="Times New Roman" w:hAnsi="Times New Roman" w:cs="Times New Roman"/>
                      <w:b w:val="0"/>
                      <w:bCs w:val="0"/>
                      <w:color w:val="auto"/>
                      <w:sz w:val="21"/>
                      <w:szCs w:val="21"/>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313"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w:t>
                  </w:r>
                </w:p>
              </w:tc>
              <w:tc>
                <w:tcPr>
                  <w:tcW w:w="2509"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超声波清洗器</w:t>
                  </w:r>
                </w:p>
              </w:tc>
              <w:tc>
                <w:tcPr>
                  <w:tcW w:w="105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1</w:t>
                  </w:r>
                </w:p>
              </w:tc>
              <w:tc>
                <w:tcPr>
                  <w:tcW w:w="915"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台</w:t>
                  </w:r>
                </w:p>
              </w:tc>
              <w:tc>
                <w:tcPr>
                  <w:tcW w:w="234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70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313"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w:t>
                  </w:r>
                </w:p>
              </w:tc>
              <w:tc>
                <w:tcPr>
                  <w:tcW w:w="2509"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电热恒温干燥箱</w:t>
                  </w:r>
                </w:p>
              </w:tc>
              <w:tc>
                <w:tcPr>
                  <w:tcW w:w="105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3</w:t>
                  </w:r>
                </w:p>
              </w:tc>
              <w:tc>
                <w:tcPr>
                  <w:tcW w:w="915"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台</w:t>
                  </w:r>
                </w:p>
              </w:tc>
              <w:tc>
                <w:tcPr>
                  <w:tcW w:w="234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szCs w:val="21"/>
                      <w:lang w:eastAsia="zh-CN"/>
                    </w:rPr>
                  </w:pPr>
                  <w:r>
                    <w:rPr>
                      <w:rFonts w:hint="default" w:ascii="Times New Roman" w:hAnsi="Times New Roman" w:cs="Times New Roman"/>
                      <w:b w:val="0"/>
                      <w:bCs w:val="0"/>
                      <w:color w:val="auto"/>
                      <w:sz w:val="21"/>
                      <w:szCs w:val="21"/>
                      <w:lang w:val="en-US" w:eastAsia="zh-CN"/>
                    </w:rPr>
                    <w:t>6</w:t>
                  </w:r>
                  <w:r>
                    <w:rPr>
                      <w:rFonts w:hint="eastAsia" w:ascii="Times New Roman" w:hAnsi="Times New Roman" w:cs="Times New Roman"/>
                      <w:b w:val="0"/>
                      <w:bCs w:val="0"/>
                      <w:color w:val="auto"/>
                      <w:sz w:val="21"/>
                      <w:szCs w:val="21"/>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313" w:type="dxa"/>
                  <w:tcBorders>
                    <w:tl2br w:val="nil"/>
                    <w:tr2bl w:val="nil"/>
                  </w:tcBorders>
                  <w:shd w:val="clear" w:color="auto" w:fill="auto"/>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zh-CN"/>
                    </w:rPr>
                  </w:pPr>
                  <w:r>
                    <w:rPr>
                      <w:rFonts w:hint="default" w:ascii="Times New Roman" w:hAnsi="Times New Roman" w:cs="Times New Roman"/>
                      <w:b w:val="0"/>
                      <w:bCs w:val="0"/>
                      <w:color w:val="auto"/>
                      <w:sz w:val="21"/>
                      <w:szCs w:val="21"/>
                      <w:lang w:val="en-US" w:eastAsia="zh-CN"/>
                    </w:rPr>
                    <w:t>3</w:t>
                  </w:r>
                </w:p>
              </w:tc>
              <w:tc>
                <w:tcPr>
                  <w:tcW w:w="2509"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通风柜</w:t>
                  </w:r>
                </w:p>
              </w:tc>
              <w:tc>
                <w:tcPr>
                  <w:tcW w:w="105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18</w:t>
                  </w:r>
                </w:p>
              </w:tc>
              <w:tc>
                <w:tcPr>
                  <w:tcW w:w="915"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台</w:t>
                  </w:r>
                </w:p>
              </w:tc>
              <w:tc>
                <w:tcPr>
                  <w:tcW w:w="234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75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313" w:type="dxa"/>
                  <w:tcBorders>
                    <w:tl2br w:val="nil"/>
                    <w:tr2bl w:val="nil"/>
                  </w:tcBorders>
                  <w:shd w:val="clear" w:color="auto" w:fill="auto"/>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zh-CN"/>
                    </w:rPr>
                  </w:pPr>
                  <w:r>
                    <w:rPr>
                      <w:rFonts w:hint="default" w:ascii="Times New Roman" w:hAnsi="Times New Roman" w:cs="Times New Roman"/>
                      <w:b w:val="0"/>
                      <w:bCs w:val="0"/>
                      <w:color w:val="auto"/>
                      <w:sz w:val="21"/>
                      <w:szCs w:val="21"/>
                      <w:lang w:val="en-US" w:eastAsia="zh-CN"/>
                    </w:rPr>
                    <w:t>4</w:t>
                  </w:r>
                </w:p>
              </w:tc>
              <w:tc>
                <w:tcPr>
                  <w:tcW w:w="2509"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玻璃仪器烘干器</w:t>
                  </w:r>
                </w:p>
              </w:tc>
              <w:tc>
                <w:tcPr>
                  <w:tcW w:w="105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4</w:t>
                  </w:r>
                </w:p>
              </w:tc>
              <w:tc>
                <w:tcPr>
                  <w:tcW w:w="915"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台</w:t>
                  </w:r>
                </w:p>
              </w:tc>
              <w:tc>
                <w:tcPr>
                  <w:tcW w:w="234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313" w:type="dxa"/>
                  <w:tcBorders>
                    <w:tl2br w:val="nil"/>
                    <w:tr2bl w:val="nil"/>
                  </w:tcBorders>
                  <w:shd w:val="clear" w:color="auto" w:fill="auto"/>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zh-CN"/>
                    </w:rPr>
                  </w:pPr>
                  <w:r>
                    <w:rPr>
                      <w:rFonts w:hint="default" w:ascii="Times New Roman" w:hAnsi="Times New Roman" w:cs="Times New Roman"/>
                      <w:b w:val="0"/>
                      <w:bCs w:val="0"/>
                      <w:color w:val="auto"/>
                      <w:sz w:val="21"/>
                      <w:szCs w:val="21"/>
                      <w:lang w:val="en-US" w:eastAsia="zh-CN"/>
                    </w:rPr>
                    <w:t>5</w:t>
                  </w:r>
                </w:p>
              </w:tc>
              <w:tc>
                <w:tcPr>
                  <w:tcW w:w="2509" w:type="dxa"/>
                  <w:tcBorders>
                    <w:tl2br w:val="nil"/>
                    <w:tr2bl w:val="nil"/>
                  </w:tcBorders>
                  <w:shd w:val="clear" w:color="auto" w:fill="auto"/>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zh-CN"/>
                    </w:rPr>
                  </w:pPr>
                  <w:r>
                    <w:rPr>
                      <w:rFonts w:hint="default" w:ascii="Times New Roman" w:hAnsi="Times New Roman" w:cs="Times New Roman"/>
                      <w:b w:val="0"/>
                      <w:bCs w:val="0"/>
                      <w:color w:val="auto"/>
                      <w:sz w:val="21"/>
                      <w:szCs w:val="21"/>
                      <w:lang w:val="en-US" w:eastAsia="zh-CN"/>
                    </w:rPr>
                    <w:t>旋涡振荡器</w:t>
                  </w:r>
                </w:p>
              </w:tc>
              <w:tc>
                <w:tcPr>
                  <w:tcW w:w="1051" w:type="dxa"/>
                  <w:tcBorders>
                    <w:tl2br w:val="nil"/>
                    <w:tr2bl w:val="nil"/>
                  </w:tcBorders>
                  <w:shd w:val="clear" w:color="auto" w:fill="auto"/>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zh-CN"/>
                    </w:rPr>
                  </w:pPr>
                  <w:r>
                    <w:rPr>
                      <w:rFonts w:hint="eastAsia" w:ascii="Times New Roman" w:hAnsi="Times New Roman" w:cs="Times New Roman"/>
                      <w:b w:val="0"/>
                      <w:bCs w:val="0"/>
                      <w:color w:val="auto"/>
                      <w:sz w:val="21"/>
                      <w:szCs w:val="21"/>
                      <w:lang w:val="en-US" w:eastAsia="zh-CN"/>
                    </w:rPr>
                    <w:t>2</w:t>
                  </w:r>
                </w:p>
              </w:tc>
              <w:tc>
                <w:tcPr>
                  <w:tcW w:w="915" w:type="dxa"/>
                  <w:tcBorders>
                    <w:tl2br w:val="nil"/>
                    <w:tr2bl w:val="nil"/>
                  </w:tcBorders>
                  <w:shd w:val="clear" w:color="auto" w:fill="auto"/>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zh-CN"/>
                    </w:rPr>
                  </w:pPr>
                  <w:r>
                    <w:rPr>
                      <w:rFonts w:hint="default" w:ascii="Times New Roman" w:hAnsi="Times New Roman" w:cs="Times New Roman"/>
                      <w:b w:val="0"/>
                      <w:bCs w:val="0"/>
                      <w:color w:val="auto"/>
                      <w:sz w:val="21"/>
                      <w:szCs w:val="21"/>
                      <w:lang w:val="en-US" w:eastAsia="zh-CN"/>
                    </w:rPr>
                    <w:t>台</w:t>
                  </w:r>
                </w:p>
              </w:tc>
              <w:tc>
                <w:tcPr>
                  <w:tcW w:w="2344" w:type="dxa"/>
                  <w:tcBorders>
                    <w:tl2br w:val="nil"/>
                    <w:tr2bl w:val="nil"/>
                  </w:tcBorders>
                  <w:shd w:val="clear" w:color="auto" w:fill="auto"/>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zh-CN"/>
                    </w:rPr>
                  </w:pPr>
                  <w:r>
                    <w:rPr>
                      <w:rFonts w:hint="default" w:ascii="Times New Roman" w:hAnsi="Times New Roman" w:cs="Times New Roman"/>
                      <w:color w:val="auto"/>
                      <w:sz w:val="21"/>
                      <w:szCs w:val="21"/>
                    </w:rPr>
                    <w:t>65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313" w:type="dxa"/>
                  <w:tcBorders>
                    <w:tl2br w:val="nil"/>
                    <w:tr2bl w:val="nil"/>
                  </w:tcBorders>
                  <w:shd w:val="clear" w:color="auto" w:fill="auto"/>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zh-CN"/>
                    </w:rPr>
                  </w:pPr>
                  <w:r>
                    <w:rPr>
                      <w:rFonts w:hint="default" w:ascii="Times New Roman" w:hAnsi="Times New Roman" w:cs="Times New Roman"/>
                      <w:color w:val="auto"/>
                      <w:sz w:val="21"/>
                      <w:szCs w:val="21"/>
                    </w:rPr>
                    <w:t>6</w:t>
                  </w:r>
                </w:p>
              </w:tc>
              <w:tc>
                <w:tcPr>
                  <w:tcW w:w="2509" w:type="dxa"/>
                  <w:tcBorders>
                    <w:tl2br w:val="nil"/>
                    <w:tr2bl w:val="nil"/>
                  </w:tcBorders>
                  <w:shd w:val="clear" w:color="auto" w:fill="auto"/>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zh-CN"/>
                    </w:rPr>
                  </w:pPr>
                  <w:r>
                    <w:rPr>
                      <w:rFonts w:hint="default" w:ascii="Times New Roman" w:hAnsi="Times New Roman" w:cs="Times New Roman"/>
                      <w:b w:val="0"/>
                      <w:bCs w:val="0"/>
                      <w:color w:val="auto"/>
                      <w:sz w:val="21"/>
                      <w:szCs w:val="21"/>
                      <w:lang w:val="en-US" w:eastAsia="zh-CN"/>
                    </w:rPr>
                    <w:t>磁力搅拌器</w:t>
                  </w:r>
                </w:p>
              </w:tc>
              <w:tc>
                <w:tcPr>
                  <w:tcW w:w="1051" w:type="dxa"/>
                  <w:tcBorders>
                    <w:tl2br w:val="nil"/>
                    <w:tr2bl w:val="nil"/>
                  </w:tcBorders>
                  <w:shd w:val="clear" w:color="auto" w:fill="auto"/>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zh-CN"/>
                    </w:rPr>
                  </w:pPr>
                  <w:r>
                    <w:rPr>
                      <w:rFonts w:hint="eastAsia" w:ascii="Times New Roman" w:hAnsi="Times New Roman" w:cs="Times New Roman"/>
                      <w:b w:val="0"/>
                      <w:bCs w:val="0"/>
                      <w:color w:val="auto"/>
                      <w:sz w:val="21"/>
                      <w:szCs w:val="21"/>
                      <w:lang w:val="en-US" w:eastAsia="zh-CN"/>
                    </w:rPr>
                    <w:t>2</w:t>
                  </w:r>
                </w:p>
              </w:tc>
              <w:tc>
                <w:tcPr>
                  <w:tcW w:w="915" w:type="dxa"/>
                  <w:tcBorders>
                    <w:tl2br w:val="nil"/>
                    <w:tr2bl w:val="nil"/>
                  </w:tcBorders>
                  <w:shd w:val="clear" w:color="auto" w:fill="auto"/>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zh-CN"/>
                    </w:rPr>
                  </w:pPr>
                  <w:r>
                    <w:rPr>
                      <w:rFonts w:hint="default" w:ascii="Times New Roman" w:hAnsi="Times New Roman" w:cs="Times New Roman"/>
                      <w:b w:val="0"/>
                      <w:bCs w:val="0"/>
                      <w:color w:val="auto"/>
                      <w:sz w:val="21"/>
                      <w:szCs w:val="21"/>
                      <w:lang w:val="en-US" w:eastAsia="zh-CN"/>
                    </w:rPr>
                    <w:t>台</w:t>
                  </w:r>
                </w:p>
              </w:tc>
              <w:tc>
                <w:tcPr>
                  <w:tcW w:w="2344" w:type="dxa"/>
                  <w:tcBorders>
                    <w:tl2br w:val="nil"/>
                    <w:tr2bl w:val="nil"/>
                  </w:tcBorders>
                  <w:shd w:val="clear" w:color="auto" w:fill="auto"/>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zh-CN"/>
                    </w:rPr>
                  </w:pPr>
                  <w:r>
                    <w:rPr>
                      <w:rFonts w:hint="default" w:ascii="Times New Roman" w:hAnsi="Times New Roman" w:cs="Times New Roman"/>
                      <w:color w:val="auto"/>
                      <w:sz w:val="21"/>
                      <w:szCs w:val="21"/>
                      <w:lang w:val="en-US" w:eastAsia="zh-CN"/>
                    </w:rPr>
                    <w:t>65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313"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7</w:t>
                  </w:r>
                </w:p>
              </w:tc>
              <w:tc>
                <w:tcPr>
                  <w:tcW w:w="2509" w:type="dxa"/>
                  <w:tcBorders>
                    <w:tl2br w:val="nil"/>
                    <w:tr2bl w:val="nil"/>
                  </w:tcBorders>
                  <w:shd w:val="clear" w:color="auto" w:fill="auto"/>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zh-CN" w:eastAsia="zh-CN" w:bidi="zh-CN"/>
                    </w:rPr>
                  </w:pPr>
                  <w:r>
                    <w:rPr>
                      <w:rFonts w:hint="default" w:ascii="Times New Roman" w:hAnsi="Times New Roman" w:cs="Times New Roman"/>
                      <w:color w:val="auto"/>
                      <w:sz w:val="21"/>
                      <w:szCs w:val="21"/>
                    </w:rPr>
                    <w:t>离心机</w:t>
                  </w:r>
                </w:p>
              </w:tc>
              <w:tc>
                <w:tcPr>
                  <w:tcW w:w="1051" w:type="dxa"/>
                  <w:tcBorders>
                    <w:tl2br w:val="nil"/>
                    <w:tr2bl w:val="nil"/>
                  </w:tcBorders>
                  <w:shd w:val="clear" w:color="auto" w:fill="auto"/>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zh-CN"/>
                    </w:rPr>
                  </w:pPr>
                  <w:r>
                    <w:rPr>
                      <w:rFonts w:hint="eastAsia" w:ascii="Times New Roman" w:hAnsi="Times New Roman" w:cs="Times New Roman"/>
                      <w:color w:val="auto"/>
                      <w:sz w:val="21"/>
                      <w:szCs w:val="21"/>
                      <w:lang w:val="en-US" w:eastAsia="zh-CN"/>
                    </w:rPr>
                    <w:t>1</w:t>
                  </w:r>
                </w:p>
              </w:tc>
              <w:tc>
                <w:tcPr>
                  <w:tcW w:w="915" w:type="dxa"/>
                  <w:tcBorders>
                    <w:tl2br w:val="nil"/>
                    <w:tr2bl w:val="nil"/>
                  </w:tcBorders>
                  <w:shd w:val="clear" w:color="auto" w:fill="auto"/>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zh-CN" w:eastAsia="zh-CN" w:bidi="zh-CN"/>
                    </w:rPr>
                  </w:pPr>
                  <w:r>
                    <w:rPr>
                      <w:rFonts w:hint="default" w:ascii="Times New Roman" w:hAnsi="Times New Roman" w:cs="Times New Roman"/>
                      <w:color w:val="auto"/>
                      <w:sz w:val="21"/>
                      <w:szCs w:val="21"/>
                    </w:rPr>
                    <w:t>台</w:t>
                  </w:r>
                </w:p>
              </w:tc>
              <w:tc>
                <w:tcPr>
                  <w:tcW w:w="2344" w:type="dxa"/>
                  <w:tcBorders>
                    <w:tl2br w:val="nil"/>
                    <w:tr2bl w:val="nil"/>
                  </w:tcBorders>
                  <w:shd w:val="clear" w:color="auto" w:fill="auto"/>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zh-CN"/>
                    </w:rPr>
                  </w:pPr>
                  <w:r>
                    <w:rPr>
                      <w:rFonts w:hint="default" w:ascii="Times New Roman" w:hAnsi="Times New Roman" w:cs="Times New Roman"/>
                      <w:color w:val="auto"/>
                      <w:sz w:val="21"/>
                      <w:szCs w:val="21"/>
                      <w:lang w:val="en-US" w:eastAsia="zh-CN"/>
                    </w:rPr>
                    <w:t>75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313"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w:t>
                  </w:r>
                </w:p>
              </w:tc>
              <w:tc>
                <w:tcPr>
                  <w:tcW w:w="2509" w:type="dxa"/>
                  <w:tcBorders>
                    <w:tl2br w:val="nil"/>
                    <w:tr2bl w:val="nil"/>
                  </w:tcBorders>
                  <w:shd w:val="clear" w:color="auto" w:fill="auto"/>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宋体" w:hAnsi="宋体" w:eastAsia="宋体" w:cs="宋体"/>
                      <w:color w:val="auto"/>
                      <w:kern w:val="0"/>
                      <w:sz w:val="21"/>
                      <w:szCs w:val="21"/>
                      <w:lang w:val="zh-CN" w:eastAsia="zh-CN" w:bidi="ar"/>
                    </w:rPr>
                  </w:pPr>
                  <w:r>
                    <w:rPr>
                      <w:rFonts w:hint="eastAsia"/>
                      <w:color w:val="auto"/>
                      <w:kern w:val="0"/>
                      <w:sz w:val="21"/>
                      <w:szCs w:val="21"/>
                      <w:lang w:val="en-US" w:eastAsia="zh-CN" w:bidi="ar"/>
                    </w:rPr>
                    <w:t>引风机</w:t>
                  </w:r>
                </w:p>
              </w:tc>
              <w:tc>
                <w:tcPr>
                  <w:tcW w:w="1051" w:type="dxa"/>
                  <w:tcBorders>
                    <w:tl2br w:val="nil"/>
                    <w:tr2bl w:val="nil"/>
                  </w:tcBorders>
                  <w:shd w:val="clear" w:color="auto" w:fill="auto"/>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21"/>
                      <w:szCs w:val="21"/>
                      <w:lang w:val="en-US" w:eastAsia="zh-CN" w:bidi="zh-CN"/>
                    </w:rPr>
                  </w:pPr>
                  <w:r>
                    <w:rPr>
                      <w:rFonts w:hint="eastAsia" w:ascii="Times New Roman" w:hAnsi="Times New Roman" w:cs="Times New Roman"/>
                      <w:color w:val="auto"/>
                      <w:sz w:val="21"/>
                      <w:szCs w:val="21"/>
                      <w:lang w:val="en-US" w:eastAsia="zh-CN"/>
                    </w:rPr>
                    <w:t>3</w:t>
                  </w:r>
                </w:p>
              </w:tc>
              <w:tc>
                <w:tcPr>
                  <w:tcW w:w="915" w:type="dxa"/>
                  <w:tcBorders>
                    <w:tl2br w:val="nil"/>
                    <w:tr2bl w:val="nil"/>
                  </w:tcBorders>
                  <w:shd w:val="clear" w:color="auto" w:fill="auto"/>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zh-CN" w:eastAsia="zh-CN" w:bidi="zh-CN"/>
                    </w:rPr>
                  </w:pPr>
                  <w:r>
                    <w:rPr>
                      <w:rFonts w:hint="default" w:ascii="Times New Roman" w:hAnsi="Times New Roman" w:cs="Times New Roman"/>
                      <w:color w:val="auto"/>
                      <w:sz w:val="21"/>
                      <w:szCs w:val="21"/>
                    </w:rPr>
                    <w:t>台</w:t>
                  </w:r>
                </w:p>
              </w:tc>
              <w:tc>
                <w:tcPr>
                  <w:tcW w:w="2344" w:type="dxa"/>
                  <w:tcBorders>
                    <w:tl2br w:val="nil"/>
                    <w:tr2bl w:val="nil"/>
                  </w:tcBorders>
                  <w:shd w:val="clear" w:color="auto" w:fill="auto"/>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zh-CN"/>
                    </w:rPr>
                  </w:pPr>
                  <w:r>
                    <w:rPr>
                      <w:rFonts w:hint="eastAsia" w:ascii="Times New Roman" w:hAnsi="Times New Roman" w:cs="Times New Roman"/>
                      <w:color w:val="auto"/>
                      <w:sz w:val="21"/>
                      <w:szCs w:val="21"/>
                      <w:lang w:val="en-US" w:eastAsia="zh-CN"/>
                    </w:rPr>
                    <w:t>80</w:t>
                  </w:r>
                </w:p>
              </w:tc>
            </w:tr>
            <w:bookmarkEnd w:id="95"/>
            <w:bookmarkEnd w:id="96"/>
            <w:bookmarkEnd w:id="97"/>
          </w:tbl>
          <w:p>
            <w:pPr>
              <w:pStyle w:val="4"/>
              <w:suppressLineNumbers w:val="0"/>
              <w:bidi w:val="0"/>
              <w:spacing w:beforeAutospacing="0" w:afterAutospacing="0"/>
              <w:ind w:right="0"/>
              <w:rPr>
                <w:rFonts w:hint="default"/>
                <w:color w:val="auto"/>
                <w:lang w:val="en-US" w:eastAsia="zh-CN"/>
              </w:rPr>
            </w:pPr>
            <w:r>
              <w:rPr>
                <w:rFonts w:hint="eastAsia"/>
                <w:color w:val="auto"/>
                <w:lang w:val="en-US" w:eastAsia="zh-CN"/>
              </w:rPr>
              <w:t>评价方法</w:t>
            </w:r>
          </w:p>
          <w:p>
            <w:pPr>
              <w:keepNext w:val="0"/>
              <w:keepLines w:val="0"/>
              <w:suppressLineNumbers w:val="0"/>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根据《环境影响评价技术导则 声环境》（HJ2.4-20</w:t>
            </w:r>
            <w:r>
              <w:rPr>
                <w:rFonts w:hint="default" w:ascii="Times New Roman" w:hAnsi="Times New Roman" w:eastAsia="宋体" w:cs="Times New Roman"/>
                <w:color w:val="auto"/>
                <w:sz w:val="24"/>
                <w:highlight w:val="none"/>
                <w:lang w:val="en-US" w:eastAsia="zh-CN"/>
              </w:rPr>
              <w:t>21</w:t>
            </w:r>
            <w:r>
              <w:rPr>
                <w:rFonts w:hint="default" w:ascii="Times New Roman" w:hAnsi="Times New Roman" w:eastAsia="宋体" w:cs="Times New Roman"/>
                <w:color w:val="auto"/>
                <w:sz w:val="24"/>
                <w:highlight w:val="none"/>
              </w:rPr>
              <w:t>）的技术要求，本次评价采取导则推荐模式。</w:t>
            </w:r>
          </w:p>
          <w:p>
            <w:pPr>
              <w:keepNext w:val="0"/>
              <w:keepLines w:val="0"/>
              <w:suppressLineNumbers w:val="0"/>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val="en-US" w:eastAsia="zh-CN"/>
              </w:rPr>
              <w:t>室内声源计算公式</w:t>
            </w:r>
          </w:p>
          <w:p>
            <w:pPr>
              <w:keepNext w:val="0"/>
              <w:keepLines w:val="0"/>
              <w:suppressLineNumbers w:val="0"/>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①计算出某个室内靠近围护结构处的倍频带声压级：</w:t>
            </w:r>
          </w:p>
          <w:p>
            <w:pPr>
              <w:keepNext w:val="0"/>
              <w:keepLines w:val="0"/>
              <w:pageBreakBefore w:val="0"/>
              <w:widowControl w:val="0"/>
              <w:suppressLineNumbers w:val="0"/>
              <w:kinsoku/>
              <w:wordWrap/>
              <w:overflowPunct/>
              <w:topLinePunct w:val="0"/>
              <w:autoSpaceDE/>
              <w:autoSpaceDN/>
              <w:bidi w:val="0"/>
              <w:adjustRightInd/>
              <w:snapToGrid/>
              <w:spacing w:before="313" w:beforeLines="100" w:beforeAutospacing="0" w:after="313" w:afterLines="100" w:afterAutospacing="0" w:line="360" w:lineRule="auto"/>
              <w:ind w:left="0" w:right="0"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position w:val="-28"/>
                <w:sz w:val="24"/>
                <w:highlight w:val="none"/>
              </w:rPr>
              <w:object>
                <v:shape id="_x0000_i1028" o:spt="75" type="#_x0000_t75" style="height:34pt;width:132.95pt;" o:ole="t" filled="f" o:preferrelative="t" stroked="f" coordsize="21600,21600">
                  <v:path/>
                  <v:fill on="f" focussize="0,0"/>
                  <v:stroke on="f"/>
                  <v:imagedata r:id="rId29" o:title=""/>
                  <o:lock v:ext="edit" aspectratio="t"/>
                  <w10:wrap type="none"/>
                  <w10:anchorlock/>
                </v:shape>
                <o:OLEObject Type="Embed" ProgID="Equation.3" ShapeID="_x0000_i1028" DrawAspect="Content" ObjectID="_1468075728" r:id="rId28">
                  <o:LockedField>false</o:LockedField>
                </o:OLEObject>
              </w:object>
            </w:r>
          </w:p>
          <w:p>
            <w:pPr>
              <w:keepNext w:val="0"/>
              <w:keepLines w:val="0"/>
              <w:suppressLineNumbers w:val="0"/>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式中：L</w:t>
            </w:r>
            <w:r>
              <w:rPr>
                <w:rFonts w:hint="default" w:ascii="Times New Roman" w:hAnsi="Times New Roman" w:eastAsia="宋体" w:cs="Times New Roman"/>
                <w:color w:val="auto"/>
                <w:sz w:val="24"/>
                <w:highlight w:val="none"/>
                <w:vertAlign w:val="subscript"/>
                <w:lang w:val="en-US" w:eastAsia="zh-CN"/>
              </w:rPr>
              <w:t>p1</w:t>
            </w:r>
            <w:r>
              <w:rPr>
                <w:rFonts w:hint="default" w:ascii="Times New Roman" w:hAnsi="Times New Roman" w:eastAsia="宋体" w:cs="Times New Roman"/>
                <w:color w:val="auto"/>
                <w:sz w:val="24"/>
                <w:highlight w:val="none"/>
              </w:rPr>
              <w:t>——某个室内声源在靠近围护结构处产生的倍频带声压级；</w:t>
            </w:r>
          </w:p>
          <w:p>
            <w:pPr>
              <w:keepNext w:val="0"/>
              <w:keepLines w:val="0"/>
              <w:suppressLineNumbers w:val="0"/>
              <w:bidi w:val="0"/>
              <w:adjustRightInd/>
              <w:snapToGrid/>
              <w:spacing w:before="0" w:beforeAutospacing="0" w:after="0" w:afterAutospacing="0" w:line="360" w:lineRule="auto"/>
              <w:ind w:left="0" w:right="0"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lang w:val="en-US" w:eastAsia="zh-CN"/>
              </w:rPr>
              <w:t>w</w:t>
            </w:r>
            <w:r>
              <w:rPr>
                <w:rFonts w:hint="default" w:ascii="Times New Roman" w:hAnsi="Times New Roman" w:eastAsia="宋体" w:cs="Times New Roman"/>
                <w:color w:val="auto"/>
                <w:sz w:val="24"/>
                <w:highlight w:val="none"/>
              </w:rPr>
              <w:t>——某个声源的倍频带声功率级；</w:t>
            </w:r>
          </w:p>
          <w:p>
            <w:pPr>
              <w:keepNext w:val="0"/>
              <w:keepLines w:val="0"/>
              <w:suppressLineNumbers w:val="0"/>
              <w:bidi w:val="0"/>
              <w:adjustRightInd/>
              <w:snapToGrid/>
              <w:spacing w:before="0" w:beforeAutospacing="0" w:after="0" w:afterAutospacing="0" w:line="360" w:lineRule="auto"/>
              <w:ind w:left="0" w:right="0"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r</w:t>
            </w:r>
            <w:r>
              <w:rPr>
                <w:rFonts w:hint="default" w:ascii="Times New Roman" w:hAnsi="Times New Roman" w:eastAsia="宋体" w:cs="Times New Roman"/>
                <w:color w:val="auto"/>
                <w:sz w:val="24"/>
                <w:highlight w:val="none"/>
              </w:rPr>
              <w:t>——室内某个声源与靠近围护结构处的距离；</w:t>
            </w:r>
          </w:p>
          <w:p>
            <w:pPr>
              <w:keepNext w:val="0"/>
              <w:keepLines w:val="0"/>
              <w:suppressLineNumbers w:val="0"/>
              <w:bidi w:val="0"/>
              <w:adjustRightInd/>
              <w:snapToGrid/>
              <w:spacing w:before="0" w:beforeAutospacing="0" w:after="0" w:afterAutospacing="0" w:line="360" w:lineRule="auto"/>
              <w:ind w:left="0" w:right="0"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R</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房间常数</w:t>
            </w:r>
            <w:r>
              <w:rPr>
                <w:rFonts w:hint="default" w:ascii="Times New Roman" w:hAnsi="Times New Roman" w:eastAsia="宋体" w:cs="Times New Roman"/>
                <w:color w:val="auto"/>
                <w:sz w:val="24"/>
                <w:highlight w:val="none"/>
              </w:rPr>
              <w:t>；</w:t>
            </w:r>
          </w:p>
          <w:p>
            <w:pPr>
              <w:keepNext w:val="0"/>
              <w:keepLines w:val="0"/>
              <w:suppressLineNumbers w:val="0"/>
              <w:bidi w:val="0"/>
              <w:adjustRightInd/>
              <w:snapToGrid/>
              <w:spacing w:before="0" w:beforeAutospacing="0" w:after="0" w:afterAutospacing="0" w:line="360" w:lineRule="auto"/>
              <w:ind w:left="0" w:right="0"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指向性因素</w:t>
            </w:r>
            <w:r>
              <w:rPr>
                <w:rFonts w:hint="default" w:ascii="Times New Roman" w:hAnsi="Times New Roman" w:eastAsia="宋体" w:cs="Times New Roman"/>
                <w:color w:val="auto"/>
                <w:sz w:val="24"/>
                <w:highlight w:val="none"/>
              </w:rPr>
              <w:t>。</w:t>
            </w:r>
          </w:p>
          <w:p>
            <w:pPr>
              <w:keepNext w:val="0"/>
              <w:keepLines w:val="0"/>
              <w:suppressLineNumbers w:val="0"/>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②计算出所有室内声源在靠近围护结构处产生的总倍频带声压级：</w:t>
            </w:r>
          </w:p>
          <w:p>
            <w:pPr>
              <w:keepNext w:val="0"/>
              <w:keepLines w:val="0"/>
              <w:pageBreakBefore w:val="0"/>
              <w:widowControl w:val="0"/>
              <w:suppressLineNumbers w:val="0"/>
              <w:kinsoku/>
              <w:wordWrap/>
              <w:overflowPunct/>
              <w:topLinePunct w:val="0"/>
              <w:autoSpaceDE/>
              <w:autoSpaceDN/>
              <w:bidi w:val="0"/>
              <w:adjustRightInd/>
              <w:snapToGrid/>
              <w:spacing w:before="313" w:beforeLines="100" w:beforeAutospacing="0" w:after="313" w:afterLines="100" w:afterAutospacing="0" w:line="360" w:lineRule="auto"/>
              <w:ind w:left="0" w:leftChars="0" w:right="0" w:firstLine="0" w:firstLineChars="0"/>
              <w:jc w:val="center"/>
              <w:textAlignment w:val="auto"/>
              <w:rPr>
                <w:rFonts w:hint="default" w:ascii="Times New Roman" w:hAnsi="Times New Roman" w:cs="Times New Roman"/>
                <w:color w:val="auto"/>
                <w:position w:val="-32"/>
                <w:sz w:val="24"/>
                <w:highlight w:val="none"/>
              </w:rPr>
            </w:pPr>
            <w:r>
              <w:rPr>
                <w:rFonts w:hint="default" w:ascii="Times New Roman" w:hAnsi="Times New Roman" w:cs="Times New Roman"/>
                <w:color w:val="auto"/>
                <w:position w:val="-32"/>
                <w:sz w:val="24"/>
                <w:highlight w:val="none"/>
              </w:rPr>
              <w:object>
                <v:shape id="_x0000_i1029" o:spt="75" type="#_x0000_t75" style="height:38pt;width:131pt;" o:ole="t" filled="f" o:preferrelative="t" stroked="f" coordsize="21600,21600">
                  <v:path/>
                  <v:fill on="f" focussize="0,0"/>
                  <v:stroke on="f"/>
                  <v:imagedata r:id="rId31" o:title=""/>
                  <o:lock v:ext="edit" aspectratio="t"/>
                  <w10:wrap type="none"/>
                  <w10:anchorlock/>
                </v:shape>
                <o:OLEObject Type="Embed" ProgID="Equation.3" ShapeID="_x0000_i1029" DrawAspect="Content" ObjectID="_1468075729" r:id="rId30">
                  <o:LockedField>false</o:LockedField>
                </o:OLEObject>
              </w:object>
            </w:r>
          </w:p>
          <w:p>
            <w:pPr>
              <w:keepNext w:val="0"/>
              <w:keepLines w:val="0"/>
              <w:suppressLineNumbers w:val="0"/>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式中：</w:t>
            </w:r>
            <w:r>
              <w:rPr>
                <w:rFonts w:hint="eastAsia" w:ascii="Times New Roman" w:hAnsi="Times New Roman" w:eastAsia="宋体" w:cs="Times New Roman"/>
                <w:color w:val="auto"/>
                <w:sz w:val="24"/>
                <w:highlight w:val="none"/>
                <w:lang w:val="en-US" w:eastAsia="zh-CN"/>
              </w:rPr>
              <w:t>L</w:t>
            </w:r>
            <w:r>
              <w:rPr>
                <w:rFonts w:hint="eastAsia" w:ascii="Times New Roman" w:hAnsi="Times New Roman" w:eastAsia="宋体" w:cs="Times New Roman"/>
                <w:color w:val="auto"/>
                <w:sz w:val="24"/>
                <w:highlight w:val="none"/>
                <w:vertAlign w:val="subscript"/>
                <w:lang w:val="en-US" w:eastAsia="zh-CN"/>
              </w:rPr>
              <w:t>pli</w:t>
            </w:r>
            <w:r>
              <w:rPr>
                <w:rFonts w:hint="eastAsia" w:ascii="Times New Roman" w:hAnsi="Times New Roman" w:eastAsia="宋体" w:cs="Times New Roman"/>
                <w:color w:val="auto"/>
                <w:sz w:val="24"/>
                <w:highlight w:val="none"/>
                <w:lang w:val="en-US" w:eastAsia="zh-CN"/>
              </w:rPr>
              <w:t>（T）</w:t>
            </w:r>
            <w:r>
              <w:rPr>
                <w:rFonts w:hint="default" w:ascii="Times New Roman" w:hAnsi="Times New Roman" w:eastAsia="宋体" w:cs="Times New Roman"/>
                <w:color w:val="auto"/>
                <w:sz w:val="24"/>
                <w:highlight w:val="none"/>
                <w:lang w:val="en-US" w:eastAsia="zh-CN"/>
              </w:rPr>
              <w:t>——靠近维护结构处室内N个声源i倍频带的叠加声压级，dB；</w:t>
            </w:r>
          </w:p>
          <w:p>
            <w:pPr>
              <w:keepNext w:val="0"/>
              <w:keepLines w:val="0"/>
              <w:suppressLineNumbers w:val="0"/>
              <w:bidi w:val="0"/>
              <w:adjustRightInd/>
              <w:snapToGrid/>
              <w:spacing w:before="0" w:beforeAutospacing="0" w:after="0" w:afterAutospacing="0" w:line="360" w:lineRule="auto"/>
              <w:ind w:left="0" w:right="0" w:firstLine="1200" w:firstLineChars="5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L</w:t>
            </w:r>
            <w:r>
              <w:rPr>
                <w:rFonts w:hint="default" w:ascii="Times New Roman" w:hAnsi="Times New Roman" w:eastAsia="宋体" w:cs="Times New Roman"/>
                <w:color w:val="auto"/>
                <w:sz w:val="24"/>
                <w:highlight w:val="none"/>
                <w:vertAlign w:val="subscript"/>
                <w:lang w:val="en-US" w:eastAsia="zh-CN"/>
              </w:rPr>
              <w:t>p</w:t>
            </w:r>
            <w:r>
              <w:rPr>
                <w:rFonts w:hint="eastAsia" w:ascii="Times New Roman" w:hAnsi="Times New Roman" w:eastAsia="宋体" w:cs="Times New Roman"/>
                <w:color w:val="auto"/>
                <w:sz w:val="24"/>
                <w:highlight w:val="none"/>
                <w:vertAlign w:val="subscript"/>
                <w:lang w:val="en-US" w:eastAsia="zh-CN"/>
              </w:rPr>
              <w:t>l</w:t>
            </w:r>
            <w:r>
              <w:rPr>
                <w:rFonts w:hint="default" w:ascii="Times New Roman" w:hAnsi="Times New Roman" w:eastAsia="宋体" w:cs="Times New Roman"/>
                <w:color w:val="auto"/>
                <w:sz w:val="24"/>
                <w:highlight w:val="none"/>
                <w:vertAlign w:val="subscript"/>
                <w:lang w:val="en-US" w:eastAsia="zh-CN"/>
              </w:rPr>
              <w:t>ij</w:t>
            </w:r>
            <w:r>
              <w:rPr>
                <w:rFonts w:hint="default" w:ascii="Times New Roman" w:hAnsi="Times New Roman" w:eastAsia="宋体" w:cs="Times New Roman"/>
                <w:color w:val="auto"/>
                <w:sz w:val="24"/>
                <w:highlight w:val="none"/>
                <w:lang w:val="en-US" w:eastAsia="zh-CN"/>
              </w:rPr>
              <w:t>——室内j声源i倍频带的声压级，dB；</w:t>
            </w:r>
          </w:p>
          <w:p>
            <w:pPr>
              <w:keepNext w:val="0"/>
              <w:keepLines w:val="0"/>
              <w:suppressLineNumbers w:val="0"/>
              <w:bidi w:val="0"/>
              <w:adjustRightInd/>
              <w:snapToGrid/>
              <w:spacing w:before="0" w:beforeAutospacing="0" w:after="0" w:afterAutospacing="0" w:line="360" w:lineRule="auto"/>
              <w:ind w:left="0" w:right="0" w:firstLine="1200" w:firstLineChars="5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N——室内声源总数。</w:t>
            </w:r>
          </w:p>
          <w:p>
            <w:pPr>
              <w:keepNext w:val="0"/>
              <w:keepLines w:val="0"/>
              <w:suppressLineNumbers w:val="0"/>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val="en-US" w:eastAsia="zh-CN"/>
              </w:rPr>
              <w:t>室外声源传播衰减公式</w:t>
            </w:r>
          </w:p>
          <w:p>
            <w:pPr>
              <w:keepNext w:val="0"/>
              <w:keepLines w:val="0"/>
              <w:suppressLineNumbers w:val="0"/>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计算某个声源在预测点的倍频带声压级：</w:t>
            </w:r>
          </w:p>
          <w:p>
            <w:pPr>
              <w:keepNext w:val="0"/>
              <w:keepLines w:val="0"/>
              <w:pageBreakBefore w:val="0"/>
              <w:widowControl w:val="0"/>
              <w:suppressLineNumbers w:val="0"/>
              <w:kinsoku/>
              <w:wordWrap/>
              <w:overflowPunct/>
              <w:topLinePunct w:val="0"/>
              <w:autoSpaceDE/>
              <w:autoSpaceDN/>
              <w:bidi w:val="0"/>
              <w:adjustRightInd/>
              <w:snapToGrid/>
              <w:spacing w:before="313" w:beforeLines="100" w:beforeAutospacing="0" w:after="313" w:afterLines="100" w:afterAutospacing="0" w:line="360" w:lineRule="auto"/>
              <w:ind w:left="0" w:right="0" w:firstLine="480" w:firstLineChars="20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object>
                <v:shape id="_x0000_i1030" o:spt="75" type="#_x0000_t75" style="height:38pt;width:153pt;" o:ole="t" filled="f" o:preferrelative="t" stroked="f" coordsize="21600,21600">
                  <v:path/>
                  <v:fill on="f" focussize="0,0"/>
                  <v:stroke on="f"/>
                  <v:imagedata r:id="rId33" o:title=""/>
                  <o:lock v:ext="edit" aspectratio="t"/>
                  <w10:wrap type="none"/>
                  <w10:anchorlock/>
                </v:shape>
                <o:OLEObject Type="Embed" ProgID="Equation.3" ShapeID="_x0000_i1030" DrawAspect="Content" ObjectID="_1468075730" r:id="rId32">
                  <o:LockedField>false</o:LockedField>
                </o:OLEObject>
              </w:object>
            </w:r>
          </w:p>
          <w:p>
            <w:pPr>
              <w:keepNext w:val="0"/>
              <w:keepLines w:val="0"/>
              <w:suppressLineNumbers w:val="0"/>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式中：L</w:t>
            </w:r>
            <w:r>
              <w:rPr>
                <w:rFonts w:hint="default" w:ascii="Times New Roman" w:hAnsi="Times New Roman" w:eastAsia="宋体" w:cs="Times New Roman"/>
                <w:color w:val="auto"/>
                <w:sz w:val="24"/>
                <w:highlight w:val="none"/>
                <w:vertAlign w:val="subscript"/>
                <w:lang w:val="en-US" w:eastAsia="zh-CN"/>
              </w:rPr>
              <w:t>p</w:t>
            </w:r>
            <w:r>
              <w:rPr>
                <w:rFonts w:hint="default" w:ascii="Times New Roman" w:hAnsi="Times New Roman" w:eastAsia="宋体" w:cs="Times New Roman"/>
                <w:color w:val="auto"/>
                <w:sz w:val="24"/>
                <w:highlight w:val="none"/>
                <w:lang w:val="en-US" w:eastAsia="zh-CN"/>
              </w:rPr>
              <w:t>（r）</w:t>
            </w:r>
            <w:r>
              <w:rPr>
                <w:rFonts w:hint="default" w:ascii="Times New Roman" w:hAnsi="Times New Roman" w:eastAsia="宋体" w:cs="Times New Roman"/>
                <w:color w:val="auto"/>
                <w:sz w:val="24"/>
                <w:highlight w:val="none"/>
              </w:rPr>
              <w:t>——点声源在预测点产生的倍频带声压级；</w:t>
            </w:r>
          </w:p>
          <w:p>
            <w:pPr>
              <w:keepNext w:val="0"/>
              <w:keepLines w:val="0"/>
              <w:suppressLineNumbers w:val="0"/>
              <w:bidi w:val="0"/>
              <w:adjustRightInd/>
              <w:snapToGrid/>
              <w:spacing w:before="0" w:beforeAutospacing="0" w:after="0" w:afterAutospacing="0" w:line="360" w:lineRule="auto"/>
              <w:ind w:left="0" w:right="0"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lang w:val="en-US" w:eastAsia="zh-CN"/>
              </w:rPr>
              <w:t>p</w:t>
            </w:r>
            <w:r>
              <w:rPr>
                <w:rFonts w:hint="default" w:ascii="Times New Roman" w:hAnsi="Times New Roman" w:eastAsia="宋体" w:cs="Times New Roman"/>
                <w:color w:val="auto"/>
                <w:sz w:val="24"/>
                <w:highlight w:val="none"/>
                <w:lang w:val="en-US" w:eastAsia="zh-CN"/>
              </w:rPr>
              <w:t>（r0）</w:t>
            </w:r>
            <w:r>
              <w:rPr>
                <w:rFonts w:hint="default" w:ascii="Times New Roman" w:hAnsi="Times New Roman" w:eastAsia="宋体" w:cs="Times New Roman"/>
                <w:color w:val="auto"/>
                <w:sz w:val="24"/>
                <w:highlight w:val="none"/>
              </w:rPr>
              <w:t>——参考位置r0处的倍频带声压级；</w:t>
            </w:r>
          </w:p>
          <w:p>
            <w:pPr>
              <w:keepNext w:val="0"/>
              <w:keepLines w:val="0"/>
              <w:suppressLineNumbers w:val="0"/>
              <w:bidi w:val="0"/>
              <w:adjustRightInd/>
              <w:snapToGrid/>
              <w:spacing w:before="0" w:beforeAutospacing="0" w:after="0" w:afterAutospacing="0" w:line="360" w:lineRule="auto"/>
              <w:ind w:left="0" w:right="0"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r</w:t>
            </w:r>
            <w:r>
              <w:rPr>
                <w:rFonts w:hint="default" w:ascii="Times New Roman" w:hAnsi="Times New Roman" w:eastAsia="宋体" w:cs="Times New Roman"/>
                <w:color w:val="auto"/>
                <w:sz w:val="24"/>
                <w:highlight w:val="none"/>
              </w:rPr>
              <w:t>——预测点距声源的距离，m；</w:t>
            </w:r>
          </w:p>
          <w:p>
            <w:pPr>
              <w:keepNext w:val="0"/>
              <w:keepLines w:val="0"/>
              <w:suppressLineNumbers w:val="0"/>
              <w:bidi w:val="0"/>
              <w:adjustRightInd/>
              <w:snapToGrid/>
              <w:spacing w:before="0" w:beforeAutospacing="0" w:after="0" w:afterAutospacing="0" w:line="360" w:lineRule="auto"/>
              <w:ind w:left="0" w:right="0"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r</w:t>
            </w:r>
            <w:r>
              <w:rPr>
                <w:rFonts w:hint="default" w:ascii="Times New Roman" w:hAnsi="Times New Roman" w:eastAsia="宋体" w:cs="Times New Roman"/>
                <w:color w:val="auto"/>
                <w:sz w:val="24"/>
                <w:highlight w:val="none"/>
                <w:vertAlign w:val="subscript"/>
                <w:lang w:val="en-US" w:eastAsia="zh-CN"/>
              </w:rPr>
              <w:t>0</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参考位置距声源的距离，m</w:t>
            </w:r>
            <w:r>
              <w:rPr>
                <w:rFonts w:hint="default" w:ascii="Times New Roman" w:hAnsi="Times New Roman" w:eastAsia="宋体" w:cs="Times New Roman"/>
                <w:color w:val="auto"/>
                <w:sz w:val="24"/>
                <w:highlight w:val="none"/>
              </w:rPr>
              <w:t>；</w:t>
            </w:r>
          </w:p>
          <w:p>
            <w:pPr>
              <w:keepNext w:val="0"/>
              <w:keepLines w:val="0"/>
              <w:suppressLineNumbers w:val="0"/>
              <w:bidi w:val="0"/>
              <w:adjustRightInd/>
              <w:snapToGrid/>
              <w:spacing w:before="0" w:beforeAutospacing="0" w:after="0" w:afterAutospacing="0" w:line="360" w:lineRule="auto"/>
              <w:ind w:left="0" w:right="0"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ΔL</w:t>
            </w:r>
            <w:r>
              <w:rPr>
                <w:rFonts w:hint="default" w:ascii="Times New Roman" w:hAnsi="Times New Roman" w:eastAsia="宋体" w:cs="Times New Roman"/>
                <w:color w:val="auto"/>
                <w:sz w:val="24"/>
                <w:highlight w:val="none"/>
                <w:vertAlign w:val="subscript"/>
                <w:lang w:val="en-US" w:eastAsia="zh-CN"/>
              </w:rPr>
              <w:t>p</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各种因素引起的衰减量</w:t>
            </w:r>
            <w:r>
              <w:rPr>
                <w:rFonts w:hint="default" w:ascii="Times New Roman" w:hAnsi="Times New Roman" w:eastAsia="宋体" w:cs="Times New Roman"/>
                <w:color w:val="auto"/>
                <w:sz w:val="24"/>
                <w:highlight w:val="none"/>
              </w:rPr>
              <w:t>。</w:t>
            </w:r>
          </w:p>
          <w:p>
            <w:pPr>
              <w:keepNext w:val="0"/>
              <w:keepLines w:val="0"/>
              <w:suppressLineNumbers w:val="0"/>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声源叠加贡献值公式</w:t>
            </w:r>
          </w:p>
          <w:p>
            <w:pPr>
              <w:keepNext w:val="0"/>
              <w:keepLines w:val="0"/>
              <w:pageBreakBefore w:val="0"/>
              <w:widowControl w:val="0"/>
              <w:suppressLineNumbers w:val="0"/>
              <w:kinsoku/>
              <w:wordWrap/>
              <w:overflowPunct/>
              <w:topLinePunct w:val="0"/>
              <w:autoSpaceDE/>
              <w:autoSpaceDN/>
              <w:bidi w:val="0"/>
              <w:adjustRightInd/>
              <w:snapToGrid/>
              <w:spacing w:before="313" w:beforeLines="100" w:beforeAutospacing="0" w:after="313" w:afterLines="100" w:afterAutospacing="0" w:line="360" w:lineRule="auto"/>
              <w:ind w:left="0" w:right="0" w:firstLine="480" w:firstLineChars="20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object>
                <v:shape id="_x0000_i1031" o:spt="75" type="#_x0000_t75" style="height:38pt;width:132pt;" o:ole="t" filled="f" o:preferrelative="t" stroked="f" coordsize="21600,21600">
                  <v:path/>
                  <v:fill on="f" focussize="0,0"/>
                  <v:stroke on="f"/>
                  <v:imagedata r:id="rId35" o:title=""/>
                  <o:lock v:ext="edit" aspectratio="t"/>
                  <w10:wrap type="none"/>
                  <w10:anchorlock/>
                </v:shape>
                <o:OLEObject Type="Embed" ProgID="Equation.3" ShapeID="_x0000_i1031" DrawAspect="Content" ObjectID="_1468075731" r:id="rId34">
                  <o:LockedField>false</o:LockedField>
                </o:OLEObject>
              </w:object>
            </w:r>
          </w:p>
          <w:p>
            <w:pPr>
              <w:keepNext w:val="0"/>
              <w:keepLines w:val="0"/>
              <w:suppressLineNumbers w:val="0"/>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式中：L</w:t>
            </w:r>
            <w:r>
              <w:rPr>
                <w:rFonts w:hint="default" w:ascii="Times New Roman" w:hAnsi="Times New Roman" w:eastAsia="宋体" w:cs="Times New Roman"/>
                <w:color w:val="auto"/>
                <w:sz w:val="24"/>
                <w:highlight w:val="none"/>
                <w:vertAlign w:val="subscript"/>
                <w:lang w:eastAsia="zh-CN"/>
              </w:rPr>
              <w:t>eq</w:t>
            </w:r>
            <w:r>
              <w:rPr>
                <w:rFonts w:hint="default" w:ascii="Times New Roman" w:hAnsi="Times New Roman" w:eastAsia="宋体" w:cs="Times New Roman"/>
                <w:color w:val="auto"/>
                <w:sz w:val="24"/>
                <w:highlight w:val="none"/>
                <w:vertAlign w:val="subscript"/>
                <w:lang w:val="en-US" w:eastAsia="zh-CN"/>
              </w:rPr>
              <w:t>g</w:t>
            </w:r>
            <w:r>
              <w:rPr>
                <w:rFonts w:hint="default" w:ascii="Times New Roman" w:hAnsi="Times New Roman" w:eastAsia="宋体" w:cs="Times New Roman"/>
                <w:color w:val="auto"/>
                <w:sz w:val="24"/>
                <w:highlight w:val="none"/>
                <w:lang w:eastAsia="zh-CN"/>
              </w:rPr>
              <w:t>——建设项目声源在预测点的等声级贡献值，dB（A）；</w:t>
            </w:r>
          </w:p>
          <w:p>
            <w:pPr>
              <w:keepNext w:val="0"/>
              <w:keepLines w:val="0"/>
              <w:suppressLineNumbers w:val="0"/>
              <w:bidi w:val="0"/>
              <w:adjustRightInd/>
              <w:snapToGrid/>
              <w:spacing w:before="0" w:beforeAutospacing="0" w:after="0" w:afterAutospacing="0" w:line="360" w:lineRule="auto"/>
              <w:ind w:left="0" w:right="0" w:firstLine="1200" w:firstLineChars="5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L</w:t>
            </w:r>
            <w:r>
              <w:rPr>
                <w:rFonts w:hint="default" w:ascii="Times New Roman" w:hAnsi="Times New Roman" w:eastAsia="宋体" w:cs="Times New Roman"/>
                <w:color w:val="auto"/>
                <w:sz w:val="24"/>
                <w:highlight w:val="none"/>
                <w:vertAlign w:val="subscript"/>
                <w:lang w:val="en-US" w:eastAsia="zh-CN"/>
              </w:rPr>
              <w:t>Ai</w:t>
            </w:r>
            <w:r>
              <w:rPr>
                <w:rFonts w:hint="default" w:ascii="Times New Roman" w:hAnsi="Times New Roman" w:eastAsia="宋体" w:cs="Times New Roman"/>
                <w:color w:val="auto"/>
                <w:sz w:val="24"/>
                <w:highlight w:val="none"/>
                <w:lang w:eastAsia="zh-CN"/>
              </w:rPr>
              <w:t>——i 声源在预测点产生的A声级，dB（A）；</w:t>
            </w:r>
          </w:p>
          <w:p>
            <w:pPr>
              <w:keepNext w:val="0"/>
              <w:keepLines w:val="0"/>
              <w:suppressLineNumbers w:val="0"/>
              <w:bidi w:val="0"/>
              <w:adjustRightInd/>
              <w:snapToGrid/>
              <w:spacing w:before="0" w:beforeAutospacing="0" w:after="0" w:afterAutospacing="0" w:line="360" w:lineRule="auto"/>
              <w:ind w:left="0" w:right="0" w:firstLine="1200" w:firstLineChars="5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T</w:t>
            </w:r>
            <w:r>
              <w:rPr>
                <w:rFonts w:hint="default" w:ascii="Times New Roman" w:hAnsi="Times New Roman" w:eastAsia="宋体" w:cs="Times New Roman"/>
                <w:color w:val="auto"/>
                <w:sz w:val="24"/>
                <w:highlight w:val="none"/>
                <w:lang w:eastAsia="zh-CN"/>
              </w:rPr>
              <w:t>——预测计算的时间段，</w:t>
            </w:r>
            <w:r>
              <w:rPr>
                <w:rFonts w:hint="default" w:ascii="Times New Roman" w:hAnsi="Times New Roman" w:eastAsia="宋体" w:cs="Times New Roman"/>
                <w:color w:val="auto"/>
                <w:sz w:val="24"/>
                <w:highlight w:val="none"/>
                <w:lang w:val="en-US" w:eastAsia="zh-CN"/>
              </w:rPr>
              <w:t>s；</w:t>
            </w:r>
          </w:p>
          <w:p>
            <w:pPr>
              <w:keepNext w:val="0"/>
              <w:keepLines w:val="0"/>
              <w:suppressLineNumbers w:val="0"/>
              <w:bidi w:val="0"/>
              <w:adjustRightInd/>
              <w:snapToGrid/>
              <w:spacing w:before="0" w:beforeAutospacing="0" w:after="0" w:afterAutospacing="0" w:line="360" w:lineRule="auto"/>
              <w:ind w:left="0" w:right="0" w:firstLine="1200" w:firstLineChars="5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t</w:t>
            </w:r>
            <w:r>
              <w:rPr>
                <w:rFonts w:hint="default" w:ascii="Times New Roman" w:hAnsi="Times New Roman" w:eastAsia="宋体" w:cs="Times New Roman"/>
                <w:color w:val="auto"/>
                <w:sz w:val="24"/>
                <w:highlight w:val="none"/>
                <w:vertAlign w:val="subscript"/>
                <w:lang w:val="en-US" w:eastAsia="zh-CN"/>
              </w:rPr>
              <w:t>i</w:t>
            </w:r>
            <w:r>
              <w:rPr>
                <w:rFonts w:hint="default" w:ascii="Times New Roman" w:hAnsi="Times New Roman" w:eastAsia="宋体" w:cs="Times New Roman"/>
                <w:color w:val="auto"/>
                <w:sz w:val="24"/>
                <w:highlight w:val="none"/>
                <w:lang w:val="en-US" w:eastAsia="zh-CN"/>
              </w:rPr>
              <w:t>——i声源在T时段内的运行时间，s</w:t>
            </w:r>
            <w:r>
              <w:rPr>
                <w:rFonts w:hint="default" w:ascii="Times New Roman" w:hAnsi="Times New Roman" w:eastAsia="宋体" w:cs="Times New Roman"/>
                <w:color w:val="auto"/>
                <w:sz w:val="24"/>
                <w:highlight w:val="none"/>
                <w:lang w:eastAsia="zh-CN"/>
              </w:rPr>
              <w:t>。</w:t>
            </w:r>
          </w:p>
          <w:p>
            <w:pPr>
              <w:keepNext w:val="0"/>
              <w:keepLines w:val="0"/>
              <w:suppressLineNumbers w:val="0"/>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预测值公式</w:t>
            </w:r>
          </w:p>
          <w:p>
            <w:pPr>
              <w:keepNext w:val="0"/>
              <w:keepLines w:val="0"/>
              <w:pageBreakBefore w:val="0"/>
              <w:widowControl w:val="0"/>
              <w:suppressLineNumbers w:val="0"/>
              <w:kinsoku/>
              <w:wordWrap/>
              <w:overflowPunct/>
              <w:topLinePunct w:val="0"/>
              <w:autoSpaceDE/>
              <w:autoSpaceDN/>
              <w:bidi w:val="0"/>
              <w:adjustRightInd/>
              <w:snapToGrid/>
              <w:spacing w:before="313" w:beforeLines="100" w:beforeAutospacing="0" w:after="313" w:afterLines="100" w:afterAutospacing="0" w:line="360" w:lineRule="auto"/>
              <w:ind w:left="0" w:right="0" w:firstLine="480" w:firstLineChars="200"/>
              <w:jc w:val="center"/>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object>
                <v:shape id="_x0000_i1032" o:spt="75" type="#_x0000_t75" style="height:21pt;width:135pt;" o:ole="t" filled="f" o:preferrelative="t" stroked="f" coordsize="21600,21600">
                  <v:path/>
                  <v:fill on="f" focussize="0,0"/>
                  <v:stroke on="f"/>
                  <v:imagedata r:id="rId37" o:title=""/>
                  <o:lock v:ext="edit" aspectratio="t"/>
                  <w10:wrap type="none"/>
                  <w10:anchorlock/>
                </v:shape>
                <o:OLEObject Type="Embed" ProgID="Equation.3" ShapeID="_x0000_i1032" DrawAspect="Content" ObjectID="_1468075732" r:id="rId36">
                  <o:LockedField>false</o:LockedField>
                </o:OLEObject>
              </w:object>
            </w:r>
          </w:p>
          <w:p>
            <w:pPr>
              <w:keepNext w:val="0"/>
              <w:keepLines w:val="0"/>
              <w:suppressLineNumbers w:val="0"/>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式中：Leq——</w:t>
            </w:r>
            <w:r>
              <w:rPr>
                <w:rFonts w:hint="default" w:ascii="Times New Roman" w:hAnsi="Times New Roman" w:eastAsia="宋体" w:cs="Times New Roman"/>
                <w:color w:val="auto"/>
                <w:sz w:val="24"/>
                <w:highlight w:val="none"/>
                <w:lang w:val="en-US" w:eastAsia="zh-CN"/>
              </w:rPr>
              <w:t>预测点的总声压级</w:t>
            </w:r>
            <w:r>
              <w:rPr>
                <w:rFonts w:hint="default" w:ascii="Times New Roman" w:hAnsi="Times New Roman" w:eastAsia="宋体" w:cs="Times New Roman"/>
                <w:color w:val="auto"/>
                <w:sz w:val="24"/>
                <w:highlight w:val="none"/>
                <w:lang w:eastAsia="zh-CN"/>
              </w:rPr>
              <w:t>，dB（A）；</w:t>
            </w:r>
          </w:p>
          <w:p>
            <w:pPr>
              <w:keepNext w:val="0"/>
              <w:keepLines w:val="0"/>
              <w:suppressLineNumbers w:val="0"/>
              <w:bidi w:val="0"/>
              <w:adjustRightInd/>
              <w:snapToGrid/>
              <w:spacing w:before="0" w:beforeAutospacing="0" w:after="0" w:afterAutospacing="0" w:line="360" w:lineRule="auto"/>
              <w:ind w:left="0" w:right="0" w:firstLine="1200" w:firstLineChars="5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L</w:t>
            </w:r>
            <w:r>
              <w:rPr>
                <w:rFonts w:hint="default" w:ascii="Times New Roman" w:hAnsi="Times New Roman" w:eastAsia="宋体" w:cs="Times New Roman"/>
                <w:color w:val="auto"/>
                <w:sz w:val="24"/>
                <w:highlight w:val="none"/>
                <w:lang w:val="en-US" w:eastAsia="zh-CN"/>
              </w:rPr>
              <w:t>eqg</w:t>
            </w:r>
            <w:r>
              <w:rPr>
                <w:rFonts w:hint="default" w:ascii="Times New Roman" w:hAnsi="Times New Roman" w:eastAsia="宋体" w:cs="Times New Roman"/>
                <w:color w:val="auto"/>
                <w:sz w:val="24"/>
                <w:highlight w:val="none"/>
                <w:lang w:eastAsia="zh-CN"/>
              </w:rPr>
              <w:t>——建设项目声源在预测点的等效声级贡献值，dB（A）；</w:t>
            </w:r>
          </w:p>
          <w:p>
            <w:pPr>
              <w:keepNext w:val="0"/>
              <w:keepLines w:val="0"/>
              <w:suppressLineNumbers w:val="0"/>
              <w:bidi w:val="0"/>
              <w:adjustRightInd/>
              <w:snapToGrid/>
              <w:spacing w:before="0" w:beforeAutospacing="0" w:after="0" w:afterAutospacing="0" w:line="360" w:lineRule="auto"/>
              <w:ind w:left="0" w:right="0" w:firstLine="1200" w:firstLineChars="5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L</w:t>
            </w:r>
            <w:r>
              <w:rPr>
                <w:rFonts w:hint="default" w:ascii="Times New Roman" w:hAnsi="Times New Roman" w:eastAsia="宋体" w:cs="Times New Roman"/>
                <w:color w:val="auto"/>
                <w:sz w:val="24"/>
                <w:highlight w:val="none"/>
                <w:lang w:val="en-US" w:eastAsia="zh-CN"/>
              </w:rPr>
              <w:t>eqb</w:t>
            </w:r>
            <w:r>
              <w:rPr>
                <w:rFonts w:hint="default" w:ascii="Times New Roman" w:hAnsi="Times New Roman" w:eastAsia="宋体" w:cs="Times New Roman"/>
                <w:color w:val="auto"/>
                <w:sz w:val="24"/>
                <w:highlight w:val="none"/>
                <w:lang w:eastAsia="zh-CN"/>
              </w:rPr>
              <w:t>——预测点的背景值，dB（A）。</w:t>
            </w:r>
          </w:p>
          <w:p>
            <w:pPr>
              <w:pStyle w:val="4"/>
              <w:suppressLineNumbers w:val="0"/>
              <w:bidi w:val="0"/>
              <w:spacing w:beforeAutospacing="0" w:afterAutospacing="0"/>
              <w:ind w:right="0"/>
              <w:rPr>
                <w:rFonts w:hint="default"/>
                <w:color w:val="auto"/>
              </w:rPr>
            </w:pPr>
            <w:r>
              <w:rPr>
                <w:rFonts w:hint="default"/>
                <w:color w:val="auto"/>
              </w:rPr>
              <w:t>噪声预测及影响评价</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经计算本项目固定设备噪声对</w:t>
            </w:r>
            <w:r>
              <w:rPr>
                <w:rFonts w:hint="default" w:ascii="Times New Roman" w:hAnsi="Times New Roman" w:cs="Times New Roman"/>
                <w:color w:val="auto"/>
                <w:highlight w:val="none"/>
                <w:lang w:eastAsia="zh-CN"/>
              </w:rPr>
              <w:t>厂界</w:t>
            </w:r>
            <w:r>
              <w:rPr>
                <w:rFonts w:hint="default" w:ascii="Times New Roman" w:hAnsi="Times New Roman" w:cs="Times New Roman"/>
                <w:color w:val="auto"/>
                <w:highlight w:val="none"/>
              </w:rPr>
              <w:t>影响贡献值，详见</w:t>
            </w:r>
            <w:r>
              <w:rPr>
                <w:rFonts w:hint="default" w:ascii="Times New Roman" w:hAnsi="Times New Roman" w:cs="Times New Roman"/>
                <w:color w:val="auto"/>
                <w:highlight w:val="none"/>
                <w:lang w:val="en-US" w:eastAsia="zh-CN"/>
              </w:rPr>
              <w:t>下表。</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b/>
                <w:bCs/>
                <w:color w:val="auto"/>
                <w:spacing w:val="8"/>
                <w:szCs w:val="21"/>
                <w:lang w:bidi="ar"/>
              </w:rPr>
            </w:pPr>
            <w:r>
              <w:rPr>
                <w:rFonts w:hint="default" w:ascii="Times New Roman" w:hAnsi="Times New Roman" w:cs="Times New Roman"/>
                <w:color w:val="auto"/>
                <w:highlight w:val="none"/>
                <w:lang w:val="en-US" w:eastAsia="zh-CN"/>
              </w:rPr>
              <w:t>厂界噪声预测结果</w:t>
            </w:r>
          </w:p>
          <w:tbl>
            <w:tblPr>
              <w:tblStyle w:val="32"/>
              <w:tblW w:w="813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180"/>
              <w:gridCol w:w="1911"/>
              <w:gridCol w:w="1961"/>
              <w:gridCol w:w="1657"/>
              <w:gridCol w:w="14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23" w:hRule="atLeast"/>
                <w:jc w:val="center"/>
              </w:trPr>
              <w:tc>
                <w:tcPr>
                  <w:tcW w:w="1180" w:type="dxa"/>
                  <w:vMerge w:val="restart"/>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 w:val="0"/>
                      <w:bCs/>
                      <w:color w:val="auto"/>
                      <w:szCs w:val="21"/>
                    </w:rPr>
                  </w:pPr>
                  <w:r>
                    <w:rPr>
                      <w:rFonts w:hint="default" w:ascii="Times New Roman"/>
                      <w:b w:val="0"/>
                      <w:bCs/>
                      <w:color w:val="auto"/>
                      <w:szCs w:val="21"/>
                    </w:rPr>
                    <w:t>编号</w:t>
                  </w:r>
                </w:p>
              </w:tc>
              <w:tc>
                <w:tcPr>
                  <w:tcW w:w="1911" w:type="dxa"/>
                  <w:vMerge w:val="restart"/>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 w:val="0"/>
                      <w:bCs/>
                      <w:color w:val="auto"/>
                      <w:szCs w:val="21"/>
                    </w:rPr>
                  </w:pPr>
                  <w:r>
                    <w:rPr>
                      <w:rFonts w:hint="default" w:ascii="Times New Roman"/>
                      <w:b w:val="0"/>
                      <w:bCs/>
                      <w:color w:val="auto"/>
                      <w:szCs w:val="21"/>
                    </w:rPr>
                    <w:t>测点位置</w:t>
                  </w:r>
                </w:p>
              </w:tc>
              <w:tc>
                <w:tcPr>
                  <w:tcW w:w="1961" w:type="dxa"/>
                  <w:vMerge w:val="restart"/>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 w:val="0"/>
                      <w:bCs/>
                      <w:color w:val="auto"/>
                      <w:szCs w:val="21"/>
                    </w:rPr>
                  </w:pPr>
                  <w:r>
                    <w:rPr>
                      <w:rFonts w:hint="default" w:ascii="Times New Roman"/>
                      <w:b w:val="0"/>
                      <w:bCs/>
                      <w:color w:val="auto"/>
                      <w:szCs w:val="21"/>
                    </w:rPr>
                    <w:t>影响贡献值</w:t>
                  </w:r>
                </w:p>
              </w:tc>
              <w:tc>
                <w:tcPr>
                  <w:tcW w:w="1657" w:type="dxa"/>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 w:val="0"/>
                      <w:bCs/>
                      <w:color w:val="auto"/>
                      <w:szCs w:val="21"/>
                    </w:rPr>
                  </w:pPr>
                  <w:r>
                    <w:rPr>
                      <w:rFonts w:hint="default" w:ascii="Times New Roman"/>
                      <w:b w:val="0"/>
                      <w:bCs/>
                      <w:color w:val="auto"/>
                      <w:szCs w:val="21"/>
                    </w:rPr>
                    <w:t>标准值</w:t>
                  </w:r>
                </w:p>
              </w:tc>
              <w:tc>
                <w:tcPr>
                  <w:tcW w:w="1423" w:type="dxa"/>
                  <w:vMerge w:val="restart"/>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
                      <w:color w:val="auto"/>
                      <w:szCs w:val="21"/>
                    </w:rPr>
                  </w:pPr>
                  <w:r>
                    <w:rPr>
                      <w:rFonts w:hint="default" w:ascii="Times New Roman"/>
                      <w:b w:val="0"/>
                      <w:bCs/>
                      <w:color w:val="auto"/>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23" w:hRule="atLeast"/>
                <w:jc w:val="center"/>
              </w:trPr>
              <w:tc>
                <w:tcPr>
                  <w:tcW w:w="1180" w:type="dxa"/>
                  <w:vMerge w:val="continue"/>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 w:val="0"/>
                      <w:bCs/>
                      <w:color w:val="auto"/>
                      <w:szCs w:val="21"/>
                    </w:rPr>
                  </w:pPr>
                </w:p>
              </w:tc>
              <w:tc>
                <w:tcPr>
                  <w:tcW w:w="1911" w:type="dxa"/>
                  <w:vMerge w:val="continue"/>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 w:val="0"/>
                      <w:bCs/>
                      <w:color w:val="auto"/>
                      <w:szCs w:val="21"/>
                    </w:rPr>
                  </w:pPr>
                </w:p>
              </w:tc>
              <w:tc>
                <w:tcPr>
                  <w:tcW w:w="1961" w:type="dxa"/>
                  <w:vMerge w:val="continue"/>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 w:val="0"/>
                      <w:bCs/>
                      <w:color w:val="auto"/>
                      <w:szCs w:val="21"/>
                    </w:rPr>
                  </w:pPr>
                </w:p>
              </w:tc>
              <w:tc>
                <w:tcPr>
                  <w:tcW w:w="1657" w:type="dxa"/>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 w:val="0"/>
                      <w:bCs/>
                      <w:color w:val="auto"/>
                      <w:szCs w:val="21"/>
                    </w:rPr>
                  </w:pPr>
                  <w:r>
                    <w:rPr>
                      <w:rFonts w:hint="default" w:ascii="Times New Roman"/>
                      <w:b w:val="0"/>
                      <w:bCs/>
                      <w:color w:val="auto"/>
                      <w:szCs w:val="21"/>
                    </w:rPr>
                    <w:t>昼间</w:t>
                  </w:r>
                </w:p>
              </w:tc>
              <w:tc>
                <w:tcPr>
                  <w:tcW w:w="1423" w:type="dxa"/>
                  <w:vMerge w:val="continue"/>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3" w:hRule="exact"/>
                <w:jc w:val="center"/>
              </w:trPr>
              <w:tc>
                <w:tcPr>
                  <w:tcW w:w="1180" w:type="dxa"/>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Cs/>
                      <w:color w:val="auto"/>
                      <w:szCs w:val="21"/>
                    </w:rPr>
                  </w:pPr>
                  <w:r>
                    <w:rPr>
                      <w:rFonts w:hint="default" w:ascii="Times New Roman"/>
                      <w:bCs/>
                      <w:color w:val="auto"/>
                      <w:szCs w:val="21"/>
                    </w:rPr>
                    <w:t>1</w:t>
                  </w:r>
                </w:p>
              </w:tc>
              <w:tc>
                <w:tcPr>
                  <w:tcW w:w="1911" w:type="dxa"/>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Cs/>
                      <w:color w:val="auto"/>
                      <w:szCs w:val="21"/>
                    </w:rPr>
                  </w:pPr>
                  <w:r>
                    <w:rPr>
                      <w:rFonts w:hint="default" w:ascii="Times New Roman"/>
                      <w:bCs/>
                      <w:color w:val="auto"/>
                      <w:szCs w:val="21"/>
                    </w:rPr>
                    <w:t>东侧</w:t>
                  </w:r>
                  <w:r>
                    <w:rPr>
                      <w:rFonts w:hint="default" w:ascii="Times New Roman"/>
                      <w:color w:val="auto"/>
                      <w:szCs w:val="21"/>
                    </w:rPr>
                    <w:t>厂界</w:t>
                  </w:r>
                </w:p>
              </w:tc>
              <w:tc>
                <w:tcPr>
                  <w:tcW w:w="1961" w:type="dxa"/>
                  <w:vAlign w:val="center"/>
                </w:tcPr>
                <w:p>
                  <w:pPr>
                    <w:keepNext w:val="0"/>
                    <w:keepLines w:val="0"/>
                    <w:widowControl/>
                    <w:suppressLineNumbers w:val="0"/>
                    <w:adjustRightInd w:val="0"/>
                    <w:snapToGrid w:val="0"/>
                    <w:spacing w:before="0" w:beforeAutospacing="0" w:after="0" w:afterAutospacing="0" w:line="340" w:lineRule="exact"/>
                    <w:ind w:left="0" w:right="0"/>
                    <w:jc w:val="center"/>
                    <w:rPr>
                      <w:rFonts w:hint="default"/>
                      <w:bCs/>
                      <w:color w:val="auto"/>
                      <w:szCs w:val="21"/>
                    </w:rPr>
                  </w:pPr>
                  <w:r>
                    <w:rPr>
                      <w:rFonts w:hint="eastAsia"/>
                      <w:bCs/>
                      <w:color w:val="auto"/>
                      <w:szCs w:val="21"/>
                    </w:rPr>
                    <w:t>42.1</w:t>
                  </w:r>
                </w:p>
              </w:tc>
              <w:tc>
                <w:tcPr>
                  <w:tcW w:w="1657" w:type="dxa"/>
                  <w:vMerge w:val="restart"/>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Cs/>
                      <w:color w:val="auto"/>
                      <w:szCs w:val="21"/>
                    </w:rPr>
                  </w:pPr>
                  <w:r>
                    <w:rPr>
                      <w:rFonts w:hint="eastAsia" w:ascii="Times New Roman"/>
                      <w:bCs/>
                      <w:color w:val="auto"/>
                      <w:szCs w:val="21"/>
                    </w:rPr>
                    <w:t>65</w:t>
                  </w:r>
                </w:p>
              </w:tc>
              <w:tc>
                <w:tcPr>
                  <w:tcW w:w="1423" w:type="dxa"/>
                  <w:vAlign w:val="center"/>
                </w:tcPr>
                <w:p>
                  <w:pPr>
                    <w:keepNext w:val="0"/>
                    <w:keepLines w:val="0"/>
                    <w:widowControl/>
                    <w:suppressLineNumbers w:val="0"/>
                    <w:adjustRightInd w:val="0"/>
                    <w:snapToGrid w:val="0"/>
                    <w:spacing w:before="0" w:beforeAutospacing="0" w:after="0" w:afterAutospacing="0" w:line="340" w:lineRule="exact"/>
                    <w:ind w:left="0" w:right="0"/>
                    <w:jc w:val="center"/>
                    <w:rPr>
                      <w:rFonts w:hint="default"/>
                      <w:bCs/>
                      <w:color w:val="auto"/>
                      <w:szCs w:val="21"/>
                    </w:rPr>
                  </w:pPr>
                  <w:r>
                    <w:rPr>
                      <w:rFonts w:hint="default"/>
                      <w:bCs/>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3" w:hRule="exact"/>
                <w:jc w:val="center"/>
              </w:trPr>
              <w:tc>
                <w:tcPr>
                  <w:tcW w:w="1180" w:type="dxa"/>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Cs/>
                      <w:color w:val="auto"/>
                      <w:szCs w:val="21"/>
                    </w:rPr>
                  </w:pPr>
                  <w:r>
                    <w:rPr>
                      <w:rFonts w:hint="default" w:ascii="Times New Roman"/>
                      <w:bCs/>
                      <w:color w:val="auto"/>
                      <w:szCs w:val="21"/>
                    </w:rPr>
                    <w:t>2</w:t>
                  </w:r>
                </w:p>
              </w:tc>
              <w:tc>
                <w:tcPr>
                  <w:tcW w:w="1911" w:type="dxa"/>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Cs/>
                      <w:color w:val="auto"/>
                      <w:szCs w:val="21"/>
                    </w:rPr>
                  </w:pPr>
                  <w:r>
                    <w:rPr>
                      <w:rFonts w:hint="default" w:ascii="Times New Roman"/>
                      <w:bCs/>
                      <w:color w:val="auto"/>
                      <w:szCs w:val="21"/>
                    </w:rPr>
                    <w:t>北侧</w:t>
                  </w:r>
                  <w:r>
                    <w:rPr>
                      <w:rFonts w:hint="default" w:ascii="Times New Roman"/>
                      <w:color w:val="auto"/>
                      <w:szCs w:val="21"/>
                    </w:rPr>
                    <w:t>厂界</w:t>
                  </w:r>
                </w:p>
              </w:tc>
              <w:tc>
                <w:tcPr>
                  <w:tcW w:w="1961" w:type="dxa"/>
                  <w:vAlign w:val="center"/>
                </w:tcPr>
                <w:p>
                  <w:pPr>
                    <w:keepNext w:val="0"/>
                    <w:keepLines w:val="0"/>
                    <w:widowControl/>
                    <w:suppressLineNumbers w:val="0"/>
                    <w:adjustRightInd w:val="0"/>
                    <w:snapToGrid w:val="0"/>
                    <w:spacing w:before="0" w:beforeAutospacing="0" w:after="0" w:afterAutospacing="0" w:line="340" w:lineRule="exact"/>
                    <w:ind w:left="0" w:right="0"/>
                    <w:jc w:val="center"/>
                    <w:rPr>
                      <w:rFonts w:hint="default"/>
                      <w:bCs/>
                      <w:color w:val="auto"/>
                      <w:szCs w:val="21"/>
                    </w:rPr>
                  </w:pPr>
                  <w:r>
                    <w:rPr>
                      <w:rFonts w:hint="eastAsia"/>
                      <w:bCs/>
                      <w:color w:val="auto"/>
                      <w:szCs w:val="21"/>
                    </w:rPr>
                    <w:t>45.2</w:t>
                  </w:r>
                </w:p>
              </w:tc>
              <w:tc>
                <w:tcPr>
                  <w:tcW w:w="1657" w:type="dxa"/>
                  <w:vMerge w:val="continue"/>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Cs/>
                      <w:color w:val="auto"/>
                      <w:szCs w:val="21"/>
                    </w:rPr>
                  </w:pPr>
                </w:p>
              </w:tc>
              <w:tc>
                <w:tcPr>
                  <w:tcW w:w="1423" w:type="dxa"/>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Cs/>
                      <w:color w:val="auto"/>
                      <w:szCs w:val="21"/>
                    </w:rPr>
                  </w:pPr>
                  <w:r>
                    <w:rPr>
                      <w:rFonts w:hint="default" w:ascii="Times New Roman"/>
                      <w:bCs/>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3" w:hRule="exact"/>
                <w:jc w:val="center"/>
              </w:trPr>
              <w:tc>
                <w:tcPr>
                  <w:tcW w:w="1180" w:type="dxa"/>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Cs/>
                      <w:color w:val="auto"/>
                      <w:szCs w:val="21"/>
                    </w:rPr>
                  </w:pPr>
                  <w:r>
                    <w:rPr>
                      <w:rFonts w:hint="default" w:ascii="Times New Roman"/>
                      <w:bCs/>
                      <w:color w:val="auto"/>
                      <w:szCs w:val="21"/>
                    </w:rPr>
                    <w:t>3</w:t>
                  </w:r>
                </w:p>
              </w:tc>
              <w:tc>
                <w:tcPr>
                  <w:tcW w:w="1911" w:type="dxa"/>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Cs/>
                      <w:color w:val="auto"/>
                      <w:szCs w:val="21"/>
                    </w:rPr>
                  </w:pPr>
                  <w:r>
                    <w:rPr>
                      <w:rFonts w:hint="default" w:ascii="Times New Roman"/>
                      <w:bCs/>
                      <w:color w:val="auto"/>
                      <w:szCs w:val="21"/>
                    </w:rPr>
                    <w:t>西侧厂界</w:t>
                  </w:r>
                </w:p>
              </w:tc>
              <w:tc>
                <w:tcPr>
                  <w:tcW w:w="1961" w:type="dxa"/>
                  <w:vAlign w:val="center"/>
                </w:tcPr>
                <w:p>
                  <w:pPr>
                    <w:keepNext w:val="0"/>
                    <w:keepLines w:val="0"/>
                    <w:widowControl/>
                    <w:suppressLineNumbers w:val="0"/>
                    <w:adjustRightInd w:val="0"/>
                    <w:snapToGrid w:val="0"/>
                    <w:spacing w:before="0" w:beforeAutospacing="0" w:after="0" w:afterAutospacing="0" w:line="340" w:lineRule="exact"/>
                    <w:ind w:left="0" w:right="0"/>
                    <w:jc w:val="center"/>
                    <w:rPr>
                      <w:rFonts w:hint="default"/>
                      <w:bCs/>
                      <w:color w:val="auto"/>
                      <w:szCs w:val="21"/>
                    </w:rPr>
                  </w:pPr>
                  <w:r>
                    <w:rPr>
                      <w:rFonts w:hint="eastAsia"/>
                      <w:bCs/>
                      <w:color w:val="auto"/>
                      <w:szCs w:val="21"/>
                    </w:rPr>
                    <w:t>40.3</w:t>
                  </w:r>
                </w:p>
              </w:tc>
              <w:tc>
                <w:tcPr>
                  <w:tcW w:w="1657" w:type="dxa"/>
                  <w:vMerge w:val="continue"/>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Cs/>
                      <w:color w:val="auto"/>
                      <w:szCs w:val="21"/>
                    </w:rPr>
                  </w:pPr>
                </w:p>
              </w:tc>
              <w:tc>
                <w:tcPr>
                  <w:tcW w:w="1423" w:type="dxa"/>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Cs/>
                      <w:color w:val="auto"/>
                      <w:szCs w:val="21"/>
                    </w:rPr>
                  </w:pPr>
                  <w:r>
                    <w:rPr>
                      <w:rFonts w:hint="default" w:ascii="Times New Roman"/>
                      <w:bCs/>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3" w:hRule="exact"/>
                <w:jc w:val="center"/>
              </w:trPr>
              <w:tc>
                <w:tcPr>
                  <w:tcW w:w="1180" w:type="dxa"/>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Cs/>
                      <w:color w:val="auto"/>
                      <w:szCs w:val="21"/>
                    </w:rPr>
                  </w:pPr>
                  <w:r>
                    <w:rPr>
                      <w:rFonts w:hint="default" w:ascii="Times New Roman"/>
                      <w:bCs/>
                      <w:color w:val="auto"/>
                      <w:szCs w:val="21"/>
                    </w:rPr>
                    <w:t>4</w:t>
                  </w:r>
                </w:p>
              </w:tc>
              <w:tc>
                <w:tcPr>
                  <w:tcW w:w="1911" w:type="dxa"/>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Cs/>
                      <w:color w:val="auto"/>
                      <w:szCs w:val="21"/>
                    </w:rPr>
                  </w:pPr>
                  <w:r>
                    <w:rPr>
                      <w:rFonts w:hint="default" w:ascii="Times New Roman"/>
                      <w:bCs/>
                      <w:color w:val="auto"/>
                      <w:szCs w:val="21"/>
                    </w:rPr>
                    <w:t>南侧</w:t>
                  </w:r>
                  <w:r>
                    <w:rPr>
                      <w:rFonts w:hint="default" w:ascii="Times New Roman"/>
                      <w:color w:val="auto"/>
                      <w:szCs w:val="21"/>
                    </w:rPr>
                    <w:t>厂界</w:t>
                  </w:r>
                </w:p>
              </w:tc>
              <w:tc>
                <w:tcPr>
                  <w:tcW w:w="1961" w:type="dxa"/>
                  <w:vAlign w:val="center"/>
                </w:tcPr>
                <w:p>
                  <w:pPr>
                    <w:keepNext w:val="0"/>
                    <w:keepLines w:val="0"/>
                    <w:widowControl/>
                    <w:suppressLineNumbers w:val="0"/>
                    <w:adjustRightInd w:val="0"/>
                    <w:snapToGrid w:val="0"/>
                    <w:spacing w:before="0" w:beforeAutospacing="0" w:after="0" w:afterAutospacing="0" w:line="340" w:lineRule="exact"/>
                    <w:ind w:left="0" w:right="0"/>
                    <w:jc w:val="center"/>
                    <w:rPr>
                      <w:rFonts w:hint="default"/>
                      <w:bCs/>
                      <w:color w:val="auto"/>
                      <w:szCs w:val="21"/>
                    </w:rPr>
                  </w:pPr>
                  <w:r>
                    <w:rPr>
                      <w:rFonts w:hint="eastAsia"/>
                      <w:bCs/>
                      <w:color w:val="auto"/>
                      <w:szCs w:val="21"/>
                    </w:rPr>
                    <w:t>42.4</w:t>
                  </w:r>
                </w:p>
              </w:tc>
              <w:tc>
                <w:tcPr>
                  <w:tcW w:w="1657" w:type="dxa"/>
                  <w:vMerge w:val="continue"/>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Cs/>
                      <w:color w:val="auto"/>
                      <w:szCs w:val="21"/>
                    </w:rPr>
                  </w:pPr>
                </w:p>
              </w:tc>
              <w:tc>
                <w:tcPr>
                  <w:tcW w:w="1423" w:type="dxa"/>
                  <w:vAlign w:val="center"/>
                </w:tcPr>
                <w:p>
                  <w:pPr>
                    <w:pStyle w:val="53"/>
                    <w:keepNext w:val="0"/>
                    <w:keepLines w:val="0"/>
                    <w:suppressLineNumbers w:val="0"/>
                    <w:spacing w:before="0" w:beforeLines="0" w:beforeAutospacing="0" w:after="0" w:afterLines="0" w:afterAutospacing="0" w:line="340" w:lineRule="exact"/>
                    <w:ind w:left="0" w:right="0"/>
                    <w:rPr>
                      <w:rFonts w:hint="default" w:ascii="Times New Roman"/>
                      <w:bCs/>
                      <w:color w:val="auto"/>
                      <w:szCs w:val="21"/>
                    </w:rPr>
                  </w:pPr>
                  <w:r>
                    <w:rPr>
                      <w:rFonts w:hint="default" w:ascii="Times New Roman"/>
                      <w:bCs/>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5" w:hRule="atLeast"/>
                <w:jc w:val="center"/>
              </w:trPr>
              <w:tc>
                <w:tcPr>
                  <w:tcW w:w="8132" w:type="dxa"/>
                  <w:gridSpan w:val="5"/>
                  <w:vAlign w:val="center"/>
                </w:tcPr>
                <w:p>
                  <w:pPr>
                    <w:pStyle w:val="53"/>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80" w:lineRule="exact"/>
                    <w:ind w:left="0" w:right="0"/>
                    <w:jc w:val="both"/>
                    <w:textAlignment w:val="auto"/>
                    <w:rPr>
                      <w:rFonts w:hint="default" w:ascii="Times New Roman" w:eastAsia="宋体"/>
                      <w:bCs/>
                      <w:color w:val="auto"/>
                      <w:szCs w:val="21"/>
                      <w:lang w:val="en-US" w:eastAsia="zh-CN"/>
                    </w:rPr>
                  </w:pPr>
                  <w:r>
                    <w:rPr>
                      <w:rFonts w:hint="eastAsia" w:ascii="Times New Roman"/>
                      <w:b/>
                      <w:bCs w:val="0"/>
                      <w:color w:val="auto"/>
                      <w:sz w:val="18"/>
                      <w:szCs w:val="18"/>
                      <w:lang w:val="en-US" w:eastAsia="zh-CN"/>
                    </w:rPr>
                    <w:t>注：厂</w:t>
                  </w:r>
                  <w:r>
                    <w:rPr>
                      <w:rFonts w:hint="eastAsia" w:ascii="Times New Roman" w:hAnsi="Times New Roman" w:eastAsia="宋体" w:cs="Times New Roman"/>
                      <w:b/>
                      <w:bCs w:val="0"/>
                      <w:color w:val="auto"/>
                      <w:sz w:val="18"/>
                      <w:szCs w:val="18"/>
                      <w:lang w:val="en-US" w:eastAsia="zh-CN"/>
                    </w:rPr>
                    <w:t>界指福清洪金机械有限公司办公楼4层、5层边界</w:t>
                  </w:r>
                </w:p>
              </w:tc>
            </w:tr>
          </w:tbl>
          <w:p>
            <w:pPr>
              <w:pStyle w:val="36"/>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ind w:left="0" w:right="0"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kern w:val="0"/>
                <w:sz w:val="24"/>
                <w:highlight w:val="none"/>
                <w:lang w:bidi="ar"/>
              </w:rPr>
              <w:t>由</w:t>
            </w:r>
            <w:r>
              <w:rPr>
                <w:rFonts w:hint="eastAsia" w:cs="Times New Roman"/>
                <w:color w:val="auto"/>
                <w:kern w:val="0"/>
                <w:sz w:val="24"/>
                <w:highlight w:val="none"/>
                <w:lang w:val="en-US" w:eastAsia="zh-CN" w:bidi="ar"/>
              </w:rPr>
              <w:t>上</w:t>
            </w:r>
            <w:r>
              <w:rPr>
                <w:rFonts w:hint="default" w:ascii="Times New Roman" w:hAnsi="Times New Roman" w:cs="Times New Roman"/>
                <w:color w:val="auto"/>
                <w:kern w:val="0"/>
                <w:sz w:val="24"/>
                <w:highlight w:val="none"/>
                <w:lang w:bidi="ar"/>
              </w:rPr>
              <w:t>表可知，项目噪声经墙体</w:t>
            </w:r>
            <w:r>
              <w:rPr>
                <w:rFonts w:hint="default" w:ascii="Times New Roman" w:hAnsi="Times New Roman" w:cs="Times New Roman"/>
                <w:color w:val="auto"/>
                <w:kern w:val="0"/>
                <w:sz w:val="24"/>
                <w:highlight w:val="none"/>
                <w:lang w:eastAsia="zh-CN" w:bidi="ar"/>
              </w:rPr>
              <w:t>、</w:t>
            </w:r>
            <w:r>
              <w:rPr>
                <w:rFonts w:hint="default" w:ascii="Times New Roman" w:hAnsi="Times New Roman" w:cs="Times New Roman"/>
                <w:color w:val="auto"/>
                <w:kern w:val="0"/>
                <w:sz w:val="24"/>
                <w:highlight w:val="none"/>
                <w:lang w:val="en-US" w:eastAsia="zh-CN" w:bidi="ar"/>
              </w:rPr>
              <w:t>隔声罩</w:t>
            </w:r>
            <w:r>
              <w:rPr>
                <w:rFonts w:hint="default" w:ascii="Times New Roman" w:hAnsi="Times New Roman" w:cs="Times New Roman"/>
                <w:color w:val="auto"/>
                <w:kern w:val="0"/>
                <w:sz w:val="24"/>
                <w:highlight w:val="none"/>
                <w:lang w:bidi="ar"/>
              </w:rPr>
              <w:t>隔声和空间距离的自然衰减后</w:t>
            </w:r>
            <w:r>
              <w:rPr>
                <w:rFonts w:hint="default" w:ascii="Times New Roman" w:hAnsi="Times New Roman" w:cs="Times New Roman"/>
                <w:color w:val="auto"/>
                <w:kern w:val="0"/>
                <w:sz w:val="24"/>
                <w:highlight w:val="none"/>
                <w:lang w:val="en-US" w:eastAsia="zh-CN" w:bidi="ar"/>
              </w:rPr>
              <w:t>厂界四周噪声</w:t>
            </w:r>
            <w:r>
              <w:rPr>
                <w:rFonts w:hint="default" w:ascii="Times New Roman" w:hAnsi="Times New Roman" w:cs="Times New Roman"/>
                <w:color w:val="auto"/>
                <w:kern w:val="0"/>
                <w:sz w:val="24"/>
                <w:highlight w:val="none"/>
                <w:lang w:bidi="ar"/>
              </w:rPr>
              <w:t>贡献值</w:t>
            </w:r>
            <w:r>
              <w:rPr>
                <w:rFonts w:hint="default" w:ascii="Times New Roman" w:hAnsi="Times New Roman" w:cs="Times New Roman"/>
                <w:color w:val="auto"/>
                <w:kern w:val="0"/>
                <w:sz w:val="24"/>
                <w:highlight w:val="none"/>
                <w:lang w:val="en-US" w:eastAsia="zh-CN" w:bidi="ar"/>
              </w:rPr>
              <w:t>可满足</w:t>
            </w:r>
            <w:r>
              <w:rPr>
                <w:rFonts w:hint="default" w:ascii="Times New Roman" w:hAnsi="Times New Roman" w:cs="Times New Roman"/>
                <w:color w:val="auto"/>
                <w:kern w:val="0"/>
                <w:sz w:val="24"/>
                <w:highlight w:val="none"/>
                <w:lang w:bidi="ar"/>
              </w:rPr>
              <w:t>《工业企业厂界环境噪声排放标准》</w:t>
            </w:r>
            <w:r>
              <w:rPr>
                <w:rFonts w:hint="default" w:ascii="Times New Roman" w:hAnsi="Times New Roman" w:cs="Times New Roman"/>
                <w:color w:val="auto"/>
                <w:kern w:val="0"/>
                <w:sz w:val="24"/>
                <w:highlight w:val="none"/>
                <w:lang w:val="en-US" w:eastAsia="zh-CN" w:bidi="ar"/>
              </w:rPr>
              <w:t>3</w:t>
            </w:r>
            <w:r>
              <w:rPr>
                <w:rFonts w:hint="default" w:ascii="Times New Roman" w:hAnsi="Times New Roman" w:cs="Times New Roman"/>
                <w:color w:val="auto"/>
                <w:kern w:val="0"/>
                <w:sz w:val="24"/>
                <w:highlight w:val="none"/>
                <w:lang w:bidi="ar"/>
              </w:rPr>
              <w:t>类标准</w:t>
            </w:r>
            <w:r>
              <w:rPr>
                <w:rFonts w:hint="default" w:ascii="Times New Roman" w:hAnsi="Times New Roman" w:cs="Times New Roman"/>
                <w:color w:val="auto"/>
                <w:kern w:val="0"/>
                <w:sz w:val="24"/>
                <w:highlight w:val="none"/>
                <w:lang w:val="en-US" w:eastAsia="zh-CN" w:bidi="ar"/>
              </w:rPr>
              <w:t>限值</w:t>
            </w:r>
            <w:r>
              <w:rPr>
                <w:rFonts w:hint="default" w:ascii="Times New Roman" w:hAnsi="Times New Roman" w:cs="Times New Roman"/>
                <w:color w:val="auto"/>
                <w:kern w:val="0"/>
                <w:sz w:val="24"/>
                <w:highlight w:val="none"/>
                <w:lang w:bidi="ar"/>
              </w:rPr>
              <w:t>（昼间65dB(A)）</w:t>
            </w:r>
            <w:r>
              <w:rPr>
                <w:rFonts w:hint="default" w:ascii="Times New Roman" w:hAnsi="Times New Roman" w:cs="Times New Roman"/>
                <w:color w:val="auto"/>
                <w:kern w:val="0"/>
                <w:sz w:val="24"/>
                <w:highlight w:val="none"/>
                <w:lang w:eastAsia="zh-CN" w:bidi="ar"/>
              </w:rPr>
              <w:t>。</w:t>
            </w:r>
            <w:r>
              <w:rPr>
                <w:rFonts w:hint="eastAsia" w:cs="Times New Roman"/>
                <w:color w:val="auto"/>
                <w:highlight w:val="none"/>
                <w:lang w:val="en-US" w:eastAsia="zh-CN"/>
              </w:rPr>
              <w:t>项目周边均为工业厂房、道路和河流水体，50m范围内无声环境敏感目标，项目产生的噪声对周边声环境质量影响较小</w:t>
            </w:r>
            <w:r>
              <w:rPr>
                <w:rFonts w:hint="default" w:ascii="Times New Roman" w:hAnsi="Times New Roman" w:cs="Times New Roman"/>
                <w:color w:val="auto"/>
                <w:highlight w:val="none"/>
              </w:rPr>
              <w:t>。</w:t>
            </w:r>
          </w:p>
          <w:p>
            <w:pPr>
              <w:pStyle w:val="4"/>
              <w:suppressLineNumbers w:val="0"/>
              <w:bidi w:val="0"/>
              <w:spacing w:beforeAutospacing="0" w:afterAutospacing="0"/>
              <w:ind w:right="0"/>
              <w:rPr>
                <w:rFonts w:hint="default"/>
                <w:color w:val="auto"/>
              </w:rPr>
            </w:pPr>
            <w:r>
              <w:rPr>
                <w:rFonts w:hint="default"/>
                <w:color w:val="auto"/>
                <w:lang w:val="en-US" w:eastAsia="zh-CN"/>
              </w:rPr>
              <w:t>噪声防治措施</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为减轻设备运行产生的噪声对周围环境的影响，建设</w:t>
            </w:r>
            <w:r>
              <w:rPr>
                <w:rFonts w:hint="default" w:ascii="Times New Roman" w:hAnsi="Times New Roman" w:cs="Times New Roman"/>
                <w:color w:val="auto"/>
                <w:highlight w:val="none"/>
                <w:lang w:val="en-US" w:eastAsia="zh-CN"/>
              </w:rPr>
              <w:t>单位</w:t>
            </w:r>
            <w:r>
              <w:rPr>
                <w:rFonts w:hint="default" w:ascii="Times New Roman" w:hAnsi="Times New Roman" w:cs="Times New Roman"/>
                <w:color w:val="auto"/>
                <w:highlight w:val="none"/>
              </w:rPr>
              <w:t>拟采取如下降噪措施：</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按照《工业企业噪声控制设计规范》对</w:t>
            </w:r>
            <w:r>
              <w:rPr>
                <w:rFonts w:hint="eastAsia" w:cs="Times New Roman"/>
                <w:color w:val="auto"/>
                <w:highlight w:val="none"/>
                <w:lang w:val="en-US" w:eastAsia="zh-CN"/>
              </w:rPr>
              <w:t>室</w:t>
            </w:r>
            <w:r>
              <w:rPr>
                <w:rFonts w:hint="default" w:ascii="Times New Roman" w:hAnsi="Times New Roman" w:cs="Times New Roman"/>
                <w:color w:val="auto"/>
                <w:highlight w:val="none"/>
                <w:lang w:val="en-US" w:eastAsia="zh-CN"/>
              </w:rPr>
              <w:t>内主要噪声源合理布局。</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项目选用噪声值相对较低设备，在设备安装时增设降噪减震设施，从源头上降低噪声源强。</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主要噪声设备均安置在实验室内，并配套隔声降噪、减振措施；利用墙体对噪声进行阻隔，墙体设计隔声能力均不低于15dB(A)；同时加强生产管理，生产过程应关闭门窗。</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）建立设备定期维护、保养的管理制度，以防止设备故障形成的非正常生产噪声，同时确保环保措施发挥最有效的功能</w:t>
            </w:r>
            <w:r>
              <w:rPr>
                <w:rFonts w:hint="default" w:ascii="Times New Roman" w:hAnsi="Times New Roman" w:cs="Times New Roman"/>
                <w:color w:val="auto"/>
                <w:highlight w:val="none"/>
                <w:lang w:val="en-US" w:eastAsia="zh-CN"/>
              </w:rPr>
              <w:t>。</w:t>
            </w:r>
          </w:p>
          <w:p>
            <w:pPr>
              <w:pStyle w:val="4"/>
              <w:suppressLineNumbers w:val="0"/>
              <w:bidi w:val="0"/>
              <w:spacing w:beforeAutospacing="0" w:afterAutospacing="0"/>
              <w:ind w:right="0"/>
              <w:rPr>
                <w:rFonts w:hint="default"/>
                <w:color w:val="auto"/>
              </w:rPr>
            </w:pPr>
            <w:r>
              <w:rPr>
                <w:rFonts w:hint="default"/>
                <w:color w:val="auto"/>
              </w:rPr>
              <w:t>噪声环境监测计划</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lang w:bidi="ar"/>
              </w:rPr>
            </w:pPr>
            <w:r>
              <w:rPr>
                <w:rFonts w:hint="default" w:ascii="Times New Roman" w:hAnsi="Times New Roman" w:cs="Times New Roman"/>
                <w:color w:val="auto"/>
                <w:sz w:val="24"/>
                <w:highlight w:val="none"/>
                <w:lang w:bidi="ar"/>
              </w:rPr>
              <w:t>项目噪声监测计划详见下表。</w:t>
            </w:r>
          </w:p>
          <w:p>
            <w:pPr>
              <w:keepNext w:val="0"/>
              <w:keepLines w:val="0"/>
              <w:suppressLineNumbers w:val="0"/>
              <w:spacing w:before="0" w:beforeAutospacing="0" w:after="0" w:afterAutospacing="0" w:line="360" w:lineRule="auto"/>
              <w:ind w:left="0" w:right="0" w:firstLine="420" w:firstLineChars="200"/>
              <w:rPr>
                <w:rFonts w:hint="default"/>
                <w:color w:val="auto"/>
              </w:rPr>
            </w:pPr>
          </w:p>
          <w:p>
            <w:pPr>
              <w:keepNext w:val="0"/>
              <w:keepLines w:val="0"/>
              <w:suppressLineNumbers w:val="0"/>
              <w:spacing w:before="0" w:beforeAutospacing="0" w:after="0" w:afterAutospacing="0" w:line="360" w:lineRule="auto"/>
              <w:ind w:left="0" w:right="0" w:firstLine="420" w:firstLineChars="200"/>
              <w:rPr>
                <w:rFonts w:hint="default"/>
                <w:color w:val="auto"/>
              </w:rPr>
            </w:pPr>
          </w:p>
          <w:p>
            <w:pPr>
              <w:keepNext w:val="0"/>
              <w:keepLines w:val="0"/>
              <w:suppressLineNumbers w:val="0"/>
              <w:spacing w:before="0" w:beforeAutospacing="0" w:after="0" w:afterAutospacing="0"/>
              <w:ind w:left="0" w:right="0"/>
              <w:rPr>
                <w:rFonts w:hint="default"/>
                <w:color w:val="auto"/>
              </w:rPr>
            </w:pP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噪声监测计划</w:t>
            </w:r>
          </w:p>
          <w:tbl>
            <w:tblPr>
              <w:tblStyle w:val="32"/>
              <w:tblW w:w="813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00"/>
              <w:gridCol w:w="1361"/>
              <w:gridCol w:w="3740"/>
              <w:gridCol w:w="18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77" w:hRule="atLeast"/>
              </w:trPr>
              <w:tc>
                <w:tcPr>
                  <w:tcW w:w="1200" w:type="dxa"/>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监测点位</w:t>
                  </w:r>
                </w:p>
              </w:tc>
              <w:tc>
                <w:tcPr>
                  <w:tcW w:w="1361" w:type="dxa"/>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监测项目</w:t>
                  </w:r>
                </w:p>
              </w:tc>
              <w:tc>
                <w:tcPr>
                  <w:tcW w:w="3740" w:type="dxa"/>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执行标准</w:t>
                  </w:r>
                </w:p>
              </w:tc>
              <w:tc>
                <w:tcPr>
                  <w:tcW w:w="1834" w:type="dxa"/>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监测频率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27" w:hRule="atLeast"/>
              </w:trPr>
              <w:tc>
                <w:tcPr>
                  <w:tcW w:w="1200" w:type="dxa"/>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厂界</w:t>
                  </w:r>
                </w:p>
              </w:tc>
              <w:tc>
                <w:tcPr>
                  <w:tcW w:w="1361" w:type="dxa"/>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Leq(A)</w:t>
                  </w:r>
                </w:p>
              </w:tc>
              <w:tc>
                <w:tcPr>
                  <w:tcW w:w="3740" w:type="dxa"/>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《工业企业厂界环境噪声排放标准》</w:t>
                  </w:r>
                </w:p>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(GB12348-2008</w:t>
                  </w:r>
                  <w:r>
                    <w:rPr>
                      <w:rFonts w:hint="eastAsia" w:cs="Times New Roman"/>
                      <w:color w:val="auto"/>
                      <w:szCs w:val="20"/>
                      <w:highlight w:val="none"/>
                      <w:lang w:eastAsia="zh-CN"/>
                    </w:rPr>
                    <w:t>）</w:t>
                  </w:r>
                  <w:r>
                    <w:rPr>
                      <w:rFonts w:hint="default" w:ascii="Times New Roman" w:hAnsi="Times New Roman" w:cs="Times New Roman"/>
                      <w:color w:val="auto"/>
                      <w:szCs w:val="20"/>
                      <w:highlight w:val="none"/>
                    </w:rPr>
                    <w:t>的3类标准</w:t>
                  </w:r>
                </w:p>
              </w:tc>
              <w:tc>
                <w:tcPr>
                  <w:tcW w:w="1834" w:type="dxa"/>
                  <w:vAlign w:val="center"/>
                </w:tcPr>
                <w:p>
                  <w:pPr>
                    <w:pStyle w:val="37"/>
                    <w:keepNext w:val="0"/>
                    <w:keepLines w:val="0"/>
                    <w:widowControl/>
                    <w:suppressLineNumbers w:val="0"/>
                    <w:tabs>
                      <w:tab w:val="left" w:pos="0"/>
                    </w:tabs>
                    <w:spacing w:before="0" w:beforeAutospacing="0" w:after="0" w:afterAutospacing="0"/>
                    <w:ind w:right="0"/>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1次/季</w:t>
                  </w:r>
                </w:p>
              </w:tc>
            </w:tr>
          </w:tbl>
          <w:p>
            <w:pPr>
              <w:pStyle w:val="3"/>
              <w:suppressLineNumbers w:val="0"/>
              <w:bidi w:val="0"/>
              <w:spacing w:beforeAutospacing="0" w:afterAutospacing="0"/>
              <w:ind w:right="0"/>
              <w:rPr>
                <w:rFonts w:hint="default"/>
                <w:color w:val="auto"/>
              </w:rPr>
            </w:pPr>
            <w:bookmarkStart w:id="98" w:name="_Toc28453"/>
            <w:r>
              <w:rPr>
                <w:rFonts w:hint="eastAsia"/>
                <w:color w:val="auto"/>
                <w:lang w:val="en-US" w:eastAsia="zh-CN"/>
              </w:rPr>
              <w:t>运营期</w:t>
            </w:r>
            <w:r>
              <w:rPr>
                <w:rFonts w:hint="default"/>
                <w:color w:val="auto"/>
              </w:rPr>
              <w:t>固体废物</w:t>
            </w:r>
            <w:r>
              <w:rPr>
                <w:rFonts w:hint="eastAsia"/>
                <w:color w:val="auto"/>
                <w:lang w:val="en-US" w:eastAsia="zh-CN"/>
              </w:rPr>
              <w:t>污染防治</w:t>
            </w:r>
            <w:bookmarkEnd w:id="98"/>
          </w:p>
          <w:p>
            <w:pPr>
              <w:pStyle w:val="4"/>
              <w:suppressLineNumbers w:val="0"/>
              <w:bidi w:val="0"/>
              <w:spacing w:beforeAutospacing="0" w:afterAutospacing="0"/>
              <w:ind w:right="0"/>
              <w:rPr>
                <w:rFonts w:hint="default"/>
                <w:color w:val="auto"/>
              </w:rPr>
            </w:pPr>
            <w:r>
              <w:rPr>
                <w:rFonts w:hint="eastAsia"/>
                <w:color w:val="auto"/>
                <w:lang w:eastAsia="zh-CN"/>
              </w:rPr>
              <w:t>固体废物</w:t>
            </w:r>
            <w:r>
              <w:rPr>
                <w:rFonts w:hint="default"/>
                <w:color w:val="auto"/>
              </w:rPr>
              <w:t>污染源分析</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bookmarkStart w:id="99" w:name="OLE_LINK22"/>
            <w:bookmarkStart w:id="100" w:name="OLE_LINK21"/>
            <w:r>
              <w:rPr>
                <w:rFonts w:hint="default" w:ascii="Times New Roman" w:hAnsi="Times New Roman" w:cs="Times New Roman"/>
                <w:color w:val="auto"/>
                <w:sz w:val="24"/>
                <w:szCs w:val="24"/>
                <w:u w:val="none"/>
                <w:lang w:val="en-US" w:eastAsia="zh-CN" w:bidi="ar"/>
              </w:rPr>
              <w:t>本项目营运过程中产生的固体废物包括危险废物、一般工业固体废物以及生活垃圾。</w:t>
            </w:r>
          </w:p>
          <w:p>
            <w:pPr>
              <w:pStyle w:val="36"/>
              <w:keepNext w:val="0"/>
              <w:keepLines w:val="0"/>
              <w:suppressLineNumbers w:val="0"/>
              <w:spacing w:before="0" w:beforeAutospacing="0" w:after="0" w:afterAutospacing="0"/>
              <w:ind w:left="0" w:right="0" w:firstLine="480"/>
              <w:rPr>
                <w:rFonts w:hint="eastAsia" w:cs="Times New Roman"/>
                <w:b/>
                <w:bCs/>
                <w:color w:val="auto"/>
                <w:highlight w:val="none"/>
                <w:lang w:val="en-US" w:eastAsia="zh-CN"/>
              </w:rPr>
            </w:pPr>
            <w:r>
              <w:rPr>
                <w:rFonts w:hint="eastAsia" w:cs="Times New Roman"/>
                <w:b/>
                <w:bCs/>
                <w:color w:val="auto"/>
                <w:highlight w:val="none"/>
                <w:lang w:val="en-US" w:eastAsia="zh-CN"/>
              </w:rPr>
              <w:t>（1）一般工业固体废物</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①</w:t>
            </w:r>
            <w:r>
              <w:rPr>
                <w:rFonts w:hint="eastAsia"/>
                <w:color w:val="auto"/>
                <w:lang w:val="en-US" w:eastAsia="zh-CN"/>
              </w:rPr>
              <w:t>S2</w:t>
            </w:r>
            <w:r>
              <w:rPr>
                <w:rFonts w:hint="default" w:ascii="Times New Roman" w:hAnsi="Times New Roman" w:cs="Times New Roman"/>
                <w:color w:val="auto"/>
                <w:lang w:val="en-US" w:eastAsia="zh-CN"/>
              </w:rPr>
              <w:t>水样</w:t>
            </w:r>
            <w:r>
              <w:rPr>
                <w:rFonts w:hint="default"/>
                <w:color w:val="auto"/>
                <w:lang w:val="en-US" w:eastAsia="zh-CN"/>
              </w:rPr>
              <w:t>包装</w:t>
            </w:r>
            <w:r>
              <w:rPr>
                <w:rFonts w:hint="eastAsia"/>
                <w:color w:val="auto"/>
                <w:lang w:val="en-US" w:eastAsia="zh-CN"/>
              </w:rPr>
              <w:t>物</w:t>
            </w:r>
          </w:p>
          <w:p>
            <w:pPr>
              <w:pStyle w:val="36"/>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highlight w:val="none"/>
                <w:lang w:val="en-US" w:eastAsia="zh-CN"/>
              </w:rPr>
            </w:pPr>
            <w:r>
              <w:rPr>
                <w:rFonts w:hint="eastAsia"/>
                <w:color w:val="auto"/>
                <w:lang w:val="en-US" w:eastAsia="zh-CN"/>
              </w:rPr>
              <w:t>水样</w:t>
            </w:r>
            <w:r>
              <w:rPr>
                <w:rFonts w:hint="eastAsia"/>
                <w:color w:val="auto"/>
              </w:rPr>
              <w:t>送样产生一定的废包装品，如包装废物、废塑料袋、废纸箱等，应分类收集，分类处理，该部分废物产生量约</w:t>
            </w:r>
            <w:r>
              <w:rPr>
                <w:rFonts w:hint="eastAsia"/>
                <w:color w:val="auto"/>
                <w:lang w:val="en-US" w:eastAsia="zh-CN"/>
              </w:rPr>
              <w:t>0.2</w:t>
            </w:r>
            <w:r>
              <w:rPr>
                <w:rFonts w:hint="eastAsia"/>
                <w:color w:val="auto"/>
              </w:rPr>
              <w:t>t/a。该部分收集后，</w:t>
            </w:r>
            <w:r>
              <w:rPr>
                <w:rFonts w:hint="eastAsia"/>
                <w:color w:val="auto"/>
                <w:lang w:val="en-US" w:eastAsia="zh-CN"/>
              </w:rPr>
              <w:t>可</w:t>
            </w:r>
            <w:r>
              <w:rPr>
                <w:rFonts w:hint="eastAsia"/>
                <w:color w:val="auto"/>
              </w:rPr>
              <w:t>外售综合利用。</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②S3废树脂、S4废过滤材料</w:t>
            </w:r>
          </w:p>
          <w:p>
            <w:pPr>
              <w:pStyle w:val="36"/>
              <w:keepNext w:val="0"/>
              <w:keepLines w:val="0"/>
              <w:suppressLineNumbers w:val="0"/>
              <w:spacing w:before="0" w:beforeAutospacing="0" w:after="0" w:afterAutospacing="0"/>
              <w:ind w:left="0" w:right="0" w:firstLine="480"/>
              <w:rPr>
                <w:rFonts w:hint="eastAsia"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根据超纯水机厂家说明，超纯水机每次产生超纯水</w:t>
            </w:r>
            <w:r>
              <w:rPr>
                <w:rFonts w:hint="default" w:ascii="Times New Roman" w:hAnsi="Times New Roman" w:eastAsia="宋体" w:cs="Times New Roman"/>
                <w:color w:val="auto"/>
                <w:kern w:val="2"/>
                <w:sz w:val="24"/>
                <w:szCs w:val="20"/>
                <w:highlight w:val="none"/>
                <w:lang w:val="en-US" w:eastAsia="zh-CN" w:bidi="ar-SA"/>
              </w:rPr>
              <w:t>1</w:t>
            </w:r>
            <w:r>
              <w:rPr>
                <w:rFonts w:hint="eastAsia" w:cs="Times New Roman"/>
                <w:color w:val="auto"/>
                <w:kern w:val="2"/>
                <w:sz w:val="24"/>
                <w:szCs w:val="20"/>
                <w:highlight w:val="none"/>
                <w:lang w:val="en-US" w:eastAsia="zh-CN" w:bidi="ar-SA"/>
              </w:rPr>
              <w:t>～</w:t>
            </w:r>
            <w:r>
              <w:rPr>
                <w:rFonts w:hint="default" w:ascii="Times New Roman" w:hAnsi="Times New Roman" w:eastAsia="宋体" w:cs="Times New Roman"/>
                <w:color w:val="auto"/>
                <w:kern w:val="2"/>
                <w:sz w:val="24"/>
                <w:szCs w:val="20"/>
                <w:highlight w:val="none"/>
                <w:lang w:val="en-US" w:eastAsia="zh-CN" w:bidi="ar-SA"/>
              </w:rPr>
              <w:t>2t</w:t>
            </w:r>
            <w:r>
              <w:rPr>
                <w:rFonts w:hint="eastAsia" w:ascii="Times New Roman" w:hAnsi="Times New Roman" w:eastAsia="宋体" w:cs="Times New Roman"/>
                <w:color w:val="auto"/>
                <w:kern w:val="2"/>
                <w:sz w:val="24"/>
                <w:szCs w:val="20"/>
                <w:highlight w:val="none"/>
                <w:lang w:val="en-US" w:eastAsia="zh-CN" w:bidi="ar-SA"/>
              </w:rPr>
              <w:t>（按</w:t>
            </w:r>
            <w:r>
              <w:rPr>
                <w:rFonts w:hint="default" w:ascii="Times New Roman" w:hAnsi="Times New Roman" w:eastAsia="宋体" w:cs="Times New Roman"/>
                <w:color w:val="auto"/>
                <w:kern w:val="2"/>
                <w:sz w:val="24"/>
                <w:szCs w:val="20"/>
                <w:highlight w:val="none"/>
                <w:lang w:val="en-US" w:eastAsia="zh-CN" w:bidi="ar-SA"/>
              </w:rPr>
              <w:t>1.5t</w:t>
            </w:r>
            <w:r>
              <w:rPr>
                <w:rFonts w:hint="eastAsia" w:ascii="Times New Roman" w:hAnsi="Times New Roman" w:eastAsia="宋体" w:cs="Times New Roman"/>
                <w:color w:val="auto"/>
                <w:kern w:val="2"/>
                <w:sz w:val="24"/>
                <w:szCs w:val="20"/>
                <w:highlight w:val="none"/>
                <w:lang w:val="en-US" w:eastAsia="zh-CN" w:bidi="ar-SA"/>
              </w:rPr>
              <w:t>计），需要更换离子交换树脂和末端过滤材料，其重量约为</w:t>
            </w:r>
            <w:r>
              <w:rPr>
                <w:rFonts w:hint="default" w:ascii="Times New Roman" w:hAnsi="Times New Roman" w:eastAsia="宋体" w:cs="Times New Roman"/>
                <w:color w:val="auto"/>
                <w:kern w:val="2"/>
                <w:sz w:val="24"/>
                <w:szCs w:val="20"/>
                <w:highlight w:val="none"/>
                <w:lang w:val="en-US" w:eastAsia="zh-CN" w:bidi="ar-SA"/>
              </w:rPr>
              <w:t>5kg</w:t>
            </w:r>
            <w:r>
              <w:rPr>
                <w:rFonts w:hint="eastAsia" w:ascii="Times New Roman" w:hAnsi="Times New Roman" w:eastAsia="宋体" w:cs="Times New Roman"/>
                <w:color w:val="auto"/>
                <w:kern w:val="2"/>
                <w:sz w:val="24"/>
                <w:szCs w:val="20"/>
                <w:highlight w:val="none"/>
                <w:lang w:val="en-US" w:eastAsia="zh-CN" w:bidi="ar-SA"/>
              </w:rPr>
              <w:t>。每年制备超纯水水量约</w:t>
            </w:r>
            <w:r>
              <w:rPr>
                <w:rFonts w:hint="eastAsia" w:cs="Times New Roman"/>
                <w:color w:val="auto"/>
                <w:kern w:val="2"/>
                <w:sz w:val="24"/>
                <w:szCs w:val="20"/>
                <w:highlight w:val="none"/>
                <w:lang w:val="en-US" w:eastAsia="zh-CN" w:bidi="ar-SA"/>
              </w:rPr>
              <w:t>10</w:t>
            </w:r>
            <w:r>
              <w:rPr>
                <w:rFonts w:hint="default" w:ascii="Times New Roman" w:hAnsi="Times New Roman" w:eastAsia="宋体" w:cs="Times New Roman"/>
                <w:color w:val="auto"/>
                <w:kern w:val="2"/>
                <w:sz w:val="24"/>
                <w:szCs w:val="20"/>
                <w:highlight w:val="none"/>
                <w:lang w:val="en-US" w:eastAsia="zh-CN" w:bidi="ar-SA"/>
              </w:rPr>
              <w:t>t/a</w:t>
            </w:r>
            <w:r>
              <w:rPr>
                <w:rFonts w:hint="eastAsia" w:ascii="Times New Roman" w:hAnsi="Times New Roman" w:eastAsia="宋体" w:cs="Times New Roman"/>
                <w:color w:val="auto"/>
                <w:kern w:val="2"/>
                <w:sz w:val="24"/>
                <w:szCs w:val="20"/>
                <w:highlight w:val="none"/>
                <w:lang w:val="en-US" w:eastAsia="zh-CN" w:bidi="ar-SA"/>
              </w:rPr>
              <w:t>，则平均每年更换次数约7次，废离子交换树脂产生量约</w:t>
            </w:r>
            <w:r>
              <w:rPr>
                <w:rFonts w:hint="default" w:ascii="Times New Roman" w:hAnsi="Times New Roman" w:eastAsia="宋体" w:cs="Times New Roman"/>
                <w:color w:val="auto"/>
                <w:kern w:val="2"/>
                <w:sz w:val="24"/>
                <w:szCs w:val="20"/>
                <w:highlight w:val="none"/>
                <w:lang w:val="en-US" w:eastAsia="zh-CN" w:bidi="ar-SA"/>
              </w:rPr>
              <w:t>0.0</w:t>
            </w:r>
            <w:r>
              <w:rPr>
                <w:rFonts w:hint="eastAsia" w:cs="Times New Roman"/>
                <w:color w:val="auto"/>
                <w:kern w:val="2"/>
                <w:sz w:val="24"/>
                <w:szCs w:val="20"/>
                <w:highlight w:val="none"/>
                <w:lang w:val="en-US" w:eastAsia="zh-CN" w:bidi="ar-SA"/>
              </w:rPr>
              <w:t>35</w:t>
            </w:r>
            <w:r>
              <w:rPr>
                <w:rFonts w:hint="default" w:ascii="Times New Roman" w:hAnsi="Times New Roman" w:eastAsia="宋体" w:cs="Times New Roman"/>
                <w:color w:val="auto"/>
                <w:kern w:val="2"/>
                <w:sz w:val="24"/>
                <w:szCs w:val="20"/>
                <w:highlight w:val="none"/>
                <w:lang w:val="en-US" w:eastAsia="zh-CN" w:bidi="ar-SA"/>
              </w:rPr>
              <w:t>t/a</w:t>
            </w:r>
            <w:r>
              <w:rPr>
                <w:rFonts w:hint="eastAsia" w:ascii="Times New Roman" w:hAnsi="Times New Roman" w:eastAsia="宋体" w:cs="Times New Roman"/>
                <w:color w:val="auto"/>
                <w:kern w:val="2"/>
                <w:sz w:val="24"/>
                <w:szCs w:val="20"/>
                <w:highlight w:val="none"/>
                <w:lang w:val="en-US" w:eastAsia="zh-CN" w:bidi="ar-SA"/>
              </w:rPr>
              <w:t>，由原厂家回收替换。</w:t>
            </w:r>
          </w:p>
          <w:p>
            <w:pPr>
              <w:pStyle w:val="36"/>
              <w:keepNext w:val="0"/>
              <w:keepLines w:val="0"/>
              <w:suppressLineNumbers w:val="0"/>
              <w:spacing w:before="0" w:beforeAutospacing="0" w:after="0" w:afterAutospacing="0"/>
              <w:ind w:left="0" w:right="0" w:firstLine="480"/>
              <w:rPr>
                <w:rFonts w:hint="eastAsia" w:ascii="Times New Roman" w:hAnsi="Times New Roman" w:eastAsia="宋体" w:cs="Times New Roman"/>
                <w:color w:val="auto"/>
                <w:kern w:val="2"/>
                <w:sz w:val="24"/>
                <w:szCs w:val="20"/>
                <w:highlight w:val="none"/>
                <w:lang w:val="en-US" w:eastAsia="zh-CN" w:bidi="ar-SA"/>
              </w:rPr>
            </w:pPr>
            <w:r>
              <w:rPr>
                <w:rFonts w:hint="eastAsia" w:cs="宋体"/>
                <w:color w:val="auto"/>
                <w:lang w:val="en-US" w:eastAsia="zh-CN"/>
              </w:rPr>
              <w:t>③</w:t>
            </w:r>
            <w:r>
              <w:rPr>
                <w:rFonts w:hint="eastAsia" w:ascii="Times New Roman" w:hAnsi="Times New Roman" w:eastAsia="宋体" w:cs="Times New Roman"/>
                <w:color w:val="auto"/>
                <w:kern w:val="2"/>
                <w:sz w:val="24"/>
                <w:szCs w:val="20"/>
                <w:highlight w:val="none"/>
                <w:lang w:val="en-US" w:eastAsia="zh-CN" w:bidi="ar-SA"/>
              </w:rPr>
              <w:t>S7微生物废样品</w:t>
            </w:r>
          </w:p>
          <w:p>
            <w:pPr>
              <w:pStyle w:val="36"/>
              <w:keepNext w:val="0"/>
              <w:keepLines w:val="0"/>
              <w:suppressLineNumbers w:val="0"/>
              <w:spacing w:before="0" w:beforeAutospacing="0" w:after="0" w:afterAutospacing="0"/>
              <w:ind w:left="0" w:right="0" w:firstLine="480"/>
              <w:rPr>
                <w:rFonts w:hint="eastAsia" w:ascii="Times New Roman" w:hAnsi="Times New Roman" w:eastAsia="宋体" w:cs="Times New Roman"/>
                <w:color w:val="auto"/>
                <w:kern w:val="2"/>
                <w:sz w:val="24"/>
                <w:szCs w:val="20"/>
                <w:highlight w:val="none"/>
                <w:lang w:val="en-US" w:eastAsia="zh-CN" w:bidi="ar-SA"/>
              </w:rPr>
            </w:pPr>
            <w:r>
              <w:rPr>
                <w:rFonts w:hint="eastAsia"/>
                <w:color w:val="auto"/>
                <w:szCs w:val="21"/>
              </w:rPr>
              <w:t>项目</w:t>
            </w:r>
            <w:r>
              <w:rPr>
                <w:rFonts w:hint="eastAsia"/>
                <w:color w:val="auto"/>
                <w:szCs w:val="21"/>
                <w:lang w:val="en-US" w:eastAsia="zh-CN"/>
              </w:rPr>
              <w:t>在检测微生物指标是</w:t>
            </w:r>
            <w:r>
              <w:rPr>
                <w:rFonts w:hint="eastAsia"/>
                <w:color w:val="auto"/>
                <w:szCs w:val="21"/>
              </w:rPr>
              <w:t>将产生一定量的实验废样品（</w:t>
            </w:r>
            <w:r>
              <w:rPr>
                <w:rFonts w:hint="eastAsia"/>
                <w:color w:val="auto"/>
                <w:szCs w:val="21"/>
                <w:lang w:val="en-US" w:eastAsia="zh-CN"/>
              </w:rPr>
              <w:t>废培养基</w:t>
            </w:r>
            <w:r>
              <w:rPr>
                <w:rFonts w:hint="eastAsia"/>
                <w:color w:val="auto"/>
                <w:szCs w:val="21"/>
              </w:rPr>
              <w:t>），产生量约为0.</w:t>
            </w:r>
            <w:r>
              <w:rPr>
                <w:rFonts w:hint="eastAsia"/>
                <w:color w:val="auto"/>
                <w:szCs w:val="21"/>
                <w:lang w:val="en-US" w:eastAsia="zh-CN"/>
              </w:rPr>
              <w:t>2</w:t>
            </w:r>
            <w:r>
              <w:rPr>
                <w:rFonts w:hint="eastAsia"/>
                <w:color w:val="auto"/>
                <w:szCs w:val="21"/>
              </w:rPr>
              <w:t>t/a</w:t>
            </w:r>
            <w:r>
              <w:rPr>
                <w:rFonts w:hint="eastAsia"/>
                <w:color w:val="auto"/>
                <w:szCs w:val="21"/>
                <w:lang w:eastAsia="zh-CN"/>
              </w:rPr>
              <w:t>。</w:t>
            </w:r>
            <w:r>
              <w:rPr>
                <w:rFonts w:hint="eastAsia" w:ascii="Times New Roman" w:hAnsi="Times New Roman" w:eastAsia="宋体" w:cs="Times New Roman"/>
                <w:color w:val="auto"/>
                <w:kern w:val="2"/>
                <w:sz w:val="24"/>
                <w:szCs w:val="20"/>
                <w:highlight w:val="none"/>
                <w:lang w:val="en-US" w:eastAsia="zh-CN" w:bidi="ar-SA"/>
              </w:rPr>
              <w:t>微生物废样品经过高温灭菌后倒入废水处理设施进行处理</w:t>
            </w:r>
            <w:r>
              <w:rPr>
                <w:rFonts w:hint="eastAsia" w:cs="Times New Roman"/>
                <w:color w:val="auto"/>
                <w:kern w:val="2"/>
                <w:sz w:val="24"/>
                <w:szCs w:val="20"/>
                <w:highlight w:val="none"/>
                <w:lang w:val="en-US" w:eastAsia="zh-CN" w:bidi="ar-SA"/>
              </w:rPr>
              <w:t>。</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本项目一般固废产生情况及处置一览表</w:t>
            </w:r>
          </w:p>
          <w:tbl>
            <w:tblPr>
              <w:tblStyle w:val="32"/>
              <w:tblW w:w="8132"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757"/>
              <w:gridCol w:w="2034"/>
              <w:gridCol w:w="1339"/>
              <w:gridCol w:w="1961"/>
              <w:gridCol w:w="204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20" w:hRule="exact"/>
                <w:jc w:val="center"/>
              </w:trPr>
              <w:tc>
                <w:tcPr>
                  <w:tcW w:w="2791" w:type="dxa"/>
                  <w:gridSpan w:val="2"/>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类别</w:t>
                  </w:r>
                </w:p>
              </w:tc>
              <w:tc>
                <w:tcPr>
                  <w:tcW w:w="133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产生量（t/a）</w:t>
                  </w:r>
                </w:p>
              </w:tc>
              <w:tc>
                <w:tcPr>
                  <w:tcW w:w="1961"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cs="Times New Roman"/>
                      <w:b w:val="0"/>
                      <w:bCs w:val="0"/>
                      <w:color w:val="auto"/>
                      <w:sz w:val="21"/>
                      <w:szCs w:val="21"/>
                    </w:rPr>
                    <w:t>废物代码</w:t>
                  </w:r>
                </w:p>
              </w:tc>
              <w:tc>
                <w:tcPr>
                  <w:tcW w:w="2041"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处置方法</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20" w:hRule="exact"/>
                <w:jc w:val="center"/>
              </w:trPr>
              <w:tc>
                <w:tcPr>
                  <w:tcW w:w="757" w:type="dxa"/>
                  <w:vMerge w:val="restart"/>
                  <w:tcBorders>
                    <w:right w:val="single" w:color="auto" w:sz="4" w:space="0"/>
                  </w:tcBorders>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一般</w:t>
                  </w:r>
                  <w:r>
                    <w:rPr>
                      <w:rFonts w:hint="eastAsia" w:cs="Times New Roman"/>
                      <w:b w:val="0"/>
                      <w:bCs w:val="0"/>
                      <w:color w:val="auto"/>
                      <w:sz w:val="21"/>
                      <w:szCs w:val="21"/>
                      <w:lang w:val="en-US" w:eastAsia="zh-CN"/>
                    </w:rPr>
                    <w:t>工业固体废物</w:t>
                  </w:r>
                </w:p>
              </w:tc>
              <w:tc>
                <w:tcPr>
                  <w:tcW w:w="2034"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21"/>
                      <w:szCs w:val="21"/>
                      <w:lang w:val="en-US"/>
                    </w:rPr>
                  </w:pPr>
                  <w:r>
                    <w:rPr>
                      <w:rFonts w:hint="default" w:ascii="Times New Roman" w:hAnsi="Times New Roman" w:cs="Times New Roman"/>
                      <w:color w:val="auto"/>
                      <w:lang w:val="en-US" w:eastAsia="zh-CN"/>
                    </w:rPr>
                    <w:t>水样</w:t>
                  </w:r>
                  <w:r>
                    <w:rPr>
                      <w:rFonts w:hint="eastAsia" w:ascii="Times New Roman" w:hAnsi="Times New Roman" w:cs="Times New Roman"/>
                      <w:color w:val="auto"/>
                      <w:lang w:val="en-US" w:eastAsia="zh-CN"/>
                    </w:rPr>
                    <w:t>包装物</w:t>
                  </w:r>
                </w:p>
              </w:tc>
              <w:tc>
                <w:tcPr>
                  <w:tcW w:w="133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0.2</w:t>
                  </w:r>
                </w:p>
              </w:tc>
              <w:tc>
                <w:tcPr>
                  <w:tcW w:w="1961"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900-005</w:t>
                  </w:r>
                  <w:r>
                    <w:rPr>
                      <w:rFonts w:hint="default" w:ascii="Times New Roman" w:hAnsi="Times New Roman" w:cs="Times New Roman"/>
                      <w:b w:val="0"/>
                      <w:bCs w:val="0"/>
                      <w:color w:val="auto"/>
                      <w:sz w:val="21"/>
                      <w:szCs w:val="21"/>
                      <w:lang w:val="en-US" w:eastAsia="zh-CN"/>
                    </w:rPr>
                    <w:t>-</w:t>
                  </w:r>
                  <w:r>
                    <w:rPr>
                      <w:rFonts w:hint="eastAsia" w:ascii="Times New Roman" w:hAnsi="Times New Roman" w:cs="Times New Roman"/>
                      <w:b w:val="0"/>
                      <w:bCs w:val="0"/>
                      <w:color w:val="auto"/>
                      <w:sz w:val="21"/>
                      <w:szCs w:val="21"/>
                      <w:lang w:val="en-US" w:eastAsia="zh-CN"/>
                    </w:rPr>
                    <w:t>99</w:t>
                  </w:r>
                </w:p>
              </w:tc>
              <w:tc>
                <w:tcPr>
                  <w:tcW w:w="2041"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cs="Times New Roman"/>
                      <w:b w:val="0"/>
                      <w:bCs w:val="0"/>
                      <w:color w:val="auto"/>
                      <w:sz w:val="21"/>
                      <w:szCs w:val="21"/>
                      <w:lang w:eastAsia="zh-CN"/>
                    </w:rPr>
                    <w:t>外售综合利用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20" w:hRule="exact"/>
                <w:jc w:val="center"/>
              </w:trPr>
              <w:tc>
                <w:tcPr>
                  <w:tcW w:w="757" w:type="dxa"/>
                  <w:vMerge w:val="continue"/>
                  <w:tcBorders>
                    <w:right w:val="single" w:color="auto" w:sz="4" w:space="0"/>
                  </w:tcBorders>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p>
              </w:tc>
              <w:tc>
                <w:tcPr>
                  <w:tcW w:w="2034"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eastAsia="宋体" w:cs="Times New Roman"/>
                      <w:b w:val="0"/>
                      <w:bCs w:val="0"/>
                      <w:color w:val="auto"/>
                      <w:sz w:val="21"/>
                      <w:szCs w:val="21"/>
                      <w:lang w:val="en-US"/>
                    </w:rPr>
                  </w:pPr>
                  <w:r>
                    <w:rPr>
                      <w:rFonts w:hint="eastAsia"/>
                      <w:color w:val="auto"/>
                      <w:sz w:val="21"/>
                      <w:szCs w:val="21"/>
                      <w:lang w:val="en-US" w:eastAsia="zh-CN"/>
                    </w:rPr>
                    <w:t>废树脂、废过滤材料</w:t>
                  </w:r>
                </w:p>
              </w:tc>
              <w:tc>
                <w:tcPr>
                  <w:tcW w:w="133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0.035</w:t>
                  </w:r>
                </w:p>
              </w:tc>
              <w:tc>
                <w:tcPr>
                  <w:tcW w:w="1961"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900</w:t>
                  </w:r>
                  <w:r>
                    <w:rPr>
                      <w:rFonts w:hint="eastAsia" w:ascii="Times New Roman" w:hAnsi="Times New Roman" w:cs="Times New Roman"/>
                      <w:b w:val="0"/>
                      <w:bCs w:val="0"/>
                      <w:color w:val="auto"/>
                      <w:sz w:val="21"/>
                      <w:szCs w:val="21"/>
                      <w:lang w:val="en-US" w:eastAsia="zh-CN"/>
                    </w:rPr>
                    <w:t>-099</w:t>
                  </w:r>
                  <w:r>
                    <w:rPr>
                      <w:rFonts w:hint="default" w:ascii="Times New Roman" w:hAnsi="Times New Roman" w:cs="Times New Roman"/>
                      <w:b w:val="0"/>
                      <w:bCs w:val="0"/>
                      <w:color w:val="auto"/>
                      <w:sz w:val="21"/>
                      <w:szCs w:val="21"/>
                      <w:lang w:val="en-US" w:eastAsia="zh-CN"/>
                    </w:rPr>
                    <w:t>-</w:t>
                  </w:r>
                  <w:r>
                    <w:rPr>
                      <w:rFonts w:hint="eastAsia" w:ascii="Times New Roman" w:hAnsi="Times New Roman" w:cs="Times New Roman"/>
                      <w:b w:val="0"/>
                      <w:bCs w:val="0"/>
                      <w:color w:val="auto"/>
                      <w:sz w:val="21"/>
                      <w:szCs w:val="21"/>
                      <w:lang w:val="en-US" w:eastAsia="zh-CN"/>
                    </w:rPr>
                    <w:t>99</w:t>
                  </w:r>
                </w:p>
              </w:tc>
              <w:tc>
                <w:tcPr>
                  <w:tcW w:w="2041"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Calibri" w:hAnsi="Calibri" w:eastAsia="宋体" w:cs="Times New Roman"/>
                      <w:b w:val="0"/>
                      <w:bCs w:val="0"/>
                      <w:color w:val="auto"/>
                      <w:sz w:val="21"/>
                      <w:szCs w:val="21"/>
                      <w:lang w:val="en-US" w:eastAsia="zh-CN"/>
                    </w:rPr>
                  </w:pPr>
                  <w:r>
                    <w:rPr>
                      <w:rFonts w:hint="eastAsia" w:ascii="Calibri" w:hAnsi="Calibri" w:eastAsia="宋体" w:cs="Times New Roman"/>
                      <w:b w:val="0"/>
                      <w:bCs w:val="0"/>
                      <w:color w:val="auto"/>
                      <w:sz w:val="21"/>
                      <w:szCs w:val="21"/>
                      <w:lang w:val="en-US" w:eastAsia="zh-CN"/>
                    </w:rPr>
                    <w:t>厂家定期替换回收</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555" w:hRule="exact"/>
                <w:jc w:val="center"/>
              </w:trPr>
              <w:tc>
                <w:tcPr>
                  <w:tcW w:w="757" w:type="dxa"/>
                  <w:vMerge w:val="continue"/>
                  <w:tcBorders>
                    <w:right w:val="single" w:color="auto" w:sz="4" w:space="0"/>
                  </w:tcBorders>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p>
              </w:tc>
              <w:tc>
                <w:tcPr>
                  <w:tcW w:w="2034"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eastAsia"/>
                      <w:color w:val="auto"/>
                      <w:sz w:val="21"/>
                      <w:szCs w:val="21"/>
                      <w:lang w:val="en-US" w:eastAsia="zh-CN"/>
                    </w:rPr>
                  </w:pPr>
                  <w:r>
                    <w:rPr>
                      <w:rFonts w:hint="eastAsia"/>
                      <w:color w:val="auto"/>
                      <w:sz w:val="21"/>
                      <w:szCs w:val="21"/>
                      <w:lang w:val="en-US" w:eastAsia="zh-CN"/>
                    </w:rPr>
                    <w:t>微生物废样品</w:t>
                  </w:r>
                </w:p>
              </w:tc>
              <w:tc>
                <w:tcPr>
                  <w:tcW w:w="133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0.2</w:t>
                  </w:r>
                </w:p>
              </w:tc>
              <w:tc>
                <w:tcPr>
                  <w:tcW w:w="1961"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eastAsia"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900</w:t>
                  </w:r>
                  <w:r>
                    <w:rPr>
                      <w:rFonts w:hint="eastAsia" w:ascii="Times New Roman" w:hAnsi="Times New Roman" w:cs="Times New Roman"/>
                      <w:b w:val="0"/>
                      <w:bCs w:val="0"/>
                      <w:color w:val="auto"/>
                      <w:sz w:val="21"/>
                      <w:szCs w:val="21"/>
                      <w:lang w:val="en-US" w:eastAsia="zh-CN"/>
                    </w:rPr>
                    <w:t>-099</w:t>
                  </w:r>
                  <w:r>
                    <w:rPr>
                      <w:rFonts w:hint="default" w:ascii="Times New Roman" w:hAnsi="Times New Roman" w:cs="Times New Roman"/>
                      <w:b w:val="0"/>
                      <w:bCs w:val="0"/>
                      <w:color w:val="auto"/>
                      <w:sz w:val="21"/>
                      <w:szCs w:val="21"/>
                      <w:lang w:val="en-US" w:eastAsia="zh-CN"/>
                    </w:rPr>
                    <w:t>-</w:t>
                  </w:r>
                  <w:r>
                    <w:rPr>
                      <w:rFonts w:hint="eastAsia" w:ascii="Times New Roman" w:hAnsi="Times New Roman" w:cs="Times New Roman"/>
                      <w:b w:val="0"/>
                      <w:bCs w:val="0"/>
                      <w:color w:val="auto"/>
                      <w:sz w:val="21"/>
                      <w:szCs w:val="21"/>
                      <w:lang w:val="en-US" w:eastAsia="zh-CN"/>
                    </w:rPr>
                    <w:t>99</w:t>
                  </w:r>
                </w:p>
              </w:tc>
              <w:tc>
                <w:tcPr>
                  <w:tcW w:w="2041"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eastAsia" w:ascii="Calibri" w:hAnsi="Calibri" w:eastAsia="宋体" w:cs="Times New Roman"/>
                      <w:b w:val="0"/>
                      <w:bCs w:val="0"/>
                      <w:color w:val="auto"/>
                      <w:sz w:val="21"/>
                      <w:szCs w:val="21"/>
                      <w:lang w:val="en-US" w:eastAsia="zh-CN"/>
                    </w:rPr>
                  </w:pPr>
                  <w:r>
                    <w:rPr>
                      <w:rFonts w:hint="eastAsia" w:ascii="Calibri" w:hAnsi="Calibri" w:eastAsia="宋体" w:cs="Times New Roman"/>
                      <w:b w:val="0"/>
                      <w:bCs w:val="0"/>
                      <w:color w:val="auto"/>
                      <w:sz w:val="21"/>
                      <w:szCs w:val="21"/>
                      <w:lang w:val="en-US" w:eastAsia="zh-CN"/>
                    </w:rPr>
                    <w:t>高温灭菌后倒入废水处理设施处理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20" w:hRule="exact"/>
                <w:jc w:val="center"/>
              </w:trPr>
              <w:tc>
                <w:tcPr>
                  <w:tcW w:w="757" w:type="dxa"/>
                  <w:vMerge w:val="continue"/>
                  <w:tcBorders>
                    <w:right w:val="single" w:color="auto" w:sz="4" w:space="0"/>
                  </w:tcBorders>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p>
              </w:tc>
              <w:tc>
                <w:tcPr>
                  <w:tcW w:w="2034"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b/>
                      <w:bCs/>
                      <w:color w:val="auto"/>
                      <w:sz w:val="21"/>
                      <w:szCs w:val="21"/>
                      <w:lang w:val="en-US" w:eastAsia="zh-CN"/>
                    </w:rPr>
                  </w:pPr>
                  <w:r>
                    <w:rPr>
                      <w:rFonts w:hint="eastAsia"/>
                      <w:b/>
                      <w:bCs/>
                      <w:color w:val="auto"/>
                      <w:sz w:val="21"/>
                      <w:szCs w:val="21"/>
                      <w:lang w:val="en-US" w:eastAsia="zh-CN"/>
                    </w:rPr>
                    <w:t>小计</w:t>
                  </w:r>
                </w:p>
              </w:tc>
              <w:tc>
                <w:tcPr>
                  <w:tcW w:w="133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0.435</w:t>
                  </w:r>
                </w:p>
              </w:tc>
              <w:tc>
                <w:tcPr>
                  <w:tcW w:w="1961"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w:t>
                  </w:r>
                </w:p>
              </w:tc>
              <w:tc>
                <w:tcPr>
                  <w:tcW w:w="2041" w:type="dxa"/>
                  <w:vAlign w:val="center"/>
                </w:tcPr>
                <w:p>
                  <w:pPr>
                    <w:pStyle w:val="37"/>
                    <w:keepNext w:val="0"/>
                    <w:keepLines w:val="0"/>
                    <w:widowControl/>
                    <w:suppressLineNumbers w:val="0"/>
                    <w:bidi w:val="0"/>
                    <w:spacing w:before="0" w:beforeAutospacing="0" w:after="0" w:afterAutospacing="0"/>
                    <w:ind w:right="0"/>
                    <w:rPr>
                      <w:rFonts w:hint="default" w:ascii="Calibri" w:hAnsi="Calibri" w:eastAsia="宋体" w:cs="Times New Roman"/>
                      <w:b w:val="0"/>
                      <w:bCs w:val="0"/>
                      <w:color w:val="auto"/>
                      <w:szCs w:val="21"/>
                      <w:lang w:val="en-US" w:eastAsia="zh-CN"/>
                    </w:rPr>
                  </w:pPr>
                  <w:r>
                    <w:rPr>
                      <w:rFonts w:hint="eastAsia"/>
                      <w:color w:val="auto"/>
                      <w:szCs w:val="20"/>
                      <w:lang w:val="en-US" w:eastAsia="zh-CN"/>
                    </w:rPr>
                    <w:t>/</w:t>
                  </w:r>
                </w:p>
              </w:tc>
            </w:tr>
          </w:tbl>
          <w:p>
            <w:pPr>
              <w:pStyle w:val="36"/>
              <w:keepNext w:val="0"/>
              <w:keepLines w:val="0"/>
              <w:suppressLineNumbers w:val="0"/>
              <w:spacing w:before="0" w:beforeAutospacing="0" w:after="0" w:afterAutospacing="0"/>
              <w:ind w:left="0" w:right="0" w:firstLine="480"/>
              <w:rPr>
                <w:rFonts w:hint="eastAsia" w:ascii="Times New Roman" w:hAnsi="Times New Roman" w:eastAsia="宋体" w:cs="宋体"/>
                <w:color w:val="auto"/>
                <w:lang w:val="en-US" w:eastAsia="zh-CN"/>
              </w:rPr>
            </w:pPr>
            <w:r>
              <w:rPr>
                <w:rFonts w:hint="eastAsia" w:cs="Times New Roman"/>
                <w:b/>
                <w:bCs/>
                <w:color w:val="auto"/>
                <w:highlight w:val="none"/>
                <w:lang w:val="en-US" w:eastAsia="zh-CN"/>
              </w:rPr>
              <w:t>（2）危险废物</w:t>
            </w:r>
          </w:p>
          <w:p>
            <w:pPr>
              <w:pStyle w:val="36"/>
              <w:keepNext w:val="0"/>
              <w:keepLines w:val="0"/>
              <w:suppressLineNumbers w:val="0"/>
              <w:spacing w:before="0" w:beforeAutospacing="0" w:after="0" w:afterAutospacing="0"/>
              <w:ind w:left="0" w:right="0" w:firstLine="480"/>
              <w:rPr>
                <w:rFonts w:hint="eastAsia"/>
                <w:color w:val="auto"/>
                <w:lang w:val="en-US" w:eastAsia="zh-CN"/>
              </w:rPr>
            </w:pPr>
            <w:r>
              <w:rPr>
                <w:rFonts w:hint="eastAsia" w:cs="Times New Roman"/>
                <w:color w:val="auto"/>
                <w:highlight w:val="none"/>
                <w:lang w:val="en-US" w:eastAsia="zh-CN"/>
              </w:rPr>
              <w:t>①</w:t>
            </w:r>
            <w:r>
              <w:rPr>
                <w:rFonts w:hint="eastAsia"/>
                <w:color w:val="auto"/>
                <w:lang w:val="en-US" w:eastAsia="zh-CN"/>
              </w:rPr>
              <w:t>S1</w:t>
            </w:r>
            <w:r>
              <w:rPr>
                <w:rFonts w:hint="default"/>
                <w:color w:val="auto"/>
                <w:lang w:val="en-US" w:eastAsia="zh-CN"/>
              </w:rPr>
              <w:t>废</w:t>
            </w:r>
            <w:r>
              <w:rPr>
                <w:rFonts w:hint="eastAsia"/>
                <w:color w:val="auto"/>
                <w:lang w:val="en-US" w:eastAsia="zh-CN"/>
              </w:rPr>
              <w:t>试剂</w:t>
            </w:r>
            <w:r>
              <w:rPr>
                <w:rFonts w:hint="default"/>
                <w:color w:val="auto"/>
                <w:lang w:val="en-US" w:eastAsia="zh-CN"/>
              </w:rPr>
              <w:t>包装</w:t>
            </w:r>
            <w:r>
              <w:rPr>
                <w:rFonts w:hint="eastAsia"/>
                <w:color w:val="auto"/>
                <w:lang w:val="en-US" w:eastAsia="zh-CN"/>
              </w:rPr>
              <w:t>物</w:t>
            </w:r>
          </w:p>
          <w:p>
            <w:pPr>
              <w:pStyle w:val="36"/>
              <w:keepNext w:val="0"/>
              <w:keepLines w:val="0"/>
              <w:suppressLineNumbers w:val="0"/>
              <w:spacing w:before="0" w:beforeAutospacing="0" w:after="0" w:afterAutospacing="0"/>
              <w:ind w:left="0" w:right="0" w:firstLine="480"/>
              <w:rPr>
                <w:rFonts w:hint="default" w:eastAsia="宋体"/>
                <w:color w:val="auto"/>
                <w:lang w:val="en-US" w:eastAsia="zh-CN"/>
              </w:rPr>
            </w:pPr>
            <w:r>
              <w:rPr>
                <w:rFonts w:hint="eastAsia"/>
                <w:color w:val="auto"/>
                <w:lang w:val="en-US" w:eastAsia="zh-CN"/>
              </w:rPr>
              <w:t>项目试剂配备过程中</w:t>
            </w:r>
            <w:r>
              <w:rPr>
                <w:rFonts w:hint="eastAsia"/>
                <w:color w:val="auto"/>
              </w:rPr>
              <w:t>会产生一定的废包装品，如</w:t>
            </w:r>
            <w:r>
              <w:rPr>
                <w:rFonts w:hint="eastAsia"/>
                <w:color w:val="auto"/>
                <w:lang w:val="en-US" w:eastAsia="zh-CN"/>
              </w:rPr>
              <w:t>废试剂瓶，</w:t>
            </w:r>
            <w:r>
              <w:rPr>
                <w:rFonts w:hint="default" w:ascii="Times New Roman" w:hAnsi="Times New Roman" w:cs="Times New Roman"/>
                <w:color w:val="auto"/>
                <w:highlight w:val="none"/>
                <w:lang w:val="en-US" w:eastAsia="zh-CN"/>
              </w:rPr>
              <w:t>产生量约为</w:t>
            </w:r>
            <w:r>
              <w:rPr>
                <w:rFonts w:hint="eastAsia" w:cs="Times New Roman"/>
                <w:color w:val="auto"/>
                <w:highlight w:val="none"/>
                <w:lang w:val="en-US" w:eastAsia="zh-CN"/>
              </w:rPr>
              <w:t>0.02</w:t>
            </w:r>
            <w:r>
              <w:rPr>
                <w:rFonts w:hint="default" w:ascii="Times New Roman" w:hAnsi="Times New Roman" w:cs="Times New Roman"/>
                <w:color w:val="auto"/>
                <w:highlight w:val="none"/>
                <w:lang w:val="en-US" w:eastAsia="zh-CN"/>
              </w:rPr>
              <w:t>t/a。对照《国家危险废物名录（202</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年版）》，</w:t>
            </w:r>
            <w:r>
              <w:rPr>
                <w:rFonts w:hint="default"/>
                <w:color w:val="auto"/>
                <w:lang w:val="en-US" w:eastAsia="zh-CN"/>
              </w:rPr>
              <w:t>废</w:t>
            </w:r>
            <w:r>
              <w:rPr>
                <w:rFonts w:hint="eastAsia"/>
                <w:color w:val="auto"/>
                <w:lang w:val="en-US" w:eastAsia="zh-CN"/>
              </w:rPr>
              <w:t>试剂</w:t>
            </w:r>
            <w:r>
              <w:rPr>
                <w:rFonts w:hint="default"/>
                <w:color w:val="auto"/>
                <w:lang w:val="en-US" w:eastAsia="zh-CN"/>
              </w:rPr>
              <w:t>包装</w:t>
            </w:r>
            <w:r>
              <w:rPr>
                <w:rFonts w:hint="eastAsia"/>
                <w:color w:val="auto"/>
                <w:lang w:val="en-US" w:eastAsia="zh-CN"/>
              </w:rPr>
              <w:t>物</w:t>
            </w:r>
            <w:r>
              <w:rPr>
                <w:rFonts w:hint="default" w:ascii="Times New Roman" w:hAnsi="Times New Roman" w:cs="Times New Roman"/>
                <w:color w:val="auto"/>
                <w:highlight w:val="none"/>
                <w:lang w:val="en-US" w:eastAsia="zh-CN"/>
              </w:rPr>
              <w:t>属于危险废物，废物类别为HW49其他废物，废物代码为900-047-49。</w:t>
            </w:r>
          </w:p>
          <w:p>
            <w:pPr>
              <w:pStyle w:val="36"/>
              <w:keepNext w:val="0"/>
              <w:keepLines w:val="0"/>
              <w:suppressLineNumbers w:val="0"/>
              <w:spacing w:before="0" w:beforeAutospacing="0" w:after="0" w:afterAutospacing="0"/>
              <w:ind w:left="0" w:right="0" w:firstLine="480"/>
              <w:rPr>
                <w:rFonts w:hint="default" w:ascii="Times New Roman" w:hAnsi="Times New Roman" w:eastAsia="宋体" w:cs="宋体"/>
                <w:color w:val="auto"/>
                <w:lang w:val="en-US" w:eastAsia="zh-CN"/>
              </w:rPr>
            </w:pPr>
            <w:r>
              <w:rPr>
                <w:rFonts w:hint="eastAsia" w:cs="Times New Roman"/>
                <w:color w:val="auto"/>
                <w:highlight w:val="none"/>
                <w:lang w:val="en-US" w:eastAsia="zh-CN"/>
              </w:rPr>
              <w:t>②</w:t>
            </w:r>
            <w:r>
              <w:rPr>
                <w:rFonts w:hint="eastAsia" w:ascii="Times New Roman" w:hAnsi="Times New Roman" w:eastAsia="宋体" w:cs="宋体"/>
                <w:color w:val="auto"/>
                <w:lang w:val="en-US" w:eastAsia="zh-CN"/>
              </w:rPr>
              <w:t>S</w:t>
            </w:r>
            <w:r>
              <w:rPr>
                <w:rFonts w:hint="eastAsia" w:cs="宋体"/>
                <w:color w:val="auto"/>
                <w:lang w:val="en-US" w:eastAsia="zh-CN"/>
              </w:rPr>
              <w:t>5</w:t>
            </w:r>
            <w:r>
              <w:rPr>
                <w:rFonts w:hint="eastAsia" w:ascii="Times New Roman" w:hAnsi="Times New Roman" w:eastAsia="宋体" w:cs="宋体"/>
                <w:color w:val="auto"/>
                <w:lang w:val="en-US" w:eastAsia="zh-CN"/>
              </w:rPr>
              <w:t>高浓度废液</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本项目高浓度废液主要为</w:t>
            </w:r>
            <w:r>
              <w:rPr>
                <w:rFonts w:hint="eastAsia" w:cs="Times New Roman"/>
                <w:color w:val="auto"/>
                <w:highlight w:val="none"/>
                <w:lang w:val="en-US" w:eastAsia="zh-CN"/>
              </w:rPr>
              <w:t>实验过程产生</w:t>
            </w:r>
            <w:r>
              <w:rPr>
                <w:rFonts w:hint="default" w:ascii="Times New Roman" w:hAnsi="Times New Roman" w:cs="Times New Roman"/>
                <w:color w:val="auto"/>
                <w:highlight w:val="none"/>
                <w:lang w:val="en-US" w:eastAsia="zh-CN"/>
              </w:rPr>
              <w:t>废酸液、废碱液、有机废液等，产生量约为</w:t>
            </w:r>
            <w:r>
              <w:rPr>
                <w:rFonts w:hint="eastAsia" w:cs="Times New Roman"/>
                <w:color w:val="auto"/>
                <w:highlight w:val="none"/>
                <w:lang w:val="en-US" w:eastAsia="zh-CN"/>
              </w:rPr>
              <w:t>4.8</w:t>
            </w:r>
            <w:r>
              <w:rPr>
                <w:rFonts w:hint="default" w:ascii="Times New Roman" w:hAnsi="Times New Roman" w:cs="Times New Roman"/>
                <w:color w:val="auto"/>
                <w:highlight w:val="none"/>
                <w:lang w:val="en-US" w:eastAsia="zh-CN"/>
              </w:rPr>
              <w:t>t/a。对照《国家危险废物名录（202</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年版）》，高浓度废液属于危险废物，废物类别为HW49其他废物，废物代码为900-047-49。</w:t>
            </w:r>
          </w:p>
          <w:p>
            <w:pPr>
              <w:pStyle w:val="36"/>
              <w:keepNext w:val="0"/>
              <w:keepLines w:val="0"/>
              <w:suppressLineNumbers w:val="0"/>
              <w:spacing w:before="0" w:beforeAutospacing="0" w:after="0" w:afterAutospacing="0"/>
              <w:ind w:left="0" w:right="0" w:firstLine="480"/>
              <w:rPr>
                <w:rFonts w:hint="default" w:ascii="Times New Roman" w:hAnsi="Times New Roman" w:eastAsia="宋体" w:cs="宋体"/>
                <w:color w:val="auto"/>
                <w:lang w:val="en-US" w:eastAsia="zh-CN"/>
              </w:rPr>
            </w:pPr>
            <w:r>
              <w:rPr>
                <w:rFonts w:hint="eastAsia" w:cs="Times New Roman"/>
                <w:color w:val="auto"/>
                <w:highlight w:val="none"/>
                <w:lang w:val="en-US" w:eastAsia="zh-CN"/>
              </w:rPr>
              <w:t>③</w:t>
            </w:r>
            <w:r>
              <w:rPr>
                <w:rFonts w:hint="eastAsia" w:ascii="Times New Roman" w:hAnsi="Times New Roman" w:eastAsia="宋体" w:cs="宋体"/>
                <w:color w:val="auto"/>
                <w:lang w:val="en-US" w:eastAsia="zh-CN"/>
              </w:rPr>
              <w:t>S6废试剂</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项目运行过程中会储存一定量的样品，由于检测业务量存在时间上的不确定性，不可避免</w:t>
            </w:r>
            <w:r>
              <w:rPr>
                <w:rFonts w:hint="eastAsia" w:cs="Times New Roman"/>
                <w:color w:val="auto"/>
                <w:highlight w:val="none"/>
                <w:lang w:val="en-US" w:eastAsia="zh-CN"/>
              </w:rPr>
              <w:t>地</w:t>
            </w:r>
            <w:r>
              <w:rPr>
                <w:rFonts w:hint="default" w:ascii="Times New Roman" w:hAnsi="Times New Roman" w:cs="Times New Roman"/>
                <w:color w:val="auto"/>
                <w:highlight w:val="none"/>
                <w:lang w:val="en-US" w:eastAsia="zh-CN"/>
              </w:rPr>
              <w:t>会产生一些过期药品，</w:t>
            </w:r>
            <w:r>
              <w:rPr>
                <w:rFonts w:hint="eastAsia" w:cs="Times New Roman"/>
                <w:color w:val="auto"/>
                <w:highlight w:val="none"/>
                <w:lang w:val="en-US" w:eastAsia="zh-CN"/>
              </w:rPr>
              <w:t>以及检测过程中需要定期更换的试剂，如萃取剂等，</w:t>
            </w:r>
            <w:r>
              <w:rPr>
                <w:rFonts w:hint="default" w:ascii="Times New Roman" w:hAnsi="Times New Roman" w:cs="Times New Roman"/>
                <w:color w:val="auto"/>
                <w:highlight w:val="none"/>
                <w:lang w:val="en-US" w:eastAsia="zh-CN"/>
              </w:rPr>
              <w:t>但这部分药品的产生量不大，每年约为0.0</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t/a。属于危险废物，危废类别为HW49其他废物（废物代码900-002-03：生产、销售及使用过程中产生的失效、变质、不合格、淘汰、伪劣的药物和药品），采用专门容器收集密封后，分类收集后在实验室设置的危险废物暂存间暂存，</w:t>
            </w:r>
            <w:r>
              <w:rPr>
                <w:rFonts w:hint="default"/>
                <w:color w:val="auto"/>
                <w:lang w:val="en-US" w:eastAsia="zh-CN"/>
              </w:rPr>
              <w:t>委托有资质的危废处置单位进行无害化处理</w:t>
            </w:r>
            <w:r>
              <w:rPr>
                <w:rFonts w:hint="default" w:ascii="Times New Roman" w:hAnsi="Times New Roman" w:cs="Times New Roman"/>
                <w:color w:val="auto"/>
                <w:highlight w:val="none"/>
                <w:lang w:val="en-US" w:eastAsia="zh-CN"/>
              </w:rPr>
              <w:t>。</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eastAsia" w:cs="Times New Roman"/>
                <w:color w:val="auto"/>
                <w:spacing w:val="-6"/>
                <w:sz w:val="24"/>
                <w:szCs w:val="24"/>
                <w:highlight w:val="none"/>
                <w:u w:val="none"/>
                <w:lang w:val="en-US" w:eastAsia="zh-CN"/>
              </w:rPr>
              <w:t>④</w:t>
            </w:r>
            <w:r>
              <w:rPr>
                <w:rFonts w:hint="eastAsia" w:ascii="Times New Roman" w:hAnsi="Times New Roman" w:eastAsia="宋体" w:cs="宋体"/>
                <w:color w:val="auto"/>
                <w:lang w:val="en-US" w:eastAsia="zh-CN"/>
              </w:rPr>
              <w:t>S</w:t>
            </w:r>
            <w:r>
              <w:rPr>
                <w:rFonts w:hint="eastAsia" w:cs="宋体"/>
                <w:color w:val="auto"/>
                <w:lang w:val="en-US" w:eastAsia="zh-CN"/>
              </w:rPr>
              <w:t>8</w:t>
            </w:r>
            <w:r>
              <w:rPr>
                <w:rFonts w:hint="eastAsia" w:ascii="Times New Roman" w:hAnsi="Times New Roman" w:eastAsia="宋体" w:cs="宋体"/>
                <w:color w:val="auto"/>
                <w:lang w:val="en-US" w:eastAsia="zh-CN"/>
              </w:rPr>
              <w:t>实验室废物</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本项目实验室废物主要包括滴管、吸管、乳胶手套、滤纸、</w:t>
            </w:r>
            <w:r>
              <w:rPr>
                <w:rFonts w:hint="eastAsia" w:cs="Times New Roman"/>
                <w:color w:val="auto"/>
                <w:highlight w:val="none"/>
                <w:lang w:val="en-US" w:eastAsia="zh-CN"/>
              </w:rPr>
              <w:t>破碎试管</w:t>
            </w:r>
            <w:r>
              <w:rPr>
                <w:rFonts w:hint="default" w:ascii="Times New Roman" w:hAnsi="Times New Roman" w:cs="Times New Roman"/>
                <w:color w:val="auto"/>
                <w:highlight w:val="none"/>
                <w:lang w:val="en-US" w:eastAsia="zh-CN"/>
              </w:rPr>
              <w:t>等，产生量约为0.5t/a；对照《国家危险废物名录》(202</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年版)，实验室废物属于危险废物，废物类别为HW49其他废物，废物代码为900-047-49；收集后在实验室设置的危险废物暂存间暂存，</w:t>
            </w:r>
            <w:r>
              <w:rPr>
                <w:rFonts w:hint="default"/>
                <w:color w:val="auto"/>
                <w:lang w:val="en-US" w:eastAsia="zh-CN"/>
              </w:rPr>
              <w:t>委托有资质的危废处置单位进行无害化处理</w:t>
            </w:r>
            <w:r>
              <w:rPr>
                <w:rFonts w:hint="default" w:ascii="Times New Roman" w:hAnsi="Times New Roman" w:cs="Times New Roman"/>
                <w:color w:val="auto"/>
                <w:highlight w:val="none"/>
                <w:lang w:val="en-US" w:eastAsia="zh-CN"/>
              </w:rPr>
              <w:t>。</w:t>
            </w:r>
          </w:p>
          <w:p>
            <w:pPr>
              <w:pStyle w:val="36"/>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pacing w:val="-6"/>
                <w:sz w:val="24"/>
                <w:szCs w:val="24"/>
                <w:highlight w:val="none"/>
                <w:u w:val="none"/>
                <w:lang w:val="en-US" w:eastAsia="zh-CN"/>
              </w:rPr>
            </w:pPr>
            <w:r>
              <w:rPr>
                <w:rFonts w:hint="eastAsia" w:cs="Times New Roman"/>
                <w:color w:val="auto"/>
                <w:spacing w:val="-6"/>
                <w:sz w:val="24"/>
                <w:szCs w:val="24"/>
                <w:highlight w:val="none"/>
                <w:u w:val="none"/>
                <w:lang w:val="en-US" w:eastAsia="zh-CN"/>
              </w:rPr>
              <w:t>⑤</w:t>
            </w:r>
            <w:r>
              <w:rPr>
                <w:rFonts w:hint="eastAsia" w:ascii="Times New Roman" w:hAnsi="Times New Roman" w:eastAsia="宋体" w:cs="Times New Roman"/>
                <w:color w:val="auto"/>
                <w:spacing w:val="-6"/>
                <w:sz w:val="24"/>
                <w:szCs w:val="24"/>
                <w:highlight w:val="none"/>
                <w:u w:val="none"/>
                <w:lang w:val="en-US" w:eastAsia="zh-CN"/>
              </w:rPr>
              <w:t>S</w:t>
            </w:r>
            <w:r>
              <w:rPr>
                <w:rFonts w:hint="eastAsia" w:cs="Times New Roman"/>
                <w:color w:val="auto"/>
                <w:spacing w:val="-6"/>
                <w:sz w:val="24"/>
                <w:szCs w:val="24"/>
                <w:highlight w:val="none"/>
                <w:u w:val="none"/>
                <w:lang w:val="en-US" w:eastAsia="zh-CN"/>
              </w:rPr>
              <w:t>9</w:t>
            </w:r>
            <w:r>
              <w:rPr>
                <w:rFonts w:hint="eastAsia" w:ascii="Times New Roman" w:hAnsi="Times New Roman" w:eastAsia="宋体" w:cs="Times New Roman"/>
                <w:color w:val="auto"/>
                <w:spacing w:val="-6"/>
                <w:sz w:val="24"/>
                <w:szCs w:val="24"/>
                <w:highlight w:val="none"/>
                <w:u w:val="none"/>
                <w:lang w:val="en-US" w:eastAsia="zh-CN"/>
              </w:rPr>
              <w:t>废活性炭</w:t>
            </w:r>
          </w:p>
          <w:p>
            <w:pPr>
              <w:pStyle w:val="36"/>
              <w:keepNext w:val="0"/>
              <w:keepLines w:val="0"/>
              <w:suppressLineNumbers w:val="0"/>
              <w:spacing w:before="0" w:beforeAutospacing="0" w:after="0" w:afterAutospacing="0"/>
              <w:ind w:left="0" w:right="0" w:firstLine="480"/>
              <w:rPr>
                <w:rFonts w:hint="default" w:ascii="宋体" w:hAnsi="宋体"/>
                <w:color w:val="auto"/>
                <w:u w:val="none"/>
              </w:rPr>
            </w:pPr>
            <w:r>
              <w:rPr>
                <w:rFonts w:hint="eastAsia" w:ascii="宋体" w:hAnsi="宋体"/>
                <w:color w:val="auto"/>
                <w:u w:val="none"/>
                <w:lang w:val="en-US" w:eastAsia="zh-CN"/>
              </w:rPr>
              <w:t>本项目活性炭吸附装置设计填</w:t>
            </w:r>
            <w:r>
              <w:rPr>
                <w:rFonts w:hint="eastAsia"/>
                <w:color w:val="auto"/>
                <w:u w:val="none"/>
                <w:lang w:val="en-US" w:eastAsia="zh-CN"/>
              </w:rPr>
              <w:t>充量为35kg，参考</w:t>
            </w:r>
            <w:r>
              <w:rPr>
                <w:rFonts w:hint="default" w:ascii="宋体" w:hAnsi="宋体"/>
                <w:color w:val="auto"/>
                <w:u w:val="none"/>
                <w:lang w:val="en-US" w:eastAsia="zh-CN"/>
              </w:rPr>
              <w:t>《深圳市工业有机废气治理用活性炭更换技术指引(试行)》</w:t>
            </w:r>
            <w:r>
              <w:rPr>
                <w:rFonts w:hint="eastAsia" w:ascii="宋体" w:hAnsi="宋体"/>
                <w:color w:val="auto"/>
                <w:u w:val="none"/>
                <w:lang w:val="en-US" w:eastAsia="zh-CN"/>
              </w:rPr>
              <w:t>（深圳市生态环境局，</w:t>
            </w:r>
            <w:r>
              <w:rPr>
                <w:rFonts w:hint="eastAsia" w:ascii="宋体" w:hAnsi="宋体"/>
                <w:color w:val="auto"/>
                <w:u w:val="none"/>
              </w:rPr>
              <w:t>202</w:t>
            </w:r>
            <w:r>
              <w:rPr>
                <w:rFonts w:hint="eastAsia" w:ascii="宋体" w:hAnsi="宋体"/>
                <w:color w:val="auto"/>
                <w:u w:val="none"/>
                <w:lang w:val="en-US" w:eastAsia="zh-CN"/>
              </w:rPr>
              <w:t>3</w:t>
            </w:r>
            <w:r>
              <w:rPr>
                <w:rFonts w:hint="eastAsia" w:ascii="宋体" w:hAnsi="宋体"/>
                <w:color w:val="auto"/>
                <w:u w:val="none"/>
              </w:rPr>
              <w:t>年</w:t>
            </w:r>
            <w:r>
              <w:rPr>
                <w:rFonts w:hint="eastAsia" w:ascii="宋体" w:hAnsi="宋体"/>
                <w:color w:val="auto"/>
                <w:u w:val="none"/>
                <w:lang w:val="en-US" w:eastAsia="zh-CN"/>
              </w:rPr>
              <w:t>5</w:t>
            </w:r>
            <w:r>
              <w:rPr>
                <w:rFonts w:hint="eastAsia" w:ascii="宋体" w:hAnsi="宋体"/>
                <w:color w:val="auto"/>
                <w:u w:val="none"/>
              </w:rPr>
              <w:t>月</w:t>
            </w:r>
            <w:r>
              <w:rPr>
                <w:rFonts w:hint="eastAsia" w:ascii="宋体" w:hAnsi="宋体"/>
                <w:color w:val="auto"/>
                <w:u w:val="none"/>
                <w:lang w:val="en-US" w:eastAsia="zh-CN"/>
              </w:rPr>
              <w:t>）中</w:t>
            </w:r>
            <w:r>
              <w:rPr>
                <w:rFonts w:hint="default" w:ascii="宋体" w:hAnsi="宋体"/>
                <w:color w:val="auto"/>
                <w:u w:val="none"/>
                <w:lang w:val="en-US" w:eastAsia="zh-CN"/>
              </w:rPr>
              <w:t>活性炭更换周期</w:t>
            </w:r>
            <w:r>
              <w:rPr>
                <w:rFonts w:hint="eastAsia" w:ascii="宋体" w:hAnsi="宋体"/>
                <w:color w:val="auto"/>
                <w:u w:val="none"/>
                <w:lang w:val="en-US" w:eastAsia="zh-CN"/>
              </w:rPr>
              <w:t>公式计算活性炭更换周期。</w:t>
            </w:r>
          </w:p>
          <w:p>
            <w:pPr>
              <w:pStyle w:val="3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480"/>
              <w:textAlignment w:val="auto"/>
              <w:rPr>
                <w:rFonts w:hint="default" w:ascii="宋体" w:hAnsi="宋体"/>
                <w:color w:val="auto"/>
                <w:u w:val="none"/>
                <w:lang w:val="en-US" w:eastAsia="zh-CN"/>
              </w:rPr>
            </w:pPr>
            <m:oMathPara>
              <m:oMath>
                <m:r>
                  <m:rPr>
                    <m:sty m:val="p"/>
                  </m:rPr>
                  <w:rPr>
                    <w:rFonts w:hint="default" w:ascii="Cambria Math" w:hAnsi="Cambria Math" w:cs="宋体"/>
                    <w:color w:val="auto"/>
                    <w:kern w:val="0"/>
                    <w:sz w:val="24"/>
                    <w:szCs w:val="20"/>
                    <w:u w:val="none"/>
                    <w:lang w:val="en-US" w:eastAsia="zh-CN" w:bidi="ar-SA"/>
                  </w:rPr>
                  <m:t>T=</m:t>
                </m:r>
                <m:f>
                  <m:fPr>
                    <m:ctrlPr>
                      <w:rPr>
                        <w:rFonts w:hint="default" w:ascii="Cambria Math" w:hAnsi="Cambria Math" w:cs="宋体"/>
                        <w:color w:val="auto"/>
                        <w:kern w:val="0"/>
                        <w:sz w:val="24"/>
                        <w:szCs w:val="20"/>
                        <w:u w:val="none"/>
                        <w:lang w:val="en-US" w:eastAsia="zh-CN" w:bidi="ar-SA"/>
                      </w:rPr>
                    </m:ctrlPr>
                  </m:fPr>
                  <m:num>
                    <m:r>
                      <m:rPr>
                        <m:sty m:val="p"/>
                      </m:rPr>
                      <w:rPr>
                        <w:rFonts w:hint="default" w:ascii="Cambria Math" w:hAnsi="Cambria Math" w:cs="宋体"/>
                        <w:color w:val="auto"/>
                        <w:kern w:val="0"/>
                        <w:sz w:val="24"/>
                        <w:szCs w:val="20"/>
                        <w:u w:val="none"/>
                        <w:lang w:val="en-US" w:eastAsia="zh-CN" w:bidi="ar-SA"/>
                      </w:rPr>
                      <m:t>M</m:t>
                    </m:r>
                    <m:r>
                      <m:rPr>
                        <m:sty m:val="p"/>
                      </m:rPr>
                      <w:rPr>
                        <w:rFonts w:hint="default" w:ascii="Cambria Math" w:hAnsi="Cambria Math" w:cs="宋体"/>
                        <w:color w:val="auto"/>
                        <w:kern w:val="0"/>
                        <w:sz w:val="24"/>
                        <w:szCs w:val="20"/>
                        <w:u w:val="none"/>
                        <w:lang w:val="en-US" w:bidi="ar-SA"/>
                      </w:rPr>
                      <m:t>×</m:t>
                    </m:r>
                    <m:r>
                      <m:rPr>
                        <m:sty m:val="p"/>
                      </m:rPr>
                      <w:rPr>
                        <w:rFonts w:hint="default" w:ascii="Cambria Math" w:hAnsi="Cambria Math" w:cs="宋体"/>
                        <w:color w:val="auto"/>
                        <w:kern w:val="0"/>
                        <w:sz w:val="24"/>
                        <w:szCs w:val="20"/>
                        <w:u w:val="none"/>
                        <w:lang w:val="en-US" w:eastAsia="zh-CN" w:bidi="ar-SA"/>
                      </w:rPr>
                      <m:t>S</m:t>
                    </m:r>
                    <m:r>
                      <m:rPr>
                        <m:sty m:val="p"/>
                      </m:rPr>
                      <w:rPr>
                        <w:rFonts w:hint="default" w:ascii="Cambria Math" w:hAnsi="Cambria Math" w:cs="宋体"/>
                        <w:color w:val="auto"/>
                        <w:kern w:val="0"/>
                        <w:sz w:val="24"/>
                        <w:szCs w:val="20"/>
                        <w:u w:val="none"/>
                        <w:lang w:val="en-US" w:bidi="ar-SA"/>
                      </w:rPr>
                      <m:t>×</m:t>
                    </m:r>
                    <m:sSup>
                      <m:sSupPr>
                        <m:ctrlPr>
                          <w:rPr>
                            <w:rFonts w:hint="default" w:ascii="Cambria Math" w:hAnsi="Cambria Math" w:cs="宋体"/>
                            <w:color w:val="auto"/>
                            <w:kern w:val="0"/>
                            <w:sz w:val="24"/>
                            <w:szCs w:val="20"/>
                            <w:u w:val="none"/>
                            <w:lang w:val="en-US" w:bidi="ar-SA"/>
                          </w:rPr>
                        </m:ctrlPr>
                      </m:sSupPr>
                      <m:e>
                        <m:r>
                          <m:rPr>
                            <m:sty m:val="p"/>
                          </m:rPr>
                          <w:rPr>
                            <w:rFonts w:hint="default" w:ascii="Cambria Math" w:hAnsi="Cambria Math" w:cs="宋体"/>
                            <w:color w:val="auto"/>
                            <w:kern w:val="0"/>
                            <w:sz w:val="24"/>
                            <w:szCs w:val="20"/>
                            <w:u w:val="none"/>
                            <w:lang w:val="en-US" w:eastAsia="zh-CN" w:bidi="ar-SA"/>
                          </w:rPr>
                          <m:t>10</m:t>
                        </m:r>
                        <m:ctrlPr>
                          <w:rPr>
                            <w:rFonts w:hint="default" w:ascii="Cambria Math" w:hAnsi="Cambria Math" w:cs="宋体"/>
                            <w:color w:val="auto"/>
                            <w:kern w:val="0"/>
                            <w:sz w:val="24"/>
                            <w:szCs w:val="20"/>
                            <w:u w:val="none"/>
                            <w:lang w:val="en-US" w:bidi="ar-SA"/>
                          </w:rPr>
                        </m:ctrlPr>
                      </m:e>
                      <m:sup>
                        <m:r>
                          <m:rPr>
                            <m:sty m:val="p"/>
                          </m:rPr>
                          <w:rPr>
                            <w:rFonts w:hint="default" w:ascii="Cambria Math" w:hAnsi="Cambria Math" w:cs="宋体"/>
                            <w:color w:val="auto"/>
                            <w:kern w:val="0"/>
                            <w:sz w:val="24"/>
                            <w:szCs w:val="20"/>
                            <w:u w:val="none"/>
                            <w:lang w:val="en-US" w:eastAsia="zh-CN" w:bidi="ar-SA"/>
                          </w:rPr>
                          <m:t>6</m:t>
                        </m:r>
                        <m:ctrlPr>
                          <w:rPr>
                            <w:rFonts w:hint="default" w:ascii="Cambria Math" w:hAnsi="Cambria Math" w:cs="宋体"/>
                            <w:color w:val="auto"/>
                            <w:kern w:val="0"/>
                            <w:sz w:val="24"/>
                            <w:szCs w:val="20"/>
                            <w:u w:val="none"/>
                            <w:lang w:val="en-US" w:bidi="ar-SA"/>
                          </w:rPr>
                        </m:ctrlPr>
                      </m:sup>
                    </m:sSup>
                    <m:ctrlPr>
                      <w:rPr>
                        <w:rFonts w:hint="default" w:ascii="Cambria Math" w:hAnsi="Cambria Math" w:cs="宋体"/>
                        <w:color w:val="auto"/>
                        <w:kern w:val="0"/>
                        <w:sz w:val="24"/>
                        <w:szCs w:val="20"/>
                        <w:u w:val="none"/>
                        <w:lang w:val="en-US" w:eastAsia="zh-CN" w:bidi="ar-SA"/>
                      </w:rPr>
                    </m:ctrlPr>
                  </m:num>
                  <m:den>
                    <m:r>
                      <m:rPr>
                        <m:sty m:val="p"/>
                      </m:rPr>
                      <w:rPr>
                        <w:rFonts w:hint="default" w:ascii="Cambria Math" w:hAnsi="Cambria Math" w:cs="宋体"/>
                        <w:color w:val="auto"/>
                        <w:kern w:val="0"/>
                        <w:sz w:val="24"/>
                        <w:szCs w:val="20"/>
                        <w:u w:val="none"/>
                        <w:lang w:val="en-US" w:eastAsia="zh-CN" w:bidi="ar-SA"/>
                      </w:rPr>
                      <m:t>C</m:t>
                    </m:r>
                    <m:r>
                      <m:rPr>
                        <m:sty m:val="p"/>
                      </m:rPr>
                      <w:rPr>
                        <w:rFonts w:hint="default" w:ascii="Cambria Math" w:hAnsi="Cambria Math" w:cs="宋体"/>
                        <w:color w:val="auto"/>
                        <w:kern w:val="0"/>
                        <w:sz w:val="24"/>
                        <w:szCs w:val="20"/>
                        <w:u w:val="none"/>
                        <w:lang w:val="en-US" w:bidi="ar-SA"/>
                      </w:rPr>
                      <m:t>×</m:t>
                    </m:r>
                    <m:r>
                      <m:rPr>
                        <m:sty m:val="p"/>
                      </m:rPr>
                      <w:rPr>
                        <w:rFonts w:hint="default" w:ascii="Cambria Math" w:hAnsi="Cambria Math" w:cs="宋体"/>
                        <w:color w:val="auto"/>
                        <w:kern w:val="0"/>
                        <w:sz w:val="24"/>
                        <w:szCs w:val="20"/>
                        <w:u w:val="none"/>
                        <w:lang w:val="en-US" w:eastAsia="zh-CN" w:bidi="ar-SA"/>
                      </w:rPr>
                      <m:t>Q</m:t>
                    </m:r>
                    <m:r>
                      <m:rPr>
                        <m:sty m:val="p"/>
                      </m:rPr>
                      <w:rPr>
                        <w:rFonts w:hint="default" w:ascii="Cambria Math" w:hAnsi="Cambria Math" w:cs="宋体"/>
                        <w:color w:val="auto"/>
                        <w:kern w:val="0"/>
                        <w:sz w:val="24"/>
                        <w:szCs w:val="20"/>
                        <w:u w:val="none"/>
                        <w:lang w:val="en-US" w:bidi="ar-SA"/>
                      </w:rPr>
                      <m:t>×</m:t>
                    </m:r>
                    <m:r>
                      <m:rPr>
                        <m:sty m:val="p"/>
                      </m:rPr>
                      <w:rPr>
                        <w:rFonts w:hint="eastAsia" w:ascii="Cambria Math" w:hAnsi="Cambria Math" w:cs="宋体"/>
                        <w:color w:val="auto"/>
                        <w:kern w:val="0"/>
                        <w:sz w:val="24"/>
                        <w:szCs w:val="20"/>
                        <w:u w:val="none"/>
                        <w:lang w:val="en-US" w:eastAsia="zh-CN" w:bidi="ar-SA"/>
                      </w:rPr>
                      <m:t>t</m:t>
                    </m:r>
                    <m:ctrlPr>
                      <w:rPr>
                        <w:rFonts w:hint="default" w:ascii="Cambria Math" w:hAnsi="Cambria Math" w:cs="宋体"/>
                        <w:color w:val="auto"/>
                        <w:kern w:val="0"/>
                        <w:sz w:val="24"/>
                        <w:szCs w:val="20"/>
                        <w:u w:val="none"/>
                        <w:lang w:val="en-US" w:eastAsia="zh-CN" w:bidi="ar-SA"/>
                      </w:rPr>
                    </m:ctrlPr>
                  </m:den>
                </m:f>
              </m:oMath>
            </m:oMathPara>
          </w:p>
          <w:p>
            <w:pPr>
              <w:pStyle w:val="36"/>
              <w:keepNext w:val="0"/>
              <w:keepLines w:val="0"/>
              <w:suppressLineNumbers w:val="0"/>
              <w:spacing w:before="0" w:beforeAutospacing="0" w:after="0" w:afterAutospacing="0"/>
              <w:ind w:left="0" w:right="0" w:firstLine="480"/>
              <w:rPr>
                <w:rFonts w:hint="default" w:cs="Times New Roman"/>
                <w:color w:val="auto"/>
                <w:sz w:val="24"/>
                <w:szCs w:val="24"/>
                <w:highlight w:val="none"/>
                <w:u w:val="none"/>
                <w:lang w:val="en-US" w:eastAsia="zh-CN"/>
              </w:rPr>
            </w:pPr>
            <w:r>
              <w:rPr>
                <w:rFonts w:hint="default" w:cs="Times New Roman"/>
                <w:color w:val="auto"/>
                <w:sz w:val="24"/>
                <w:szCs w:val="24"/>
                <w:highlight w:val="none"/>
                <w:u w:val="none"/>
                <w:lang w:val="en-US" w:eastAsia="zh-CN"/>
              </w:rPr>
              <w:t>式中：</w:t>
            </w:r>
          </w:p>
          <w:p>
            <w:pPr>
              <w:pStyle w:val="36"/>
              <w:keepNext w:val="0"/>
              <w:keepLines w:val="0"/>
              <w:suppressLineNumbers w:val="0"/>
              <w:spacing w:before="0" w:beforeAutospacing="0" w:after="0" w:afterAutospacing="0"/>
              <w:ind w:left="0" w:right="0" w:firstLine="480"/>
              <w:rPr>
                <w:rFonts w:hint="default" w:cs="Times New Roman"/>
                <w:color w:val="auto"/>
                <w:sz w:val="24"/>
                <w:szCs w:val="24"/>
                <w:highlight w:val="none"/>
                <w:u w:val="none"/>
                <w:lang w:val="en-US" w:eastAsia="zh-CN"/>
              </w:rPr>
            </w:pPr>
            <w:r>
              <w:rPr>
                <w:rFonts w:hint="default" w:cs="Times New Roman"/>
                <w:color w:val="auto"/>
                <w:sz w:val="24"/>
                <w:szCs w:val="24"/>
                <w:highlight w:val="none"/>
                <w:u w:val="none"/>
                <w:lang w:val="en-US" w:eastAsia="zh-CN"/>
              </w:rPr>
              <w:t>T——更换周期，d；</w:t>
            </w:r>
          </w:p>
          <w:p>
            <w:pPr>
              <w:pStyle w:val="36"/>
              <w:keepNext w:val="0"/>
              <w:keepLines w:val="0"/>
              <w:suppressLineNumbers w:val="0"/>
              <w:spacing w:before="0" w:beforeAutospacing="0" w:after="0" w:afterAutospacing="0"/>
              <w:ind w:left="0" w:right="0" w:firstLine="480"/>
              <w:rPr>
                <w:rFonts w:hint="default" w:cs="Times New Roman"/>
                <w:color w:val="auto"/>
                <w:sz w:val="24"/>
                <w:szCs w:val="24"/>
                <w:highlight w:val="none"/>
                <w:u w:val="none"/>
                <w:lang w:val="en-US" w:eastAsia="zh-CN"/>
              </w:rPr>
            </w:pPr>
            <w:r>
              <w:rPr>
                <w:rFonts w:hint="default" w:cs="Times New Roman"/>
                <w:color w:val="auto"/>
                <w:sz w:val="24"/>
                <w:szCs w:val="24"/>
                <w:highlight w:val="none"/>
                <w:u w:val="none"/>
                <w:lang w:val="en-US" w:eastAsia="zh-CN"/>
              </w:rPr>
              <w:t>M——活性炭的用量，kg；</w:t>
            </w:r>
          </w:p>
          <w:p>
            <w:pPr>
              <w:pStyle w:val="36"/>
              <w:keepNext w:val="0"/>
              <w:keepLines w:val="0"/>
              <w:suppressLineNumbers w:val="0"/>
              <w:spacing w:before="0" w:beforeAutospacing="0" w:after="0" w:afterAutospacing="0"/>
              <w:ind w:left="0" w:right="0" w:firstLine="480"/>
              <w:rPr>
                <w:rFonts w:hint="default" w:cs="Times New Roman"/>
                <w:color w:val="auto"/>
                <w:sz w:val="24"/>
                <w:szCs w:val="24"/>
                <w:highlight w:val="none"/>
                <w:u w:val="none"/>
                <w:lang w:val="en-US" w:eastAsia="zh-CN"/>
              </w:rPr>
            </w:pPr>
            <w:r>
              <w:rPr>
                <w:rFonts w:hint="default" w:cs="Times New Roman"/>
                <w:color w:val="auto"/>
                <w:sz w:val="24"/>
                <w:szCs w:val="24"/>
                <w:highlight w:val="none"/>
                <w:u w:val="none"/>
                <w:lang w:val="en-US" w:eastAsia="zh-CN"/>
              </w:rPr>
              <w:t>s——动态吸附量，%；（一般取值15%）</w:t>
            </w:r>
          </w:p>
          <w:p>
            <w:pPr>
              <w:pStyle w:val="36"/>
              <w:keepNext w:val="0"/>
              <w:keepLines w:val="0"/>
              <w:suppressLineNumbers w:val="0"/>
              <w:spacing w:before="0" w:beforeAutospacing="0" w:after="0" w:afterAutospacing="0"/>
              <w:ind w:left="0" w:right="0" w:firstLine="480"/>
              <w:rPr>
                <w:rFonts w:hint="default" w:cs="Times New Roman"/>
                <w:color w:val="auto"/>
                <w:sz w:val="24"/>
                <w:szCs w:val="24"/>
                <w:highlight w:val="none"/>
                <w:u w:val="none"/>
                <w:lang w:val="en-US" w:eastAsia="zh-CN"/>
              </w:rPr>
            </w:pPr>
            <w:r>
              <w:rPr>
                <w:rFonts w:hint="default" w:cs="Times New Roman"/>
                <w:color w:val="auto"/>
                <w:sz w:val="24"/>
                <w:szCs w:val="24"/>
                <w:highlight w:val="none"/>
                <w:u w:val="none"/>
                <w:lang w:val="en-US" w:eastAsia="zh-CN"/>
              </w:rPr>
              <w:t>c——进口的VOCs浓度，mg/</w:t>
            </w:r>
            <w:r>
              <w:rPr>
                <w:rFonts w:hint="eastAsia" w:cs="Times New Roman"/>
                <w:color w:val="auto"/>
                <w:sz w:val="24"/>
                <w:szCs w:val="24"/>
                <w:highlight w:val="none"/>
                <w:u w:val="none"/>
                <w:lang w:val="en-US" w:eastAsia="zh-CN"/>
              </w:rPr>
              <w:t>m³</w:t>
            </w:r>
            <w:r>
              <w:rPr>
                <w:rFonts w:hint="default" w:cs="Times New Roman"/>
                <w:color w:val="auto"/>
                <w:sz w:val="24"/>
                <w:szCs w:val="24"/>
                <w:highlight w:val="none"/>
                <w:u w:val="none"/>
                <w:lang w:val="en-US" w:eastAsia="zh-CN"/>
              </w:rPr>
              <w:t>；</w:t>
            </w:r>
          </w:p>
          <w:p>
            <w:pPr>
              <w:pStyle w:val="36"/>
              <w:keepNext w:val="0"/>
              <w:keepLines w:val="0"/>
              <w:suppressLineNumbers w:val="0"/>
              <w:spacing w:before="0" w:beforeAutospacing="0" w:after="0" w:afterAutospacing="0"/>
              <w:ind w:left="0" w:right="0" w:firstLine="480"/>
              <w:rPr>
                <w:rFonts w:hint="default" w:cs="Times New Roman"/>
                <w:color w:val="auto"/>
                <w:sz w:val="24"/>
                <w:szCs w:val="24"/>
                <w:highlight w:val="none"/>
                <w:u w:val="none"/>
                <w:lang w:val="en-US" w:eastAsia="zh-CN"/>
              </w:rPr>
            </w:pPr>
            <w:r>
              <w:rPr>
                <w:rFonts w:hint="default" w:cs="Times New Roman"/>
                <w:color w:val="auto"/>
                <w:sz w:val="24"/>
                <w:szCs w:val="24"/>
                <w:highlight w:val="none"/>
                <w:u w:val="none"/>
                <w:lang w:val="en-US" w:eastAsia="zh-CN"/>
              </w:rPr>
              <w:t>Q——风量，</w:t>
            </w:r>
            <w:r>
              <w:rPr>
                <w:rFonts w:hint="eastAsia" w:cs="Times New Roman"/>
                <w:color w:val="auto"/>
                <w:sz w:val="24"/>
                <w:szCs w:val="24"/>
                <w:highlight w:val="none"/>
                <w:u w:val="none"/>
                <w:lang w:val="en-US" w:eastAsia="zh-CN"/>
              </w:rPr>
              <w:t>m³</w:t>
            </w:r>
            <w:r>
              <w:rPr>
                <w:rFonts w:hint="default" w:cs="Times New Roman"/>
                <w:color w:val="auto"/>
                <w:sz w:val="24"/>
                <w:szCs w:val="24"/>
                <w:highlight w:val="none"/>
                <w:u w:val="none"/>
                <w:lang w:val="en-US" w:eastAsia="zh-CN"/>
              </w:rPr>
              <w:t>/h；</w:t>
            </w:r>
          </w:p>
          <w:p>
            <w:pPr>
              <w:pStyle w:val="36"/>
              <w:keepNext w:val="0"/>
              <w:keepLines w:val="0"/>
              <w:suppressLineNumbers w:val="0"/>
              <w:spacing w:before="0" w:beforeAutospacing="0" w:after="0" w:afterAutospacing="0"/>
              <w:ind w:left="0" w:right="0" w:firstLine="480"/>
              <w:rPr>
                <w:rFonts w:hint="default" w:cs="Times New Roman"/>
                <w:color w:val="auto"/>
                <w:sz w:val="24"/>
                <w:szCs w:val="24"/>
                <w:highlight w:val="none"/>
                <w:u w:val="none"/>
                <w:lang w:val="en-US" w:eastAsia="zh-CN"/>
              </w:rPr>
            </w:pPr>
            <w:r>
              <w:rPr>
                <w:rFonts w:hint="default" w:cs="Times New Roman"/>
                <w:color w:val="auto"/>
                <w:sz w:val="24"/>
                <w:szCs w:val="24"/>
                <w:highlight w:val="none"/>
                <w:u w:val="none"/>
                <w:lang w:val="en-US" w:eastAsia="zh-CN"/>
              </w:rPr>
              <w:t>t——运行时间，h/d</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eastAsia" w:ascii="宋体" w:hAnsi="宋体"/>
                <w:color w:val="auto"/>
                <w:u w:val="none"/>
                <w:lang w:val="en-US" w:eastAsia="zh-CN"/>
              </w:rPr>
              <w:t>计算得</w:t>
            </w:r>
            <w:r>
              <w:rPr>
                <w:rFonts w:hint="default" w:cs="Times New Roman"/>
                <w:color w:val="auto"/>
                <w:sz w:val="24"/>
                <w:szCs w:val="24"/>
                <w:highlight w:val="none"/>
                <w:u w:val="none"/>
                <w:lang w:val="en-US" w:eastAsia="zh-CN"/>
              </w:rPr>
              <w:t>更换周期</w:t>
            </w:r>
            <w:r>
              <w:rPr>
                <w:rFonts w:hint="eastAsia" w:cs="Times New Roman"/>
                <w:color w:val="auto"/>
                <w:sz w:val="24"/>
                <w:szCs w:val="24"/>
                <w:highlight w:val="none"/>
                <w:u w:val="none"/>
                <w:lang w:val="en-US" w:eastAsia="zh-CN"/>
              </w:rPr>
              <w:t>为93</w:t>
            </w:r>
            <w:r>
              <w:rPr>
                <w:rFonts w:hint="default" w:cs="Times New Roman"/>
                <w:color w:val="auto"/>
                <w:sz w:val="24"/>
                <w:szCs w:val="24"/>
                <w:highlight w:val="none"/>
                <w:u w:val="none"/>
                <w:lang w:val="en-US" w:eastAsia="zh-CN"/>
              </w:rPr>
              <w:t>d</w:t>
            </w:r>
            <w:r>
              <w:rPr>
                <w:rFonts w:hint="eastAsia" w:cs="Times New Roman"/>
                <w:color w:val="auto"/>
                <w:sz w:val="24"/>
                <w:szCs w:val="24"/>
                <w:highlight w:val="none"/>
                <w:u w:val="none"/>
                <w:lang w:val="en-US" w:eastAsia="zh-CN"/>
              </w:rPr>
              <w:t>，</w:t>
            </w:r>
            <w:r>
              <w:rPr>
                <w:rFonts w:hint="eastAsia" w:eastAsia="宋体" w:cs="Times New Roman"/>
                <w:color w:val="auto"/>
                <w:sz w:val="24"/>
                <w:szCs w:val="24"/>
                <w:highlight w:val="none"/>
                <w:u w:val="none"/>
                <w:lang w:val="en-US" w:eastAsia="zh-CN"/>
              </w:rPr>
              <w:t>为保证活性炭的吸附有效性，</w:t>
            </w:r>
            <w:r>
              <w:rPr>
                <w:rFonts w:hint="eastAsia" w:cs="Times New Roman"/>
                <w:color w:val="auto"/>
                <w:sz w:val="24"/>
                <w:szCs w:val="24"/>
                <w:highlight w:val="none"/>
                <w:u w:val="none"/>
                <w:lang w:val="en-US" w:eastAsia="zh-CN"/>
              </w:rPr>
              <w:t>本项目3个月</w:t>
            </w:r>
            <w:r>
              <w:rPr>
                <w:rFonts w:hint="eastAsia" w:eastAsia="宋体" w:cs="Times New Roman"/>
                <w:color w:val="auto"/>
                <w:sz w:val="24"/>
                <w:szCs w:val="24"/>
                <w:highlight w:val="none"/>
                <w:u w:val="none"/>
                <w:lang w:val="en-US" w:eastAsia="zh-CN"/>
              </w:rPr>
              <w:t>更换一次</w:t>
            </w:r>
            <w:r>
              <w:rPr>
                <w:rFonts w:hint="eastAsia" w:cs="Times New Roman"/>
                <w:color w:val="auto"/>
                <w:sz w:val="24"/>
                <w:szCs w:val="24"/>
                <w:highlight w:val="none"/>
                <w:u w:val="none"/>
                <w:lang w:val="en-US" w:eastAsia="zh-CN"/>
              </w:rPr>
              <w:t>，废活性炭更换次数为4次/年，则消耗活性炭量为0.14</w:t>
            </w:r>
            <w:r>
              <w:rPr>
                <w:rFonts w:hint="default"/>
                <w:color w:val="auto"/>
                <w:u w:val="none"/>
              </w:rPr>
              <w:t>t/a</w:t>
            </w:r>
            <w:r>
              <w:rPr>
                <w:rFonts w:hint="eastAsia"/>
                <w:color w:val="auto"/>
                <w:u w:val="none"/>
                <w:lang w:eastAsia="zh-CN"/>
              </w:rPr>
              <w:t>。</w:t>
            </w:r>
            <w:r>
              <w:rPr>
                <w:rFonts w:hint="eastAsia"/>
                <w:color w:val="auto"/>
                <w:u w:val="none"/>
              </w:rPr>
              <w:t>本项目需吸附的有机废气量为</w:t>
            </w:r>
            <w:r>
              <w:rPr>
                <w:rFonts w:hint="eastAsia" w:cs="Times New Roman"/>
                <w:color w:val="auto"/>
                <w:sz w:val="24"/>
                <w:szCs w:val="24"/>
                <w:highlight w:val="none"/>
                <w:u w:val="none"/>
                <w:lang w:val="en-US" w:eastAsia="zh-CN"/>
              </w:rPr>
              <w:t>0.01</w:t>
            </w:r>
            <w:r>
              <w:rPr>
                <w:rFonts w:hint="default"/>
                <w:color w:val="auto"/>
                <w:u w:val="none"/>
              </w:rPr>
              <w:t>t/a</w:t>
            </w:r>
            <w:r>
              <w:rPr>
                <w:rFonts w:hint="eastAsia"/>
                <w:color w:val="auto"/>
                <w:u w:val="none"/>
              </w:rPr>
              <w:t>，</w:t>
            </w:r>
            <w:r>
              <w:rPr>
                <w:rFonts w:hint="eastAsia"/>
                <w:color w:val="auto"/>
                <w:u w:val="none"/>
                <w:lang w:val="en-US" w:eastAsia="zh-CN"/>
              </w:rPr>
              <w:t>故废活性炭产生量为0.141</w:t>
            </w:r>
            <w:r>
              <w:rPr>
                <w:rFonts w:hint="default"/>
                <w:color w:val="auto"/>
                <w:u w:val="none"/>
              </w:rPr>
              <w:t>t/a</w:t>
            </w:r>
            <w:r>
              <w:rPr>
                <w:rFonts w:hint="eastAsia" w:cs="Times New Roman"/>
                <w:color w:val="auto"/>
                <w:sz w:val="24"/>
                <w:szCs w:val="24"/>
                <w:highlight w:val="none"/>
                <w:u w:val="none"/>
                <w:lang w:val="en-US" w:eastAsia="zh-CN"/>
              </w:rPr>
              <w:t>。</w:t>
            </w:r>
            <w:r>
              <w:rPr>
                <w:rFonts w:hint="default" w:ascii="Times New Roman" w:hAnsi="Times New Roman" w:cs="Times New Roman"/>
                <w:color w:val="auto"/>
                <w:highlight w:val="none"/>
                <w:lang w:val="en-US" w:eastAsia="zh-CN"/>
              </w:rPr>
              <w:t>对照《国家危险废物名录（202</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年版）》，</w:t>
            </w:r>
            <w:r>
              <w:rPr>
                <w:rFonts w:hint="eastAsia" w:ascii="Times New Roman" w:hAnsi="Times New Roman" w:eastAsia="宋体" w:cs="Times New Roman"/>
                <w:color w:val="auto"/>
                <w:spacing w:val="-6"/>
                <w:sz w:val="24"/>
                <w:szCs w:val="24"/>
                <w:highlight w:val="none"/>
                <w:u w:val="none"/>
                <w:lang w:val="en-US" w:eastAsia="zh-CN"/>
              </w:rPr>
              <w:t>废活性炭</w:t>
            </w:r>
            <w:r>
              <w:rPr>
                <w:rFonts w:hint="default" w:ascii="Times New Roman" w:hAnsi="Times New Roman" w:cs="Times New Roman"/>
                <w:color w:val="auto"/>
                <w:highlight w:val="none"/>
                <w:lang w:val="en-US" w:eastAsia="zh-CN"/>
              </w:rPr>
              <w:t>危废</w:t>
            </w:r>
            <w:r>
              <w:rPr>
                <w:rFonts w:hint="eastAsia" w:cs="Times New Roman"/>
                <w:color w:val="auto"/>
                <w:highlight w:val="none"/>
                <w:lang w:val="en-US" w:eastAsia="zh-CN"/>
              </w:rPr>
              <w:t>类别为</w:t>
            </w:r>
            <w:r>
              <w:rPr>
                <w:rFonts w:hint="default" w:ascii="Times New Roman" w:hAnsi="Times New Roman" w:cs="Times New Roman"/>
                <w:color w:val="auto"/>
                <w:highlight w:val="none"/>
                <w:lang w:val="en-US" w:eastAsia="zh-CN"/>
              </w:rPr>
              <w:t>HW49</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废物代码900-0</w:t>
            </w:r>
            <w:r>
              <w:rPr>
                <w:rFonts w:hint="eastAsia" w:ascii="Times New Roman" w:hAnsi="Times New Roman" w:cs="Times New Roman"/>
                <w:color w:val="auto"/>
                <w:highlight w:val="none"/>
                <w:lang w:val="en-US" w:eastAsia="zh-CN"/>
              </w:rPr>
              <w:t>39</w:t>
            </w:r>
            <w:r>
              <w:rPr>
                <w:rFonts w:hint="default" w:ascii="Times New Roman" w:hAnsi="Times New Roman" w:cs="Times New Roman"/>
                <w:color w:val="auto"/>
                <w:highlight w:val="none"/>
                <w:lang w:val="en-US" w:eastAsia="zh-CN"/>
              </w:rPr>
              <w:t>-49。</w:t>
            </w:r>
          </w:p>
          <w:p>
            <w:pPr>
              <w:pStyle w:val="36"/>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pacing w:val="-6"/>
                <w:sz w:val="24"/>
                <w:szCs w:val="24"/>
                <w:highlight w:val="none"/>
                <w:u w:val="none"/>
                <w:lang w:val="en-US" w:eastAsia="zh-CN"/>
              </w:rPr>
            </w:pPr>
            <w:r>
              <w:rPr>
                <w:rFonts w:hint="eastAsia" w:cs="Times New Roman"/>
                <w:color w:val="auto"/>
                <w:spacing w:val="-6"/>
                <w:sz w:val="24"/>
                <w:szCs w:val="24"/>
                <w:highlight w:val="none"/>
                <w:u w:val="none"/>
                <w:lang w:val="en-US" w:eastAsia="zh-CN"/>
              </w:rPr>
              <w:t>⑥</w:t>
            </w:r>
            <w:r>
              <w:rPr>
                <w:rFonts w:hint="eastAsia" w:ascii="Times New Roman" w:hAnsi="Times New Roman" w:eastAsia="宋体" w:cs="Times New Roman"/>
                <w:color w:val="auto"/>
                <w:spacing w:val="-6"/>
                <w:sz w:val="24"/>
                <w:szCs w:val="24"/>
                <w:highlight w:val="none"/>
                <w:u w:val="none"/>
                <w:lang w:val="en-US" w:eastAsia="zh-CN"/>
              </w:rPr>
              <w:t>S</w:t>
            </w:r>
            <w:r>
              <w:rPr>
                <w:rFonts w:hint="eastAsia" w:cs="Times New Roman"/>
                <w:color w:val="auto"/>
                <w:spacing w:val="-6"/>
                <w:sz w:val="24"/>
                <w:szCs w:val="24"/>
                <w:highlight w:val="none"/>
                <w:u w:val="none"/>
                <w:lang w:val="en-US" w:eastAsia="zh-CN"/>
              </w:rPr>
              <w:t>10</w:t>
            </w:r>
            <w:r>
              <w:rPr>
                <w:rFonts w:hint="eastAsia" w:ascii="Times New Roman" w:hAnsi="Times New Roman" w:eastAsia="宋体" w:cs="Times New Roman"/>
                <w:color w:val="auto"/>
                <w:spacing w:val="-6"/>
                <w:sz w:val="24"/>
                <w:szCs w:val="24"/>
                <w:highlight w:val="none"/>
                <w:u w:val="none"/>
                <w:lang w:val="en-US" w:eastAsia="zh-CN"/>
              </w:rPr>
              <w:t>喷淋废液</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项目设置喷淋塔，其更换的废水量为</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t/a。将喷淋塔废水倒入专用的废液收集桶，收集后于危废暂存间存放，并委托有危废处置资质的单位收集处理。对照《国家危险废物名录（202</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年版）》，喷淋塔废水危废</w:t>
            </w:r>
            <w:r>
              <w:rPr>
                <w:rFonts w:hint="eastAsia" w:cs="Times New Roman"/>
                <w:color w:val="auto"/>
                <w:highlight w:val="none"/>
                <w:lang w:val="en-US" w:eastAsia="zh-CN"/>
              </w:rPr>
              <w:t>类别为</w:t>
            </w:r>
            <w:r>
              <w:rPr>
                <w:rFonts w:hint="default" w:ascii="Times New Roman" w:hAnsi="Times New Roman" w:cs="Times New Roman"/>
                <w:color w:val="auto"/>
                <w:highlight w:val="none"/>
                <w:lang w:val="en-US" w:eastAsia="zh-CN"/>
              </w:rPr>
              <w:t>HW49，废物代码900-047-49。</w:t>
            </w:r>
          </w:p>
          <w:p>
            <w:pPr>
              <w:pStyle w:val="36"/>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pacing w:val="-6"/>
                <w:sz w:val="24"/>
                <w:szCs w:val="24"/>
                <w:highlight w:val="none"/>
                <w:u w:val="none"/>
                <w:lang w:val="en-US" w:eastAsia="zh-CN"/>
              </w:rPr>
            </w:pPr>
            <w:r>
              <w:rPr>
                <w:rFonts w:hint="eastAsia" w:cs="Times New Roman"/>
                <w:color w:val="auto"/>
                <w:spacing w:val="-6"/>
                <w:sz w:val="24"/>
                <w:szCs w:val="24"/>
                <w:highlight w:val="none"/>
                <w:u w:val="none"/>
                <w:lang w:val="en-US" w:eastAsia="zh-CN"/>
              </w:rPr>
              <w:t>⑦</w:t>
            </w:r>
            <w:r>
              <w:rPr>
                <w:rFonts w:hint="eastAsia" w:ascii="Times New Roman" w:hAnsi="Times New Roman" w:eastAsia="宋体" w:cs="Times New Roman"/>
                <w:color w:val="auto"/>
                <w:spacing w:val="-6"/>
                <w:sz w:val="24"/>
                <w:szCs w:val="24"/>
                <w:highlight w:val="none"/>
                <w:u w:val="none"/>
                <w:lang w:val="en-US" w:eastAsia="zh-CN"/>
              </w:rPr>
              <w:t>S1</w:t>
            </w:r>
            <w:r>
              <w:rPr>
                <w:rFonts w:hint="eastAsia" w:cs="Times New Roman"/>
                <w:color w:val="auto"/>
                <w:spacing w:val="-6"/>
                <w:sz w:val="24"/>
                <w:szCs w:val="24"/>
                <w:highlight w:val="none"/>
                <w:u w:val="none"/>
                <w:lang w:val="en-US" w:eastAsia="zh-CN"/>
              </w:rPr>
              <w:t>1</w:t>
            </w:r>
            <w:r>
              <w:rPr>
                <w:rFonts w:hint="eastAsia" w:ascii="Times New Roman" w:hAnsi="Times New Roman" w:eastAsia="宋体" w:cs="Times New Roman"/>
                <w:color w:val="auto"/>
                <w:spacing w:val="-6"/>
                <w:sz w:val="24"/>
                <w:szCs w:val="24"/>
                <w:highlight w:val="none"/>
                <w:u w:val="none"/>
                <w:lang w:val="en-US" w:eastAsia="zh-CN"/>
              </w:rPr>
              <w:t>污泥</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项目设置</w:t>
            </w:r>
            <w:r>
              <w:rPr>
                <w:rFonts w:hint="eastAsia" w:ascii="Times New Roman" w:hAnsi="Times New Roman" w:cs="Times New Roman"/>
                <w:color w:val="auto"/>
                <w:highlight w:val="none"/>
                <w:lang w:val="en-US" w:eastAsia="zh-CN"/>
              </w:rPr>
              <w:t>实验室废水处理设施</w:t>
            </w:r>
            <w:r>
              <w:rPr>
                <w:rFonts w:hint="default" w:ascii="Times New Roman" w:hAnsi="Times New Roman" w:cs="Times New Roman"/>
                <w:color w:val="auto"/>
                <w:highlight w:val="none"/>
                <w:lang w:val="en-US" w:eastAsia="zh-CN"/>
              </w:rPr>
              <w:t>，</w:t>
            </w:r>
            <w:r>
              <w:rPr>
                <w:rFonts w:hint="eastAsia" w:ascii="Times New Roman" w:hAnsi="Times New Roman" w:cs="Times New Roman"/>
                <w:color w:val="auto"/>
                <w:highlight w:val="none"/>
                <w:lang w:val="en-US" w:eastAsia="zh-CN"/>
              </w:rPr>
              <w:t>处理设施运行污泥产生量约</w:t>
            </w:r>
            <w:r>
              <w:rPr>
                <w:rFonts w:hint="default" w:ascii="Times New Roman" w:hAnsi="Times New Roman" w:cs="Times New Roman"/>
                <w:color w:val="auto"/>
                <w:highlight w:val="none"/>
                <w:lang w:val="en-US" w:eastAsia="zh-CN"/>
              </w:rPr>
              <w:t>为</w:t>
            </w:r>
            <w:r>
              <w:rPr>
                <w:rFonts w:hint="eastAsia" w:cs="Times New Roman"/>
                <w:color w:val="auto"/>
                <w:highlight w:val="none"/>
                <w:lang w:val="en-US" w:eastAsia="zh-CN"/>
              </w:rPr>
              <w:t>0.01</w:t>
            </w:r>
            <w:r>
              <w:rPr>
                <w:rFonts w:hint="default" w:ascii="Times New Roman" w:hAnsi="Times New Roman" w:cs="Times New Roman"/>
                <w:color w:val="auto"/>
                <w:highlight w:val="none"/>
                <w:lang w:val="en-US" w:eastAsia="zh-CN"/>
              </w:rPr>
              <w:t>t/a。</w:t>
            </w:r>
            <w:r>
              <w:rPr>
                <w:rFonts w:hint="eastAsia" w:ascii="Times New Roman" w:hAnsi="Times New Roman" w:cs="Times New Roman"/>
                <w:color w:val="auto"/>
                <w:highlight w:val="none"/>
                <w:lang w:val="en-US" w:eastAsia="zh-CN"/>
              </w:rPr>
              <w:t>污泥</w:t>
            </w:r>
            <w:r>
              <w:rPr>
                <w:rFonts w:hint="default" w:ascii="Times New Roman" w:hAnsi="Times New Roman" w:cs="Times New Roman"/>
                <w:color w:val="auto"/>
                <w:highlight w:val="none"/>
                <w:lang w:val="en-US" w:eastAsia="zh-CN"/>
              </w:rPr>
              <w:t>收集后于危废暂存间存放，并委托有危废处置资质的单位收集处理。对照《国家危险废物名录（202</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en-US" w:eastAsia="zh-CN"/>
              </w:rPr>
              <w:t>年版）》，</w:t>
            </w:r>
            <w:r>
              <w:rPr>
                <w:rFonts w:hint="eastAsia" w:ascii="Times New Roman" w:hAnsi="Times New Roman" w:cs="Times New Roman"/>
                <w:color w:val="auto"/>
                <w:highlight w:val="none"/>
                <w:lang w:val="en-US" w:eastAsia="zh-CN"/>
              </w:rPr>
              <w:t>该污泥</w:t>
            </w:r>
            <w:r>
              <w:rPr>
                <w:rFonts w:hint="default" w:ascii="Times New Roman" w:hAnsi="Times New Roman" w:cs="Times New Roman"/>
                <w:color w:val="auto"/>
                <w:highlight w:val="none"/>
                <w:lang w:val="en-US" w:eastAsia="zh-CN"/>
              </w:rPr>
              <w:t>危废</w:t>
            </w:r>
            <w:r>
              <w:rPr>
                <w:rFonts w:hint="eastAsia" w:cs="Times New Roman"/>
                <w:color w:val="auto"/>
                <w:highlight w:val="none"/>
                <w:lang w:val="en-US" w:eastAsia="zh-CN"/>
              </w:rPr>
              <w:t>类别为</w:t>
            </w:r>
            <w:r>
              <w:rPr>
                <w:rFonts w:hint="default" w:ascii="Times New Roman" w:hAnsi="Times New Roman" w:cs="Times New Roman"/>
                <w:color w:val="auto"/>
                <w:highlight w:val="none"/>
                <w:lang w:val="en-US" w:eastAsia="zh-CN"/>
              </w:rPr>
              <w:t>HW49，废物代码772-006-49。</w:t>
            </w:r>
          </w:p>
          <w:p>
            <w:pPr>
              <w:pStyle w:val="36"/>
              <w:keepNext w:val="0"/>
              <w:keepLines w:val="0"/>
              <w:suppressLineNumbers w:val="0"/>
              <w:spacing w:before="0" w:beforeAutospacing="0" w:after="0" w:afterAutospacing="0"/>
              <w:ind w:left="0" w:right="0" w:firstLine="480"/>
              <w:rPr>
                <w:rFonts w:hint="eastAsia" w:cs="Times New Roman"/>
                <w:color w:val="auto"/>
                <w:spacing w:val="-6"/>
                <w:sz w:val="24"/>
                <w:szCs w:val="24"/>
                <w:highlight w:val="none"/>
                <w:u w:val="none"/>
                <w:lang w:val="en-US" w:eastAsia="zh-CN"/>
              </w:rPr>
            </w:pPr>
            <w:r>
              <w:rPr>
                <w:rFonts w:hint="eastAsia" w:cs="Times New Roman"/>
                <w:color w:val="auto"/>
                <w:spacing w:val="-6"/>
                <w:sz w:val="24"/>
                <w:szCs w:val="24"/>
                <w:highlight w:val="none"/>
                <w:u w:val="none"/>
                <w:lang w:val="en-US" w:eastAsia="zh-CN"/>
              </w:rPr>
              <w:t>⑧S12废重金属捕捉器</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项目设置</w:t>
            </w:r>
            <w:r>
              <w:rPr>
                <w:rFonts w:hint="eastAsia" w:ascii="Times New Roman" w:hAnsi="Times New Roman" w:cs="Times New Roman"/>
                <w:color w:val="auto"/>
                <w:highlight w:val="none"/>
                <w:lang w:val="en-US" w:eastAsia="zh-CN"/>
              </w:rPr>
              <w:t>实验室废水处理设施</w:t>
            </w:r>
            <w:r>
              <w:rPr>
                <w:rFonts w:hint="default" w:ascii="Times New Roman" w:hAnsi="Times New Roman" w:cs="Times New Roman"/>
                <w:color w:val="auto"/>
                <w:highlight w:val="none"/>
                <w:lang w:val="en-US" w:eastAsia="zh-CN"/>
              </w:rPr>
              <w:t>，</w:t>
            </w:r>
            <w:r>
              <w:rPr>
                <w:rFonts w:hint="eastAsia" w:ascii="Times New Roman" w:hAnsi="Times New Roman" w:cs="Times New Roman"/>
                <w:color w:val="auto"/>
                <w:highlight w:val="none"/>
                <w:lang w:val="en-US" w:eastAsia="zh-CN"/>
              </w:rPr>
              <w:t>处理设施运行</w:t>
            </w:r>
            <w:r>
              <w:rPr>
                <w:rFonts w:hint="eastAsia" w:cs="Times New Roman"/>
                <w:color w:val="auto"/>
                <w:highlight w:val="none"/>
                <w:lang w:val="en-US" w:eastAsia="zh-CN"/>
              </w:rPr>
              <w:t>定期需要对</w:t>
            </w:r>
            <w:r>
              <w:rPr>
                <w:rFonts w:hint="eastAsia" w:cs="Times New Roman"/>
                <w:color w:val="auto"/>
                <w:spacing w:val="-6"/>
                <w:sz w:val="24"/>
                <w:szCs w:val="24"/>
                <w:highlight w:val="none"/>
                <w:u w:val="none"/>
                <w:lang w:val="en-US" w:eastAsia="zh-CN"/>
              </w:rPr>
              <w:t>重金属捕捉器进行更换，</w:t>
            </w:r>
            <w:r>
              <w:rPr>
                <w:rFonts w:hint="eastAsia" w:ascii="Times New Roman" w:hAnsi="Times New Roman" w:cs="Times New Roman"/>
                <w:color w:val="auto"/>
                <w:highlight w:val="none"/>
                <w:lang w:val="en-US" w:eastAsia="zh-CN"/>
              </w:rPr>
              <w:t>产生量约</w:t>
            </w:r>
            <w:r>
              <w:rPr>
                <w:rFonts w:hint="default" w:ascii="Times New Roman" w:hAnsi="Times New Roman" w:cs="Times New Roman"/>
                <w:color w:val="auto"/>
                <w:highlight w:val="none"/>
                <w:lang w:val="en-US" w:eastAsia="zh-CN"/>
              </w:rPr>
              <w:t>为</w:t>
            </w:r>
            <w:r>
              <w:rPr>
                <w:rFonts w:hint="eastAsia" w:cs="Times New Roman"/>
                <w:color w:val="auto"/>
                <w:highlight w:val="none"/>
                <w:lang w:val="en-US" w:eastAsia="zh-CN"/>
              </w:rPr>
              <w:t>0.01</w:t>
            </w:r>
            <w:r>
              <w:rPr>
                <w:rFonts w:hint="default" w:ascii="Times New Roman" w:hAnsi="Times New Roman" w:cs="Times New Roman"/>
                <w:color w:val="auto"/>
                <w:highlight w:val="none"/>
                <w:lang w:val="en-US" w:eastAsia="zh-CN"/>
              </w:rPr>
              <w:t>t/a。</w:t>
            </w:r>
            <w:r>
              <w:rPr>
                <w:rFonts w:hint="eastAsia" w:cs="Times New Roman"/>
                <w:color w:val="auto"/>
                <w:spacing w:val="-6"/>
                <w:sz w:val="24"/>
                <w:szCs w:val="24"/>
                <w:highlight w:val="none"/>
                <w:u w:val="none"/>
                <w:lang w:val="en-US" w:eastAsia="zh-CN"/>
              </w:rPr>
              <w:t>废重金属捕捉器收集</w:t>
            </w:r>
            <w:r>
              <w:rPr>
                <w:rFonts w:hint="default" w:ascii="Times New Roman" w:hAnsi="Times New Roman" w:cs="Times New Roman"/>
                <w:color w:val="auto"/>
                <w:highlight w:val="none"/>
                <w:lang w:val="en-US" w:eastAsia="zh-CN"/>
              </w:rPr>
              <w:t>于危废暂存间存放，并委托有危废处置资质的单位收集处理。对照《国家危险废物名录（202</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en-US" w:eastAsia="zh-CN"/>
              </w:rPr>
              <w:t>年版）》，</w:t>
            </w:r>
            <w:r>
              <w:rPr>
                <w:rFonts w:hint="eastAsia" w:cs="Times New Roman"/>
                <w:color w:val="auto"/>
                <w:spacing w:val="-6"/>
                <w:sz w:val="24"/>
                <w:szCs w:val="24"/>
                <w:highlight w:val="none"/>
                <w:u w:val="none"/>
                <w:lang w:val="en-US" w:eastAsia="zh-CN"/>
              </w:rPr>
              <w:t>废重金属捕捉器</w:t>
            </w:r>
            <w:r>
              <w:rPr>
                <w:rFonts w:hint="default" w:ascii="Times New Roman" w:hAnsi="Times New Roman" w:cs="Times New Roman"/>
                <w:color w:val="auto"/>
                <w:highlight w:val="none"/>
                <w:lang w:val="en-US" w:eastAsia="zh-CN"/>
              </w:rPr>
              <w:t>危废</w:t>
            </w:r>
            <w:r>
              <w:rPr>
                <w:rFonts w:hint="eastAsia" w:cs="Times New Roman"/>
                <w:color w:val="auto"/>
                <w:highlight w:val="none"/>
                <w:lang w:val="en-US" w:eastAsia="zh-CN"/>
              </w:rPr>
              <w:t>类别为</w:t>
            </w:r>
            <w:r>
              <w:rPr>
                <w:rFonts w:hint="default" w:ascii="Times New Roman" w:hAnsi="Times New Roman" w:cs="Times New Roman"/>
                <w:color w:val="auto"/>
                <w:highlight w:val="none"/>
                <w:lang w:val="en-US" w:eastAsia="zh-CN"/>
              </w:rPr>
              <w:t>HW49，废物代码900-04</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-49。</w:t>
            </w:r>
          </w:p>
          <w:p>
            <w:pPr>
              <w:pStyle w:val="36"/>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pacing w:val="-6"/>
                <w:sz w:val="24"/>
                <w:szCs w:val="24"/>
                <w:highlight w:val="none"/>
                <w:u w:val="none"/>
                <w:lang w:val="en-US" w:eastAsia="zh-CN"/>
              </w:rPr>
            </w:pPr>
            <w:r>
              <w:rPr>
                <w:rFonts w:hint="eastAsia" w:cs="Times New Roman"/>
                <w:color w:val="auto"/>
                <w:spacing w:val="-6"/>
                <w:sz w:val="24"/>
                <w:szCs w:val="24"/>
                <w:highlight w:val="none"/>
                <w:u w:val="none"/>
                <w:lang w:val="en-US" w:eastAsia="zh-CN"/>
              </w:rPr>
              <w:t>⑨</w:t>
            </w:r>
            <w:r>
              <w:rPr>
                <w:rFonts w:hint="eastAsia" w:ascii="Times New Roman" w:hAnsi="Times New Roman" w:eastAsia="宋体" w:cs="Times New Roman"/>
                <w:color w:val="auto"/>
                <w:spacing w:val="-6"/>
                <w:sz w:val="24"/>
                <w:szCs w:val="24"/>
                <w:highlight w:val="none"/>
                <w:u w:val="none"/>
                <w:lang w:val="en-US" w:eastAsia="zh-CN"/>
              </w:rPr>
              <w:t>S1</w:t>
            </w:r>
            <w:r>
              <w:rPr>
                <w:rFonts w:hint="eastAsia" w:cs="Times New Roman"/>
                <w:color w:val="auto"/>
                <w:spacing w:val="-6"/>
                <w:sz w:val="24"/>
                <w:szCs w:val="24"/>
                <w:highlight w:val="none"/>
                <w:u w:val="none"/>
                <w:lang w:val="en-US" w:eastAsia="zh-CN"/>
              </w:rPr>
              <w:t>3</w:t>
            </w:r>
            <w:r>
              <w:rPr>
                <w:rFonts w:hint="eastAsia" w:ascii="Times New Roman" w:hAnsi="Times New Roman" w:eastAsia="宋体" w:cs="Times New Roman"/>
                <w:color w:val="auto"/>
                <w:spacing w:val="-6"/>
                <w:sz w:val="24"/>
                <w:szCs w:val="24"/>
                <w:highlight w:val="none"/>
                <w:u w:val="none"/>
                <w:lang w:val="en-US" w:eastAsia="zh-CN"/>
              </w:rPr>
              <w:t>废活性炭</w:t>
            </w:r>
            <w:r>
              <w:rPr>
                <w:rFonts w:hint="eastAsia"/>
                <w:color w:val="auto"/>
                <w:highlight w:val="none"/>
                <w:lang w:val="en-US" w:eastAsia="zh-CN"/>
              </w:rPr>
              <w:t>、</w:t>
            </w:r>
            <w:r>
              <w:rPr>
                <w:rFonts w:hint="default" w:ascii="Times New Roman" w:hAnsi="Times New Roman" w:eastAsia="宋体" w:cs="Times New Roman"/>
                <w:color w:val="auto"/>
                <w:spacing w:val="-6"/>
                <w:sz w:val="24"/>
                <w:szCs w:val="24"/>
                <w:highlight w:val="none"/>
                <w:u w:val="none"/>
                <w:lang w:val="en-US" w:eastAsia="zh-CN"/>
              </w:rPr>
              <w:t>S1</w:t>
            </w:r>
            <w:r>
              <w:rPr>
                <w:rFonts w:hint="eastAsia" w:cs="Times New Roman"/>
                <w:color w:val="auto"/>
                <w:spacing w:val="-6"/>
                <w:sz w:val="24"/>
                <w:szCs w:val="24"/>
                <w:highlight w:val="none"/>
                <w:u w:val="none"/>
                <w:lang w:val="en-US" w:eastAsia="zh-CN"/>
              </w:rPr>
              <w:t>4</w:t>
            </w:r>
            <w:r>
              <w:rPr>
                <w:rFonts w:hint="default" w:ascii="Times New Roman" w:hAnsi="Times New Roman" w:eastAsia="宋体" w:cs="Times New Roman"/>
                <w:color w:val="auto"/>
                <w:spacing w:val="-6"/>
                <w:sz w:val="24"/>
                <w:szCs w:val="24"/>
                <w:highlight w:val="none"/>
                <w:u w:val="none"/>
                <w:lang w:val="en-US" w:eastAsia="zh-CN"/>
              </w:rPr>
              <w:t>废</w:t>
            </w:r>
            <w:r>
              <w:rPr>
                <w:rFonts w:hint="eastAsia" w:ascii="Times New Roman" w:hAnsi="Times New Roman" w:eastAsia="宋体" w:cs="Times New Roman"/>
                <w:color w:val="auto"/>
                <w:spacing w:val="-6"/>
                <w:sz w:val="24"/>
                <w:szCs w:val="24"/>
                <w:highlight w:val="none"/>
                <w:u w:val="none"/>
                <w:lang w:val="en-US" w:eastAsia="zh-CN"/>
              </w:rPr>
              <w:t>石英砂</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w:t>
            </w:r>
            <w:r>
              <w:rPr>
                <w:rFonts w:hint="eastAsia" w:ascii="Times New Roman" w:hAnsi="Times New Roman" w:cs="Times New Roman"/>
                <w:color w:val="auto"/>
                <w:highlight w:val="none"/>
                <w:lang w:val="en-US" w:eastAsia="zh-CN"/>
              </w:rPr>
              <w:t>实验室废水处理设施末端设置多介质（</w:t>
            </w:r>
            <w:r>
              <w:rPr>
                <w:rFonts w:hint="eastAsia" w:ascii="Times New Roman" w:hAnsi="Times New Roman" w:eastAsia="宋体" w:cs="Times New Roman"/>
                <w:color w:val="auto"/>
                <w:spacing w:val="-6"/>
                <w:sz w:val="24"/>
                <w:szCs w:val="24"/>
                <w:highlight w:val="none"/>
                <w:u w:val="none"/>
                <w:lang w:val="en-US" w:eastAsia="zh-CN"/>
              </w:rPr>
              <w:t>活性炭、石英砂</w:t>
            </w:r>
            <w:r>
              <w:rPr>
                <w:rFonts w:hint="eastAsia" w:ascii="Times New Roman" w:hAnsi="Times New Roman" w:cs="Times New Roman"/>
                <w:color w:val="auto"/>
                <w:highlight w:val="none"/>
                <w:lang w:val="en-US" w:eastAsia="zh-CN"/>
              </w:rPr>
              <w:t>）过滤系统</w:t>
            </w:r>
            <w:r>
              <w:rPr>
                <w:rFonts w:hint="default" w:ascii="Times New Roman" w:hAnsi="Times New Roman" w:cs="Times New Roman"/>
                <w:color w:val="auto"/>
                <w:highlight w:val="none"/>
                <w:lang w:val="en-US" w:eastAsia="zh-CN"/>
              </w:rPr>
              <w:t>，其更换量</w:t>
            </w:r>
            <w:r>
              <w:rPr>
                <w:rFonts w:hint="eastAsia" w:ascii="Times New Roman" w:hAnsi="Times New Roman" w:cs="Times New Roman"/>
                <w:color w:val="auto"/>
                <w:highlight w:val="none"/>
                <w:lang w:val="en-US" w:eastAsia="zh-CN"/>
              </w:rPr>
              <w:t>约</w:t>
            </w:r>
            <w:r>
              <w:rPr>
                <w:rFonts w:hint="default" w:ascii="Times New Roman" w:hAnsi="Times New Roman" w:cs="Times New Roman"/>
                <w:color w:val="auto"/>
                <w:highlight w:val="none"/>
                <w:lang w:val="en-US" w:eastAsia="zh-CN"/>
              </w:rPr>
              <w:t>为</w:t>
            </w:r>
            <w:r>
              <w:rPr>
                <w:rFonts w:hint="eastAsia" w:cs="Times New Roman"/>
                <w:color w:val="auto"/>
                <w:highlight w:val="none"/>
                <w:lang w:val="en-US" w:eastAsia="zh-CN"/>
              </w:rPr>
              <w:t>0.05</w:t>
            </w:r>
            <w:r>
              <w:rPr>
                <w:rFonts w:hint="default" w:ascii="Times New Roman" w:hAnsi="Times New Roman" w:cs="Times New Roman"/>
                <w:color w:val="auto"/>
                <w:highlight w:val="none"/>
                <w:lang w:val="en-US" w:eastAsia="zh-CN"/>
              </w:rPr>
              <w:t>t/a。</w:t>
            </w:r>
            <w:r>
              <w:rPr>
                <w:rFonts w:hint="eastAsia" w:ascii="Times New Roman" w:hAnsi="Times New Roman" w:eastAsia="宋体" w:cs="Times New Roman"/>
                <w:color w:val="auto"/>
                <w:spacing w:val="-6"/>
                <w:sz w:val="24"/>
                <w:szCs w:val="24"/>
                <w:highlight w:val="none"/>
                <w:u w:val="none"/>
                <w:lang w:val="en-US" w:eastAsia="zh-CN"/>
              </w:rPr>
              <w:t>废活性炭、废石英砂</w:t>
            </w:r>
            <w:r>
              <w:rPr>
                <w:rFonts w:hint="default" w:ascii="Times New Roman" w:hAnsi="Times New Roman" w:cs="Times New Roman"/>
                <w:color w:val="auto"/>
                <w:highlight w:val="none"/>
                <w:lang w:val="en-US" w:eastAsia="zh-CN"/>
              </w:rPr>
              <w:t>收集后于危废暂存间存放，并委托有危废处置资质的单位收集处理。对照《国家危险废物名录（202</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en-US" w:eastAsia="zh-CN"/>
              </w:rPr>
              <w:t>年版）》，</w:t>
            </w:r>
            <w:r>
              <w:rPr>
                <w:rFonts w:hint="eastAsia" w:ascii="Times New Roman" w:hAnsi="Times New Roman" w:eastAsia="宋体" w:cs="Times New Roman"/>
                <w:color w:val="auto"/>
                <w:spacing w:val="-6"/>
                <w:sz w:val="24"/>
                <w:szCs w:val="24"/>
                <w:highlight w:val="none"/>
                <w:u w:val="none"/>
                <w:lang w:val="en-US" w:eastAsia="zh-CN"/>
              </w:rPr>
              <w:t>废活性炭、废石英砂</w:t>
            </w:r>
            <w:r>
              <w:rPr>
                <w:rFonts w:hint="default" w:ascii="Times New Roman" w:hAnsi="Times New Roman" w:cs="Times New Roman"/>
                <w:color w:val="auto"/>
                <w:highlight w:val="none"/>
                <w:lang w:val="en-US" w:eastAsia="zh-CN"/>
              </w:rPr>
              <w:t>危废</w:t>
            </w:r>
            <w:r>
              <w:rPr>
                <w:rFonts w:hint="eastAsia" w:cs="Times New Roman"/>
                <w:color w:val="auto"/>
                <w:highlight w:val="none"/>
                <w:lang w:val="en-US" w:eastAsia="zh-CN"/>
              </w:rPr>
              <w:t>类别为</w:t>
            </w:r>
            <w:r>
              <w:rPr>
                <w:rFonts w:hint="default" w:ascii="Times New Roman" w:hAnsi="Times New Roman" w:cs="Times New Roman"/>
                <w:color w:val="auto"/>
                <w:highlight w:val="none"/>
                <w:lang w:val="en-US" w:eastAsia="zh-CN"/>
              </w:rPr>
              <w:t>HW49，废物代码900-041-49。</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表4.5-1本项目危险固废产生情况及处置一览表</w:t>
            </w:r>
          </w:p>
          <w:tbl>
            <w:tblPr>
              <w:tblStyle w:val="32"/>
              <w:tblW w:w="8132"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757"/>
              <w:gridCol w:w="2034"/>
              <w:gridCol w:w="1339"/>
              <w:gridCol w:w="1961"/>
              <w:gridCol w:w="204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20" w:hRule="exact"/>
                <w:jc w:val="center"/>
              </w:trPr>
              <w:tc>
                <w:tcPr>
                  <w:tcW w:w="2791" w:type="dxa"/>
                  <w:gridSpan w:val="2"/>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类别</w:t>
                  </w:r>
                </w:p>
              </w:tc>
              <w:tc>
                <w:tcPr>
                  <w:tcW w:w="133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产生量（t/a）</w:t>
                  </w:r>
                </w:p>
              </w:tc>
              <w:tc>
                <w:tcPr>
                  <w:tcW w:w="1961"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cs="Times New Roman"/>
                      <w:b w:val="0"/>
                      <w:bCs w:val="0"/>
                      <w:color w:val="auto"/>
                      <w:sz w:val="21"/>
                      <w:szCs w:val="21"/>
                    </w:rPr>
                    <w:t>废物代码</w:t>
                  </w:r>
                </w:p>
              </w:tc>
              <w:tc>
                <w:tcPr>
                  <w:tcW w:w="2041"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处置方法</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20" w:hRule="exact"/>
                <w:jc w:val="center"/>
              </w:trPr>
              <w:tc>
                <w:tcPr>
                  <w:tcW w:w="757" w:type="dxa"/>
                  <w:vMerge w:val="restart"/>
                  <w:tcBorders>
                    <w:right w:val="single" w:color="auto" w:sz="4" w:space="0"/>
                  </w:tcBorders>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危险</w:t>
                  </w:r>
                </w:p>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废物</w:t>
                  </w:r>
                </w:p>
              </w:tc>
              <w:tc>
                <w:tcPr>
                  <w:tcW w:w="2034"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en-US" w:bidi="ar-SA"/>
                    </w:rPr>
                  </w:pPr>
                  <w:r>
                    <w:rPr>
                      <w:rFonts w:hint="default"/>
                      <w:color w:val="auto"/>
                      <w:lang w:val="en-US" w:eastAsia="zh-CN"/>
                    </w:rPr>
                    <w:t>废</w:t>
                  </w:r>
                  <w:r>
                    <w:rPr>
                      <w:rFonts w:hint="eastAsia"/>
                      <w:color w:val="auto"/>
                      <w:lang w:val="en-US" w:eastAsia="zh-CN"/>
                    </w:rPr>
                    <w:t>试剂</w:t>
                  </w:r>
                  <w:r>
                    <w:rPr>
                      <w:rFonts w:hint="default"/>
                      <w:color w:val="auto"/>
                      <w:lang w:val="en-US" w:eastAsia="zh-CN"/>
                    </w:rPr>
                    <w:t>包装</w:t>
                  </w:r>
                  <w:r>
                    <w:rPr>
                      <w:rFonts w:hint="eastAsia"/>
                      <w:color w:val="auto"/>
                      <w:lang w:val="en-US" w:eastAsia="zh-CN"/>
                    </w:rPr>
                    <w:t>物</w:t>
                  </w:r>
                </w:p>
              </w:tc>
              <w:tc>
                <w:tcPr>
                  <w:tcW w:w="133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0.02</w:t>
                  </w:r>
                </w:p>
              </w:tc>
              <w:tc>
                <w:tcPr>
                  <w:tcW w:w="1961"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HW49</w:t>
                  </w:r>
                  <w:r>
                    <w:rPr>
                      <w:rFonts w:hint="eastAsia" w:ascii="Times New Roman" w:hAnsi="Times New Roman"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rPr>
                    <w:t>900-047-49</w:t>
                  </w:r>
                </w:p>
              </w:tc>
              <w:tc>
                <w:tcPr>
                  <w:tcW w:w="2041" w:type="dxa"/>
                  <w:vMerge w:val="restart"/>
                  <w:vAlign w:val="center"/>
                </w:tcPr>
                <w:p>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Calibri" w:hAnsi="Calibri" w:eastAsia="宋体" w:cs="Times New Roman"/>
                      <w:b w:val="0"/>
                      <w:bCs w:val="0"/>
                      <w:color w:val="auto"/>
                      <w:sz w:val="21"/>
                      <w:szCs w:val="21"/>
                      <w:lang w:val="en-US" w:eastAsia="zh-CN"/>
                    </w:rPr>
                  </w:pPr>
                  <w:r>
                    <w:rPr>
                      <w:rFonts w:hint="default" w:ascii="Calibri" w:hAnsi="Calibri" w:eastAsia="宋体" w:cs="Times New Roman"/>
                      <w:b w:val="0"/>
                      <w:bCs w:val="0"/>
                      <w:color w:val="auto"/>
                      <w:sz w:val="21"/>
                      <w:szCs w:val="21"/>
                      <w:lang w:val="en-US" w:eastAsia="zh-CN"/>
                    </w:rPr>
                    <w:t>收集后在实验室设置的危险废物暂存间暂存，委托有资质的危废处置单位进行无害化处理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20" w:hRule="exact"/>
                <w:jc w:val="center"/>
              </w:trPr>
              <w:tc>
                <w:tcPr>
                  <w:tcW w:w="757" w:type="dxa"/>
                  <w:vMerge w:val="continue"/>
                  <w:tcBorders>
                    <w:right w:val="single" w:color="auto" w:sz="4" w:space="0"/>
                  </w:tcBorders>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p>
              </w:tc>
              <w:tc>
                <w:tcPr>
                  <w:tcW w:w="2034" w:type="dxa"/>
                  <w:tcBorders>
                    <w:lef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eastAsia"/>
                      <w:color w:val="auto"/>
                      <w:sz w:val="21"/>
                      <w:szCs w:val="21"/>
                      <w:lang w:val="en-US" w:eastAsia="zh-CN"/>
                    </w:rPr>
                    <w:t>高浓度废液</w:t>
                  </w:r>
                </w:p>
              </w:tc>
              <w:tc>
                <w:tcPr>
                  <w:tcW w:w="1339" w:type="dxa"/>
                  <w:shd w:val="clear" w:color="auto" w:fill="auto"/>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zh-CN"/>
                    </w:rPr>
                  </w:pPr>
                  <w:r>
                    <w:rPr>
                      <w:rFonts w:hint="eastAsia" w:ascii="Times New Roman" w:hAnsi="Times New Roman" w:cs="Times New Roman"/>
                      <w:b w:val="0"/>
                      <w:bCs w:val="0"/>
                      <w:color w:val="auto"/>
                      <w:sz w:val="21"/>
                      <w:szCs w:val="21"/>
                      <w:lang w:val="en-US" w:eastAsia="zh-CN"/>
                    </w:rPr>
                    <w:t>4.8</w:t>
                  </w:r>
                </w:p>
              </w:tc>
              <w:tc>
                <w:tcPr>
                  <w:tcW w:w="1961" w:type="dxa"/>
                  <w:shd w:val="clear" w:color="auto" w:fill="auto"/>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zh-CN" w:eastAsia="zh-CN" w:bidi="zh-CN"/>
                    </w:rPr>
                  </w:pPr>
                  <w:r>
                    <w:rPr>
                      <w:rFonts w:hint="default" w:ascii="Times New Roman" w:hAnsi="Times New Roman" w:eastAsia="宋体" w:cs="Times New Roman"/>
                      <w:b w:val="0"/>
                      <w:bCs w:val="0"/>
                      <w:color w:val="auto"/>
                      <w:sz w:val="21"/>
                      <w:szCs w:val="21"/>
                    </w:rPr>
                    <w:t>HW49</w:t>
                  </w:r>
                  <w:r>
                    <w:rPr>
                      <w:rFonts w:hint="eastAsia" w:ascii="Times New Roman" w:hAnsi="Times New Roman"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rPr>
                    <w:t>900-047-49</w:t>
                  </w:r>
                </w:p>
              </w:tc>
              <w:tc>
                <w:tcPr>
                  <w:tcW w:w="2041" w:type="dxa"/>
                  <w:vMerge w:val="continue"/>
                  <w:vAlign w:val="center"/>
                </w:tcPr>
                <w:p>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Calibri" w:hAnsi="Calibri" w:eastAsia="宋体" w:cs="Times New Roman"/>
                      <w:b w:val="0"/>
                      <w:bCs w:val="0"/>
                      <w:color w:val="auto"/>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20" w:hRule="exact"/>
                <w:jc w:val="center"/>
              </w:trPr>
              <w:tc>
                <w:tcPr>
                  <w:tcW w:w="757" w:type="dxa"/>
                  <w:vMerge w:val="continue"/>
                  <w:tcBorders>
                    <w:right w:val="single" w:color="auto" w:sz="4" w:space="0"/>
                  </w:tcBorders>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p>
              </w:tc>
              <w:tc>
                <w:tcPr>
                  <w:tcW w:w="2034" w:type="dxa"/>
                  <w:tcBorders>
                    <w:lef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宋体"/>
                      <w:color w:val="auto"/>
                      <w:lang w:val="en-US" w:eastAsia="zh-CN"/>
                    </w:rPr>
                    <w:t>实验室废物</w:t>
                  </w:r>
                </w:p>
              </w:tc>
              <w:tc>
                <w:tcPr>
                  <w:tcW w:w="1339" w:type="dxa"/>
                  <w:shd w:val="clear" w:color="auto" w:fill="auto"/>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zh-CN"/>
                    </w:rPr>
                  </w:pPr>
                  <w:r>
                    <w:rPr>
                      <w:rFonts w:hint="eastAsia" w:ascii="Times New Roman" w:hAnsi="Times New Roman" w:eastAsia="宋体" w:cs="Times New Roman"/>
                      <w:b w:val="0"/>
                      <w:bCs w:val="0"/>
                      <w:color w:val="auto"/>
                      <w:sz w:val="21"/>
                      <w:szCs w:val="21"/>
                      <w:lang w:val="en-US" w:eastAsia="zh-CN"/>
                    </w:rPr>
                    <w:t>0.5</w:t>
                  </w:r>
                </w:p>
              </w:tc>
              <w:tc>
                <w:tcPr>
                  <w:tcW w:w="1961" w:type="dxa"/>
                  <w:shd w:val="clear" w:color="auto" w:fill="auto"/>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en-US" w:bidi="zh-CN"/>
                    </w:rPr>
                  </w:pPr>
                  <w:r>
                    <w:rPr>
                      <w:rFonts w:hint="default" w:ascii="Times New Roman" w:hAnsi="Times New Roman" w:cs="Times New Roman"/>
                      <w:color w:val="auto"/>
                      <w:highlight w:val="none"/>
                      <w:lang w:val="en-US" w:eastAsia="zh-CN"/>
                    </w:rPr>
                    <w:t>HW49</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900-047-49</w:t>
                  </w:r>
                </w:p>
              </w:tc>
              <w:tc>
                <w:tcPr>
                  <w:tcW w:w="2041" w:type="dxa"/>
                  <w:vMerge w:val="continue"/>
                  <w:vAlign w:val="center"/>
                </w:tcPr>
                <w:p>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Calibri" w:hAnsi="Calibri" w:eastAsia="宋体" w:cs="Times New Roman"/>
                      <w:b w:val="0"/>
                      <w:bCs w:val="0"/>
                      <w:color w:val="auto"/>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20" w:hRule="exact"/>
                <w:jc w:val="center"/>
              </w:trPr>
              <w:tc>
                <w:tcPr>
                  <w:tcW w:w="757" w:type="dxa"/>
                  <w:vMerge w:val="continue"/>
                  <w:tcBorders>
                    <w:right w:val="single" w:color="auto" w:sz="4" w:space="0"/>
                  </w:tcBorders>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p>
              </w:tc>
              <w:tc>
                <w:tcPr>
                  <w:tcW w:w="203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en-US" w:bidi="ar-SA"/>
                    </w:rPr>
                  </w:pPr>
                  <w:r>
                    <w:rPr>
                      <w:rFonts w:hint="eastAsia"/>
                      <w:color w:val="auto"/>
                      <w:sz w:val="21"/>
                      <w:szCs w:val="21"/>
                      <w:lang w:val="en-US" w:eastAsia="zh-CN"/>
                    </w:rPr>
                    <w:t>喷淋废液</w:t>
                  </w:r>
                </w:p>
              </w:tc>
              <w:tc>
                <w:tcPr>
                  <w:tcW w:w="1339" w:type="dxa"/>
                  <w:shd w:val="clear" w:color="auto" w:fill="auto"/>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zh-CN"/>
                    </w:rPr>
                  </w:pPr>
                  <w:r>
                    <w:rPr>
                      <w:rFonts w:hint="eastAsia" w:ascii="Times New Roman" w:hAnsi="Times New Roman" w:eastAsia="宋体" w:cs="Times New Roman"/>
                      <w:b w:val="0"/>
                      <w:bCs w:val="0"/>
                      <w:color w:val="auto"/>
                      <w:sz w:val="21"/>
                      <w:szCs w:val="21"/>
                      <w:lang w:val="en-US" w:eastAsia="zh-CN"/>
                    </w:rPr>
                    <w:t>1</w:t>
                  </w:r>
                </w:p>
              </w:tc>
              <w:tc>
                <w:tcPr>
                  <w:tcW w:w="1961" w:type="dxa"/>
                  <w:shd w:val="clear" w:color="auto" w:fill="auto"/>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en-US" w:bidi="zh-CN"/>
                    </w:rPr>
                  </w:pPr>
                  <w:r>
                    <w:rPr>
                      <w:rFonts w:hint="default" w:ascii="Times New Roman" w:hAnsi="Times New Roman" w:cs="Times New Roman"/>
                      <w:color w:val="auto"/>
                      <w:highlight w:val="none"/>
                      <w:lang w:val="en-US" w:eastAsia="zh-CN"/>
                    </w:rPr>
                    <w:t>HW49</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900-047-49</w:t>
                  </w:r>
                </w:p>
              </w:tc>
              <w:tc>
                <w:tcPr>
                  <w:tcW w:w="2041"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eastAsia="宋体" w:cs="Times New Roman"/>
                      <w:b w:val="0"/>
                      <w:bCs w:val="0"/>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20" w:hRule="exact"/>
                <w:jc w:val="center"/>
              </w:trPr>
              <w:tc>
                <w:tcPr>
                  <w:tcW w:w="757" w:type="dxa"/>
                  <w:vMerge w:val="continue"/>
                  <w:tcBorders>
                    <w:right w:val="single" w:color="auto" w:sz="4" w:space="0"/>
                  </w:tcBorders>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p>
              </w:tc>
              <w:tc>
                <w:tcPr>
                  <w:tcW w:w="203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color w:val="auto"/>
                      <w:sz w:val="21"/>
                      <w:szCs w:val="21"/>
                      <w:lang w:val="en-US" w:eastAsia="zh-CN"/>
                    </w:rPr>
                    <w:t>废试剂</w:t>
                  </w:r>
                </w:p>
              </w:tc>
              <w:tc>
                <w:tcPr>
                  <w:tcW w:w="1339" w:type="dxa"/>
                  <w:shd w:val="clear" w:color="auto" w:fill="auto"/>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zh-CN"/>
                    </w:rPr>
                  </w:pPr>
                  <w:r>
                    <w:rPr>
                      <w:rFonts w:hint="eastAsia" w:ascii="Times New Roman" w:hAnsi="Times New Roman" w:eastAsia="宋体" w:cs="Times New Roman"/>
                      <w:b w:val="0"/>
                      <w:bCs w:val="0"/>
                      <w:color w:val="auto"/>
                      <w:sz w:val="21"/>
                      <w:szCs w:val="21"/>
                      <w:lang w:val="en-US" w:eastAsia="zh-CN"/>
                    </w:rPr>
                    <w:t>0.01</w:t>
                  </w:r>
                </w:p>
              </w:tc>
              <w:tc>
                <w:tcPr>
                  <w:tcW w:w="1961" w:type="dxa"/>
                  <w:shd w:val="clear" w:color="auto" w:fill="auto"/>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en-US" w:bidi="zh-CN"/>
                    </w:rPr>
                  </w:pPr>
                  <w:r>
                    <w:rPr>
                      <w:rFonts w:hint="default" w:ascii="Times New Roman" w:hAnsi="Times New Roman" w:cs="Times New Roman"/>
                      <w:color w:val="auto"/>
                      <w:highlight w:val="none"/>
                      <w:lang w:val="en-US" w:eastAsia="zh-CN"/>
                    </w:rPr>
                    <w:t>HW49</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900-002-03</w:t>
                  </w:r>
                </w:p>
              </w:tc>
              <w:tc>
                <w:tcPr>
                  <w:tcW w:w="2041"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eastAsia="宋体" w:cs="Times New Roman"/>
                      <w:b w:val="0"/>
                      <w:bCs w:val="0"/>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20" w:hRule="exact"/>
                <w:jc w:val="center"/>
              </w:trPr>
              <w:tc>
                <w:tcPr>
                  <w:tcW w:w="757" w:type="dxa"/>
                  <w:vMerge w:val="continue"/>
                  <w:tcBorders>
                    <w:right w:val="single" w:color="auto" w:sz="4" w:space="0"/>
                  </w:tcBorders>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p>
              </w:tc>
              <w:tc>
                <w:tcPr>
                  <w:tcW w:w="203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en-US" w:bidi="ar-SA"/>
                    </w:rPr>
                  </w:pPr>
                  <w:r>
                    <w:rPr>
                      <w:rFonts w:hint="eastAsia"/>
                      <w:color w:val="auto"/>
                      <w:sz w:val="21"/>
                      <w:szCs w:val="21"/>
                      <w:lang w:val="en-US" w:eastAsia="zh-CN"/>
                    </w:rPr>
                    <w:t>废活性炭</w:t>
                  </w:r>
                </w:p>
              </w:tc>
              <w:tc>
                <w:tcPr>
                  <w:tcW w:w="1339" w:type="dxa"/>
                  <w:shd w:val="clear" w:color="auto" w:fill="auto"/>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zh-CN"/>
                    </w:rPr>
                  </w:pPr>
                  <w:r>
                    <w:rPr>
                      <w:rFonts w:hint="default" w:ascii="Times New Roman" w:hAnsi="Times New Roman" w:cs="Times New Roman"/>
                      <w:color w:val="auto"/>
                      <w:u w:val="none"/>
                      <w:lang w:val="en-US" w:eastAsia="zh-CN"/>
                    </w:rPr>
                    <w:t>0.</w:t>
                  </w:r>
                  <w:r>
                    <w:rPr>
                      <w:rFonts w:hint="eastAsia" w:ascii="Times New Roman" w:hAnsi="Times New Roman" w:cs="Times New Roman"/>
                      <w:color w:val="auto"/>
                      <w:u w:val="none"/>
                      <w:lang w:val="en-US" w:eastAsia="zh-CN"/>
                    </w:rPr>
                    <w:t>141</w:t>
                  </w:r>
                </w:p>
              </w:tc>
              <w:tc>
                <w:tcPr>
                  <w:tcW w:w="1961" w:type="dxa"/>
                  <w:shd w:val="clear" w:color="auto" w:fill="auto"/>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en-US" w:bidi="zh-CN"/>
                    </w:rPr>
                  </w:pPr>
                  <w:r>
                    <w:rPr>
                      <w:rFonts w:hint="default" w:ascii="Times New Roman" w:hAnsi="Times New Roman" w:eastAsia="宋体" w:cs="Times New Roman"/>
                      <w:color w:val="auto"/>
                      <w:highlight w:val="none"/>
                      <w:lang w:val="en-US" w:eastAsia="zh-CN"/>
                    </w:rPr>
                    <w:t>HW49/900-039-49</w:t>
                  </w:r>
                </w:p>
              </w:tc>
              <w:tc>
                <w:tcPr>
                  <w:tcW w:w="2041"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eastAsia="宋体" w:cs="Times New Roman"/>
                      <w:b w:val="0"/>
                      <w:bCs w:val="0"/>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20" w:hRule="exact"/>
                <w:jc w:val="center"/>
              </w:trPr>
              <w:tc>
                <w:tcPr>
                  <w:tcW w:w="757" w:type="dxa"/>
                  <w:vMerge w:val="continue"/>
                  <w:tcBorders>
                    <w:right w:val="single" w:color="auto" w:sz="4" w:space="0"/>
                  </w:tcBorders>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p>
              </w:tc>
              <w:tc>
                <w:tcPr>
                  <w:tcW w:w="2034"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污泥</w:t>
                  </w:r>
                </w:p>
              </w:tc>
              <w:tc>
                <w:tcPr>
                  <w:tcW w:w="133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0.01</w:t>
                  </w:r>
                </w:p>
              </w:tc>
              <w:tc>
                <w:tcPr>
                  <w:tcW w:w="1961"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cs="Times New Roman"/>
                      <w:color w:val="auto"/>
                      <w:highlight w:val="none"/>
                      <w:lang w:val="en-US" w:eastAsia="zh-CN"/>
                    </w:rPr>
                    <w:t>HW49</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772-006-49</w:t>
                  </w:r>
                </w:p>
              </w:tc>
              <w:tc>
                <w:tcPr>
                  <w:tcW w:w="2041"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eastAsia="宋体" w:cs="Times New Roman"/>
                      <w:b w:val="0"/>
                      <w:bCs w:val="0"/>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20" w:hRule="exact"/>
                <w:jc w:val="center"/>
              </w:trPr>
              <w:tc>
                <w:tcPr>
                  <w:tcW w:w="757" w:type="dxa"/>
                  <w:vMerge w:val="continue"/>
                  <w:tcBorders>
                    <w:right w:val="single" w:color="auto" w:sz="4" w:space="0"/>
                  </w:tcBorders>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p>
              </w:tc>
              <w:tc>
                <w:tcPr>
                  <w:tcW w:w="2034"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废重金属捕捉器</w:t>
                  </w:r>
                </w:p>
              </w:tc>
              <w:tc>
                <w:tcPr>
                  <w:tcW w:w="133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0.01</w:t>
                  </w:r>
                </w:p>
              </w:tc>
              <w:tc>
                <w:tcPr>
                  <w:tcW w:w="1961"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HW49</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900-041-49</w:t>
                  </w:r>
                </w:p>
              </w:tc>
              <w:tc>
                <w:tcPr>
                  <w:tcW w:w="2041"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eastAsia="宋体" w:cs="Times New Roman"/>
                      <w:b w:val="0"/>
                      <w:bCs w:val="0"/>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20" w:hRule="exact"/>
                <w:jc w:val="center"/>
              </w:trPr>
              <w:tc>
                <w:tcPr>
                  <w:tcW w:w="757" w:type="dxa"/>
                  <w:vMerge w:val="continue"/>
                  <w:tcBorders>
                    <w:right w:val="single" w:color="auto" w:sz="4" w:space="0"/>
                  </w:tcBorders>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p>
              </w:tc>
              <w:tc>
                <w:tcPr>
                  <w:tcW w:w="2034"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废活性炭、废石英砂</w:t>
                  </w:r>
                </w:p>
              </w:tc>
              <w:tc>
                <w:tcPr>
                  <w:tcW w:w="133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0.05</w:t>
                  </w:r>
                </w:p>
              </w:tc>
              <w:tc>
                <w:tcPr>
                  <w:tcW w:w="1961"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cs="Times New Roman"/>
                      <w:color w:val="auto"/>
                      <w:highlight w:val="none"/>
                      <w:lang w:val="en-US" w:eastAsia="zh-CN"/>
                    </w:rPr>
                    <w:t>HW49</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900-041-49</w:t>
                  </w:r>
                </w:p>
              </w:tc>
              <w:tc>
                <w:tcPr>
                  <w:tcW w:w="2041"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eastAsia="宋体" w:cs="Times New Roman"/>
                      <w:b w:val="0"/>
                      <w:bCs w:val="0"/>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20" w:hRule="exact"/>
                <w:jc w:val="center"/>
              </w:trPr>
              <w:tc>
                <w:tcPr>
                  <w:tcW w:w="757" w:type="dxa"/>
                  <w:vMerge w:val="continue"/>
                  <w:tcBorders>
                    <w:right w:val="single" w:color="auto" w:sz="4" w:space="0"/>
                  </w:tcBorders>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p>
              </w:tc>
              <w:tc>
                <w:tcPr>
                  <w:tcW w:w="2034"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b/>
                      <w:bCs/>
                      <w:color w:val="auto"/>
                      <w:sz w:val="21"/>
                      <w:szCs w:val="21"/>
                      <w:lang w:val="en-US" w:eastAsia="zh-CN"/>
                    </w:rPr>
                  </w:pPr>
                  <w:r>
                    <w:rPr>
                      <w:rFonts w:hint="eastAsia"/>
                      <w:b/>
                      <w:bCs/>
                      <w:color w:val="auto"/>
                      <w:sz w:val="21"/>
                      <w:szCs w:val="21"/>
                      <w:lang w:val="en-US" w:eastAsia="zh-CN"/>
                    </w:rPr>
                    <w:t>小计</w:t>
                  </w:r>
                </w:p>
              </w:tc>
              <w:tc>
                <w:tcPr>
                  <w:tcW w:w="133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6.54</w:t>
                  </w:r>
                </w:p>
              </w:tc>
              <w:tc>
                <w:tcPr>
                  <w:tcW w:w="1961"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w:t>
                  </w:r>
                </w:p>
              </w:tc>
              <w:tc>
                <w:tcPr>
                  <w:tcW w:w="204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eastAsia"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w:t>
                  </w:r>
                </w:p>
              </w:tc>
            </w:tr>
            <w:bookmarkEnd w:id="99"/>
            <w:bookmarkEnd w:id="100"/>
          </w:tbl>
          <w:p>
            <w:pPr>
              <w:pStyle w:val="36"/>
              <w:keepNext w:val="0"/>
              <w:keepLines w:val="0"/>
              <w:suppressLineNumbers w:val="0"/>
              <w:spacing w:before="0" w:beforeAutospacing="0" w:after="0" w:afterAutospacing="0"/>
              <w:ind w:left="0" w:right="0" w:firstLine="480"/>
              <w:rPr>
                <w:rFonts w:hint="eastAsia" w:cs="Times New Roman"/>
                <w:b/>
                <w:bCs/>
                <w:color w:val="auto"/>
                <w:highlight w:val="none"/>
                <w:lang w:val="en-US" w:eastAsia="zh-CN"/>
              </w:rPr>
            </w:pPr>
            <w:r>
              <w:rPr>
                <w:rFonts w:hint="eastAsia" w:cs="Times New Roman"/>
                <w:b/>
                <w:bCs/>
                <w:color w:val="auto"/>
                <w:highlight w:val="none"/>
                <w:lang w:val="en-US" w:eastAsia="zh-CN"/>
              </w:rPr>
              <w:t>（3）生活垃圾</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依照我国生活污染物排放系数，不住宿职工0.5kg/人·天，本项目职工人数为</w:t>
            </w:r>
            <w:r>
              <w:rPr>
                <w:rFonts w:hint="eastAsia" w:cs="Times New Roman"/>
                <w:color w:val="auto"/>
                <w:highlight w:val="none"/>
                <w:lang w:val="en-US" w:eastAsia="zh-CN"/>
              </w:rPr>
              <w:t>30</w:t>
            </w:r>
            <w:r>
              <w:rPr>
                <w:rFonts w:hint="default" w:ascii="Times New Roman" w:hAnsi="Times New Roman" w:cs="Times New Roman"/>
                <w:color w:val="auto"/>
                <w:highlight w:val="none"/>
                <w:lang w:val="en-US" w:eastAsia="zh-CN"/>
              </w:rPr>
              <w:t>人（均不住宿），年工作时间以</w:t>
            </w:r>
            <w:r>
              <w:rPr>
                <w:rFonts w:hint="eastAsia" w:cs="Times New Roman"/>
                <w:color w:val="auto"/>
                <w:highlight w:val="none"/>
                <w:lang w:val="en-US" w:eastAsia="zh-CN"/>
              </w:rPr>
              <w:t>300</w:t>
            </w:r>
            <w:r>
              <w:rPr>
                <w:rFonts w:hint="default" w:ascii="Times New Roman" w:hAnsi="Times New Roman" w:cs="Times New Roman"/>
                <w:color w:val="auto"/>
                <w:highlight w:val="none"/>
                <w:lang w:val="en-US" w:eastAsia="zh-CN"/>
              </w:rPr>
              <w:t>天计，则生活垃圾产生量约为</w:t>
            </w:r>
            <w:r>
              <w:rPr>
                <w:rFonts w:hint="eastAsia" w:cs="Times New Roman"/>
                <w:color w:val="auto"/>
                <w:highlight w:val="none"/>
                <w:lang w:val="en-US" w:eastAsia="zh-CN"/>
              </w:rPr>
              <w:t>15</w:t>
            </w:r>
            <w:r>
              <w:rPr>
                <w:rFonts w:hint="default" w:ascii="Times New Roman" w:hAnsi="Times New Roman" w:cs="Times New Roman"/>
                <w:color w:val="auto"/>
                <w:highlight w:val="none"/>
                <w:lang w:val="en-US" w:eastAsia="zh-CN"/>
              </w:rPr>
              <w:t>kg/d，合计为</w:t>
            </w:r>
            <w:r>
              <w:rPr>
                <w:rFonts w:hint="eastAsia" w:cs="Times New Roman"/>
                <w:color w:val="auto"/>
                <w:highlight w:val="none"/>
                <w:lang w:val="en-US" w:eastAsia="zh-CN"/>
              </w:rPr>
              <w:t>4.5</w:t>
            </w:r>
            <w:r>
              <w:rPr>
                <w:rFonts w:hint="default" w:ascii="Times New Roman" w:hAnsi="Times New Roman" w:cs="Times New Roman"/>
                <w:color w:val="auto"/>
                <w:highlight w:val="none"/>
                <w:lang w:val="en-US" w:eastAsia="zh-CN"/>
              </w:rPr>
              <w:t>t/a。</w:t>
            </w:r>
          </w:p>
          <w:p>
            <w:pPr>
              <w:pStyle w:val="4"/>
              <w:suppressLineNumbers w:val="0"/>
              <w:bidi w:val="0"/>
              <w:spacing w:beforeAutospacing="0" w:afterAutospacing="0"/>
              <w:ind w:right="0"/>
              <w:rPr>
                <w:rFonts w:hint="default"/>
                <w:color w:val="auto"/>
                <w:lang w:val="en-US" w:eastAsia="zh-CN"/>
              </w:rPr>
            </w:pPr>
            <w:r>
              <w:rPr>
                <w:rFonts w:hint="default"/>
                <w:color w:val="auto"/>
                <w:lang w:val="en-US" w:eastAsia="zh-CN"/>
              </w:rPr>
              <w:t>运营期固体废物影响分析</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（1）实验室药品废液产生量较小，多为酸碱废液、含重金属离子废液、有机废液，属刺激性、有毒废液，存放于危废暂存间，定期由有资质的危废处置单位外运处置，不外排，不会对周围环境造成不良</w:t>
            </w:r>
            <w:r>
              <w:rPr>
                <w:rFonts w:hint="eastAsia" w:cs="Times New Roman"/>
                <w:color w:val="auto"/>
                <w:highlight w:val="none"/>
                <w:lang w:val="en-US" w:eastAsia="zh-CN"/>
              </w:rPr>
              <w:t>影响</w:t>
            </w:r>
            <w:r>
              <w:rPr>
                <w:rFonts w:hint="default" w:ascii="Times New Roman" w:hAnsi="Times New Roman" w:cs="Times New Roman"/>
                <w:color w:val="auto"/>
                <w:highlight w:val="none"/>
                <w:lang w:val="en-US" w:eastAsia="zh-CN"/>
              </w:rPr>
              <w:t>。</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（2）实验过程中产生的废药品瓶按危险</w:t>
            </w:r>
            <w:r>
              <w:rPr>
                <w:rFonts w:hint="eastAsia" w:cs="Times New Roman"/>
                <w:color w:val="auto"/>
                <w:highlight w:val="none"/>
                <w:lang w:val="en-US" w:eastAsia="zh-CN"/>
              </w:rPr>
              <w:t>固体废物</w:t>
            </w:r>
            <w:r>
              <w:rPr>
                <w:rFonts w:hint="default" w:ascii="Times New Roman" w:hAnsi="Times New Roman" w:cs="Times New Roman"/>
                <w:color w:val="auto"/>
                <w:highlight w:val="none"/>
                <w:lang w:val="en-US" w:eastAsia="zh-CN"/>
              </w:rPr>
              <w:t>处置，在废液室内集中收集后委托有资质危废处置单位处理，对周围环境影响不大。</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（3）实验过程中产生的破裂容器，应加以清理，不可随意抛撒，沾染药品、溶液的按危险</w:t>
            </w:r>
            <w:r>
              <w:rPr>
                <w:rFonts w:hint="eastAsia" w:cs="Times New Roman"/>
                <w:color w:val="auto"/>
                <w:highlight w:val="none"/>
                <w:lang w:val="en-US" w:eastAsia="zh-CN"/>
              </w:rPr>
              <w:t>固体废物</w:t>
            </w:r>
            <w:r>
              <w:rPr>
                <w:rFonts w:hint="default" w:ascii="Times New Roman" w:hAnsi="Times New Roman" w:cs="Times New Roman"/>
                <w:color w:val="auto"/>
                <w:highlight w:val="none"/>
                <w:lang w:val="en-US" w:eastAsia="zh-CN"/>
              </w:rPr>
              <w:t>处置，和废药品瓶一同收集送往有资质危废处置单位处理，其他的作为一般</w:t>
            </w:r>
            <w:r>
              <w:rPr>
                <w:rFonts w:hint="eastAsia" w:cs="Times New Roman"/>
                <w:color w:val="auto"/>
                <w:highlight w:val="none"/>
                <w:lang w:val="en-US" w:eastAsia="zh-CN"/>
              </w:rPr>
              <w:t>固体废物</w:t>
            </w:r>
            <w:r>
              <w:rPr>
                <w:rFonts w:hint="default" w:ascii="Times New Roman" w:hAnsi="Times New Roman" w:cs="Times New Roman"/>
                <w:color w:val="auto"/>
                <w:highlight w:val="none"/>
                <w:lang w:val="en-US" w:eastAsia="zh-CN"/>
              </w:rPr>
              <w:t>处置，对周围环境影响不大。</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r>
              <w:rPr>
                <w:rFonts w:hint="eastAsia"/>
                <w:color w:val="auto"/>
                <w:lang w:val="en-US" w:eastAsia="zh-CN"/>
              </w:rPr>
              <w:t>水样</w:t>
            </w:r>
            <w:r>
              <w:rPr>
                <w:rFonts w:hint="eastAsia"/>
                <w:color w:val="auto"/>
              </w:rPr>
              <w:t>送样</w:t>
            </w:r>
            <w:r>
              <w:rPr>
                <w:rFonts w:hint="default" w:ascii="Times New Roman" w:hAnsi="Times New Roman" w:cs="Times New Roman"/>
                <w:color w:val="auto"/>
                <w:highlight w:val="none"/>
                <w:lang w:val="en-US" w:eastAsia="zh-CN"/>
              </w:rPr>
              <w:t>产生一定的废包装品，如废塑料瓶、废塑料袋、废纸箱等，应分类收集，分类处理。其中直接包装样品的废包装品和检测样品废料一块处理，其他可以回收利用的卖给废品回收公司。</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（5）员工生活垃圾采取袋装分类收集，投放指定地点，然后由环卫部门每日及时统一清运、处置。</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项目危险废物种类多样，建设单位设置有一个危废暂存间，用于临时暂存项目产生的各类危险废物，待存至一定量后及时交由有危险废物处置资质的单位进行处置，不外排，对周边环境影响较小。</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产生的危险废物经妥善收集后，可在场区内临时储存，待储存到一定数量后，交由有危险废物处置资质的单位进行处置，危险废物在场内临时贮存时间不得超过一年。临时存放地点应符合《危险废物污染物防治技术政策》和《危险废物贮存污染控制标准》（GB18597-20</w:t>
            </w:r>
            <w:r>
              <w:rPr>
                <w:rFonts w:hint="eastAsia" w:ascii="Times New Roman" w:hAnsi="Times New Roman" w:cs="Times New Roman"/>
                <w:color w:val="auto"/>
                <w:highlight w:val="none"/>
                <w:lang w:val="en-US" w:eastAsia="zh-CN"/>
              </w:rPr>
              <w:t>23</w:t>
            </w:r>
            <w:r>
              <w:rPr>
                <w:rFonts w:hint="default" w:ascii="Times New Roman" w:hAnsi="Times New Roman" w:cs="Times New Roman"/>
                <w:color w:val="auto"/>
                <w:highlight w:val="none"/>
                <w:lang w:val="en-US" w:eastAsia="zh-CN"/>
              </w:rPr>
              <w:t>）及《一般工业固体废物贮存和填埋污染控制标准》（GB18599-2020）等3项国家污染物控制标准的要求，危险废物的贮存容器应满足相应的强度要求，并且保证完好无损。盛装危险废物的容器上必须</w:t>
            </w:r>
            <w:r>
              <w:rPr>
                <w:rFonts w:hint="eastAsia" w:cs="Times New Roman"/>
                <w:color w:val="auto"/>
                <w:highlight w:val="none"/>
                <w:lang w:val="en-US" w:eastAsia="zh-CN"/>
              </w:rPr>
              <w:t>粘贴</w:t>
            </w:r>
            <w:r>
              <w:rPr>
                <w:rFonts w:hint="default" w:ascii="Times New Roman" w:hAnsi="Times New Roman" w:cs="Times New Roman"/>
                <w:color w:val="auto"/>
                <w:highlight w:val="none"/>
                <w:lang w:val="en-US" w:eastAsia="zh-CN"/>
              </w:rPr>
              <w:t>符合</w:t>
            </w:r>
            <w:r>
              <w:rPr>
                <w:rFonts w:hint="eastAsia" w:ascii="Times New Roman" w:hAnsi="Times New Roman" w:cs="Times New Roman"/>
                <w:color w:val="auto"/>
                <w:highlight w:val="none"/>
                <w:lang w:val="en-US" w:eastAsia="zh-CN"/>
              </w:rPr>
              <w:t>《危险废物识别标志设置技术规范》（HJ 1276-2022）</w:t>
            </w:r>
            <w:r>
              <w:rPr>
                <w:rFonts w:hint="default" w:ascii="Times New Roman" w:hAnsi="Times New Roman" w:cs="Times New Roman"/>
                <w:color w:val="auto"/>
                <w:highlight w:val="none"/>
                <w:lang w:val="en-US" w:eastAsia="zh-CN"/>
              </w:rPr>
              <w:t>所示的标签，在标签上详细标明危险废物的名称、重量、成分、特性以及发生泄漏、扩散污染事故时的应急措施和补救方法。建设单位需要对危险</w:t>
            </w:r>
            <w:r>
              <w:rPr>
                <w:rFonts w:hint="eastAsia" w:cs="Times New Roman"/>
                <w:color w:val="auto"/>
                <w:highlight w:val="none"/>
                <w:lang w:val="en-US" w:eastAsia="zh-CN"/>
              </w:rPr>
              <w:t>固体废物</w:t>
            </w:r>
            <w:r>
              <w:rPr>
                <w:rFonts w:hint="default" w:ascii="Times New Roman" w:hAnsi="Times New Roman" w:cs="Times New Roman"/>
                <w:color w:val="auto"/>
                <w:highlight w:val="none"/>
                <w:lang w:val="en-US" w:eastAsia="zh-CN"/>
              </w:rPr>
              <w:t>的产生源及</w:t>
            </w:r>
            <w:r>
              <w:rPr>
                <w:rFonts w:hint="eastAsia" w:cs="Times New Roman"/>
                <w:color w:val="auto"/>
                <w:highlight w:val="none"/>
                <w:lang w:val="en-US" w:eastAsia="zh-CN"/>
              </w:rPr>
              <w:t>固体废物</w:t>
            </w:r>
            <w:r>
              <w:rPr>
                <w:rFonts w:hint="default" w:ascii="Times New Roman" w:hAnsi="Times New Roman" w:cs="Times New Roman"/>
                <w:color w:val="auto"/>
                <w:highlight w:val="none"/>
                <w:lang w:val="en-US" w:eastAsia="zh-CN"/>
              </w:rPr>
              <w:t>产生量进行申报登记。</w:t>
            </w:r>
          </w:p>
          <w:p>
            <w:pPr>
              <w:pStyle w:val="4"/>
              <w:suppressLineNumbers w:val="0"/>
              <w:bidi w:val="0"/>
              <w:spacing w:beforeAutospacing="0" w:afterAutospacing="0"/>
              <w:ind w:right="0"/>
              <w:rPr>
                <w:rFonts w:hint="default"/>
                <w:color w:val="auto"/>
                <w:lang w:val="en-US" w:eastAsia="zh-CN"/>
              </w:rPr>
            </w:pPr>
            <w:r>
              <w:rPr>
                <w:rFonts w:hint="default"/>
                <w:color w:val="auto"/>
                <w:lang w:val="en-US" w:eastAsia="zh-CN"/>
              </w:rPr>
              <w:t>运营期固体废物防治措施</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实验过程产生的实验废液、废弃样品、废活性炭属于危险废物中的HW49其他废物，必须严格管理，建设危废暂存间2间（共约29m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），地面硬化且涂抹防渗透材料。实验废液（酸碱废液、有机废液、含</w:t>
            </w:r>
            <w:r>
              <w:rPr>
                <w:rFonts w:hint="eastAsia" w:cs="Times New Roman"/>
                <w:color w:val="auto"/>
                <w:highlight w:val="none"/>
                <w:lang w:val="en-US" w:eastAsia="zh-CN"/>
              </w:rPr>
              <w:t>重金属</w:t>
            </w:r>
            <w:r>
              <w:rPr>
                <w:rFonts w:hint="default" w:ascii="Times New Roman" w:hAnsi="Times New Roman" w:cs="Times New Roman"/>
                <w:color w:val="auto"/>
                <w:highlight w:val="none"/>
                <w:lang w:val="en-US" w:eastAsia="zh-CN"/>
              </w:rPr>
              <w:t>废液）收集后委托有资质的单位处理，微生物实验的材料应采取灭活措施，</w:t>
            </w:r>
            <w:r>
              <w:rPr>
                <w:rFonts w:hint="eastAsia" w:ascii="Times New Roman" w:hAnsi="Times New Roman" w:cs="Times New Roman"/>
                <w:color w:val="auto"/>
                <w:highlight w:val="none"/>
                <w:lang w:val="en-US" w:eastAsia="zh-CN"/>
              </w:rPr>
              <w:t>实验室废物</w:t>
            </w:r>
            <w:r>
              <w:rPr>
                <w:rFonts w:hint="default" w:ascii="Times New Roman" w:hAnsi="Times New Roman" w:cs="Times New Roman"/>
                <w:color w:val="auto"/>
                <w:highlight w:val="none"/>
                <w:lang w:val="en-US" w:eastAsia="zh-CN"/>
              </w:rPr>
              <w:t>、</w:t>
            </w:r>
            <w:r>
              <w:rPr>
                <w:rFonts w:hint="eastAsia" w:ascii="Times New Roman" w:hAnsi="Times New Roman" w:cs="Times New Roman"/>
                <w:color w:val="auto"/>
                <w:highlight w:val="none"/>
                <w:lang w:val="en-US" w:eastAsia="zh-CN"/>
              </w:rPr>
              <w:t>过期废试剂</w:t>
            </w:r>
            <w:r>
              <w:rPr>
                <w:rFonts w:hint="default" w:ascii="Times New Roman" w:hAnsi="Times New Roman" w:cs="Times New Roman"/>
                <w:color w:val="auto"/>
                <w:highlight w:val="none"/>
                <w:lang w:val="en-US" w:eastAsia="zh-CN"/>
              </w:rPr>
              <w:t>和废活性炭收集后委托有资质的单位处理。生活、办公垃圾进行分类收集后由环卫部门统一清运处理。因此，项目产生的固体废物得到及时妥善处理处置后，对周围环境影响很小。</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建议项目在实验室设置危险</w:t>
            </w:r>
            <w:r>
              <w:rPr>
                <w:rFonts w:hint="eastAsia" w:cs="Times New Roman"/>
                <w:color w:val="auto"/>
                <w:highlight w:val="none"/>
                <w:lang w:val="en-US" w:eastAsia="zh-CN"/>
              </w:rPr>
              <w:t>固体废物</w:t>
            </w:r>
            <w:r>
              <w:rPr>
                <w:rFonts w:hint="default" w:ascii="Times New Roman" w:hAnsi="Times New Roman" w:cs="Times New Roman"/>
                <w:color w:val="auto"/>
                <w:highlight w:val="none"/>
                <w:lang w:val="en-US" w:eastAsia="zh-CN"/>
              </w:rPr>
              <w:t>临时储存场所，且危废间具有隔离设施、报警装置和防风、防晒、防雨、防渗、防火措施，具体要求如下：</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①必须按照《中华人民共和国固体废物污染环境防治法》《福建省实验室环境污染防治管理办法（暂行）》以及有关危险废物处置要求严格管理和安全处置。</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②项目产生的各项危险废物，必须按照国家有关规定向环境保护主管部门申报登记。</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③装运危险废物的容器应根据危险废物的不同特性而设计，不易破损、变形、老化，能有效地防止渗漏、扩散。装有危险废物的容器必须贴有标签，在标签上详细标明危险废物的名称、重量、成分、特性以及发生泄漏、扩散污染事故时的应急措施和补救方法。项目危险废液应按照危害性质和反应性质分类分区存放，严禁随意混合存放。</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④危废贮存间内应配备防腐、防渗、防漏的围堰或收集槽，四周用围墙及屋顶隔离，防止雨水流入；危废贮存间外四周设雨水沟，防止雨水流入。危废贮存间应设置门锁，平时均上锁，以免闲杂人等进入；危废贮存间设置紧急照明系统，紧急警报系统，及灭火器。</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⑤委托有资质的专业处理公司处置。禁止将危险废物以任何形式转移给无许可证的单位，或转移到非危险废物贮存设施中。</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⑥应严格按照《危险废物贮存污染控制标准》（GB18597-20</w:t>
            </w:r>
            <w:r>
              <w:rPr>
                <w:rFonts w:hint="eastAsia" w:cs="Times New Roman"/>
                <w:color w:val="auto"/>
                <w:highlight w:val="none"/>
                <w:lang w:val="en-US" w:eastAsia="zh-CN"/>
              </w:rPr>
              <w:t>23</w:t>
            </w:r>
            <w:r>
              <w:rPr>
                <w:rFonts w:hint="default" w:ascii="Times New Roman" w:hAnsi="Times New Roman" w:cs="Times New Roman"/>
                <w:color w:val="auto"/>
                <w:highlight w:val="none"/>
                <w:lang w:val="en-US" w:eastAsia="zh-CN"/>
              </w:rPr>
              <w:t>）以及《一般工业固体废物贮存和填埋污染控制标准》（GB18599-2020）的要求，规范建设和维护项目区内的固体废物临时堆放场，必须做好该堆放场防雨、防风、防渗、防漏等措施，并制定好固体废物特别是危险废物污染防范及事故应急措施。</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对危险废物实行从产生、收集、运输到处理的全过程进行管理，加强废物运输过程中的事故风险防范，按照有关法律法规的要求，对危险废物的全过程管理且应当报当地环保行政主管部门批准。严格按照</w:t>
            </w:r>
            <w:r>
              <w:rPr>
                <w:rFonts w:hint="default" w:ascii="Times New Roman" w:hAnsi="Times New Roman" w:cs="Times New Roman"/>
                <w:color w:val="auto"/>
                <w:kern w:val="2"/>
                <w:szCs w:val="24"/>
                <w:highlight w:val="none"/>
                <w:lang w:bidi="ar"/>
              </w:rPr>
              <w:t>《危险废物贮存污染控制标准》</w:t>
            </w:r>
            <w:r>
              <w:rPr>
                <w:rFonts w:hint="eastAsia" w:cs="Times New Roman"/>
                <w:color w:val="auto"/>
                <w:kern w:val="2"/>
                <w:szCs w:val="24"/>
                <w:highlight w:val="none"/>
                <w:lang w:eastAsia="zh-CN" w:bidi="ar"/>
              </w:rPr>
              <w:t>（</w:t>
            </w:r>
            <w:r>
              <w:rPr>
                <w:rFonts w:hint="default" w:ascii="Times New Roman" w:hAnsi="Times New Roman" w:cs="Times New Roman"/>
                <w:color w:val="auto"/>
                <w:kern w:val="2"/>
                <w:szCs w:val="24"/>
                <w:highlight w:val="none"/>
                <w:lang w:bidi="ar"/>
              </w:rPr>
              <w:t>GB18597-20</w:t>
            </w:r>
            <w:r>
              <w:rPr>
                <w:rFonts w:hint="eastAsia" w:cs="Times New Roman"/>
                <w:color w:val="auto"/>
                <w:kern w:val="2"/>
                <w:szCs w:val="24"/>
                <w:highlight w:val="none"/>
                <w:lang w:val="en-US" w:eastAsia="zh-CN" w:bidi="ar"/>
              </w:rPr>
              <w:t>23）</w:t>
            </w:r>
            <w:r>
              <w:rPr>
                <w:rFonts w:hint="default" w:ascii="Times New Roman" w:hAnsi="Times New Roman" w:cs="Times New Roman"/>
                <w:color w:val="auto"/>
                <w:kern w:val="2"/>
                <w:szCs w:val="24"/>
                <w:highlight w:val="none"/>
                <w:lang w:bidi="ar"/>
              </w:rPr>
              <w:t>和《危险废物转移管理办法》</w:t>
            </w:r>
            <w:r>
              <w:rPr>
                <w:rFonts w:hint="default" w:ascii="Times New Roman" w:hAnsi="Times New Roman" w:cs="Times New Roman"/>
                <w:color w:val="auto"/>
                <w:kern w:val="2"/>
                <w:szCs w:val="24"/>
                <w:highlight w:val="none"/>
                <w:lang w:val="en-US" w:eastAsia="zh-CN" w:bidi="ar"/>
              </w:rPr>
              <w:t>要求对危废进行转运和管理</w:t>
            </w:r>
            <w:r>
              <w:rPr>
                <w:rFonts w:hint="default" w:ascii="Times New Roman" w:hAnsi="Times New Roman" w:cs="Times New Roman"/>
                <w:color w:val="auto"/>
                <w:highlight w:val="none"/>
                <w:lang w:val="en-US" w:eastAsia="zh-CN"/>
              </w:rPr>
              <w:t>，保证运输安全，防止非法转移和非法处置，保证危险废物的安全监控，防止危险废物污染事故发生。</w:t>
            </w:r>
          </w:p>
          <w:p>
            <w:pPr>
              <w:pStyle w:val="36"/>
              <w:keepNext w:val="0"/>
              <w:keepLines w:val="0"/>
              <w:suppressLineNumbers w:val="0"/>
              <w:bidi w:val="0"/>
              <w:spacing w:before="0" w:beforeAutospacing="0" w:after="0" w:afterAutospacing="0"/>
              <w:ind w:left="0" w:right="0"/>
              <w:rPr>
                <w:rFonts w:hint="default"/>
                <w:color w:val="auto"/>
              </w:rPr>
            </w:pPr>
            <w:r>
              <w:rPr>
                <w:rFonts w:hint="default"/>
                <w:color w:val="auto"/>
              </w:rPr>
              <w:t>建设单位应强化废物产生、收集、贮放各环节的管理，各种</w:t>
            </w:r>
            <w:r>
              <w:rPr>
                <w:rFonts w:hint="eastAsia"/>
                <w:color w:val="auto"/>
                <w:lang w:eastAsia="zh-CN"/>
              </w:rPr>
              <w:t>固体废物</w:t>
            </w:r>
            <w:r>
              <w:rPr>
                <w:rFonts w:hint="default"/>
                <w:color w:val="auto"/>
              </w:rPr>
              <w:t>按照类别分类存放，杜绝</w:t>
            </w:r>
            <w:r>
              <w:rPr>
                <w:rFonts w:hint="default"/>
                <w:color w:val="auto"/>
                <w:lang w:val="en-US" w:eastAsia="zh-CN"/>
              </w:rPr>
              <w:t>危险废物</w:t>
            </w:r>
            <w:r>
              <w:rPr>
                <w:rFonts w:hint="default"/>
                <w:color w:val="auto"/>
              </w:rPr>
              <w:t>散失、渗漏，达到无害化的目的，避免产生二次污染。危险废物的运输应采取危险废物转移电子联单，保证运输安全，防止非法转移和非法处置，保证危险废物的安全监控，防止危险废物污染事故发生。根据《危险废物收集贮存运输技术规范》</w:t>
            </w:r>
            <w:r>
              <w:rPr>
                <w:rFonts w:hint="eastAsia"/>
                <w:color w:val="auto"/>
                <w:lang w:eastAsia="zh-CN"/>
              </w:rPr>
              <w:t>（</w:t>
            </w:r>
            <w:r>
              <w:rPr>
                <w:rFonts w:hint="default"/>
                <w:color w:val="auto"/>
              </w:rPr>
              <w:t>HJ2025</w:t>
            </w:r>
            <w:r>
              <w:rPr>
                <w:rFonts w:hint="default"/>
                <w:color w:val="auto"/>
                <w:lang w:val="en-US" w:eastAsia="zh-CN"/>
              </w:rPr>
              <w:t>-2012</w:t>
            </w:r>
            <w:r>
              <w:rPr>
                <w:rFonts w:hint="eastAsia"/>
                <w:color w:val="auto"/>
                <w:lang w:eastAsia="zh-CN"/>
              </w:rPr>
              <w:t>）</w:t>
            </w:r>
            <w:r>
              <w:rPr>
                <w:rFonts w:hint="default"/>
                <w:color w:val="auto"/>
              </w:rPr>
              <w:t>，危险废物运输中应做到以下几点：</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A.危险废物的运输车辆须经主管单位检查，并持有有关单位签发的许可证，负责运输的司机应通过培训，持有证明文件。</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B.危险废物公路运输应按照《道路危险货物运输管理规定》</w:t>
            </w:r>
            <w:r>
              <w:rPr>
                <w:rFonts w:hint="eastAsia" w:cs="Times New Roman"/>
                <w:color w:val="auto"/>
                <w:highlight w:val="none"/>
                <w:lang w:eastAsia="zh-CN"/>
              </w:rPr>
              <w:t>（</w:t>
            </w:r>
            <w:r>
              <w:rPr>
                <w:rFonts w:hint="default" w:ascii="Times New Roman" w:hAnsi="Times New Roman" w:cs="Times New Roman"/>
                <w:color w:val="auto"/>
                <w:highlight w:val="none"/>
              </w:rPr>
              <w:t>交通部令</w:t>
            </w:r>
            <w:r>
              <w:rPr>
                <w:rFonts w:hint="eastAsia" w:cs="Times New Roman"/>
                <w:color w:val="auto"/>
                <w:highlight w:val="none"/>
                <w:lang w:eastAsia="zh-CN"/>
              </w:rPr>
              <w:t>〔2005〕9号）</w:t>
            </w:r>
            <w:r>
              <w:rPr>
                <w:rFonts w:hint="default" w:ascii="Times New Roman" w:hAnsi="Times New Roman" w:cs="Times New Roman"/>
                <w:color w:val="auto"/>
                <w:highlight w:val="none"/>
              </w:rPr>
              <w:t>、《危险货物道路运输规则》</w:t>
            </w:r>
            <w:r>
              <w:rPr>
                <w:rFonts w:hint="eastAsia" w:cs="Times New Roman"/>
                <w:color w:val="auto"/>
                <w:highlight w:val="none"/>
                <w:lang w:eastAsia="zh-CN"/>
              </w:rPr>
              <w:t>（JT/T 617-2018）</w:t>
            </w:r>
            <w:r>
              <w:rPr>
                <w:rFonts w:hint="default" w:ascii="Times New Roman" w:hAnsi="Times New Roman" w:cs="Times New Roman"/>
                <w:color w:val="auto"/>
                <w:highlight w:val="none"/>
              </w:rPr>
              <w:t>执行；承载危险废物的车辆须有明显的标志或适当的危险符号，运输车辆按照GB13392设置车辆标志，以引起注意。</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C.载有危险废物的车辆在公路上行驶时，需持有运输许可证，其上应注明废物来源、性质和运往地点。</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D.组织危险废物的运输单位，在事先需</w:t>
            </w:r>
            <w:r>
              <w:rPr>
                <w:rFonts w:hint="eastAsia" w:cs="Times New Roman"/>
                <w:color w:val="auto"/>
                <w:highlight w:val="none"/>
                <w:lang w:eastAsia="zh-CN"/>
              </w:rPr>
              <w:t>作出</w:t>
            </w:r>
            <w:r>
              <w:rPr>
                <w:rFonts w:hint="default" w:ascii="Times New Roman" w:hAnsi="Times New Roman" w:cs="Times New Roman"/>
                <w:color w:val="auto"/>
                <w:highlight w:val="none"/>
              </w:rPr>
              <w:t>周密的运输计划和行驶路线，其中包括有效的废物</w:t>
            </w:r>
            <w:r>
              <w:rPr>
                <w:rFonts w:hint="eastAsia" w:cs="Times New Roman"/>
                <w:color w:val="auto"/>
                <w:highlight w:val="none"/>
                <w:lang w:eastAsia="zh-CN"/>
              </w:rPr>
              <w:t>泄漏</w:t>
            </w:r>
            <w:r>
              <w:rPr>
                <w:rFonts w:hint="default" w:ascii="Times New Roman" w:hAnsi="Times New Roman" w:cs="Times New Roman"/>
                <w:color w:val="auto"/>
                <w:highlight w:val="none"/>
              </w:rPr>
              <w:t>情况下的应急措施</w:t>
            </w:r>
            <w:r>
              <w:rPr>
                <w:rFonts w:hint="default" w:ascii="Times New Roman" w:hAnsi="Times New Roman" w:cs="Times New Roman"/>
                <w:color w:val="auto"/>
                <w:highlight w:val="none"/>
                <w:lang w:val="en-US" w:eastAsia="zh-CN"/>
              </w:rPr>
              <w:t>。</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综上分析，采取以上措施后，项目各项固体废物均可得到妥善处理处置，固体废物处置率为100%，因此项目固体废物防治措施在经济和技术上是可行的</w:t>
            </w:r>
            <w:r>
              <w:rPr>
                <w:rFonts w:hint="default" w:ascii="Times New Roman" w:hAnsi="Times New Roman" w:cs="Times New Roman"/>
                <w:color w:val="auto"/>
                <w:highlight w:val="none"/>
              </w:rPr>
              <w:t>。</w:t>
            </w:r>
          </w:p>
          <w:p>
            <w:pPr>
              <w:pStyle w:val="3"/>
              <w:suppressLineNumbers w:val="0"/>
              <w:bidi w:val="0"/>
              <w:spacing w:beforeAutospacing="0" w:afterAutospacing="0"/>
              <w:ind w:right="0"/>
              <w:rPr>
                <w:rFonts w:hint="default"/>
                <w:color w:val="auto"/>
              </w:rPr>
            </w:pPr>
            <w:bookmarkStart w:id="101" w:name="_Toc807"/>
            <w:r>
              <w:rPr>
                <w:rFonts w:hint="eastAsia"/>
                <w:color w:val="auto"/>
                <w:lang w:val="en-US" w:eastAsia="zh-CN"/>
              </w:rPr>
              <w:t>运营期</w:t>
            </w:r>
            <w:r>
              <w:rPr>
                <w:rFonts w:hint="default"/>
                <w:color w:val="auto"/>
                <w:lang w:val="en-US" w:eastAsia="zh-CN"/>
              </w:rPr>
              <w:t>地下水、土壤</w:t>
            </w:r>
            <w:r>
              <w:rPr>
                <w:rFonts w:hint="eastAsia"/>
                <w:color w:val="auto"/>
                <w:lang w:val="en-US" w:eastAsia="zh-CN"/>
              </w:rPr>
              <w:t>影响分析</w:t>
            </w:r>
            <w:bookmarkEnd w:id="101"/>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项目</w:t>
            </w:r>
            <w:r>
              <w:rPr>
                <w:rFonts w:hint="default" w:ascii="Times New Roman" w:hAnsi="Times New Roman" w:cs="Times New Roman"/>
                <w:color w:val="auto"/>
                <w:lang w:val="en-US" w:eastAsia="zh-CN"/>
              </w:rPr>
              <w:t>实验室位于</w:t>
            </w:r>
            <w:r>
              <w:rPr>
                <w:rFonts w:hint="eastAsia" w:cs="Times New Roman"/>
                <w:color w:val="auto"/>
                <w:lang w:val="en-US" w:eastAsia="zh-CN"/>
              </w:rPr>
              <w:t>办公楼4层、5层</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厂区地面</w:t>
            </w:r>
            <w:r>
              <w:rPr>
                <w:rFonts w:hint="default" w:ascii="Times New Roman" w:hAnsi="Times New Roman" w:cs="Times New Roman"/>
                <w:color w:val="auto"/>
                <w:highlight w:val="none"/>
                <w:lang w:val="en-US" w:eastAsia="zh-CN"/>
              </w:rPr>
              <w:t>采取一般地面硬化处理</w:t>
            </w:r>
            <w:r>
              <w:rPr>
                <w:rFonts w:hint="default" w:ascii="Times New Roman" w:hAnsi="Times New Roman" w:cs="Times New Roman"/>
                <w:color w:val="auto"/>
                <w:highlight w:val="none"/>
              </w:rPr>
              <w:t>，贮存场所及生产设施基本不存在污染地下水及土壤的途径。</w:t>
            </w:r>
            <w:r>
              <w:rPr>
                <w:rFonts w:hint="default" w:ascii="Times New Roman" w:hAnsi="Times New Roman" w:cs="Times New Roman"/>
                <w:color w:val="auto"/>
                <w:highlight w:val="none"/>
                <w:lang w:val="en-US" w:eastAsia="zh-CN"/>
              </w:rPr>
              <w:t>项目运营后对区域地下水、土壤环境基本不影响。</w:t>
            </w:r>
          </w:p>
          <w:p>
            <w:pPr>
              <w:pStyle w:val="3"/>
              <w:suppressLineNumbers w:val="0"/>
              <w:bidi w:val="0"/>
              <w:spacing w:beforeAutospacing="0" w:afterAutospacing="0"/>
              <w:ind w:right="0"/>
              <w:rPr>
                <w:rFonts w:hint="default"/>
                <w:color w:val="auto"/>
              </w:rPr>
            </w:pPr>
            <w:bookmarkStart w:id="102" w:name="_Toc2874"/>
            <w:r>
              <w:rPr>
                <w:rFonts w:hint="default"/>
                <w:color w:val="auto"/>
              </w:rPr>
              <w:t>环境风险</w:t>
            </w:r>
            <w:bookmarkEnd w:id="102"/>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建设项目环境风险评价技术导则》（HJ169-2018）要求，对于涉及有毒有害和易燃易爆物质的生产、使用、储存（包括使用管线运输）的建设项目可能发生的突发事故（不包括人为破坏及自然灾害引发的事故）的环境风险评价。</w:t>
            </w:r>
          </w:p>
          <w:p>
            <w:pPr>
              <w:pStyle w:val="4"/>
              <w:suppressLineNumbers w:val="0"/>
              <w:bidi w:val="0"/>
              <w:spacing w:beforeAutospacing="0" w:afterAutospacing="0"/>
              <w:ind w:right="0"/>
              <w:rPr>
                <w:rFonts w:hint="default"/>
                <w:color w:val="auto"/>
                <w:lang w:val="en-US" w:eastAsia="zh-CN"/>
              </w:rPr>
            </w:pPr>
            <w:r>
              <w:rPr>
                <w:rFonts w:hint="default"/>
                <w:color w:val="auto"/>
                <w:lang w:val="en-US" w:eastAsia="zh-CN"/>
              </w:rPr>
              <w:t>环境风险潜势初判</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设项目环境风险潜势划分为 I、II、Ⅲ、IV/IV+级。</w:t>
            </w:r>
          </w:p>
          <w:p>
            <w:pPr>
              <w:pStyle w:val="36"/>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根据建设项目设计的物质和工艺系统的危险性及其所在地的环境敏感程度，结合事故情形下环境影响途径，对建设项目潜在环境危害程度进行概化分析。按下表确定环境风险潜势。</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评价工作等级划分</w:t>
            </w:r>
          </w:p>
          <w:tbl>
            <w:tblPr>
              <w:tblStyle w:val="32"/>
              <w:tblW w:w="8133"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2131"/>
              <w:gridCol w:w="1498"/>
              <w:gridCol w:w="1498"/>
              <w:gridCol w:w="1498"/>
              <w:gridCol w:w="150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30" w:hRule="atLeast"/>
                <w:jc w:val="center"/>
              </w:trPr>
              <w:tc>
                <w:tcPr>
                  <w:tcW w:w="2131" w:type="dxa"/>
                  <w:vMerge w:val="restart"/>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环境敏感程度（</w:t>
                  </w:r>
                  <w:r>
                    <w:rPr>
                      <w:rFonts w:hint="default" w:ascii="Times New Roman" w:hAnsi="Times New Roman" w:eastAsia="Times New Roman" w:cs="Times New Roman"/>
                      <w:b w:val="0"/>
                      <w:bCs w:val="0"/>
                      <w:color w:val="auto"/>
                      <w:sz w:val="21"/>
                    </w:rPr>
                    <w:t>E</w:t>
                  </w:r>
                  <w:r>
                    <w:rPr>
                      <w:rFonts w:hint="default" w:ascii="Times New Roman" w:hAnsi="Times New Roman" w:cs="Times New Roman"/>
                      <w:b w:val="0"/>
                      <w:bCs w:val="0"/>
                      <w:color w:val="auto"/>
                      <w:sz w:val="21"/>
                    </w:rPr>
                    <w:t>）</w:t>
                  </w:r>
                </w:p>
              </w:tc>
              <w:tc>
                <w:tcPr>
                  <w:tcW w:w="6002" w:type="dxa"/>
                  <w:gridSpan w:val="4"/>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危险物质及工艺系统危险性（</w:t>
                  </w:r>
                  <w:r>
                    <w:rPr>
                      <w:rFonts w:hint="default" w:ascii="Times New Roman" w:hAnsi="Times New Roman" w:eastAsia="Times New Roman" w:cs="Times New Roman"/>
                      <w:b w:val="0"/>
                      <w:bCs w:val="0"/>
                      <w:color w:val="auto"/>
                      <w:sz w:val="21"/>
                    </w:rPr>
                    <w:t>P</w:t>
                  </w:r>
                  <w:r>
                    <w:rPr>
                      <w:rFonts w:hint="default" w:ascii="Times New Roman" w:hAnsi="Times New Roman" w:cs="Times New Roman"/>
                      <w:b w:val="0"/>
                      <w:bCs w:val="0"/>
                      <w:color w:val="auto"/>
                      <w:sz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621" w:hRule="atLeast"/>
                <w:jc w:val="center"/>
              </w:trPr>
              <w:tc>
                <w:tcPr>
                  <w:tcW w:w="2131"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
                      <w:szCs w:val="2"/>
                    </w:rPr>
                  </w:pPr>
                </w:p>
              </w:tc>
              <w:tc>
                <w:tcPr>
                  <w:tcW w:w="1498"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76"/>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极高危害（</w:t>
                  </w:r>
                  <w:r>
                    <w:rPr>
                      <w:rFonts w:hint="default" w:ascii="Times New Roman" w:hAnsi="Times New Roman" w:eastAsia="宋体" w:cs="Times New Roman"/>
                      <w:b w:val="0"/>
                      <w:bCs w:val="0"/>
                      <w:color w:val="auto"/>
                      <w:sz w:val="21"/>
                      <w:lang w:eastAsia="zh-CN"/>
                    </w:rPr>
                    <w:t>DA001</w:t>
                  </w:r>
                  <w:r>
                    <w:rPr>
                      <w:rFonts w:hint="default" w:ascii="Times New Roman" w:hAnsi="Times New Roman" w:cs="Times New Roman"/>
                      <w:b w:val="0"/>
                      <w:bCs w:val="0"/>
                      <w:color w:val="auto"/>
                      <w:sz w:val="21"/>
                    </w:rPr>
                    <w:t>）</w:t>
                  </w:r>
                </w:p>
              </w:tc>
              <w:tc>
                <w:tcPr>
                  <w:tcW w:w="1498"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76"/>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高度危害（</w:t>
                  </w:r>
                  <w:r>
                    <w:rPr>
                      <w:rFonts w:hint="default" w:ascii="Times New Roman" w:hAnsi="Times New Roman" w:eastAsia="Times New Roman" w:cs="Times New Roman"/>
                      <w:b w:val="0"/>
                      <w:bCs w:val="0"/>
                      <w:color w:val="auto"/>
                      <w:sz w:val="21"/>
                    </w:rPr>
                    <w:t>P2</w:t>
                  </w:r>
                  <w:r>
                    <w:rPr>
                      <w:rFonts w:hint="default" w:ascii="Times New Roman" w:hAnsi="Times New Roman" w:cs="Times New Roman"/>
                      <w:b w:val="0"/>
                      <w:bCs w:val="0"/>
                      <w:color w:val="auto"/>
                      <w:sz w:val="21"/>
                    </w:rPr>
                    <w:t>）</w:t>
                  </w:r>
                </w:p>
              </w:tc>
              <w:tc>
                <w:tcPr>
                  <w:tcW w:w="1498"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76"/>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中度危害（</w:t>
                  </w:r>
                  <w:r>
                    <w:rPr>
                      <w:rFonts w:hint="default" w:ascii="Times New Roman" w:hAnsi="Times New Roman" w:eastAsia="Times New Roman" w:cs="Times New Roman"/>
                      <w:b w:val="0"/>
                      <w:bCs w:val="0"/>
                      <w:color w:val="auto"/>
                      <w:sz w:val="21"/>
                    </w:rPr>
                    <w:t>P3</w:t>
                  </w:r>
                  <w:r>
                    <w:rPr>
                      <w:rFonts w:hint="default" w:ascii="Times New Roman" w:hAnsi="Times New Roman" w:cs="Times New Roman"/>
                      <w:b w:val="0"/>
                      <w:bCs w:val="0"/>
                      <w:color w:val="auto"/>
                      <w:sz w:val="21"/>
                    </w:rPr>
                    <w:t>）</w:t>
                  </w:r>
                </w:p>
              </w:tc>
              <w:tc>
                <w:tcPr>
                  <w:tcW w:w="1508"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82"/>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轻度危害（</w:t>
                  </w:r>
                  <w:r>
                    <w:rPr>
                      <w:rFonts w:hint="default" w:ascii="Times New Roman" w:hAnsi="Times New Roman" w:eastAsia="Times New Roman" w:cs="Times New Roman"/>
                      <w:b w:val="0"/>
                      <w:bCs w:val="0"/>
                      <w:color w:val="auto"/>
                      <w:sz w:val="21"/>
                    </w:rPr>
                    <w:t>P4</w:t>
                  </w:r>
                  <w:r>
                    <w:rPr>
                      <w:rFonts w:hint="default" w:ascii="Times New Roman" w:hAnsi="Times New Roman" w:cs="Times New Roman"/>
                      <w:b w:val="0"/>
                      <w:bCs w:val="0"/>
                      <w:color w:val="auto"/>
                      <w:sz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2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环境高度敏感区（</w:t>
                  </w:r>
                  <w:r>
                    <w:rPr>
                      <w:rFonts w:hint="default" w:ascii="Times New Roman" w:hAnsi="Times New Roman" w:eastAsia="Times New Roman" w:cs="Times New Roman"/>
                      <w:b w:val="0"/>
                      <w:bCs w:val="0"/>
                      <w:color w:val="auto"/>
                      <w:sz w:val="21"/>
                    </w:rPr>
                    <w:t>E1</w:t>
                  </w:r>
                  <w:r>
                    <w:rPr>
                      <w:rFonts w:hint="default" w:ascii="Times New Roman" w:hAnsi="Times New Roman" w:cs="Times New Roman"/>
                      <w:b w:val="0"/>
                      <w:bCs w:val="0"/>
                      <w:color w:val="auto"/>
                      <w:sz w:val="21"/>
                    </w:rPr>
                    <w:t>）</w:t>
                  </w:r>
                </w:p>
              </w:tc>
              <w:tc>
                <w:tcPr>
                  <w:tcW w:w="1498"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75"/>
                    <w:jc w:val="center"/>
                    <w:textAlignment w:val="auto"/>
                    <w:rPr>
                      <w:rFonts w:hint="default" w:ascii="Times New Roman" w:hAnsi="Times New Roman" w:cs="Times New Roman"/>
                      <w:b w:val="0"/>
                      <w:bCs w:val="0"/>
                      <w:color w:val="auto"/>
                      <w:sz w:val="13"/>
                    </w:rPr>
                  </w:pPr>
                  <w:r>
                    <w:rPr>
                      <w:rFonts w:hint="default" w:ascii="Times New Roman" w:hAnsi="Times New Roman" w:cs="Times New Roman"/>
                      <w:b w:val="0"/>
                      <w:bCs w:val="0"/>
                      <w:color w:val="auto"/>
                      <w:sz w:val="21"/>
                    </w:rPr>
                    <w:t>IV</w:t>
                  </w:r>
                  <w:r>
                    <w:rPr>
                      <w:rFonts w:hint="default" w:ascii="Times New Roman" w:hAnsi="Times New Roman" w:cs="Times New Roman"/>
                      <w:b w:val="0"/>
                      <w:bCs w:val="0"/>
                      <w:color w:val="auto"/>
                      <w:position w:val="7"/>
                      <w:sz w:val="13"/>
                    </w:rPr>
                    <w:t>+</w:t>
                  </w:r>
                </w:p>
              </w:tc>
              <w:tc>
                <w:tcPr>
                  <w:tcW w:w="1498"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75"/>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IV</w:t>
                  </w:r>
                </w:p>
              </w:tc>
              <w:tc>
                <w:tcPr>
                  <w:tcW w:w="1498"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76"/>
                    <w:jc w:val="center"/>
                    <w:textAlignment w:val="auto"/>
                    <w:rPr>
                      <w:rFonts w:hint="eastAsia" w:ascii="Times New Roman" w:hAnsi="Times New Roman" w:eastAsia="宋体" w:cs="Times New Roman"/>
                      <w:b w:val="0"/>
                      <w:bCs w:val="0"/>
                      <w:color w:val="auto"/>
                      <w:sz w:val="21"/>
                      <w:lang w:eastAsia="zh-CN"/>
                    </w:rPr>
                  </w:pPr>
                  <w:r>
                    <w:rPr>
                      <w:rFonts w:hint="eastAsia" w:ascii="Times New Roman" w:hAnsi="Times New Roman" w:cs="Times New Roman"/>
                      <w:b w:val="0"/>
                      <w:bCs w:val="0"/>
                      <w:color w:val="auto"/>
                      <w:sz w:val="21"/>
                      <w:lang w:eastAsia="zh-CN"/>
                    </w:rPr>
                    <w:t>Ⅲ</w:t>
                  </w:r>
                </w:p>
              </w:tc>
              <w:tc>
                <w:tcPr>
                  <w:tcW w:w="1508"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80"/>
                    <w:jc w:val="center"/>
                    <w:textAlignment w:val="auto"/>
                    <w:rPr>
                      <w:rFonts w:hint="eastAsia" w:ascii="Times New Roman" w:hAnsi="Times New Roman" w:eastAsia="宋体" w:cs="Times New Roman"/>
                      <w:b w:val="0"/>
                      <w:bCs w:val="0"/>
                      <w:color w:val="auto"/>
                      <w:sz w:val="21"/>
                      <w:lang w:eastAsia="zh-CN"/>
                    </w:rPr>
                  </w:pPr>
                  <w:r>
                    <w:rPr>
                      <w:rFonts w:hint="eastAsia" w:ascii="Times New Roman" w:hAnsi="Times New Roman" w:cs="Times New Roman"/>
                      <w:b w:val="0"/>
                      <w:bCs w:val="0"/>
                      <w:color w:val="auto"/>
                      <w:sz w:val="21"/>
                      <w:lang w:eastAsia="zh-CN"/>
                    </w:rPr>
                    <w:t>Ⅲ</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2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环境中度敏感区（</w:t>
                  </w:r>
                  <w:r>
                    <w:rPr>
                      <w:rFonts w:hint="default" w:ascii="Times New Roman" w:hAnsi="Times New Roman" w:eastAsia="Times New Roman" w:cs="Times New Roman"/>
                      <w:b w:val="0"/>
                      <w:bCs w:val="0"/>
                      <w:color w:val="auto"/>
                      <w:sz w:val="21"/>
                    </w:rPr>
                    <w:t>E2</w:t>
                  </w:r>
                  <w:r>
                    <w:rPr>
                      <w:rFonts w:hint="default" w:ascii="Times New Roman" w:hAnsi="Times New Roman" w:cs="Times New Roman"/>
                      <w:b w:val="0"/>
                      <w:bCs w:val="0"/>
                      <w:color w:val="auto"/>
                      <w:sz w:val="21"/>
                    </w:rPr>
                    <w:t>）</w:t>
                  </w:r>
                </w:p>
              </w:tc>
              <w:tc>
                <w:tcPr>
                  <w:tcW w:w="1498"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75"/>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IV</w:t>
                  </w:r>
                </w:p>
              </w:tc>
              <w:tc>
                <w:tcPr>
                  <w:tcW w:w="1498"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74"/>
                    <w:jc w:val="center"/>
                    <w:textAlignment w:val="auto"/>
                    <w:rPr>
                      <w:rFonts w:hint="eastAsia" w:ascii="Times New Roman" w:hAnsi="Times New Roman" w:eastAsia="宋体" w:cs="Times New Roman"/>
                      <w:b w:val="0"/>
                      <w:bCs w:val="0"/>
                      <w:color w:val="auto"/>
                      <w:sz w:val="21"/>
                      <w:lang w:eastAsia="zh-CN"/>
                    </w:rPr>
                  </w:pPr>
                  <w:r>
                    <w:rPr>
                      <w:rFonts w:hint="eastAsia" w:ascii="Times New Roman" w:hAnsi="Times New Roman" w:cs="Times New Roman"/>
                      <w:b w:val="0"/>
                      <w:bCs w:val="0"/>
                      <w:color w:val="auto"/>
                      <w:sz w:val="21"/>
                      <w:lang w:eastAsia="zh-CN"/>
                    </w:rPr>
                    <w:t>Ⅲ</w:t>
                  </w:r>
                </w:p>
              </w:tc>
              <w:tc>
                <w:tcPr>
                  <w:tcW w:w="1498"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76"/>
                    <w:jc w:val="center"/>
                    <w:textAlignment w:val="auto"/>
                    <w:rPr>
                      <w:rFonts w:hint="eastAsia" w:ascii="Times New Roman" w:hAnsi="Times New Roman" w:eastAsia="宋体" w:cs="Times New Roman"/>
                      <w:b w:val="0"/>
                      <w:bCs w:val="0"/>
                      <w:color w:val="auto"/>
                      <w:sz w:val="21"/>
                      <w:lang w:eastAsia="zh-CN"/>
                    </w:rPr>
                  </w:pPr>
                  <w:r>
                    <w:rPr>
                      <w:rFonts w:hint="eastAsia" w:ascii="Times New Roman" w:hAnsi="Times New Roman" w:cs="Times New Roman"/>
                      <w:b w:val="0"/>
                      <w:bCs w:val="0"/>
                      <w:color w:val="auto"/>
                      <w:sz w:val="21"/>
                      <w:lang w:eastAsia="zh-CN"/>
                    </w:rPr>
                    <w:t>Ⅲ</w:t>
                  </w:r>
                </w:p>
              </w:tc>
              <w:tc>
                <w:tcPr>
                  <w:tcW w:w="1508"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II</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2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环境低度敏感区（</w:t>
                  </w:r>
                  <w:r>
                    <w:rPr>
                      <w:rFonts w:hint="default" w:ascii="Times New Roman" w:hAnsi="Times New Roman" w:eastAsia="Times New Roman" w:cs="Times New Roman"/>
                      <w:b w:val="0"/>
                      <w:bCs w:val="0"/>
                      <w:color w:val="auto"/>
                      <w:sz w:val="21"/>
                    </w:rPr>
                    <w:t>E3</w:t>
                  </w:r>
                  <w:r>
                    <w:rPr>
                      <w:rFonts w:hint="default" w:ascii="Times New Roman" w:hAnsi="Times New Roman" w:cs="Times New Roman"/>
                      <w:b w:val="0"/>
                      <w:bCs w:val="0"/>
                      <w:color w:val="auto"/>
                      <w:sz w:val="21"/>
                    </w:rPr>
                    <w:t>）</w:t>
                  </w:r>
                </w:p>
              </w:tc>
              <w:tc>
                <w:tcPr>
                  <w:tcW w:w="1498"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75"/>
                    <w:jc w:val="center"/>
                    <w:textAlignment w:val="auto"/>
                    <w:rPr>
                      <w:rFonts w:hint="eastAsia" w:ascii="Times New Roman" w:hAnsi="Times New Roman" w:eastAsia="宋体" w:cs="Times New Roman"/>
                      <w:b w:val="0"/>
                      <w:bCs w:val="0"/>
                      <w:color w:val="auto"/>
                      <w:sz w:val="21"/>
                      <w:lang w:eastAsia="zh-CN"/>
                    </w:rPr>
                  </w:pPr>
                  <w:r>
                    <w:rPr>
                      <w:rFonts w:hint="eastAsia" w:ascii="Times New Roman" w:hAnsi="Times New Roman" w:cs="Times New Roman"/>
                      <w:b w:val="0"/>
                      <w:bCs w:val="0"/>
                      <w:color w:val="auto"/>
                      <w:sz w:val="21"/>
                      <w:lang w:eastAsia="zh-CN"/>
                    </w:rPr>
                    <w:t>Ⅲ</w:t>
                  </w:r>
                </w:p>
              </w:tc>
              <w:tc>
                <w:tcPr>
                  <w:tcW w:w="1498"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74"/>
                    <w:jc w:val="center"/>
                    <w:textAlignment w:val="auto"/>
                    <w:rPr>
                      <w:rFonts w:hint="eastAsia" w:ascii="Times New Roman" w:hAnsi="Times New Roman" w:eastAsia="宋体" w:cs="Times New Roman"/>
                      <w:b w:val="0"/>
                      <w:bCs w:val="0"/>
                      <w:color w:val="auto"/>
                      <w:sz w:val="21"/>
                      <w:lang w:eastAsia="zh-CN"/>
                    </w:rPr>
                  </w:pPr>
                  <w:r>
                    <w:rPr>
                      <w:rFonts w:hint="eastAsia" w:ascii="Times New Roman" w:hAnsi="Times New Roman" w:cs="Times New Roman"/>
                      <w:b w:val="0"/>
                      <w:bCs w:val="0"/>
                      <w:color w:val="auto"/>
                      <w:sz w:val="21"/>
                      <w:lang w:eastAsia="zh-CN"/>
                    </w:rPr>
                    <w:t>Ⅲ</w:t>
                  </w:r>
                </w:p>
              </w:tc>
              <w:tc>
                <w:tcPr>
                  <w:tcW w:w="1498"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74"/>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II</w:t>
                  </w:r>
                </w:p>
              </w:tc>
              <w:tc>
                <w:tcPr>
                  <w:tcW w:w="1508"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w w:val="99"/>
                      <w:sz w:val="21"/>
                    </w:rPr>
                    <w:t>I</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40" w:hRule="atLeast"/>
                <w:jc w:val="center"/>
              </w:trPr>
              <w:tc>
                <w:tcPr>
                  <w:tcW w:w="8133" w:type="dxa"/>
                  <w:gridSpan w:val="5"/>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Times New Roman" w:hAnsi="Times New Roman" w:eastAsia="宋体" w:cs="Times New Roman"/>
                      <w:b w:val="0"/>
                      <w:bCs w:val="0"/>
                      <w:color w:val="auto"/>
                      <w:w w:val="99"/>
                      <w:sz w:val="21"/>
                      <w:lang w:eastAsia="zh-CN"/>
                    </w:rPr>
                  </w:pPr>
                  <w:r>
                    <w:rPr>
                      <w:rFonts w:hint="default" w:ascii="Times New Roman" w:hAnsi="Times New Roman" w:cs="Times New Roman"/>
                      <w:b/>
                      <w:bCs/>
                      <w:color w:val="auto"/>
                      <w:w w:val="99"/>
                      <w:sz w:val="18"/>
                      <w:szCs w:val="18"/>
                      <w:vertAlign w:val="baseline"/>
                      <w:lang w:eastAsia="zh-CN"/>
                    </w:rPr>
                    <w:t>注：</w:t>
                  </w:r>
                  <w:r>
                    <w:rPr>
                      <w:rFonts w:hint="default" w:ascii="Times New Roman" w:hAnsi="Times New Roman" w:eastAsia="Times New Roman" w:cs="Times New Roman"/>
                      <w:b/>
                      <w:bCs/>
                      <w:color w:val="auto"/>
                      <w:sz w:val="18"/>
                      <w:szCs w:val="18"/>
                      <w:vertAlign w:val="baseline"/>
                    </w:rPr>
                    <w:t>IV</w:t>
                  </w:r>
                  <w:r>
                    <w:rPr>
                      <w:rFonts w:hint="default" w:ascii="Times New Roman" w:hAnsi="Times New Roman" w:eastAsia="Times New Roman" w:cs="Times New Roman"/>
                      <w:b/>
                      <w:bCs/>
                      <w:color w:val="auto"/>
                      <w:position w:val="7"/>
                      <w:sz w:val="18"/>
                      <w:szCs w:val="18"/>
                      <w:vertAlign w:val="baseline"/>
                    </w:rPr>
                    <w:t>+</w:t>
                  </w:r>
                  <w:r>
                    <w:rPr>
                      <w:rFonts w:hint="default" w:ascii="Times New Roman" w:hAnsi="Times New Roman" w:cs="Times New Roman"/>
                      <w:b/>
                      <w:bCs/>
                      <w:color w:val="auto"/>
                      <w:sz w:val="18"/>
                      <w:szCs w:val="18"/>
                      <w:vertAlign w:val="baseline"/>
                    </w:rPr>
                    <w:t>为极高环境风险</w:t>
                  </w:r>
                </w:p>
              </w:tc>
            </w:tr>
          </w:tbl>
          <w:p>
            <w:pPr>
              <w:pStyle w:val="69"/>
              <w:keepNext w:val="0"/>
              <w:keepLines w:val="0"/>
              <w:suppressLineNumbers w:val="0"/>
              <w:bidi w:val="0"/>
              <w:spacing w:beforeAutospacing="0" w:after="0" w:afterAutospacing="0"/>
              <w:ind w:left="0" w:right="0"/>
              <w:rPr>
                <w:rFonts w:hint="default"/>
                <w:color w:val="auto"/>
                <w:lang w:val="en-US" w:eastAsia="zh-CN"/>
              </w:rPr>
            </w:pPr>
            <w:r>
              <w:rPr>
                <w:rFonts w:hint="default"/>
                <w:color w:val="auto"/>
                <w:lang w:val="en-US" w:eastAsia="zh-CN"/>
              </w:rPr>
              <w:t>本项目原辅材料包括硫酸、氯化氢、硝酸、四氯乙烯等，</w:t>
            </w:r>
            <w:r>
              <w:rPr>
                <w:rFonts w:hint="eastAsia"/>
                <w:color w:val="auto"/>
                <w:lang w:val="en-US" w:eastAsia="zh-CN"/>
              </w:rPr>
              <w:t>根据</w:t>
            </w:r>
            <w:r>
              <w:rPr>
                <w:rFonts w:hint="default"/>
                <w:color w:val="auto"/>
                <w:lang w:val="en-US" w:eastAsia="zh-CN"/>
              </w:rPr>
              <w:t>各原料成分性质分析，项目涉及的危险物质主要为硫酸、氯化氢、硝酸、四氯乙烯、三氯甲烷、氨水、丙酮、甲醛、磷酸、氰化钠、乙醚、乙酸、正己烷、二氧化硫、二硫化碳、次氯酸钠、苯胺和苯酚等，根据《建设项目环境风险评价技术导则》（HJ</w:t>
            </w:r>
            <w:r>
              <w:rPr>
                <w:rFonts w:hint="eastAsia"/>
                <w:color w:val="auto"/>
                <w:lang w:val="en-US" w:eastAsia="zh-CN"/>
              </w:rPr>
              <w:t xml:space="preserve"> </w:t>
            </w:r>
            <w:r>
              <w:rPr>
                <w:rFonts w:hint="default"/>
                <w:color w:val="auto"/>
                <w:lang w:val="en-US" w:eastAsia="zh-CN"/>
              </w:rPr>
              <w:t>169-2018）附录B判断项目危险物质临界量值，详见下表。</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ascii="Times New Roman" w:hAnsi="Times New Roman" w:cs="Times New Roman"/>
                <w:color w:val="auto"/>
                <w:highlight w:val="none"/>
                <w:lang w:val="en-US" w:eastAsia="zh-CN"/>
              </w:rPr>
            </w:pPr>
            <w:bookmarkStart w:id="103" w:name="风险事故对环境的影响"/>
            <w:bookmarkEnd w:id="103"/>
            <w:bookmarkStart w:id="104" w:name="控制措施"/>
            <w:bookmarkEnd w:id="104"/>
            <w:bookmarkStart w:id="105" w:name="危险有害因素的识别与分析"/>
            <w:bookmarkEnd w:id="105"/>
            <w:r>
              <w:rPr>
                <w:rFonts w:hint="default" w:ascii="Times New Roman" w:hAnsi="Times New Roman" w:cs="Times New Roman"/>
                <w:color w:val="auto"/>
                <w:highlight w:val="none"/>
                <w:lang w:val="en-US" w:eastAsia="zh-CN"/>
              </w:rPr>
              <w:t>建设项目Q值确定表</w:t>
            </w:r>
          </w:p>
          <w:tbl>
            <w:tblPr>
              <w:tblStyle w:val="32"/>
              <w:tblW w:w="8103"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422"/>
              <w:gridCol w:w="1131"/>
              <w:gridCol w:w="1281"/>
              <w:gridCol w:w="1961"/>
              <w:gridCol w:w="1154"/>
              <w:gridCol w:w="1062"/>
              <w:gridCol w:w="109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634"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t>序号</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t>项目危险源</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CAS号</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危险特性</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t>临界量Q/t</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t>最大存量qn/t</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t>比值Q</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高氯酸</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7601-90-3</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健康危险急性毒性物质（类别3）</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50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0.000882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0.000018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2</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硝酸</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7697-37-2</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有毒液态物质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7.5</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0.007050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0.000940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3</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重铬酸钾</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7778-50-9</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健康危险急性毒性物质（类别3）</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50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0.000500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0.000010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4</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硝酸银</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7761-88-8</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健康危险急性毒性物质（类别2）</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50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0.001000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0.000020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5</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叠氮化钠</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26628-22-8</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健康危险急性毒性物质（类别2）</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50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0.000500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0.000010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6</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甲苯</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108-88-3</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有毒液态物质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0.000435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0.000044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7</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硫酸</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7664-93-9</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有毒液态物质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0.009200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0.000920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8</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盐酸</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7647-01-0</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有毒液态物质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7.5</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0.005950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0.000793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9</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丙酮</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67-64-1</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有毒液态物质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0.000394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0.000039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乙醚</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60-29-7</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易燃液态物质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0.000357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0.000036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11</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三氯甲烷</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67-66-3</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有毒液态物质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0.003750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0.000375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12</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无水乙醇</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64-17-5</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易燃液态物质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500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0.002367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0.000005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13</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乙酸乙酯</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141-78-6</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易燃液态物质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0.000451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0.000045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14</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乙醛</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75-07-0</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易燃液态物质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0.000393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0.000039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15</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异戊醇</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123-51-3</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健康危险急性毒性物质（类别2）</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50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0.000405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0.000008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16</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异丙醇</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67-63-0</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易燃液态物质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0.000393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0.000039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17</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石油醚</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8032-32-4</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有毒液态物质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0.000385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0.000039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18</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五氯苯酚</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87-86-5</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健康危险急性毒性物质（类别3）</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50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0.000100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0.000002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19</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氯化汞</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7487-94-7</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健康危险急性毒性物质（类别2）</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50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0.000100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0.000002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20</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硫氰酸汞</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592-85-8</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健康危险急性毒性物质（类别2）</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50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0.000100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0.000002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21</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亚砷酸钾</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13464-35-2</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健康危险急性毒性物质（类别2）</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50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0.000100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0.000002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22</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硫酸镉</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10124-36-4</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其他有毒物质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0.25</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0.000100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0.000400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23</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乙酸铅</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301-04-2</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健康危险急性毒性物质（类别3）</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50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0.000100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0.000002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24</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硫酸汞</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7783-35-9</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健康危险急性毒性物质（类别3）</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50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0.000100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0.000002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25</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二氯化汞</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7487-94-7</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健康危险急性毒性物质（类别2）</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50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0.000100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0.000002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26</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磷酸</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7664-38-2</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有毒液态物质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0.000937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0.000094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27</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冰乙酸</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64-19-7</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有毒液态物质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0.001049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0.000105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28</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甲酸</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64-18-6</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易燃液态物质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0.000610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0.000061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29</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次氯酸钠</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7681-52-9</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其他有毒物质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5</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0.000625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0.000125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30</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氢气</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1333-74-0</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易燃易爆气态物质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0.007192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0.000719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31</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乙炔</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74-86-2</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易燃易爆气态物质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0.072800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0.007280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32</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氨水p=0.91/</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1336-21-6</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有毒液态物质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0.000910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0.000091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33</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苯酚</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108-95-2</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其他有毒物质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5</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0.000250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0.000050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34</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苯</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71-43-2</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有毒液态物质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0.000219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0.000022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35</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二氯甲烷</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75-09-2</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有毒液态物质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0.000663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0.000066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36</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正己烷</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110-54-3</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易燃液态物质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0.000330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0.000033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37</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丙烯醛</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107-02-8</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有毒液态物质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10</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0.000420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0.000042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38</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苯胺</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62-53-3</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有毒液态物质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5</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0.000558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0.000112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39</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甲醛试剂纯度40%</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50-00-0</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有毒气态物质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0.5</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0.000217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0.000433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40</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四氯化碳</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56-23-5</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有毒液态物质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7.5</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0.000399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0.000053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41</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五氯硝基苯</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82-68-8</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其他有毒物质</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0.5</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0.000500 </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 xml:space="preserve">0.001000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00" w:hRule="atLeast"/>
                <w:jc w:val="center"/>
              </w:trPr>
              <w:tc>
                <w:tcPr>
                  <w:tcW w:w="42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42</w:t>
                  </w:r>
                </w:p>
              </w:tc>
              <w:tc>
                <w:tcPr>
                  <w:tcW w:w="113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危险废物</w:t>
                  </w:r>
                </w:p>
              </w:tc>
              <w:tc>
                <w:tcPr>
                  <w:tcW w:w="128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w:t>
                  </w:r>
                </w:p>
              </w:tc>
              <w:tc>
                <w:tcPr>
                  <w:tcW w:w="1961"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健康危险急性毒性物质（类别2、类别3）</w:t>
                  </w:r>
                </w:p>
              </w:tc>
              <w:tc>
                <w:tcPr>
                  <w:tcW w:w="1154"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6.</w:t>
                  </w:r>
                  <w:r>
                    <w:rPr>
                      <w:rFonts w:hint="eastAsia" w:ascii="Times New Roman" w:hAnsi="Times New Roman" w:cs="Times New Roman"/>
                      <w:b w:val="0"/>
                      <w:bCs w:val="0"/>
                      <w:color w:val="auto"/>
                      <w:sz w:val="21"/>
                      <w:lang w:val="en-US" w:eastAsia="zh-CN"/>
                    </w:rPr>
                    <w:t>54</w:t>
                  </w:r>
                </w:p>
              </w:tc>
              <w:tc>
                <w:tcPr>
                  <w:tcW w:w="106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50</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lang w:val="en-US" w:eastAsia="zh-CN"/>
                    </w:rPr>
                  </w:pPr>
                  <w:r>
                    <w:rPr>
                      <w:rFonts w:hint="default" w:ascii="Times New Roman" w:hAnsi="Times New Roman" w:eastAsia="宋体" w:cs="Times New Roman"/>
                      <w:b w:val="0"/>
                      <w:bCs w:val="0"/>
                      <w:color w:val="auto"/>
                      <w:sz w:val="21"/>
                      <w:lang w:val="en-US" w:eastAsia="zh-CN"/>
                    </w:rPr>
                    <w:t>0.</w:t>
                  </w:r>
                  <w:r>
                    <w:rPr>
                      <w:rFonts w:hint="eastAsia" w:ascii="Times New Roman" w:hAnsi="Times New Roman" w:cs="Times New Roman"/>
                      <w:b w:val="0"/>
                      <w:bCs w:val="0"/>
                      <w:color w:val="auto"/>
                      <w:sz w:val="21"/>
                      <w:lang w:val="en-US" w:eastAsia="zh-CN"/>
                    </w:rPr>
                    <w:t>1306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462" w:hRule="atLeast"/>
                <w:jc w:val="center"/>
              </w:trPr>
              <w:tc>
                <w:tcPr>
                  <w:tcW w:w="7011" w:type="dxa"/>
                  <w:gridSpan w:val="6"/>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21"/>
                      <w:lang w:val="en-US" w:eastAsia="zh-CN"/>
                    </w:rPr>
                  </w:pPr>
                  <w:r>
                    <w:rPr>
                      <w:rFonts w:hint="default" w:ascii="Times New Roman" w:hAnsi="Times New Roman" w:eastAsia="宋体" w:cs="Times New Roman"/>
                      <w:b w:val="0"/>
                      <w:bCs w:val="0"/>
                      <w:color w:val="auto"/>
                      <w:sz w:val="21"/>
                      <w:lang w:val="en-US" w:eastAsia="zh-CN"/>
                    </w:rPr>
                    <w:t>合计</w:t>
                  </w:r>
                </w:p>
              </w:tc>
              <w:tc>
                <w:tcPr>
                  <w:tcW w:w="1092" w:type="dxa"/>
                  <w:tcBorders>
                    <w:tl2br w:val="nil"/>
                    <w:tr2bl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21"/>
                      <w:lang w:val="en-US" w:eastAsia="zh-CN"/>
                    </w:rPr>
                  </w:pPr>
                  <w:r>
                    <w:rPr>
                      <w:rFonts w:hint="eastAsia" w:ascii="Times New Roman" w:hAnsi="Times New Roman" w:eastAsia="宋体" w:cs="Times New Roman"/>
                      <w:b w:val="0"/>
                      <w:bCs w:val="0"/>
                      <w:color w:val="auto"/>
                      <w:sz w:val="21"/>
                      <w:lang w:val="en-US" w:eastAsia="zh-CN"/>
                    </w:rPr>
                    <w:t>0.</w:t>
                  </w:r>
                  <w:r>
                    <w:rPr>
                      <w:rFonts w:hint="eastAsia" w:ascii="Times New Roman" w:hAnsi="Times New Roman" w:cs="Times New Roman"/>
                      <w:b w:val="0"/>
                      <w:bCs w:val="0"/>
                      <w:color w:val="auto"/>
                      <w:sz w:val="21"/>
                      <w:lang w:val="en-US" w:eastAsia="zh-CN"/>
                    </w:rPr>
                    <w:t>1447</w:t>
                  </w:r>
                  <w:r>
                    <w:rPr>
                      <w:rFonts w:hint="eastAsia" w:ascii="Times New Roman" w:hAnsi="Times New Roman" w:eastAsia="宋体" w:cs="Times New Roman"/>
                      <w:b w:val="0"/>
                      <w:bCs w:val="0"/>
                      <w:color w:val="auto"/>
                      <w:sz w:val="21"/>
                      <w:lang w:val="en-US" w:eastAsia="zh-CN"/>
                    </w:rPr>
                    <w:t xml:space="preserve">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69" w:hRule="atLeast"/>
                <w:jc w:val="center"/>
              </w:trPr>
              <w:tc>
                <w:tcPr>
                  <w:tcW w:w="8103" w:type="dxa"/>
                  <w:gridSpan w:val="7"/>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1" w:beforeAutospacing="0" w:after="0" w:afterAutospacing="0" w:line="240" w:lineRule="auto"/>
                    <w:ind w:left="0" w:right="0"/>
                    <w:jc w:val="left"/>
                    <w:textAlignment w:val="auto"/>
                    <w:rPr>
                      <w:rFonts w:hint="eastAsia" w:ascii="Times New Roman" w:hAnsi="Times New Roman" w:eastAsia="宋体" w:cs="Times New Roman"/>
                      <w:b w:val="0"/>
                      <w:bCs w:val="0"/>
                      <w:color w:val="auto"/>
                      <w:sz w:val="21"/>
                      <w:lang w:val="en-US" w:eastAsia="zh-CN"/>
                    </w:rPr>
                  </w:pPr>
                  <w:r>
                    <w:rPr>
                      <w:rFonts w:hint="default" w:ascii="Times New Roman" w:hAnsi="Times New Roman" w:cs="Times New Roman"/>
                      <w:b/>
                      <w:bCs w:val="0"/>
                      <w:color w:val="auto"/>
                      <w:sz w:val="18"/>
                      <w:szCs w:val="21"/>
                    </w:rPr>
                    <w:t>注：</w:t>
                  </w:r>
                  <w:r>
                    <w:rPr>
                      <w:rFonts w:hint="eastAsia" w:ascii="Times New Roman" w:hAnsi="Times New Roman" w:eastAsia="宋体" w:cs="Times New Roman"/>
                      <w:b/>
                      <w:bCs w:val="0"/>
                      <w:color w:val="auto"/>
                      <w:sz w:val="18"/>
                      <w:szCs w:val="21"/>
                      <w:lang w:val="en-US" w:eastAsia="zh-CN"/>
                    </w:rPr>
                    <w:t>危险废物限值参照</w:t>
                  </w:r>
                  <w:r>
                    <w:rPr>
                      <w:rFonts w:hint="default" w:ascii="Times New Roman" w:hAnsi="Times New Roman" w:eastAsia="宋体" w:cs="Times New Roman"/>
                      <w:b/>
                      <w:bCs w:val="0"/>
                      <w:color w:val="auto"/>
                      <w:sz w:val="18"/>
                      <w:szCs w:val="21"/>
                    </w:rPr>
                    <w:t>健康</w:t>
                  </w:r>
                  <w:r>
                    <w:rPr>
                      <w:rFonts w:hint="default" w:ascii="Times New Roman" w:hAnsi="Times New Roman" w:cs="Times New Roman"/>
                      <w:b/>
                      <w:bCs w:val="0"/>
                      <w:color w:val="auto"/>
                      <w:sz w:val="18"/>
                      <w:szCs w:val="21"/>
                    </w:rPr>
                    <w:t>危险急性毒性物质（类别2，类别3）。</w:t>
                  </w:r>
                </w:p>
              </w:tc>
            </w:tr>
          </w:tbl>
          <w:p>
            <w:pPr>
              <w:pStyle w:val="69"/>
              <w:keepNext w:val="0"/>
              <w:keepLines w:val="0"/>
              <w:suppressLineNumbers w:val="0"/>
              <w:bidi w:val="0"/>
              <w:spacing w:beforeAutospacing="0" w:after="0" w:afterAutospacing="0"/>
              <w:ind w:left="0" w:right="0"/>
              <w:rPr>
                <w:rFonts w:hint="default"/>
                <w:color w:val="auto"/>
                <w:lang w:val="en-US" w:eastAsia="zh-CN"/>
              </w:rPr>
            </w:pPr>
            <w:r>
              <w:rPr>
                <w:rFonts w:hint="default"/>
                <w:color w:val="auto"/>
                <w:lang w:val="en-US" w:eastAsia="zh-CN"/>
              </w:rPr>
              <w:t>根据附录C表C.2危险物质及工艺系统危险性等级判断（P），当危险物质总量与其临界量比值计算Q值区间为Q&lt;1，根据《建设项目环境风险评价技术导则》（</w:t>
            </w:r>
            <w:r>
              <w:rPr>
                <w:rFonts w:hint="eastAsia"/>
                <w:color w:val="auto"/>
                <w:lang w:val="en-US" w:eastAsia="zh-CN"/>
              </w:rPr>
              <w:t>HJ 169-2018</w:t>
            </w:r>
            <w:r>
              <w:rPr>
                <w:rFonts w:hint="default"/>
                <w:color w:val="auto"/>
                <w:lang w:val="en-US" w:eastAsia="zh-CN"/>
              </w:rPr>
              <w:t>）表1，当环境风险潜势为I时，评价工作等级为简单分析。</w:t>
            </w:r>
          </w:p>
          <w:p>
            <w:pPr>
              <w:pStyle w:val="4"/>
              <w:suppressLineNumbers w:val="0"/>
              <w:bidi w:val="0"/>
              <w:spacing w:beforeAutospacing="0" w:afterAutospacing="0"/>
              <w:ind w:right="0"/>
              <w:rPr>
                <w:rFonts w:hint="default"/>
                <w:color w:val="auto"/>
                <w:lang w:val="en-US" w:eastAsia="zh-CN"/>
              </w:rPr>
            </w:pPr>
            <w:r>
              <w:rPr>
                <w:rFonts w:hint="default"/>
                <w:color w:val="auto"/>
                <w:lang w:val="en-US" w:eastAsia="zh-CN"/>
              </w:rPr>
              <w:t>危险有害因素的识别与分析</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本项目存在的主要危险因素为：实验试剂的泄漏</w:t>
            </w:r>
            <w:r>
              <w:rPr>
                <w:rFonts w:hint="eastAsia"/>
                <w:color w:val="auto"/>
                <w:lang w:val="en-US" w:eastAsia="zh-CN"/>
              </w:rPr>
              <w:t>、</w:t>
            </w:r>
            <w:r>
              <w:rPr>
                <w:rFonts w:hint="default"/>
                <w:color w:val="auto"/>
                <w:lang w:val="en-US" w:eastAsia="zh-CN"/>
              </w:rPr>
              <w:t>危险废物泄漏事故</w:t>
            </w:r>
            <w:r>
              <w:rPr>
                <w:rFonts w:hint="eastAsia"/>
                <w:color w:val="auto"/>
                <w:lang w:val="en-US" w:eastAsia="zh-CN"/>
              </w:rPr>
              <w:t>和火灾事故，</w:t>
            </w:r>
            <w:r>
              <w:rPr>
                <w:rFonts w:hint="default"/>
                <w:color w:val="auto"/>
                <w:lang w:val="en-US" w:eastAsia="zh-CN"/>
              </w:rPr>
              <w:t>具体见</w:t>
            </w:r>
            <w:r>
              <w:rPr>
                <w:rFonts w:hint="eastAsia"/>
                <w:color w:val="auto"/>
                <w:lang w:val="en-US" w:eastAsia="zh-CN"/>
              </w:rPr>
              <w:t>下</w:t>
            </w:r>
            <w:r>
              <w:rPr>
                <w:rFonts w:hint="default"/>
                <w:color w:val="auto"/>
                <w:lang w:val="en-US" w:eastAsia="zh-CN"/>
              </w:rPr>
              <w:t>表。</w:t>
            </w:r>
          </w:p>
          <w:p>
            <w:pPr>
              <w:pStyle w:val="35"/>
              <w:keepNext w:val="0"/>
              <w:keepLines w:val="0"/>
              <w:pageBreakBefore w:val="0"/>
              <w:widowControl w:val="0"/>
              <w:suppressLineNumbers w:val="0"/>
              <w:tabs>
                <w:tab w:val="left" w:pos="2126"/>
              </w:tabs>
              <w:kinsoku/>
              <w:wordWrap/>
              <w:overflowPunct/>
              <w:topLinePunct w:val="0"/>
              <w:autoSpaceDE w:val="0"/>
              <w:autoSpaceDN w:val="0"/>
              <w:bidi w:val="0"/>
              <w:adjustRightInd/>
              <w:snapToGrid/>
              <w:spacing w:before="0" w:beforeLines="0" w:beforeAutospacing="0" w:after="0" w:afterAutospacing="0"/>
              <w:ind w:right="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危险有害因子汇总</w:t>
            </w:r>
          </w:p>
          <w:tbl>
            <w:tblPr>
              <w:tblStyle w:val="32"/>
              <w:tblW w:w="8102" w:type="dxa"/>
              <w:jc w:val="center"/>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75"/>
              <w:gridCol w:w="1469"/>
              <w:gridCol w:w="2863"/>
              <w:gridCol w:w="1996"/>
              <w:gridCol w:w="1099"/>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34" w:hRule="atLeast"/>
                <w:jc w:val="center"/>
              </w:trPr>
              <w:tc>
                <w:tcPr>
                  <w:tcW w:w="675" w:type="dxa"/>
                  <w:tcBorders>
                    <w:left w:val="nil"/>
                    <w:bottom w:val="single" w:color="000000" w:sz="4" w:space="0"/>
                    <w:right w:val="single" w:color="000000" w:sz="4" w:space="0"/>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序号</w:t>
                  </w:r>
                </w:p>
              </w:tc>
              <w:tc>
                <w:tcPr>
                  <w:tcW w:w="1469" w:type="dxa"/>
                  <w:tcBorders>
                    <w:left w:val="single" w:color="000000" w:sz="4" w:space="0"/>
                    <w:bottom w:val="single" w:color="000000" w:sz="4" w:space="0"/>
                    <w:right w:val="single" w:color="000000" w:sz="4" w:space="0"/>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危险因素识别</w:t>
                  </w:r>
                </w:p>
              </w:tc>
              <w:tc>
                <w:tcPr>
                  <w:tcW w:w="2863" w:type="dxa"/>
                  <w:tcBorders>
                    <w:left w:val="single" w:color="000000" w:sz="4" w:space="0"/>
                    <w:bottom w:val="single" w:color="000000" w:sz="4" w:space="0"/>
                    <w:right w:val="single" w:color="000000" w:sz="4" w:space="0"/>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rPr>
                  </w:pPr>
                  <w:r>
                    <w:rPr>
                      <w:rFonts w:hint="default" w:ascii="Times New Roman" w:hAnsi="Times New Roman" w:cs="Times New Roman"/>
                      <w:b w:val="0"/>
                      <w:bCs w:val="0"/>
                      <w:color w:val="auto"/>
                      <w:sz w:val="21"/>
                    </w:rPr>
                    <w:t>事故原因</w:t>
                  </w:r>
                </w:p>
              </w:tc>
              <w:tc>
                <w:tcPr>
                  <w:tcW w:w="1996" w:type="dxa"/>
                  <w:tcBorders>
                    <w:left w:val="single" w:color="000000" w:sz="4" w:space="0"/>
                    <w:bottom w:val="single" w:color="000000" w:sz="4" w:space="0"/>
                    <w:right w:val="single" w:color="000000" w:sz="4" w:space="0"/>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rPr>
                  </w:pPr>
                  <w:r>
                    <w:rPr>
                      <w:rFonts w:hint="default" w:ascii="Times New Roman" w:hAnsi="Times New Roman" w:eastAsia="宋体" w:cs="Times New Roman"/>
                      <w:b w:val="0"/>
                      <w:bCs w:val="0"/>
                      <w:color w:val="auto"/>
                      <w:sz w:val="21"/>
                    </w:rPr>
                    <w:t>事故后果</w:t>
                  </w:r>
                </w:p>
              </w:tc>
              <w:tc>
                <w:tcPr>
                  <w:tcW w:w="1099" w:type="dxa"/>
                  <w:tcBorders>
                    <w:left w:val="single" w:color="000000" w:sz="4" w:space="0"/>
                    <w:bottom w:val="single" w:color="000000" w:sz="4" w:space="0"/>
                    <w:right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rPr>
                  </w:pPr>
                  <w:r>
                    <w:rPr>
                      <w:rFonts w:hint="default" w:ascii="Times New Roman" w:hAnsi="Times New Roman" w:eastAsia="宋体" w:cs="Times New Roman"/>
                      <w:b w:val="0"/>
                      <w:bCs w:val="0"/>
                      <w:color w:val="auto"/>
                      <w:sz w:val="21"/>
                    </w:rPr>
                    <w:t>危险程度</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34" w:hRule="atLeast"/>
                <w:jc w:val="center"/>
              </w:trPr>
              <w:tc>
                <w:tcPr>
                  <w:tcW w:w="675" w:type="dxa"/>
                  <w:tcBorders>
                    <w:top w:val="single" w:color="000000" w:sz="4" w:space="0"/>
                    <w:left w:val="nil"/>
                    <w:bottom w:val="single" w:color="000000" w:sz="4" w:space="0"/>
                    <w:right w:val="single" w:color="000000" w:sz="4" w:space="0"/>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rPr>
                  </w:pPr>
                  <w:r>
                    <w:rPr>
                      <w:rFonts w:hint="default" w:ascii="Times New Roman" w:hAnsi="Times New Roman" w:cs="Times New Roman"/>
                      <w:color w:val="auto"/>
                      <w:w w:val="99"/>
                      <w:sz w:val="21"/>
                    </w:rPr>
                    <w:t>1</w:t>
                  </w:r>
                </w:p>
              </w:tc>
              <w:tc>
                <w:tcPr>
                  <w:tcW w:w="1469" w:type="dxa"/>
                  <w:tcBorders>
                    <w:top w:val="single" w:color="000000" w:sz="4" w:space="0"/>
                    <w:left w:val="single" w:color="000000" w:sz="4" w:space="0"/>
                    <w:bottom w:val="single" w:color="000000" w:sz="4" w:space="0"/>
                    <w:right w:val="single" w:color="000000" w:sz="4" w:space="0"/>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rPr>
                  </w:pPr>
                  <w:r>
                    <w:rPr>
                      <w:rFonts w:hint="default" w:ascii="Times New Roman" w:hAnsi="Times New Roman" w:cs="Times New Roman"/>
                      <w:color w:val="auto"/>
                      <w:sz w:val="21"/>
                    </w:rPr>
                    <w:t>试剂泄</w:t>
                  </w:r>
                  <w:r>
                    <w:rPr>
                      <w:rFonts w:hint="default" w:ascii="Times New Roman" w:hAnsi="Times New Roman" w:cs="Times New Roman"/>
                      <w:color w:val="auto"/>
                      <w:sz w:val="21"/>
                      <w:lang w:val="en-US" w:eastAsia="zh-CN"/>
                    </w:rPr>
                    <w:t>漏</w:t>
                  </w:r>
                </w:p>
              </w:tc>
              <w:tc>
                <w:tcPr>
                  <w:tcW w:w="2863" w:type="dxa"/>
                  <w:tcBorders>
                    <w:top w:val="single" w:color="000000" w:sz="4" w:space="0"/>
                    <w:left w:val="single" w:color="000000" w:sz="4" w:space="0"/>
                    <w:bottom w:val="single" w:color="000000" w:sz="4" w:space="0"/>
                    <w:right w:val="single" w:color="000000" w:sz="4" w:space="0"/>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rPr>
                  </w:pPr>
                  <w:r>
                    <w:rPr>
                      <w:rFonts w:hint="default" w:ascii="Times New Roman" w:hAnsi="Times New Roman" w:cs="Times New Roman"/>
                      <w:color w:val="auto"/>
                      <w:sz w:val="21"/>
                    </w:rPr>
                    <w:t>试剂因外力作用发生泄</w:t>
                  </w:r>
                  <w:r>
                    <w:rPr>
                      <w:rFonts w:hint="default" w:ascii="Times New Roman" w:hAnsi="Times New Roman" w:cs="Times New Roman"/>
                      <w:color w:val="auto"/>
                      <w:sz w:val="21"/>
                      <w:lang w:val="en-US" w:eastAsia="zh-CN"/>
                    </w:rPr>
                    <w:t>漏</w:t>
                  </w:r>
                </w:p>
              </w:tc>
              <w:tc>
                <w:tcPr>
                  <w:tcW w:w="1996" w:type="dxa"/>
                  <w:tcBorders>
                    <w:top w:val="single" w:color="000000" w:sz="4" w:space="0"/>
                    <w:left w:val="single" w:color="000000" w:sz="4" w:space="0"/>
                    <w:bottom w:val="single" w:color="000000" w:sz="4" w:space="0"/>
                    <w:right w:val="single" w:color="000000" w:sz="4" w:space="0"/>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rPr>
                  </w:pPr>
                  <w:r>
                    <w:rPr>
                      <w:rFonts w:hint="default" w:ascii="Times New Roman" w:hAnsi="Times New Roman" w:cs="Times New Roman"/>
                      <w:color w:val="auto"/>
                      <w:sz w:val="21"/>
                    </w:rPr>
                    <w:t>人员伤亡、财产损失</w:t>
                  </w:r>
                </w:p>
              </w:tc>
              <w:tc>
                <w:tcPr>
                  <w:tcW w:w="1099" w:type="dxa"/>
                  <w:tcBorders>
                    <w:top w:val="single" w:color="000000" w:sz="4" w:space="0"/>
                    <w:left w:val="single" w:color="000000" w:sz="4" w:space="0"/>
                    <w:bottom w:val="single" w:color="000000" w:sz="4" w:space="0"/>
                    <w:right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高度危险</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68" w:hRule="atLeast"/>
                <w:jc w:val="center"/>
              </w:trPr>
              <w:tc>
                <w:tcPr>
                  <w:tcW w:w="675" w:type="dxa"/>
                  <w:tcBorders>
                    <w:top w:val="single" w:color="000000" w:sz="4" w:space="0"/>
                    <w:left w:val="nil"/>
                    <w:bottom w:val="single" w:color="000000" w:sz="4" w:space="0"/>
                    <w:right w:val="single" w:color="000000" w:sz="4" w:space="0"/>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rPr>
                  </w:pPr>
                  <w:r>
                    <w:rPr>
                      <w:rFonts w:hint="default" w:ascii="Times New Roman" w:hAnsi="Times New Roman" w:cs="Times New Roman"/>
                      <w:color w:val="auto"/>
                      <w:w w:val="99"/>
                      <w:sz w:val="21"/>
                    </w:rPr>
                    <w:t>2</w:t>
                  </w:r>
                </w:p>
              </w:tc>
              <w:tc>
                <w:tcPr>
                  <w:tcW w:w="1469" w:type="dxa"/>
                  <w:tcBorders>
                    <w:top w:val="single" w:color="000000" w:sz="4" w:space="0"/>
                    <w:left w:val="single" w:color="000000" w:sz="4" w:space="0"/>
                    <w:bottom w:val="single" w:color="000000" w:sz="4" w:space="0"/>
                    <w:right w:val="single" w:color="000000" w:sz="4" w:space="0"/>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rPr>
                  </w:pPr>
                  <w:r>
                    <w:rPr>
                      <w:rFonts w:hint="default" w:ascii="Times New Roman" w:hAnsi="Times New Roman" w:cs="Times New Roman"/>
                      <w:color w:val="auto"/>
                      <w:sz w:val="21"/>
                    </w:rPr>
                    <w:t>危废的储存</w:t>
                  </w:r>
                </w:p>
              </w:tc>
              <w:tc>
                <w:tcPr>
                  <w:tcW w:w="2863" w:type="dxa"/>
                  <w:tcBorders>
                    <w:top w:val="single" w:color="000000" w:sz="4" w:space="0"/>
                    <w:left w:val="single" w:color="000000" w:sz="4" w:space="0"/>
                    <w:bottom w:val="single" w:color="000000" w:sz="4" w:space="0"/>
                    <w:right w:val="single" w:color="000000" w:sz="4" w:space="0"/>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lang w:eastAsia="zh-CN"/>
                    </w:rPr>
                  </w:pPr>
                  <w:r>
                    <w:rPr>
                      <w:rFonts w:hint="default" w:ascii="Times New Roman" w:hAnsi="Times New Roman" w:cs="Times New Roman"/>
                      <w:color w:val="auto"/>
                      <w:sz w:val="21"/>
                    </w:rPr>
                    <w:t>危废储存因外力作用发生泄</w:t>
                  </w:r>
                  <w:r>
                    <w:rPr>
                      <w:rFonts w:hint="default" w:ascii="Times New Roman" w:hAnsi="Times New Roman" w:cs="Times New Roman"/>
                      <w:color w:val="auto"/>
                      <w:sz w:val="21"/>
                      <w:lang w:val="en-US" w:eastAsia="zh-CN"/>
                    </w:rPr>
                    <w:t>漏</w:t>
                  </w:r>
                </w:p>
              </w:tc>
              <w:tc>
                <w:tcPr>
                  <w:tcW w:w="1996" w:type="dxa"/>
                  <w:tcBorders>
                    <w:top w:val="single" w:color="000000" w:sz="4" w:space="0"/>
                    <w:left w:val="single" w:color="000000" w:sz="4" w:space="0"/>
                    <w:bottom w:val="single" w:color="000000" w:sz="4" w:space="0"/>
                    <w:right w:val="single" w:color="000000" w:sz="4" w:space="0"/>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rPr>
                  </w:pPr>
                  <w:r>
                    <w:rPr>
                      <w:rFonts w:hint="default" w:ascii="Times New Roman" w:hAnsi="Times New Roman" w:cs="Times New Roman"/>
                      <w:color w:val="auto"/>
                      <w:sz w:val="21"/>
                    </w:rPr>
                    <w:t>人员伤亡、财产损失</w:t>
                  </w:r>
                </w:p>
              </w:tc>
              <w:tc>
                <w:tcPr>
                  <w:tcW w:w="1099" w:type="dxa"/>
                  <w:tcBorders>
                    <w:top w:val="single" w:color="000000" w:sz="4" w:space="0"/>
                    <w:left w:val="single" w:color="000000" w:sz="4" w:space="0"/>
                    <w:bottom w:val="single" w:color="000000" w:sz="4" w:space="0"/>
                    <w:right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rPr>
                  </w:pPr>
                  <w:r>
                    <w:rPr>
                      <w:rFonts w:hint="default" w:ascii="Times New Roman" w:hAnsi="Times New Roman" w:cs="Times New Roman"/>
                      <w:color w:val="auto"/>
                      <w:sz w:val="21"/>
                    </w:rPr>
                    <w:t>高度危险</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40" w:hRule="atLeast"/>
                <w:jc w:val="center"/>
              </w:trPr>
              <w:tc>
                <w:tcPr>
                  <w:tcW w:w="675" w:type="dxa"/>
                  <w:tcBorders>
                    <w:top w:val="single" w:color="000000" w:sz="4" w:space="0"/>
                    <w:left w:val="nil"/>
                    <w:right w:val="single" w:color="000000" w:sz="4" w:space="0"/>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w w:val="99"/>
                      <w:sz w:val="21"/>
                      <w:lang w:val="en-US" w:eastAsia="zh-CN"/>
                    </w:rPr>
                  </w:pPr>
                  <w:r>
                    <w:rPr>
                      <w:rFonts w:hint="eastAsia" w:ascii="Times New Roman" w:hAnsi="Times New Roman" w:cs="Times New Roman"/>
                      <w:color w:val="auto"/>
                      <w:w w:val="99"/>
                      <w:sz w:val="21"/>
                      <w:lang w:val="en-US" w:eastAsia="zh-CN"/>
                    </w:rPr>
                    <w:t>3</w:t>
                  </w:r>
                </w:p>
              </w:tc>
              <w:tc>
                <w:tcPr>
                  <w:tcW w:w="1469" w:type="dxa"/>
                  <w:tcBorders>
                    <w:top w:val="single" w:color="000000" w:sz="4" w:space="0"/>
                    <w:left w:val="single" w:color="000000" w:sz="4" w:space="0"/>
                    <w:right w:val="single" w:color="000000" w:sz="4" w:space="0"/>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cs="Times New Roman"/>
                      <w:color w:val="auto"/>
                      <w:sz w:val="21"/>
                      <w:lang w:val="en-US" w:eastAsia="zh-CN"/>
                    </w:rPr>
                  </w:pPr>
                  <w:r>
                    <w:rPr>
                      <w:rFonts w:hint="eastAsia" w:ascii="Times New Roman" w:hAnsi="Times New Roman" w:cs="Times New Roman"/>
                      <w:color w:val="auto"/>
                      <w:sz w:val="21"/>
                      <w:lang w:val="en-US" w:eastAsia="zh-CN"/>
                    </w:rPr>
                    <w:t>火灾事故</w:t>
                  </w:r>
                </w:p>
              </w:tc>
              <w:tc>
                <w:tcPr>
                  <w:tcW w:w="2863" w:type="dxa"/>
                  <w:tcBorders>
                    <w:top w:val="single" w:color="000000" w:sz="4" w:space="0"/>
                    <w:left w:val="single" w:color="000000" w:sz="4" w:space="0"/>
                    <w:right w:val="single" w:color="000000" w:sz="4" w:space="0"/>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rPr>
                  </w:pPr>
                  <w:r>
                    <w:rPr>
                      <w:rFonts w:hint="eastAsia" w:ascii="Times New Roman" w:hAnsi="Times New Roman" w:cs="Times New Roman"/>
                      <w:color w:val="auto"/>
                      <w:sz w:val="21"/>
                      <w:lang w:val="en-US" w:eastAsia="zh-CN"/>
                    </w:rPr>
                    <w:t>易挥发、易燃烧的有机溶剂操作不慎，引起火灾事故</w:t>
                  </w:r>
                </w:p>
              </w:tc>
              <w:tc>
                <w:tcPr>
                  <w:tcW w:w="1996" w:type="dxa"/>
                  <w:tcBorders>
                    <w:top w:val="single" w:color="000000" w:sz="4" w:space="0"/>
                    <w:left w:val="single" w:color="000000" w:sz="4" w:space="0"/>
                    <w:right w:val="single" w:color="000000" w:sz="4" w:space="0"/>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rPr>
                  </w:pPr>
                  <w:r>
                    <w:rPr>
                      <w:rFonts w:hint="default" w:ascii="Times New Roman" w:hAnsi="Times New Roman" w:cs="Times New Roman"/>
                      <w:color w:val="auto"/>
                      <w:sz w:val="21"/>
                    </w:rPr>
                    <w:t>人员伤亡、财产损失</w:t>
                  </w:r>
                </w:p>
              </w:tc>
              <w:tc>
                <w:tcPr>
                  <w:tcW w:w="1099" w:type="dxa"/>
                  <w:tcBorders>
                    <w:top w:val="single" w:color="000000" w:sz="4" w:space="0"/>
                    <w:left w:val="single" w:color="000000" w:sz="4" w:space="0"/>
                    <w:right w:val="nil"/>
                  </w:tcBorders>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rPr>
                  </w:pPr>
                  <w:r>
                    <w:rPr>
                      <w:rFonts w:hint="default" w:ascii="Times New Roman" w:hAnsi="Times New Roman" w:cs="Times New Roman"/>
                      <w:color w:val="auto"/>
                      <w:sz w:val="21"/>
                    </w:rPr>
                    <w:t>高度危险</w:t>
                  </w:r>
                </w:p>
              </w:tc>
            </w:tr>
          </w:tbl>
          <w:p>
            <w:pPr>
              <w:pStyle w:val="69"/>
              <w:keepNext w:val="0"/>
              <w:keepLines w:val="0"/>
              <w:suppressLineNumbers w:val="0"/>
              <w:bidi w:val="0"/>
              <w:spacing w:beforeAutospacing="0" w:after="0" w:afterAutospacing="0"/>
              <w:ind w:left="0" w:right="0"/>
              <w:rPr>
                <w:rFonts w:hint="default"/>
                <w:color w:val="auto"/>
                <w:lang w:val="en-US" w:eastAsia="zh-CN"/>
              </w:rPr>
            </w:pPr>
            <w:r>
              <w:rPr>
                <w:rFonts w:hint="default"/>
                <w:color w:val="auto"/>
                <w:lang w:val="en-US" w:eastAsia="zh-CN"/>
              </w:rPr>
              <w:t>（1）化学品泄漏事故分析</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项目化学品设有专用容器中储存，并暂存在仓库中，当化学品容器发生破损会导致泄漏，泄漏后若未及时收集，可能对地表水或地下水造成影响；</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（2）危险废物泄漏事故影响分析</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项目的危险废物储存于仓库内，且放置于空桶内，若储存容器发生破裂或者倾倒，可能会对地表水或地下水造成影响。因此建设单位需规范对危险废物仓库进行规范建设，做到防雨、防渗透、防流失的措施。</w:t>
            </w:r>
          </w:p>
          <w:p>
            <w:pPr>
              <w:pStyle w:val="36"/>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（3）火灾事故风险分析</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在使用乙醇等易挥发、易燃烧的有机溶剂时如操作不慎，易引起火灾事故，引发的伴生/次生污染物影响周边大气环境。</w:t>
            </w:r>
          </w:p>
          <w:p>
            <w:pPr>
              <w:pStyle w:val="4"/>
              <w:suppressLineNumbers w:val="0"/>
              <w:bidi w:val="0"/>
              <w:spacing w:beforeAutospacing="0" w:afterAutospacing="0"/>
              <w:ind w:right="0"/>
              <w:rPr>
                <w:rFonts w:hint="default"/>
                <w:color w:val="auto"/>
                <w:lang w:val="en-US" w:eastAsia="zh-CN"/>
              </w:rPr>
            </w:pPr>
            <w:r>
              <w:rPr>
                <w:rFonts w:hint="default"/>
                <w:color w:val="auto"/>
                <w:lang w:val="en-US" w:eastAsia="zh-CN"/>
              </w:rPr>
              <w:t>风险事故对环境的影响</w:t>
            </w:r>
          </w:p>
          <w:p>
            <w:pPr>
              <w:pStyle w:val="36"/>
              <w:keepNext w:val="0"/>
              <w:keepLines w:val="0"/>
              <w:suppressLineNumbers w:val="0"/>
              <w:bidi w:val="0"/>
              <w:spacing w:before="0" w:beforeAutospacing="0" w:after="0" w:afterAutospacing="0"/>
              <w:ind w:left="0" w:right="0"/>
              <w:rPr>
                <w:rFonts w:hint="default"/>
                <w:color w:val="auto"/>
                <w:highlight w:val="none"/>
                <w:lang w:val="en-US" w:eastAsia="zh-CN"/>
              </w:rPr>
            </w:pPr>
            <w:r>
              <w:rPr>
                <w:rFonts w:hint="default" w:ascii="Times New Roman" w:hAnsi="Times New Roman" w:eastAsia="宋体" w:cs="Times New Roman"/>
                <w:color w:val="auto"/>
                <w:kern w:val="2"/>
                <w:sz w:val="24"/>
                <w:szCs w:val="24"/>
                <w:lang w:val="en-US" w:eastAsia="zh-CN" w:bidi="ar-SA"/>
              </w:rPr>
              <w:t>危险废物</w:t>
            </w:r>
            <w:r>
              <w:rPr>
                <w:rFonts w:hint="eastAsia" w:cs="Times New Roman"/>
                <w:color w:val="auto"/>
                <w:kern w:val="2"/>
                <w:sz w:val="24"/>
                <w:szCs w:val="24"/>
                <w:lang w:val="en-US" w:eastAsia="zh-CN" w:bidi="ar-SA"/>
              </w:rPr>
              <w:t>泄漏</w:t>
            </w:r>
            <w:r>
              <w:rPr>
                <w:rFonts w:hint="default" w:ascii="Times New Roman" w:hAnsi="Times New Roman" w:eastAsia="宋体" w:cs="Times New Roman"/>
                <w:color w:val="auto"/>
                <w:kern w:val="2"/>
                <w:sz w:val="24"/>
                <w:szCs w:val="24"/>
                <w:lang w:val="en-US" w:eastAsia="zh-CN" w:bidi="ar-SA"/>
              </w:rPr>
              <w:t>对人体的危害对人体的危害主要是中毒包括急性中毒和慢性中毒。其表现为：影响呼吸系统，引起呼吸道炎症或发生化学性肺炎或肺水肿。对神经系统的危害，与神经衰弱，运动障碍，肌肉萎缩，头痛，头晕，视力模糊等症状。对骨骼、眼睛、皮肤的损害，引起化学灼伤和职业性肿瘤。</w:t>
            </w:r>
            <w:r>
              <w:rPr>
                <w:rFonts w:hint="eastAsia"/>
                <w:color w:val="auto"/>
                <w:highlight w:val="none"/>
                <w:lang w:val="en-US" w:eastAsia="zh-CN"/>
              </w:rPr>
              <w:t>易燃易爆物品使用不慎</w:t>
            </w:r>
            <w:r>
              <w:rPr>
                <w:rFonts w:hint="default"/>
                <w:color w:val="auto"/>
                <w:highlight w:val="none"/>
                <w:lang w:val="en-US" w:eastAsia="zh-CN"/>
              </w:rPr>
              <w:t>，引发火灾，</w:t>
            </w:r>
            <w:r>
              <w:rPr>
                <w:rFonts w:hint="eastAsia"/>
                <w:color w:val="auto"/>
                <w:highlight w:val="none"/>
                <w:lang w:val="en-US" w:eastAsia="zh-CN"/>
              </w:rPr>
              <w:t>试剂及塑料制品</w:t>
            </w:r>
            <w:r>
              <w:rPr>
                <w:rFonts w:hint="default"/>
                <w:color w:val="auto"/>
                <w:highlight w:val="none"/>
                <w:lang w:val="en-US" w:eastAsia="zh-CN"/>
              </w:rPr>
              <w:t>燃烧将会产生大量的浓烟、CO</w:t>
            </w:r>
            <w:r>
              <w:rPr>
                <w:rFonts w:hint="default"/>
                <w:color w:val="auto"/>
                <w:highlight w:val="none"/>
                <w:vertAlign w:val="subscript"/>
                <w:lang w:val="en-US" w:eastAsia="zh-CN"/>
              </w:rPr>
              <w:t>2</w:t>
            </w:r>
            <w:r>
              <w:rPr>
                <w:rFonts w:hint="default"/>
                <w:color w:val="auto"/>
                <w:highlight w:val="none"/>
                <w:lang w:val="en-US" w:eastAsia="zh-CN"/>
              </w:rPr>
              <w:t>、CO，少量的SO</w:t>
            </w:r>
            <w:r>
              <w:rPr>
                <w:rFonts w:hint="default"/>
                <w:color w:val="auto"/>
                <w:highlight w:val="none"/>
                <w:vertAlign w:val="subscript"/>
                <w:lang w:val="en-US" w:eastAsia="zh-CN"/>
              </w:rPr>
              <w:t>2</w:t>
            </w:r>
            <w:r>
              <w:rPr>
                <w:rFonts w:hint="default"/>
                <w:color w:val="auto"/>
                <w:highlight w:val="none"/>
                <w:lang w:val="en-US" w:eastAsia="zh-CN"/>
              </w:rPr>
              <w:t>、NO</w:t>
            </w:r>
            <w:r>
              <w:rPr>
                <w:rFonts w:hint="default"/>
                <w:color w:val="auto"/>
                <w:highlight w:val="none"/>
                <w:vertAlign w:val="subscript"/>
                <w:lang w:val="en-US" w:eastAsia="zh-CN"/>
              </w:rPr>
              <w:t>X</w:t>
            </w:r>
            <w:r>
              <w:rPr>
                <w:rFonts w:hint="default"/>
                <w:color w:val="auto"/>
                <w:highlight w:val="none"/>
                <w:lang w:val="en-US" w:eastAsia="zh-CN"/>
              </w:rPr>
              <w:t>及微量的HCN等，将会对周围大气环境产生一定影响。</w:t>
            </w:r>
          </w:p>
          <w:p>
            <w:pPr>
              <w:pStyle w:val="4"/>
              <w:suppressLineNumbers w:val="0"/>
              <w:bidi w:val="0"/>
              <w:spacing w:beforeAutospacing="0" w:afterAutospacing="0"/>
              <w:ind w:right="0"/>
              <w:rPr>
                <w:rFonts w:hint="default"/>
                <w:color w:val="auto"/>
                <w:lang w:val="en-US" w:eastAsia="zh-CN"/>
              </w:rPr>
            </w:pPr>
            <w:r>
              <w:rPr>
                <w:rFonts w:hint="default"/>
                <w:color w:val="auto"/>
                <w:lang w:val="en-US" w:eastAsia="zh-CN"/>
              </w:rPr>
              <w:t>危险物品贮存场所控制要求及措施</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（1）对危险废物进行分类储存，所用装满待运走的容器或贮罐都应清楚地标明内盛物的类别与危害说明，以及数量和装进日期，设置危险废物识别标志。</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 xml:space="preserve">（2）建造具有防水、防渗、防流失的专用危险废物贮存设施贮存危险废物，并设立明显废物识别标志，设施应具备一个月以上的贮存能力。 </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（3）危险废物临时暂存场应参照《</w:t>
            </w:r>
            <w:r>
              <w:rPr>
                <w:rFonts w:hint="eastAsia"/>
                <w:color w:val="auto"/>
                <w:lang w:val="en-US" w:eastAsia="zh-CN"/>
              </w:rPr>
              <w:t>危险废物贮存污染控制标准</w:t>
            </w:r>
            <w:r>
              <w:rPr>
                <w:rFonts w:hint="default"/>
                <w:color w:val="auto"/>
                <w:lang w:val="en-US" w:eastAsia="zh-CN"/>
              </w:rPr>
              <w:t>》（GB18597-20</w:t>
            </w:r>
            <w:r>
              <w:rPr>
                <w:rFonts w:hint="eastAsia"/>
                <w:color w:val="auto"/>
                <w:lang w:val="en-US" w:eastAsia="zh-CN"/>
              </w:rPr>
              <w:t>23</w:t>
            </w:r>
            <w:r>
              <w:rPr>
                <w:rFonts w:hint="default"/>
                <w:color w:val="auto"/>
                <w:lang w:val="en-US" w:eastAsia="zh-CN"/>
              </w:rPr>
              <w:t>）进行建设。</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（4）实行双人双锁管理。</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（5）入库时要严格按照规章操作，避免泄漏事故的发生；</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（6）加强人员巡查及日常的维护，争取在第一时间发现泄漏事故并将其影响降至最低。</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7）一旦发生泄漏事故，应急措施主要是短源（减少泄出量）、隔离（将事故区域与其他区域隔离，防止扩大、蔓延及连锁反应，降低危害）、回收（及时将泄漏、散落废物收集）、清污（消除现场泄漏物，处理已泄出化学品造成的后果），组织人员撤离及救护。</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8）对于实验室涉及的剧毒化学品，建设单位应按照《危险化学品安全管理条例》进行购买和管理，实行严格的化学品转移、使用登记管理，明确剧毒化学品的来源途径和使用去向，严禁向任何个人和单位出售剧毒化学品。</w:t>
            </w:r>
          </w:p>
          <w:p>
            <w:pPr>
              <w:pStyle w:val="4"/>
              <w:suppressLineNumbers w:val="0"/>
              <w:bidi w:val="0"/>
              <w:spacing w:beforeAutospacing="0" w:afterAutospacing="0"/>
              <w:ind w:right="0"/>
              <w:rPr>
                <w:rFonts w:hint="default"/>
                <w:color w:val="auto"/>
              </w:rPr>
            </w:pPr>
            <w:r>
              <w:rPr>
                <w:rFonts w:hint="default"/>
                <w:color w:val="auto"/>
                <w:lang w:val="en-US" w:eastAsia="zh-CN"/>
              </w:rPr>
              <w:t>化学品贮存场所要求及应急措施</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（1）对化学品进行分类储存，并对化学品进行标识（类别、危害等），设置化学品识别标志。</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（2）建造具有防水、防渗、防流失的化学品贮存设施贮存化学品，并设立明显化学品识别标志。</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（3）储存容器的结构材料与储存物料和储存条件应相适应。储存容器应进行适当的检查，并将记录存档备查。定期对储存容器进行检查，及时发现破损和漏处；</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（4）装卸料时要严格按照规章操作，避免泄漏事故的发生；</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（5）加强人员巡查及日常的维护，争取在第一时间发现泄漏事故并将其影响降至最低。</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（6）</w:t>
            </w:r>
            <w:r>
              <w:rPr>
                <w:rFonts w:hint="eastAsia" w:cs="Times New Roman"/>
                <w:color w:val="auto"/>
                <w:szCs w:val="20"/>
                <w:highlight w:val="none"/>
                <w:lang w:val="en-US" w:eastAsia="zh-CN"/>
              </w:rPr>
              <w:t>试剂室、危化品室出入口设置高门槛，</w:t>
            </w:r>
            <w:r>
              <w:rPr>
                <w:rFonts w:hint="default"/>
                <w:color w:val="auto"/>
                <w:lang w:val="en-US" w:eastAsia="zh-CN"/>
              </w:rPr>
              <w:t>一旦发生泄漏事故，</w:t>
            </w:r>
            <w:r>
              <w:rPr>
                <w:rFonts w:hint="eastAsia"/>
                <w:color w:val="auto"/>
                <w:lang w:val="en-US" w:eastAsia="zh-CN"/>
              </w:rPr>
              <w:t>可避免</w:t>
            </w:r>
            <w:r>
              <w:rPr>
                <w:rFonts w:hint="eastAsia" w:cs="Times New Roman"/>
                <w:color w:val="auto"/>
                <w:szCs w:val="20"/>
                <w:highlight w:val="none"/>
                <w:lang w:val="en-US" w:eastAsia="zh-CN"/>
              </w:rPr>
              <w:t>扩散至外围区域</w:t>
            </w:r>
            <w:r>
              <w:rPr>
                <w:rFonts w:hint="eastAsia"/>
                <w:color w:val="auto"/>
                <w:lang w:val="en-US" w:eastAsia="zh-CN"/>
              </w:rPr>
              <w:t>，</w:t>
            </w:r>
            <w:r>
              <w:rPr>
                <w:rFonts w:hint="default"/>
                <w:color w:val="auto"/>
                <w:lang w:val="en-US" w:eastAsia="zh-CN"/>
              </w:rPr>
              <w:t>应急措施主要是</w:t>
            </w:r>
            <w:r>
              <w:rPr>
                <w:rFonts w:hint="eastAsia"/>
                <w:color w:val="auto"/>
                <w:lang w:val="en-US" w:eastAsia="zh-CN"/>
              </w:rPr>
              <w:t>断</w:t>
            </w:r>
            <w:r>
              <w:rPr>
                <w:rFonts w:hint="default"/>
                <w:color w:val="auto"/>
                <w:lang w:val="en-US" w:eastAsia="zh-CN"/>
              </w:rPr>
              <w:t>源（减少</w:t>
            </w:r>
            <w:r>
              <w:rPr>
                <w:rFonts w:hint="eastAsia"/>
                <w:color w:val="auto"/>
                <w:lang w:val="en-US" w:eastAsia="zh-CN"/>
              </w:rPr>
              <w:t>泄漏</w:t>
            </w:r>
            <w:r>
              <w:rPr>
                <w:rFonts w:hint="default"/>
                <w:color w:val="auto"/>
                <w:lang w:val="en-US" w:eastAsia="zh-CN"/>
              </w:rPr>
              <w:t>量）、隔离（将事故区域与其他区域隔离，防止扩大、蔓延及连锁反应，降低危害）、回收（及时将泄漏、散落废物收集）、清污（消除现场泄漏物，处理已泄出化学品造成的后果），组织人员撤离及救护。</w:t>
            </w:r>
          </w:p>
          <w:p>
            <w:pPr>
              <w:pStyle w:val="4"/>
              <w:suppressLineNumbers w:val="0"/>
              <w:bidi w:val="0"/>
              <w:spacing w:beforeAutospacing="0" w:afterAutospacing="0"/>
              <w:ind w:right="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化学试剂防范措施</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对于化学试剂的购买、储存、保管、使用等需按照相关规定管理执行，实验药剂应根据需要购买，尽量少危险化学品的储存量。对于化学制剂，特别是涉及危险化学品，项目风险防范措施要求如下。</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cs="Times New Roman"/>
                <w:color w:val="auto"/>
                <w:kern w:val="2"/>
                <w:sz w:val="24"/>
                <w:szCs w:val="24"/>
                <w:lang w:val="en-US" w:eastAsia="zh-CN" w:bidi="ar-SA"/>
              </w:rPr>
              <w:t>（1）</w:t>
            </w:r>
            <w:r>
              <w:rPr>
                <w:rFonts w:hint="eastAsia" w:ascii="Times New Roman" w:hAnsi="Times New Roman" w:eastAsia="宋体" w:cs="Times New Roman"/>
                <w:color w:val="auto"/>
                <w:kern w:val="2"/>
                <w:sz w:val="24"/>
                <w:szCs w:val="24"/>
                <w:lang w:val="en-US" w:eastAsia="zh-CN" w:bidi="ar-SA"/>
              </w:rPr>
              <w:t>危险化学品必须储存在专用储存室内，储存方式、方法与储存数量必须遵守国家规定，并由专人管理。</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cs="Times New Roman"/>
                <w:color w:val="auto"/>
                <w:kern w:val="2"/>
                <w:sz w:val="24"/>
                <w:szCs w:val="24"/>
                <w:lang w:val="en-US" w:eastAsia="zh-CN" w:bidi="ar-SA"/>
              </w:rPr>
              <w:t>（2）</w:t>
            </w:r>
            <w:r>
              <w:rPr>
                <w:rFonts w:hint="eastAsia" w:ascii="Times New Roman" w:hAnsi="Times New Roman" w:eastAsia="宋体" w:cs="Times New Roman"/>
                <w:color w:val="auto"/>
                <w:kern w:val="2"/>
                <w:sz w:val="24"/>
                <w:szCs w:val="24"/>
                <w:lang w:val="en-US" w:eastAsia="zh-CN" w:bidi="ar-SA"/>
              </w:rPr>
              <w:t>危险化学品专用储存室，应当符合国家标准对安全、消防的要求，设置明显标志。储存室的储存设备和安全设施应当定期检查，一旦出现安全隐患，立即排除。</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（3）</w:t>
            </w:r>
            <w:r>
              <w:rPr>
                <w:rFonts w:hint="default"/>
                <w:color w:val="auto"/>
                <w:lang w:val="en-US" w:eastAsia="zh-CN"/>
              </w:rPr>
              <w:t>实验室化学品以酸、碱、有机物的分类原则分开储存，切忌混储。</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（4）</w:t>
            </w:r>
            <w:r>
              <w:rPr>
                <w:rFonts w:hint="default"/>
                <w:color w:val="auto"/>
                <w:lang w:val="en-US" w:eastAsia="zh-CN"/>
              </w:rPr>
              <w:t>储存不同化学品时需参考对应的《化学品安全技术说明书》。</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（5）</w:t>
            </w:r>
            <w:r>
              <w:rPr>
                <w:rFonts w:hint="default"/>
                <w:color w:val="auto"/>
                <w:lang w:val="en-US" w:eastAsia="zh-CN"/>
              </w:rPr>
              <w:t>危险化学品由专人负责保管，采取使用人领用登记制度，不得向与实验室无关人员外借、使用。</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（6）</w:t>
            </w:r>
            <w:r>
              <w:rPr>
                <w:rFonts w:hint="default"/>
                <w:color w:val="auto"/>
                <w:lang w:val="en-US" w:eastAsia="zh-CN"/>
              </w:rPr>
              <w:t>危险化学品必须附有和危险化学品完全一致的化学品安全技术说明书。</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（7）</w:t>
            </w:r>
            <w:r>
              <w:rPr>
                <w:rFonts w:hint="default"/>
                <w:color w:val="auto"/>
                <w:lang w:val="en-US" w:eastAsia="zh-CN"/>
              </w:rPr>
              <w:t>储存、使用危险化学品时，应当根据危险化学品的</w:t>
            </w:r>
            <w:r>
              <w:rPr>
                <w:rFonts w:hint="eastAsia"/>
                <w:color w:val="auto"/>
                <w:lang w:val="en-US" w:eastAsia="zh-CN"/>
              </w:rPr>
              <w:t>种类</w:t>
            </w:r>
            <w:r>
              <w:rPr>
                <w:rFonts w:hint="default"/>
                <w:color w:val="auto"/>
                <w:lang w:val="en-US" w:eastAsia="zh-CN"/>
              </w:rPr>
              <w:t>、特性，在作业场所设置相应的通风、防晒、调温、防火、灭火、防爆、防毒、或者隔离操作等安全设施、设备，并按照国家标准和相关规定进行维护、保养，保证符合安全运行要求。</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（8）</w:t>
            </w:r>
            <w:r>
              <w:rPr>
                <w:rFonts w:hint="default"/>
                <w:color w:val="auto"/>
                <w:lang w:val="en-US" w:eastAsia="zh-CN"/>
              </w:rPr>
              <w:t>有效期已过的危险化学品，由实验室负责人按照</w:t>
            </w:r>
            <w:r>
              <w:rPr>
                <w:rFonts w:hint="eastAsia" w:ascii="宋体" w:hAnsi="宋体" w:eastAsia="宋体" w:cs="宋体"/>
                <w:color w:val="auto"/>
                <w:lang w:val="en-US" w:eastAsia="zh-CN"/>
              </w:rPr>
              <w:t>“危险废弃物及其包装物管理”进</w:t>
            </w:r>
            <w:r>
              <w:rPr>
                <w:rFonts w:hint="default"/>
                <w:color w:val="auto"/>
                <w:lang w:val="en-US" w:eastAsia="zh-CN"/>
              </w:rPr>
              <w:t>行处理，并负责清洗容器。</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（9）</w:t>
            </w:r>
            <w:r>
              <w:rPr>
                <w:rFonts w:hint="default"/>
                <w:color w:val="auto"/>
                <w:lang w:val="en-US" w:eastAsia="zh-CN"/>
              </w:rPr>
              <w:t>在使用过程中出现操作人员不慎</w:t>
            </w:r>
            <w:r>
              <w:rPr>
                <w:rFonts w:hint="eastAsia"/>
                <w:color w:val="auto"/>
                <w:lang w:val="en-US" w:eastAsia="zh-CN"/>
              </w:rPr>
              <w:t>将</w:t>
            </w:r>
            <w:r>
              <w:rPr>
                <w:rFonts w:hint="default"/>
                <w:color w:val="auto"/>
                <w:lang w:val="en-US" w:eastAsia="zh-CN"/>
              </w:rPr>
              <w:t>危险化学品</w:t>
            </w:r>
            <w:r>
              <w:rPr>
                <w:rFonts w:hint="eastAsia"/>
                <w:color w:val="auto"/>
                <w:lang w:val="en-US" w:eastAsia="zh-CN"/>
              </w:rPr>
              <w:t>洒落</w:t>
            </w:r>
            <w:r>
              <w:rPr>
                <w:rFonts w:hint="default"/>
                <w:color w:val="auto"/>
                <w:lang w:val="en-US" w:eastAsia="zh-CN"/>
              </w:rPr>
              <w:t>、泄漏</w:t>
            </w:r>
            <w:r>
              <w:rPr>
                <w:rFonts w:hint="eastAsia"/>
                <w:color w:val="auto"/>
                <w:lang w:val="en-US" w:eastAsia="zh-CN"/>
              </w:rPr>
              <w:t>的</w:t>
            </w:r>
            <w:r>
              <w:rPr>
                <w:rFonts w:hint="default"/>
                <w:color w:val="auto"/>
                <w:lang w:val="en-US" w:eastAsia="zh-CN"/>
              </w:rPr>
              <w:t>情况，应根据</w:t>
            </w:r>
            <w:r>
              <w:rPr>
                <w:rFonts w:hint="eastAsia"/>
                <w:color w:val="auto"/>
                <w:lang w:val="en-US" w:eastAsia="zh-CN"/>
              </w:rPr>
              <w:t>洒落</w:t>
            </w:r>
            <w:r>
              <w:rPr>
                <w:rFonts w:hint="default"/>
                <w:color w:val="auto"/>
                <w:lang w:val="en-US" w:eastAsia="zh-CN"/>
              </w:rPr>
              <w:t>化学品的性质采取不同的处置措施。由于实验室储存量有限，不会发生大量泄漏情况。例如酸性化学品泄漏，可用沙土或生石灰吸附，然后用清水冲洗；吸附品及冲洗水均按危废处置。</w:t>
            </w:r>
          </w:p>
          <w:p>
            <w:pPr>
              <w:pStyle w:val="4"/>
              <w:suppressLineNumbers w:val="0"/>
              <w:bidi w:val="0"/>
              <w:spacing w:beforeAutospacing="0" w:afterAutospacing="0"/>
              <w:ind w:right="0"/>
              <w:rPr>
                <w:rFonts w:hint="default"/>
                <w:color w:val="auto"/>
                <w:lang w:val="en-US" w:eastAsia="zh-CN"/>
              </w:rPr>
            </w:pPr>
            <w:r>
              <w:rPr>
                <w:rFonts w:hint="eastAsia"/>
                <w:color w:val="auto"/>
                <w:lang w:val="en-US" w:eastAsia="zh-CN"/>
              </w:rPr>
              <w:t>火灾</w:t>
            </w:r>
            <w:r>
              <w:rPr>
                <w:rFonts w:hint="default"/>
                <w:color w:val="auto"/>
                <w:lang w:val="en-US" w:eastAsia="zh-CN"/>
              </w:rPr>
              <w:t>应急措施</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在使用乙醇等易挥发、易燃烧的有机溶剂时如操作不慎，易引起火灾事故。为了防止事故发生，必须随时注意以下几点：</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（1）操作和处理易燃、易爆溶剂时，应远离火源；对易爆炸固体的残渣，必须小心销毁；不要把未熄灭的火柴梗乱丢；对于易发生自燃的物质及沾有它们的滤纸，不能随意丢弃，以免造成新的火源，引起火灾。</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（2）实验前应仔细检查仪器装置是否正确、稳妥与严密；操作要求正确、严格；常压操作时，切勿造成系统密闭，否则可能会发生爆炸事故；对沸点低于</w:t>
            </w:r>
            <w:r>
              <w:rPr>
                <w:rFonts w:hint="default"/>
                <w:color w:val="auto"/>
                <w:lang w:val="en-US" w:eastAsia="zh-CN"/>
              </w:rPr>
              <w:t>80℃</w:t>
            </w:r>
            <w:r>
              <w:rPr>
                <w:rFonts w:hint="eastAsia"/>
                <w:color w:val="auto"/>
                <w:lang w:val="en-US" w:eastAsia="zh-CN"/>
              </w:rPr>
              <w:t xml:space="preserve">的液体，一般蒸馏时应采用水浴加热，不能直接用火加热；实验操作中，应防止有机物蒸气泄漏出来，更不要用敞口装置加热。若要进行除去溶剂的操作，则必须在通风橱里进行。 </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（3）实验室里不允许存放大量易燃物。</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常用的实验室火灾应急处理方法有：</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在可燃液体燃着时，应立即拿开着火区域内的一切可燃物质，关闭通风器，防止扩大燃烧。酒精及其他可溶于水的液体着火时，可用水灭火。甲醇等有机溶剂着火时，应用石棉布或干砂扑灭。绝对不能用水，否则反而会扩大燃烧面积。注意电器设备导线等着火时，不能用水及二氧化碳灭火器（泡沫灭火器），以免触电。应先切断电源，再用二氧化碳或四氯化碳灭火器灭火。</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（2）发现烘箱有异味或冒烟时，应迅速切断电源，使其慢慢降温，并准备好灭火器备用。千万不要急于打开烘箱门，以免突然供入空气助燃（爆），引起火灾。</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cs="宋体"/>
                <w:bCs/>
                <w:color w:val="auto"/>
                <w:sz w:val="24"/>
                <w:highlight w:val="none"/>
                <w:lang w:eastAsia="zh-CN" w:bidi="ar"/>
              </w:rPr>
            </w:pPr>
            <w:r>
              <w:rPr>
                <w:rFonts w:hint="eastAsia" w:cs="Times New Roman"/>
                <w:color w:val="auto"/>
                <w:kern w:val="2"/>
                <w:sz w:val="24"/>
                <w:szCs w:val="24"/>
                <w:lang w:val="en-US" w:eastAsia="zh-CN" w:bidi="ar-SA"/>
              </w:rPr>
              <w:t>（3）</w:t>
            </w:r>
            <w:r>
              <w:rPr>
                <w:rFonts w:hint="eastAsia" w:ascii="宋体" w:hAnsi="宋体" w:cs="宋体"/>
                <w:bCs/>
                <w:color w:val="auto"/>
                <w:sz w:val="24"/>
                <w:highlight w:val="none"/>
                <w:lang w:bidi="ar"/>
              </w:rPr>
              <w:t>对所有建筑物的防火要求，包括材料的选用、布置、构造、疏散等均按</w:t>
            </w:r>
            <w:r>
              <w:rPr>
                <w:rFonts w:hint="eastAsia" w:ascii="宋体" w:hAnsi="宋体" w:cs="宋体"/>
                <w:bCs/>
                <w:color w:val="auto"/>
                <w:sz w:val="24"/>
                <w:szCs w:val="24"/>
                <w:highlight w:val="none"/>
                <w:lang w:bidi="ar"/>
              </w:rPr>
              <w:t>《</w:t>
            </w:r>
            <w:r>
              <w:rPr>
                <w:rFonts w:hint="eastAsia"/>
                <w:color w:val="auto"/>
                <w:sz w:val="24"/>
                <w:szCs w:val="24"/>
              </w:rPr>
              <w:t>建筑防火通用规范</w:t>
            </w:r>
            <w:r>
              <w:rPr>
                <w:rFonts w:hint="eastAsia" w:ascii="宋体" w:hAnsi="宋体" w:cs="宋体"/>
                <w:bCs/>
                <w:color w:val="auto"/>
                <w:sz w:val="24"/>
                <w:highlight w:val="none"/>
                <w:lang w:bidi="ar"/>
              </w:rPr>
              <w:t>》《建筑内部装修设计的防火规范》《建筑灭火器配置设计规范》等要求进行设计与施工</w:t>
            </w:r>
            <w:r>
              <w:rPr>
                <w:rFonts w:hint="eastAsia" w:ascii="宋体" w:hAnsi="宋体" w:cs="宋体"/>
                <w:bCs/>
                <w:color w:val="auto"/>
                <w:sz w:val="24"/>
                <w:highlight w:val="none"/>
                <w:lang w:eastAsia="zh-CN" w:bidi="ar"/>
              </w:rPr>
              <w:t>。</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olor w:val="auto"/>
                <w:sz w:val="24"/>
                <w:highlight w:val="none"/>
                <w:lang w:bidi="ar"/>
              </w:rPr>
            </w:pPr>
            <w:r>
              <w:rPr>
                <w:rFonts w:hint="default" w:ascii="Times New Roman" w:hAnsi="Times New Roman" w:cs="Times New Roman"/>
                <w:bCs/>
                <w:color w:val="auto"/>
                <w:sz w:val="24"/>
                <w:highlight w:val="none"/>
                <w:lang w:eastAsia="zh-CN" w:bidi="ar"/>
              </w:rPr>
              <w:t>（</w:t>
            </w:r>
            <w:r>
              <w:rPr>
                <w:rFonts w:hint="default" w:ascii="Times New Roman" w:hAnsi="Times New Roman" w:cs="Times New Roman"/>
                <w:bCs/>
                <w:color w:val="auto"/>
                <w:sz w:val="24"/>
                <w:highlight w:val="none"/>
                <w:lang w:val="en-US" w:eastAsia="zh-CN" w:bidi="ar"/>
              </w:rPr>
              <w:t>4</w:t>
            </w:r>
            <w:r>
              <w:rPr>
                <w:rFonts w:hint="default" w:ascii="Times New Roman" w:hAnsi="Times New Roman" w:cs="Times New Roman"/>
                <w:bCs/>
                <w:color w:val="auto"/>
                <w:sz w:val="24"/>
                <w:highlight w:val="none"/>
                <w:lang w:eastAsia="zh-CN" w:bidi="ar"/>
              </w:rPr>
              <w:t>）</w:t>
            </w:r>
            <w:r>
              <w:rPr>
                <w:rFonts w:hint="default" w:ascii="Times New Roman" w:hAnsi="Times New Roman" w:cs="Times New Roman"/>
                <w:bCs/>
                <w:color w:val="auto"/>
                <w:sz w:val="24"/>
                <w:highlight w:val="none"/>
                <w:lang w:bidi="ar"/>
              </w:rPr>
              <w:t>企业应建立严格的消防管理制度，在</w:t>
            </w:r>
            <w:r>
              <w:rPr>
                <w:rFonts w:hint="default" w:ascii="Times New Roman" w:hAnsi="Times New Roman" w:cs="Times New Roman"/>
                <w:bCs/>
                <w:color w:val="auto"/>
                <w:sz w:val="24"/>
                <w:highlight w:val="none"/>
                <w:lang w:val="en-US" w:eastAsia="zh-CN" w:bidi="ar"/>
              </w:rPr>
              <w:t>实验室</w:t>
            </w:r>
            <w:r>
              <w:rPr>
                <w:rFonts w:hint="default" w:ascii="Times New Roman" w:hAnsi="Times New Roman" w:cs="Times New Roman"/>
                <w:bCs/>
                <w:color w:val="auto"/>
                <w:sz w:val="24"/>
                <w:highlight w:val="none"/>
                <w:lang w:bidi="ar"/>
              </w:rPr>
              <w:t>内设置灭火器材，如手提式或推车式干粉灭火器；严格落实有关消防技术规范的规定，加强人员疏散设施管理，保证疏散通道畅通。定期进行防火安全检查，确保消防设施完整好用。</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2"/>
                <w:sz w:val="24"/>
                <w:szCs w:val="24"/>
                <w:lang w:val="en-US" w:eastAsia="zh-CN" w:bidi="ar-SA"/>
              </w:rPr>
            </w:pPr>
            <w:r>
              <w:rPr>
                <w:rFonts w:hint="eastAsia" w:cs="宋体"/>
                <w:bCs/>
                <w:color w:val="auto"/>
                <w:sz w:val="24"/>
                <w:highlight w:val="none"/>
                <w:lang w:eastAsia="zh-CN" w:bidi="ar"/>
              </w:rPr>
              <w:t>（</w:t>
            </w:r>
            <w:r>
              <w:rPr>
                <w:rFonts w:hint="eastAsia" w:cs="宋体"/>
                <w:bCs/>
                <w:color w:val="auto"/>
                <w:sz w:val="24"/>
                <w:highlight w:val="none"/>
                <w:lang w:val="en-US" w:eastAsia="zh-CN" w:bidi="ar"/>
              </w:rPr>
              <w:t>5</w:t>
            </w:r>
            <w:r>
              <w:rPr>
                <w:rFonts w:hint="eastAsia" w:cs="宋体"/>
                <w:bCs/>
                <w:color w:val="auto"/>
                <w:sz w:val="24"/>
                <w:highlight w:val="none"/>
                <w:lang w:eastAsia="zh-CN" w:bidi="ar"/>
              </w:rPr>
              <w:t>）</w:t>
            </w:r>
            <w:r>
              <w:rPr>
                <w:rFonts w:hint="eastAsia" w:ascii="宋体" w:hAnsi="宋体" w:cs="宋体"/>
                <w:bCs/>
                <w:color w:val="auto"/>
                <w:sz w:val="24"/>
                <w:highlight w:val="none"/>
                <w:lang w:bidi="ar"/>
              </w:rPr>
              <w:t>企业</w:t>
            </w:r>
            <w:r>
              <w:rPr>
                <w:rFonts w:hint="eastAsia" w:cs="宋体"/>
                <w:bCs/>
                <w:color w:val="auto"/>
                <w:sz w:val="24"/>
                <w:highlight w:val="none"/>
                <w:lang w:bidi="ar"/>
              </w:rPr>
              <w:t>要求职工应遵守各项规章制度，</w:t>
            </w:r>
            <w:r>
              <w:rPr>
                <w:rFonts w:hint="eastAsia" w:cs="宋体"/>
                <w:bCs/>
                <w:color w:val="auto"/>
                <w:sz w:val="24"/>
                <w:highlight w:val="none"/>
                <w:lang w:val="en-US" w:eastAsia="zh-CN" w:bidi="ar"/>
              </w:rPr>
              <w:t>加强员工消防意识和技能培训，</w:t>
            </w:r>
            <w:r>
              <w:rPr>
                <w:rFonts w:hint="eastAsia" w:ascii="Times New Roman" w:hAnsi="Times New Roman" w:eastAsia="宋体" w:cs="Times New Roman"/>
                <w:color w:val="auto"/>
                <w:kern w:val="2"/>
                <w:sz w:val="24"/>
                <w:szCs w:val="24"/>
                <w:lang w:val="en-US" w:eastAsia="zh-CN" w:bidi="ar-SA"/>
              </w:rPr>
              <w:t>熟悉实验室内灭火器材的位置和灭火器的使用方法。</w:t>
            </w:r>
          </w:p>
          <w:p>
            <w:pPr>
              <w:pStyle w:val="4"/>
              <w:suppressLineNumbers w:val="0"/>
              <w:bidi w:val="0"/>
              <w:spacing w:beforeAutospacing="0" w:afterAutospacing="0"/>
              <w:ind w:right="0"/>
              <w:rPr>
                <w:rFonts w:hint="default"/>
                <w:color w:val="auto"/>
              </w:rPr>
            </w:pPr>
            <w:bookmarkStart w:id="106" w:name="_Toc15654715"/>
            <w:bookmarkStart w:id="107" w:name="_Toc5316"/>
            <w:r>
              <w:rPr>
                <w:rFonts w:hint="eastAsia"/>
                <w:color w:val="auto"/>
                <w:lang w:val="en-US" w:eastAsia="zh-CN"/>
              </w:rPr>
              <w:t>环境</w:t>
            </w:r>
            <w:r>
              <w:rPr>
                <w:rFonts w:hint="default"/>
                <w:color w:val="auto"/>
              </w:rPr>
              <w:t>风险结论</w:t>
            </w:r>
            <w:bookmarkEnd w:id="106"/>
            <w:bookmarkEnd w:id="107"/>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综合以上分析，本项目事故风险评价得出如下结论：</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（1）项目主要危险物质为检测过程中使用的挥发性有机试剂、酸碱试剂</w:t>
            </w:r>
            <w:r>
              <w:rPr>
                <w:rFonts w:hint="eastAsia"/>
                <w:color w:val="auto"/>
                <w:lang w:val="en-US" w:eastAsia="zh-CN"/>
              </w:rPr>
              <w:t>、</w:t>
            </w:r>
            <w:r>
              <w:rPr>
                <w:rFonts w:hint="default"/>
                <w:color w:val="auto"/>
                <w:lang w:val="en-US" w:eastAsia="zh-CN"/>
              </w:rPr>
              <w:t>少量有毒有害化学品</w:t>
            </w:r>
            <w:r>
              <w:rPr>
                <w:rFonts w:hint="eastAsia"/>
                <w:color w:val="auto"/>
                <w:lang w:val="en-US" w:eastAsia="zh-CN"/>
              </w:rPr>
              <w:t>和易燃易爆物品</w:t>
            </w:r>
            <w:r>
              <w:rPr>
                <w:rFonts w:hint="default"/>
                <w:color w:val="auto"/>
                <w:lang w:val="en-US" w:eastAsia="zh-CN"/>
              </w:rPr>
              <w:t>等，主要分布在危险</w:t>
            </w:r>
            <w:r>
              <w:rPr>
                <w:rFonts w:hint="eastAsia"/>
                <w:color w:val="auto"/>
                <w:lang w:val="en-US" w:eastAsia="zh-CN"/>
              </w:rPr>
              <w:t>固体废物</w:t>
            </w:r>
            <w:r>
              <w:rPr>
                <w:rFonts w:hint="default"/>
                <w:color w:val="auto"/>
                <w:lang w:val="en-US" w:eastAsia="zh-CN"/>
              </w:rPr>
              <w:t>暂存间及化学品仓库，可能发生的环境风险主要为泄漏</w:t>
            </w:r>
            <w:r>
              <w:rPr>
                <w:rFonts w:hint="eastAsia"/>
                <w:color w:val="auto"/>
                <w:lang w:val="en-US" w:eastAsia="zh-CN"/>
              </w:rPr>
              <w:t>和火灾</w:t>
            </w:r>
            <w:r>
              <w:rPr>
                <w:rFonts w:hint="default"/>
                <w:color w:val="auto"/>
                <w:lang w:val="en-US" w:eastAsia="zh-CN"/>
              </w:rPr>
              <w:t>。</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（2）根据风险事故分析，泄漏</w:t>
            </w:r>
            <w:r>
              <w:rPr>
                <w:rFonts w:hint="eastAsia"/>
                <w:color w:val="auto"/>
                <w:lang w:val="en-US" w:eastAsia="zh-CN"/>
              </w:rPr>
              <w:t>和火灾将对区域大气环境和周边人群健康造成一定危害</w:t>
            </w:r>
            <w:r>
              <w:rPr>
                <w:rFonts w:hint="default"/>
                <w:color w:val="auto"/>
                <w:lang w:val="en-US" w:eastAsia="zh-CN"/>
              </w:rPr>
              <w:t>。</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（3）项目应建立环境风险管理制度，严格按照环境风险防控章节提出的措施要求开展环境风险防控工作。</w:t>
            </w:r>
          </w:p>
          <w:p>
            <w:pPr>
              <w:pStyle w:val="36"/>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综上所述，项目在做好风险防控措施的前提下，可能产生的环境风险是可以防控的</w:t>
            </w:r>
            <w:r>
              <w:rPr>
                <w:rFonts w:hint="eastAsia"/>
                <w:color w:val="auto"/>
                <w:lang w:val="en-US" w:eastAsia="zh-CN"/>
              </w:rPr>
              <w:t>。</w:t>
            </w:r>
          </w:p>
        </w:tc>
      </w:tr>
    </w:tbl>
    <w:p>
      <w:pPr>
        <w:adjustRightInd w:val="0"/>
        <w:snapToGrid w:val="0"/>
        <w:spacing w:line="360" w:lineRule="auto"/>
        <w:rPr>
          <w:rFonts w:hint="default" w:ascii="Times New Roman" w:hAnsi="Times New Roman" w:cs="Times New Roman"/>
          <w:b/>
          <w:color w:val="auto"/>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2"/>
        <w:bidi w:val="0"/>
        <w:rPr>
          <w:rFonts w:hint="default"/>
          <w:color w:val="auto"/>
        </w:rPr>
      </w:pPr>
      <w:bookmarkStart w:id="108" w:name="_Toc13098"/>
      <w:bookmarkStart w:id="109" w:name="_Toc23791"/>
      <w:bookmarkStart w:id="110" w:name="_Hlk54167917"/>
      <w:r>
        <w:rPr>
          <w:rFonts w:hint="default"/>
          <w:color w:val="auto"/>
        </w:rPr>
        <w:t>环境保护措施监督检查清单</w:t>
      </w:r>
      <w:bookmarkEnd w:id="108"/>
      <w:bookmarkEnd w:id="109"/>
      <w:bookmarkEnd w:id="110"/>
    </w:p>
    <w:tbl>
      <w:tblPr>
        <w:tblStyle w:val="32"/>
        <w:tblW w:w="8967"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60"/>
        <w:gridCol w:w="1166"/>
        <w:gridCol w:w="1245"/>
        <w:gridCol w:w="2548"/>
        <w:gridCol w:w="294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054" w:hRule="atLeast"/>
          <w:jc w:val="center"/>
        </w:trPr>
        <w:tc>
          <w:tcPr>
            <w:tcW w:w="1060" w:type="dxa"/>
            <w:tcBorders>
              <w:tl2br w:val="single" w:color="auto" w:sz="4" w:space="0"/>
            </w:tcBorders>
            <w:vAlign w:val="center"/>
          </w:tcPr>
          <w:p>
            <w:pPr>
              <w:pStyle w:val="36"/>
              <w:keepNext w:val="0"/>
              <w:keepLines w:val="0"/>
              <w:pageBreakBefore w:val="0"/>
              <w:widowControl w:val="0"/>
              <w:suppressLineNumbers w:val="0"/>
              <w:kinsoku/>
              <w:wordWrap/>
              <w:overflowPunct/>
              <w:topLinePunct w:val="0"/>
              <w:bidi w:val="0"/>
              <w:spacing w:before="0" w:beforeAutospacing="0" w:after="0" w:afterAutospacing="0"/>
              <w:ind w:left="0" w:right="0" w:firstLine="0" w:firstLineChars="0"/>
              <w:jc w:val="right"/>
              <w:textAlignment w:val="auto"/>
              <w:rPr>
                <w:rFonts w:hint="default"/>
                <w:color w:val="auto"/>
                <w:sz w:val="21"/>
                <w:szCs w:val="21"/>
                <w:lang w:val="en-US" w:eastAsia="zh-CN"/>
              </w:rPr>
            </w:pPr>
            <w:r>
              <w:rPr>
                <w:rFonts w:hint="default"/>
                <w:color w:val="auto"/>
                <w:sz w:val="21"/>
                <w:szCs w:val="21"/>
                <w:lang w:val="en-US" w:eastAsia="zh-CN"/>
              </w:rPr>
              <w:t>内容</w:t>
            </w:r>
          </w:p>
          <w:p>
            <w:pPr>
              <w:pStyle w:val="36"/>
              <w:keepNext w:val="0"/>
              <w:keepLines w:val="0"/>
              <w:pageBreakBefore w:val="0"/>
              <w:widowControl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color w:val="auto"/>
                <w:sz w:val="21"/>
                <w:szCs w:val="21"/>
                <w:lang w:val="en-US" w:eastAsia="zh-CN"/>
              </w:rPr>
            </w:pPr>
          </w:p>
          <w:p>
            <w:pPr>
              <w:pStyle w:val="36"/>
              <w:keepNext w:val="0"/>
              <w:keepLines w:val="0"/>
              <w:pageBreakBefore w:val="0"/>
              <w:widowControl w:val="0"/>
              <w:suppressLineNumbers w:val="0"/>
              <w:kinsoku/>
              <w:wordWrap/>
              <w:overflowPunct/>
              <w:topLinePunct w:val="0"/>
              <w:bidi w:val="0"/>
              <w:spacing w:before="0" w:beforeAutospacing="0" w:after="0" w:afterAutospacing="0"/>
              <w:ind w:left="0" w:right="0" w:firstLine="0" w:firstLineChars="0"/>
              <w:jc w:val="left"/>
              <w:textAlignment w:val="auto"/>
              <w:rPr>
                <w:rFonts w:hint="default" w:ascii="Times New Roman" w:hAnsi="Times New Roman" w:eastAsia="宋体" w:cs="Times New Roman"/>
                <w:b/>
                <w:bCs/>
                <w:color w:val="auto"/>
                <w:sz w:val="21"/>
                <w:szCs w:val="21"/>
                <w:lang w:val="en-US" w:eastAsia="zh-CN"/>
              </w:rPr>
            </w:pPr>
            <w:r>
              <w:rPr>
                <w:rFonts w:hint="default"/>
                <w:color w:val="auto"/>
                <w:sz w:val="21"/>
                <w:szCs w:val="21"/>
                <w:lang w:val="en-US" w:eastAsia="zh-CN"/>
              </w:rPr>
              <w:t>要素</w:t>
            </w:r>
          </w:p>
        </w:tc>
        <w:tc>
          <w:tcPr>
            <w:tcW w:w="1166"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288" w:lineRule="auto"/>
              <w:ind w:left="0" w:right="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color w:val="auto"/>
                <w:sz w:val="21"/>
                <w:szCs w:val="21"/>
                <w:lang w:val="en-US" w:eastAsia="zh-CN"/>
              </w:rPr>
              <w:t>排放口</w:t>
            </w:r>
            <w:r>
              <w:rPr>
                <w:rFonts w:hint="eastAsia"/>
                <w:color w:val="auto"/>
                <w:sz w:val="21"/>
                <w:szCs w:val="21"/>
                <w:lang w:val="en-US" w:eastAsia="zh-CN"/>
              </w:rPr>
              <w:t>（</w:t>
            </w:r>
            <w:r>
              <w:rPr>
                <w:rFonts w:hint="default"/>
                <w:color w:val="auto"/>
                <w:sz w:val="21"/>
                <w:szCs w:val="21"/>
                <w:lang w:val="en-US" w:eastAsia="zh-CN"/>
              </w:rPr>
              <w:t>编号、名称</w:t>
            </w:r>
            <w:r>
              <w:rPr>
                <w:rFonts w:hint="eastAsia"/>
                <w:color w:val="auto"/>
                <w:sz w:val="21"/>
                <w:szCs w:val="21"/>
                <w:lang w:val="en-US" w:eastAsia="zh-CN"/>
              </w:rPr>
              <w:t>）</w:t>
            </w:r>
            <w:r>
              <w:rPr>
                <w:rFonts w:hint="default"/>
                <w:color w:val="auto"/>
                <w:sz w:val="21"/>
                <w:szCs w:val="21"/>
                <w:lang w:val="en-US" w:eastAsia="zh-CN"/>
              </w:rPr>
              <w:t>/污染源</w:t>
            </w:r>
          </w:p>
        </w:tc>
        <w:tc>
          <w:tcPr>
            <w:tcW w:w="1245"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288" w:lineRule="auto"/>
              <w:ind w:left="0" w:right="0" w:firstLine="0" w:firstLineChars="0"/>
              <w:jc w:val="center"/>
              <w:textAlignment w:val="auto"/>
              <w:rPr>
                <w:rFonts w:hint="default"/>
                <w:color w:val="auto"/>
                <w:sz w:val="21"/>
                <w:szCs w:val="21"/>
                <w:lang w:val="en-US" w:eastAsia="zh-CN"/>
              </w:rPr>
            </w:pPr>
            <w:r>
              <w:rPr>
                <w:rFonts w:hint="default"/>
                <w:color w:val="auto"/>
                <w:sz w:val="21"/>
                <w:szCs w:val="21"/>
                <w:lang w:val="en-US" w:eastAsia="zh-CN"/>
              </w:rPr>
              <w:t>污染物</w:t>
            </w:r>
          </w:p>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288" w:lineRule="auto"/>
              <w:ind w:left="0" w:right="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color w:val="auto"/>
                <w:sz w:val="21"/>
                <w:szCs w:val="21"/>
                <w:lang w:val="en-US" w:eastAsia="zh-CN"/>
              </w:rPr>
              <w:t>项目</w:t>
            </w:r>
          </w:p>
        </w:tc>
        <w:tc>
          <w:tcPr>
            <w:tcW w:w="2548"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288" w:lineRule="auto"/>
              <w:ind w:left="0" w:right="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color w:val="auto"/>
                <w:sz w:val="21"/>
                <w:szCs w:val="21"/>
                <w:lang w:val="en-US" w:eastAsia="zh-CN"/>
              </w:rPr>
              <w:t>环境保护措施</w:t>
            </w:r>
          </w:p>
        </w:tc>
        <w:tc>
          <w:tcPr>
            <w:tcW w:w="2948"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288" w:lineRule="auto"/>
              <w:ind w:left="0" w:right="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color w:val="auto"/>
                <w:sz w:val="21"/>
                <w:szCs w:val="21"/>
                <w:lang w:val="en-US" w:eastAsia="zh-CN"/>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741" w:hRule="atLeast"/>
          <w:jc w:val="center"/>
        </w:trPr>
        <w:tc>
          <w:tcPr>
            <w:tcW w:w="1060" w:type="dxa"/>
            <w:vMerge w:val="restart"/>
            <w:vAlign w:val="center"/>
          </w:tcPr>
          <w:p>
            <w:pPr>
              <w:pStyle w:val="36"/>
              <w:keepNext w:val="0"/>
              <w:keepLines w:val="0"/>
              <w:pageBreakBefore w:val="0"/>
              <w:widowControl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大气环境</w:t>
            </w:r>
          </w:p>
        </w:tc>
        <w:tc>
          <w:tcPr>
            <w:tcW w:w="1166"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center"/>
              <w:textAlignment w:val="auto"/>
              <w:rPr>
                <w:rFonts w:hint="default"/>
                <w:color w:val="auto"/>
                <w:sz w:val="21"/>
                <w:szCs w:val="21"/>
                <w:lang w:val="en-US" w:eastAsia="zh-CN"/>
              </w:rPr>
            </w:pPr>
            <w:r>
              <w:rPr>
                <w:rFonts w:hint="default"/>
                <w:color w:val="auto"/>
                <w:sz w:val="21"/>
                <w:szCs w:val="21"/>
                <w:lang w:val="en-US" w:eastAsia="zh-CN"/>
              </w:rPr>
              <w:t>DA001</w:t>
            </w:r>
            <w:r>
              <w:rPr>
                <w:rFonts w:hint="eastAsia"/>
                <w:color w:val="auto"/>
                <w:sz w:val="21"/>
                <w:szCs w:val="21"/>
                <w:lang w:val="en-US" w:eastAsia="zh-CN"/>
              </w:rPr>
              <w:t>、</w:t>
            </w:r>
            <w:r>
              <w:rPr>
                <w:rFonts w:hint="default"/>
                <w:color w:val="auto"/>
                <w:sz w:val="21"/>
                <w:szCs w:val="21"/>
                <w:lang w:val="en-US" w:eastAsia="zh-CN"/>
              </w:rPr>
              <w:t>DA00</w:t>
            </w:r>
            <w:r>
              <w:rPr>
                <w:rFonts w:hint="eastAsia"/>
                <w:color w:val="auto"/>
                <w:sz w:val="21"/>
                <w:szCs w:val="21"/>
                <w:lang w:val="en-US" w:eastAsia="zh-CN"/>
              </w:rPr>
              <w:t>2</w:t>
            </w:r>
          </w:p>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olor w:val="auto"/>
                <w:sz w:val="21"/>
                <w:szCs w:val="21"/>
                <w:lang w:val="en-US" w:eastAsia="zh-CN"/>
              </w:rPr>
              <w:t>（酸性废气</w:t>
            </w:r>
            <w:r>
              <w:rPr>
                <w:rFonts w:hint="default"/>
                <w:color w:val="auto"/>
                <w:sz w:val="21"/>
                <w:szCs w:val="21"/>
                <w:lang w:val="en-US" w:eastAsia="zh-CN"/>
              </w:rPr>
              <w:t>排气筒</w:t>
            </w:r>
            <w:r>
              <w:rPr>
                <w:rFonts w:hint="eastAsia"/>
                <w:color w:val="auto"/>
                <w:sz w:val="21"/>
                <w:szCs w:val="21"/>
                <w:lang w:val="en-US" w:eastAsia="zh-CN"/>
              </w:rPr>
              <w:t>）</w:t>
            </w:r>
          </w:p>
        </w:tc>
        <w:tc>
          <w:tcPr>
            <w:tcW w:w="1245"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氯化氢、硫酸雾</w:t>
            </w:r>
          </w:p>
        </w:tc>
        <w:tc>
          <w:tcPr>
            <w:tcW w:w="2548"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both"/>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经通风橱柜收集经</w:t>
            </w:r>
            <w:r>
              <w:rPr>
                <w:rFonts w:hint="eastAsia"/>
                <w:color w:val="auto"/>
                <w:sz w:val="21"/>
                <w:szCs w:val="21"/>
                <w:lang w:val="en-US" w:eastAsia="zh-CN"/>
              </w:rPr>
              <w:t>碱液喷淋塔处理后</w:t>
            </w:r>
            <w:r>
              <w:rPr>
                <w:rFonts w:hint="default"/>
                <w:color w:val="auto"/>
                <w:sz w:val="21"/>
                <w:szCs w:val="21"/>
                <w:lang w:val="en-US" w:eastAsia="zh-CN"/>
              </w:rPr>
              <w:t>引屋顶排气筒（DA001</w:t>
            </w:r>
            <w:r>
              <w:rPr>
                <w:rFonts w:hint="eastAsia"/>
                <w:color w:val="auto"/>
                <w:sz w:val="21"/>
                <w:szCs w:val="21"/>
                <w:lang w:val="en-US" w:eastAsia="zh-CN"/>
              </w:rPr>
              <w:t>、</w:t>
            </w:r>
            <w:r>
              <w:rPr>
                <w:rFonts w:hint="default"/>
                <w:color w:val="auto"/>
                <w:sz w:val="21"/>
                <w:szCs w:val="21"/>
                <w:lang w:val="en-US" w:eastAsia="zh-CN"/>
              </w:rPr>
              <w:t>DA00</w:t>
            </w:r>
            <w:r>
              <w:rPr>
                <w:rFonts w:hint="eastAsia"/>
                <w:color w:val="auto"/>
                <w:sz w:val="21"/>
                <w:szCs w:val="21"/>
                <w:lang w:val="en-US" w:eastAsia="zh-CN"/>
              </w:rPr>
              <w:t>2</w:t>
            </w:r>
            <w:r>
              <w:rPr>
                <w:rFonts w:hint="default"/>
                <w:color w:val="auto"/>
                <w:sz w:val="21"/>
                <w:szCs w:val="21"/>
                <w:lang w:val="en-US" w:eastAsia="zh-CN"/>
              </w:rPr>
              <w:t>）排放，排放高度约2</w:t>
            </w:r>
            <w:r>
              <w:rPr>
                <w:rFonts w:hint="eastAsia"/>
                <w:color w:val="auto"/>
                <w:sz w:val="21"/>
                <w:szCs w:val="21"/>
                <w:lang w:val="en-US" w:eastAsia="zh-CN"/>
              </w:rPr>
              <w:t>5</w:t>
            </w:r>
            <w:r>
              <w:rPr>
                <w:rFonts w:hint="default"/>
                <w:color w:val="auto"/>
                <w:sz w:val="21"/>
                <w:szCs w:val="21"/>
                <w:lang w:val="en-US" w:eastAsia="zh-CN"/>
              </w:rPr>
              <w:t>m</w:t>
            </w:r>
          </w:p>
        </w:tc>
        <w:tc>
          <w:tcPr>
            <w:tcW w:w="2948" w:type="dxa"/>
            <w:vMerge w:val="restart"/>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both"/>
              <w:textAlignment w:val="auto"/>
              <w:rPr>
                <w:rFonts w:hint="eastAsia" w:ascii="Times New Roman" w:hAnsi="Times New Roman" w:eastAsia="宋体" w:cs="Times New Roman"/>
                <w:color w:val="auto"/>
                <w:sz w:val="21"/>
                <w:szCs w:val="21"/>
                <w:lang w:val="en-US" w:eastAsia="zh-CN"/>
              </w:rPr>
            </w:pPr>
            <w:r>
              <w:rPr>
                <w:rFonts w:hint="default"/>
                <w:color w:val="auto"/>
                <w:sz w:val="21"/>
                <w:szCs w:val="21"/>
                <w:lang w:val="en-US" w:eastAsia="zh-CN"/>
              </w:rPr>
              <w:t>非甲烷总烃、氯化氢、硫酸雾均执行《大气污染物综合排放标准》（GB16297-1996</w:t>
            </w:r>
            <w:r>
              <w:rPr>
                <w:rFonts w:hint="eastAsia"/>
                <w:color w:val="auto"/>
                <w:sz w:val="21"/>
                <w:szCs w:val="21"/>
                <w:lang w:val="en-US" w:eastAsia="zh-CN"/>
              </w:rPr>
              <w:t>）</w:t>
            </w:r>
            <w:r>
              <w:rPr>
                <w:rFonts w:hint="default"/>
                <w:color w:val="auto"/>
                <w:sz w:val="21"/>
                <w:szCs w:val="21"/>
                <w:lang w:val="en-US" w:eastAsia="zh-CN"/>
              </w:rPr>
              <w:t>相关标准</w:t>
            </w:r>
            <w:r>
              <w:rPr>
                <w:rFonts w:hint="eastAsia"/>
                <w:color w:val="auto"/>
                <w:sz w:val="21"/>
                <w:szCs w:val="21"/>
                <w:lang w:eastAsia="zh-CN"/>
              </w:rPr>
              <w:t>，</w:t>
            </w:r>
            <w:r>
              <w:rPr>
                <w:rFonts w:hint="eastAsia"/>
                <w:color w:val="auto"/>
                <w:sz w:val="21"/>
                <w:szCs w:val="21"/>
                <w:lang w:val="en-US" w:eastAsia="zh-CN"/>
              </w:rPr>
              <w:t>氨、臭气浓度执行《恶臭污染物排放标准》（</w:t>
            </w:r>
            <w:r>
              <w:rPr>
                <w:rFonts w:hint="default"/>
                <w:color w:val="auto"/>
                <w:sz w:val="21"/>
                <w:szCs w:val="21"/>
                <w:lang w:val="en-US" w:eastAsia="zh-CN"/>
              </w:rPr>
              <w:t>GB14554-93</w:t>
            </w:r>
            <w:r>
              <w:rPr>
                <w:rFonts w:hint="eastAsia"/>
                <w:color w:val="auto"/>
                <w:sz w:val="21"/>
                <w:szCs w:val="21"/>
                <w:lang w:val="en-US" w:eastAsia="zh-CN"/>
              </w:rPr>
              <w:t>）中的二级排放标准浓度限值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790" w:hRule="atLeast"/>
          <w:jc w:val="center"/>
        </w:trPr>
        <w:tc>
          <w:tcPr>
            <w:tcW w:w="1060" w:type="dxa"/>
            <w:vMerge w:val="continue"/>
            <w:vAlign w:val="center"/>
          </w:tcPr>
          <w:p>
            <w:pPr>
              <w:pStyle w:val="36"/>
              <w:keepNext w:val="0"/>
              <w:keepLines w:val="0"/>
              <w:pageBreakBefore w:val="0"/>
              <w:widowControl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color w:val="auto"/>
                <w:sz w:val="21"/>
                <w:szCs w:val="21"/>
                <w:lang w:val="en-US" w:eastAsia="zh-CN"/>
              </w:rPr>
            </w:pPr>
          </w:p>
        </w:tc>
        <w:tc>
          <w:tcPr>
            <w:tcW w:w="1166"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center"/>
              <w:textAlignment w:val="auto"/>
              <w:rPr>
                <w:rFonts w:hint="eastAsia"/>
                <w:color w:val="auto"/>
                <w:sz w:val="21"/>
                <w:szCs w:val="21"/>
                <w:lang w:val="en-US" w:eastAsia="zh-CN"/>
              </w:rPr>
            </w:pPr>
            <w:r>
              <w:rPr>
                <w:rFonts w:hint="default"/>
                <w:color w:val="auto"/>
                <w:sz w:val="21"/>
                <w:szCs w:val="21"/>
                <w:lang w:val="en-US" w:eastAsia="zh-CN"/>
              </w:rPr>
              <w:t>DA00</w:t>
            </w:r>
            <w:r>
              <w:rPr>
                <w:rFonts w:hint="eastAsia"/>
                <w:color w:val="auto"/>
                <w:sz w:val="21"/>
                <w:szCs w:val="21"/>
                <w:lang w:val="en-US" w:eastAsia="zh-CN"/>
              </w:rPr>
              <w:t>3、</w:t>
            </w:r>
            <w:r>
              <w:rPr>
                <w:rFonts w:hint="default"/>
                <w:color w:val="auto"/>
                <w:sz w:val="21"/>
                <w:szCs w:val="21"/>
                <w:lang w:val="en-US" w:eastAsia="zh-CN"/>
              </w:rPr>
              <w:t>DA00</w:t>
            </w:r>
            <w:r>
              <w:rPr>
                <w:rFonts w:hint="eastAsia"/>
                <w:color w:val="auto"/>
                <w:sz w:val="21"/>
                <w:szCs w:val="21"/>
                <w:lang w:val="en-US" w:eastAsia="zh-CN"/>
              </w:rPr>
              <w:t>4（有机废气、臭气</w:t>
            </w:r>
            <w:r>
              <w:rPr>
                <w:rFonts w:hint="default"/>
                <w:color w:val="auto"/>
                <w:sz w:val="21"/>
                <w:szCs w:val="21"/>
                <w:lang w:val="en-US" w:eastAsia="zh-CN"/>
              </w:rPr>
              <w:t>排气筒</w:t>
            </w:r>
            <w:r>
              <w:rPr>
                <w:rFonts w:hint="eastAsia"/>
                <w:color w:val="auto"/>
                <w:sz w:val="21"/>
                <w:szCs w:val="21"/>
                <w:lang w:val="en-US" w:eastAsia="zh-CN"/>
              </w:rPr>
              <w:t>）</w:t>
            </w:r>
          </w:p>
        </w:tc>
        <w:tc>
          <w:tcPr>
            <w:tcW w:w="1245"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center"/>
              <w:textAlignment w:val="auto"/>
              <w:rPr>
                <w:rFonts w:hint="default"/>
                <w:color w:val="auto"/>
                <w:sz w:val="21"/>
                <w:szCs w:val="21"/>
                <w:lang w:val="en-US" w:eastAsia="zh-CN"/>
              </w:rPr>
            </w:pPr>
            <w:r>
              <w:rPr>
                <w:rFonts w:hint="default"/>
                <w:color w:val="auto"/>
                <w:sz w:val="21"/>
                <w:szCs w:val="21"/>
                <w:lang w:val="en-US" w:eastAsia="zh-CN"/>
              </w:rPr>
              <w:t>非甲烷总烃、</w:t>
            </w:r>
            <w:r>
              <w:rPr>
                <w:rFonts w:hint="eastAsia"/>
                <w:color w:val="auto"/>
                <w:sz w:val="21"/>
                <w:szCs w:val="21"/>
                <w:lang w:val="en-US" w:eastAsia="zh-CN"/>
              </w:rPr>
              <w:t>氨、臭气浓度</w:t>
            </w:r>
          </w:p>
        </w:tc>
        <w:tc>
          <w:tcPr>
            <w:tcW w:w="2548"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both"/>
              <w:textAlignment w:val="auto"/>
              <w:rPr>
                <w:rFonts w:hint="default"/>
                <w:color w:val="auto"/>
                <w:sz w:val="21"/>
                <w:szCs w:val="21"/>
                <w:lang w:val="en-US" w:eastAsia="zh-CN"/>
              </w:rPr>
            </w:pPr>
            <w:r>
              <w:rPr>
                <w:rFonts w:hint="default"/>
                <w:color w:val="auto"/>
                <w:sz w:val="21"/>
                <w:szCs w:val="21"/>
                <w:lang w:val="en-US" w:eastAsia="zh-CN"/>
              </w:rPr>
              <w:t>通风橱柜收集经活性炭吸附设备处理后引屋顶排气筒（DA00</w:t>
            </w:r>
            <w:r>
              <w:rPr>
                <w:rFonts w:hint="eastAsia"/>
                <w:color w:val="auto"/>
                <w:sz w:val="21"/>
                <w:szCs w:val="21"/>
                <w:lang w:val="en-US" w:eastAsia="zh-CN"/>
              </w:rPr>
              <w:t>3、</w:t>
            </w:r>
            <w:r>
              <w:rPr>
                <w:rFonts w:hint="default"/>
                <w:color w:val="auto"/>
                <w:sz w:val="21"/>
                <w:szCs w:val="21"/>
                <w:lang w:val="en-US" w:eastAsia="zh-CN"/>
              </w:rPr>
              <w:t>DA00</w:t>
            </w:r>
            <w:r>
              <w:rPr>
                <w:rFonts w:hint="eastAsia"/>
                <w:color w:val="auto"/>
                <w:sz w:val="21"/>
                <w:szCs w:val="21"/>
                <w:lang w:val="en-US" w:eastAsia="zh-CN"/>
              </w:rPr>
              <w:t>4</w:t>
            </w:r>
            <w:r>
              <w:rPr>
                <w:rFonts w:hint="default"/>
                <w:color w:val="auto"/>
                <w:sz w:val="21"/>
                <w:szCs w:val="21"/>
                <w:lang w:val="en-US" w:eastAsia="zh-CN"/>
              </w:rPr>
              <w:t>）排放，排放高度约</w:t>
            </w:r>
            <w:r>
              <w:rPr>
                <w:rFonts w:hint="eastAsia"/>
                <w:color w:val="auto"/>
                <w:sz w:val="21"/>
                <w:szCs w:val="21"/>
                <w:lang w:val="en-US" w:eastAsia="zh-CN"/>
              </w:rPr>
              <w:t>25</w:t>
            </w:r>
            <w:r>
              <w:rPr>
                <w:rFonts w:hint="default"/>
                <w:color w:val="auto"/>
                <w:sz w:val="21"/>
                <w:szCs w:val="21"/>
                <w:lang w:val="en-US" w:eastAsia="zh-CN"/>
              </w:rPr>
              <w:t>m</w:t>
            </w:r>
          </w:p>
        </w:tc>
        <w:tc>
          <w:tcPr>
            <w:tcW w:w="2948" w:type="dxa"/>
            <w:vMerge w:val="continue"/>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both"/>
              <w:textAlignment w:val="auto"/>
              <w:rPr>
                <w:rFonts w:hint="default"/>
                <w:color w:val="auto"/>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999" w:hRule="atLeast"/>
          <w:jc w:val="center"/>
        </w:trPr>
        <w:tc>
          <w:tcPr>
            <w:tcW w:w="1060" w:type="dxa"/>
            <w:vMerge w:val="continue"/>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p>
        </w:tc>
        <w:tc>
          <w:tcPr>
            <w:tcW w:w="1166"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olor w:val="auto"/>
                <w:sz w:val="21"/>
                <w:szCs w:val="21"/>
                <w:lang w:val="en-US" w:eastAsia="zh-CN"/>
              </w:rPr>
              <w:t>无组织废气</w:t>
            </w:r>
          </w:p>
        </w:tc>
        <w:tc>
          <w:tcPr>
            <w:tcW w:w="1245"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非甲烷总烃、氯化氢、硫酸雾</w:t>
            </w:r>
            <w:r>
              <w:rPr>
                <w:rFonts w:hint="eastAsia"/>
                <w:color w:val="auto"/>
                <w:sz w:val="21"/>
                <w:szCs w:val="21"/>
                <w:lang w:val="en-US" w:eastAsia="zh-CN"/>
              </w:rPr>
              <w:t>、氨、臭气浓度</w:t>
            </w:r>
          </w:p>
        </w:tc>
        <w:tc>
          <w:tcPr>
            <w:tcW w:w="2548"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both"/>
              <w:textAlignment w:val="auto"/>
              <w:rPr>
                <w:rFonts w:hint="default" w:ascii="Times New Roman" w:hAnsi="Times New Roman" w:eastAsia="宋体" w:cs="Times New Roman"/>
                <w:color w:val="auto"/>
                <w:sz w:val="21"/>
                <w:szCs w:val="21"/>
                <w:lang w:val="en-US" w:eastAsia="zh-CN"/>
              </w:rPr>
            </w:pPr>
            <w:r>
              <w:rPr>
                <w:rFonts w:hint="eastAsia"/>
                <w:color w:val="auto"/>
                <w:sz w:val="21"/>
                <w:szCs w:val="21"/>
              </w:rPr>
              <w:t>加强</w:t>
            </w:r>
            <w:r>
              <w:rPr>
                <w:rFonts w:hint="eastAsia"/>
                <w:color w:val="auto"/>
                <w:sz w:val="21"/>
                <w:szCs w:val="21"/>
                <w:lang w:val="en-US" w:eastAsia="zh-CN"/>
              </w:rPr>
              <w:t>通风橱废气收集</w:t>
            </w:r>
            <w:r>
              <w:rPr>
                <w:rFonts w:hint="eastAsia"/>
                <w:color w:val="auto"/>
                <w:sz w:val="21"/>
                <w:szCs w:val="21"/>
              </w:rPr>
              <w:t>效率</w:t>
            </w:r>
            <w:r>
              <w:rPr>
                <w:rFonts w:hint="eastAsia"/>
                <w:color w:val="auto"/>
                <w:sz w:val="21"/>
                <w:szCs w:val="21"/>
                <w:lang w:eastAsia="zh-CN"/>
              </w:rPr>
              <w:t>，</w:t>
            </w:r>
            <w:r>
              <w:rPr>
                <w:rFonts w:hint="eastAsia"/>
                <w:color w:val="auto"/>
                <w:sz w:val="21"/>
                <w:szCs w:val="21"/>
                <w:lang w:val="en-US" w:eastAsia="zh-CN"/>
              </w:rPr>
              <w:t>规范实验操作流程</w:t>
            </w:r>
            <w:r>
              <w:rPr>
                <w:rFonts w:hint="eastAsia"/>
                <w:color w:val="auto"/>
                <w:sz w:val="21"/>
                <w:szCs w:val="21"/>
                <w:lang w:eastAsia="zh-CN"/>
              </w:rPr>
              <w:t>；</w:t>
            </w:r>
            <w:r>
              <w:rPr>
                <w:rFonts w:hint="eastAsia"/>
                <w:color w:val="auto"/>
                <w:sz w:val="21"/>
                <w:szCs w:val="21"/>
                <w:lang w:val="en-US" w:eastAsia="zh-CN"/>
              </w:rPr>
              <w:t>优化布局，加强</w:t>
            </w:r>
            <w:r>
              <w:rPr>
                <w:rFonts w:hint="eastAsia"/>
                <w:color w:val="auto"/>
                <w:sz w:val="21"/>
                <w:szCs w:val="21"/>
                <w:lang w:eastAsia="zh-CN"/>
              </w:rPr>
              <w:t>设备管理。</w:t>
            </w:r>
          </w:p>
        </w:tc>
        <w:tc>
          <w:tcPr>
            <w:tcW w:w="2948"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both"/>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非甲烷总烃、氯化氢、硫酸雾执行《大气污染物综合排放标准》（GB16297-1996</w:t>
            </w:r>
            <w:r>
              <w:rPr>
                <w:rFonts w:hint="eastAsia"/>
                <w:color w:val="auto"/>
                <w:sz w:val="21"/>
                <w:szCs w:val="21"/>
                <w:lang w:val="en-US" w:eastAsia="zh-CN"/>
              </w:rPr>
              <w:t>）无组织排放标准，氨、臭气浓度</w:t>
            </w:r>
            <w:r>
              <w:rPr>
                <w:rFonts w:hint="default"/>
                <w:color w:val="auto"/>
                <w:sz w:val="21"/>
                <w:szCs w:val="21"/>
                <w:lang w:val="en-US" w:eastAsia="zh-CN"/>
              </w:rPr>
              <w:t>执行</w:t>
            </w:r>
            <w:r>
              <w:rPr>
                <w:rFonts w:hint="eastAsia"/>
                <w:color w:val="auto"/>
                <w:sz w:val="21"/>
                <w:szCs w:val="21"/>
                <w:lang w:val="en-US" w:eastAsia="zh-CN"/>
              </w:rPr>
              <w:t>《恶臭污染物排放标准》（</w:t>
            </w:r>
            <w:r>
              <w:rPr>
                <w:rFonts w:hint="default"/>
                <w:color w:val="auto"/>
                <w:sz w:val="21"/>
                <w:szCs w:val="21"/>
                <w:lang w:val="en-US" w:eastAsia="zh-CN"/>
              </w:rPr>
              <w:t>GB14554-93</w:t>
            </w:r>
            <w:r>
              <w:rPr>
                <w:rFonts w:hint="eastAsia"/>
                <w:color w:val="auto"/>
                <w:sz w:val="21"/>
                <w:szCs w:val="21"/>
                <w:lang w:val="en-US" w:eastAsia="zh-CN"/>
              </w:rPr>
              <w:t>）中无组织控制要求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982" w:hRule="atLeast"/>
          <w:jc w:val="center"/>
        </w:trPr>
        <w:tc>
          <w:tcPr>
            <w:tcW w:w="1060" w:type="dxa"/>
            <w:vAlign w:val="center"/>
          </w:tcPr>
          <w:p>
            <w:pPr>
              <w:pStyle w:val="36"/>
              <w:keepNext w:val="0"/>
              <w:keepLines w:val="0"/>
              <w:pageBreakBefore w:val="0"/>
              <w:widowControl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color w:val="auto"/>
                <w:sz w:val="21"/>
                <w:szCs w:val="21"/>
                <w:lang w:val="en-US" w:eastAsia="zh-CN"/>
              </w:rPr>
            </w:pPr>
            <w:r>
              <w:rPr>
                <w:rFonts w:hint="default"/>
                <w:color w:val="auto"/>
                <w:sz w:val="21"/>
                <w:szCs w:val="21"/>
                <w:lang w:val="en-US" w:eastAsia="zh-CN"/>
              </w:rPr>
              <w:t>地表水</w:t>
            </w:r>
          </w:p>
          <w:p>
            <w:pPr>
              <w:pStyle w:val="36"/>
              <w:keepNext w:val="0"/>
              <w:keepLines w:val="0"/>
              <w:pageBreakBefore w:val="0"/>
              <w:widowControl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环境</w:t>
            </w:r>
          </w:p>
        </w:tc>
        <w:tc>
          <w:tcPr>
            <w:tcW w:w="1166"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DW001</w:t>
            </w:r>
          </w:p>
        </w:tc>
        <w:tc>
          <w:tcPr>
            <w:tcW w:w="1245"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COD、BOD</w:t>
            </w:r>
            <w:r>
              <w:rPr>
                <w:rFonts w:hint="default"/>
                <w:color w:val="auto"/>
                <w:sz w:val="21"/>
                <w:szCs w:val="21"/>
                <w:vertAlign w:val="subscript"/>
                <w:lang w:val="en-US" w:eastAsia="zh-CN"/>
              </w:rPr>
              <w:t>5</w:t>
            </w:r>
            <w:r>
              <w:rPr>
                <w:rFonts w:hint="default"/>
                <w:color w:val="auto"/>
                <w:sz w:val="21"/>
                <w:szCs w:val="21"/>
                <w:lang w:val="en-US" w:eastAsia="zh-CN"/>
              </w:rPr>
              <w:t>、悬浮物、氨氮、pH</w:t>
            </w:r>
          </w:p>
        </w:tc>
        <w:tc>
          <w:tcPr>
            <w:tcW w:w="2548"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both"/>
              <w:textAlignment w:val="auto"/>
              <w:rPr>
                <w:rFonts w:hint="default" w:ascii="Times New Roman" w:hAnsi="Times New Roman" w:eastAsia="宋体" w:cs="Times New Roman"/>
                <w:color w:val="auto"/>
                <w:sz w:val="21"/>
                <w:szCs w:val="21"/>
                <w:lang w:val="en-US" w:eastAsia="zh-CN"/>
              </w:rPr>
            </w:pPr>
            <w:r>
              <w:rPr>
                <w:rFonts w:hint="eastAsia"/>
                <w:color w:val="auto"/>
                <w:sz w:val="21"/>
                <w:szCs w:val="21"/>
                <w:lang w:val="en-US" w:eastAsia="zh-CN"/>
              </w:rPr>
              <w:t>实验器具清洗废水</w:t>
            </w:r>
            <w:r>
              <w:rPr>
                <w:rFonts w:hint="default"/>
                <w:color w:val="auto"/>
                <w:sz w:val="21"/>
                <w:szCs w:val="21"/>
                <w:lang w:val="en-US" w:eastAsia="zh-CN"/>
              </w:rPr>
              <w:t>经</w:t>
            </w:r>
            <w:r>
              <w:rPr>
                <w:rFonts w:hint="eastAsia"/>
                <w:color w:val="auto"/>
                <w:sz w:val="21"/>
                <w:szCs w:val="21"/>
                <w:lang w:val="en-US" w:eastAsia="zh-CN"/>
              </w:rPr>
              <w:t>污水处理设施</w:t>
            </w:r>
            <w:r>
              <w:rPr>
                <w:rFonts w:hint="default"/>
                <w:color w:val="auto"/>
                <w:sz w:val="21"/>
                <w:szCs w:val="21"/>
                <w:lang w:val="en-US" w:eastAsia="zh-CN"/>
              </w:rPr>
              <w:t>处理后，与</w:t>
            </w:r>
            <w:r>
              <w:rPr>
                <w:rFonts w:hint="eastAsia"/>
                <w:color w:val="auto"/>
                <w:sz w:val="21"/>
                <w:szCs w:val="21"/>
                <w:lang w:val="en-US" w:eastAsia="zh-CN"/>
              </w:rPr>
              <w:t>纯水机浓水、仪器排水、</w:t>
            </w:r>
            <w:r>
              <w:rPr>
                <w:rFonts w:hint="default"/>
                <w:color w:val="auto"/>
                <w:sz w:val="21"/>
                <w:szCs w:val="21"/>
                <w:lang w:val="en-US" w:eastAsia="zh-CN"/>
              </w:rPr>
              <w:t>生活污水一起排入化粪池处理。尾水接入市政污水管网，排入</w:t>
            </w:r>
            <w:r>
              <w:rPr>
                <w:rFonts w:hint="eastAsia"/>
                <w:color w:val="auto"/>
                <w:sz w:val="21"/>
                <w:szCs w:val="21"/>
                <w:lang w:val="en-US" w:eastAsia="zh-CN"/>
              </w:rPr>
              <w:t>福清市融元污水处理厂</w:t>
            </w:r>
          </w:p>
        </w:tc>
        <w:tc>
          <w:tcPr>
            <w:tcW w:w="2948"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both"/>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执行《污水综合排放标准》（GB8978-1996）表4中三级排放标准，氨氮执行《污水排入城镇下水道水质标准》</w:t>
            </w:r>
            <w:r>
              <w:rPr>
                <w:rFonts w:hint="eastAsia"/>
                <w:color w:val="auto"/>
                <w:sz w:val="21"/>
                <w:szCs w:val="21"/>
                <w:lang w:val="en-US" w:eastAsia="zh-CN"/>
              </w:rPr>
              <w:t>（</w:t>
            </w:r>
            <w:r>
              <w:rPr>
                <w:rFonts w:hint="default"/>
                <w:color w:val="auto"/>
                <w:sz w:val="21"/>
                <w:szCs w:val="21"/>
                <w:lang w:val="en-US" w:eastAsia="zh-CN"/>
              </w:rPr>
              <w:t>GB/T31962-2015）表1中B级标准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406" w:hRule="atLeast"/>
          <w:jc w:val="center"/>
        </w:trPr>
        <w:tc>
          <w:tcPr>
            <w:tcW w:w="1060" w:type="dxa"/>
            <w:vAlign w:val="center"/>
          </w:tcPr>
          <w:p>
            <w:pPr>
              <w:pStyle w:val="36"/>
              <w:keepNext w:val="0"/>
              <w:keepLines w:val="0"/>
              <w:pageBreakBefore w:val="0"/>
              <w:widowControl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声环境</w:t>
            </w:r>
          </w:p>
        </w:tc>
        <w:tc>
          <w:tcPr>
            <w:tcW w:w="1166"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厂界四周</w:t>
            </w:r>
          </w:p>
        </w:tc>
        <w:tc>
          <w:tcPr>
            <w:tcW w:w="1245"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等效A声级</w:t>
            </w:r>
          </w:p>
        </w:tc>
        <w:tc>
          <w:tcPr>
            <w:tcW w:w="2548"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both"/>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主要高噪声设备安装</w:t>
            </w:r>
            <w:r>
              <w:rPr>
                <w:rFonts w:hint="eastAsia"/>
                <w:color w:val="auto"/>
                <w:sz w:val="21"/>
                <w:szCs w:val="21"/>
                <w:lang w:val="en-US" w:eastAsia="zh-CN"/>
              </w:rPr>
              <w:t>减振</w:t>
            </w:r>
            <w:r>
              <w:rPr>
                <w:rFonts w:hint="default"/>
                <w:color w:val="auto"/>
                <w:sz w:val="21"/>
                <w:szCs w:val="21"/>
                <w:lang w:val="en-US" w:eastAsia="zh-CN"/>
              </w:rPr>
              <w:t>垫、消声设备；安装隔声门窗，合理布局，使高噪声设备尽可能远离噪声敏感点；加强设备的安装、调试、使用和维护管理。</w:t>
            </w:r>
          </w:p>
        </w:tc>
        <w:tc>
          <w:tcPr>
            <w:tcW w:w="2948"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both"/>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执行《工业企业厂界环境噪声排放标准》（GB12348-2008）中3类标准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30" w:hRule="atLeast"/>
          <w:jc w:val="center"/>
        </w:trPr>
        <w:tc>
          <w:tcPr>
            <w:tcW w:w="1060" w:type="dxa"/>
            <w:vAlign w:val="center"/>
          </w:tcPr>
          <w:p>
            <w:pPr>
              <w:pStyle w:val="36"/>
              <w:keepNext w:val="0"/>
              <w:keepLines w:val="0"/>
              <w:pageBreakBefore w:val="0"/>
              <w:widowControl w:val="0"/>
              <w:suppressLineNumbers w:val="0"/>
              <w:kinsoku/>
              <w:wordWrap/>
              <w:overflowPunct/>
              <w:topLinePunct w:val="0"/>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电磁辐射</w:t>
            </w:r>
          </w:p>
        </w:tc>
        <w:tc>
          <w:tcPr>
            <w:tcW w:w="1166"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w:t>
            </w:r>
          </w:p>
        </w:tc>
        <w:tc>
          <w:tcPr>
            <w:tcW w:w="1245"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w:t>
            </w:r>
          </w:p>
        </w:tc>
        <w:tc>
          <w:tcPr>
            <w:tcW w:w="2548"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w:t>
            </w:r>
          </w:p>
        </w:tc>
        <w:tc>
          <w:tcPr>
            <w:tcW w:w="2948" w:type="dxa"/>
            <w:vAlign w:val="center"/>
          </w:tcPr>
          <w:p>
            <w:pPr>
              <w:pStyle w:val="3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594" w:hRule="atLeast"/>
          <w:jc w:val="center"/>
        </w:trPr>
        <w:tc>
          <w:tcPr>
            <w:tcW w:w="1060" w:type="dxa"/>
            <w:vAlign w:val="center"/>
          </w:tcPr>
          <w:p>
            <w:pPr>
              <w:pStyle w:val="36"/>
              <w:keepNext w:val="0"/>
              <w:keepLines w:val="0"/>
              <w:pageBreakBefore w:val="0"/>
              <w:widowControl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固体废物</w:t>
            </w:r>
          </w:p>
        </w:tc>
        <w:tc>
          <w:tcPr>
            <w:tcW w:w="7907" w:type="dxa"/>
            <w:gridSpan w:val="4"/>
            <w:vAlign w:val="center"/>
          </w:tcPr>
          <w:p>
            <w:pPr>
              <w:pStyle w:val="3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jc w:val="both"/>
              <w:textAlignment w:val="auto"/>
              <w:rPr>
                <w:rFonts w:hint="default"/>
                <w:color w:val="auto"/>
                <w:sz w:val="21"/>
                <w:szCs w:val="21"/>
                <w:lang w:val="en-GB" w:eastAsia="zh-CN"/>
              </w:rPr>
            </w:pPr>
            <w:r>
              <w:rPr>
                <w:rFonts w:hint="default"/>
                <w:color w:val="auto"/>
                <w:sz w:val="21"/>
                <w:szCs w:val="21"/>
                <w:lang w:val="en-GB" w:eastAsia="zh-CN"/>
              </w:rPr>
              <w:t>一般工业</w:t>
            </w:r>
            <w:r>
              <w:rPr>
                <w:rFonts w:hint="eastAsia"/>
                <w:color w:val="auto"/>
                <w:sz w:val="21"/>
                <w:szCs w:val="21"/>
                <w:lang w:val="en-US" w:eastAsia="zh-CN"/>
              </w:rPr>
              <w:t>固体废物</w:t>
            </w:r>
            <w:r>
              <w:rPr>
                <w:rFonts w:hint="default"/>
                <w:color w:val="auto"/>
                <w:sz w:val="21"/>
                <w:szCs w:val="21"/>
                <w:lang w:val="en-GB" w:eastAsia="zh-CN"/>
              </w:rPr>
              <w:t>：设置一般工业</w:t>
            </w:r>
            <w:r>
              <w:rPr>
                <w:rFonts w:hint="eastAsia"/>
                <w:color w:val="auto"/>
                <w:sz w:val="21"/>
                <w:szCs w:val="21"/>
                <w:lang w:val="en-GB" w:eastAsia="zh-CN"/>
              </w:rPr>
              <w:t>固体废物</w:t>
            </w:r>
            <w:r>
              <w:rPr>
                <w:rFonts w:hint="default"/>
                <w:color w:val="auto"/>
                <w:sz w:val="21"/>
                <w:szCs w:val="21"/>
                <w:lang w:val="en-GB" w:eastAsia="zh-CN"/>
              </w:rPr>
              <w:t>暂存间，妥善分类收集后出售给回收企业综合利用；满足</w:t>
            </w:r>
            <w:r>
              <w:rPr>
                <w:rFonts w:hint="default"/>
                <w:color w:val="auto"/>
                <w:sz w:val="21"/>
                <w:szCs w:val="21"/>
                <w:lang w:val="en-US" w:eastAsia="zh-CN"/>
              </w:rPr>
              <w:t>《一般工业固体废物贮存和填埋污染控制标准》（</w:t>
            </w:r>
            <w:r>
              <w:rPr>
                <w:rFonts w:hint="default"/>
                <w:color w:val="auto"/>
                <w:sz w:val="21"/>
                <w:szCs w:val="21"/>
                <w:lang w:val="en-GB" w:eastAsia="zh-CN"/>
              </w:rPr>
              <w:t>GB18599-20</w:t>
            </w:r>
            <w:r>
              <w:rPr>
                <w:rFonts w:hint="default"/>
                <w:color w:val="auto"/>
                <w:sz w:val="21"/>
                <w:szCs w:val="21"/>
                <w:lang w:val="en-US" w:eastAsia="zh-CN"/>
              </w:rPr>
              <w:t>20）</w:t>
            </w:r>
            <w:r>
              <w:rPr>
                <w:rFonts w:hint="default"/>
                <w:color w:val="auto"/>
                <w:sz w:val="21"/>
                <w:szCs w:val="21"/>
                <w:lang w:val="en-GB" w:eastAsia="zh-CN"/>
              </w:rPr>
              <w:t>；</w:t>
            </w:r>
          </w:p>
          <w:p>
            <w:pPr>
              <w:pStyle w:val="3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jc w:val="both"/>
              <w:textAlignment w:val="auto"/>
              <w:rPr>
                <w:rFonts w:hint="default"/>
                <w:color w:val="auto"/>
                <w:sz w:val="21"/>
                <w:szCs w:val="21"/>
                <w:lang w:val="en-US" w:eastAsia="zh-CN"/>
              </w:rPr>
            </w:pPr>
            <w:r>
              <w:rPr>
                <w:rFonts w:hint="default"/>
                <w:color w:val="auto"/>
                <w:sz w:val="21"/>
                <w:szCs w:val="21"/>
                <w:lang w:val="en-US" w:eastAsia="zh-CN"/>
              </w:rPr>
              <w:t>危险废物：设置危险废物暂存间</w:t>
            </w:r>
            <w:r>
              <w:rPr>
                <w:rFonts w:hint="eastAsia"/>
                <w:color w:val="auto"/>
                <w:sz w:val="21"/>
                <w:szCs w:val="21"/>
                <w:lang w:val="en-US" w:eastAsia="zh-CN"/>
              </w:rPr>
              <w:t>1间（6.1m</w:t>
            </w:r>
            <w:r>
              <w:rPr>
                <w:rFonts w:hint="eastAsia"/>
                <w:color w:val="auto"/>
                <w:sz w:val="21"/>
                <w:szCs w:val="21"/>
                <w:vertAlign w:val="superscript"/>
                <w:lang w:val="en-US" w:eastAsia="zh-CN"/>
              </w:rPr>
              <w:t>2</w:t>
            </w:r>
            <w:r>
              <w:rPr>
                <w:rFonts w:hint="eastAsia"/>
                <w:color w:val="auto"/>
                <w:sz w:val="21"/>
                <w:szCs w:val="21"/>
                <w:lang w:val="en-US" w:eastAsia="zh-CN"/>
              </w:rPr>
              <w:t>）</w:t>
            </w:r>
            <w:r>
              <w:rPr>
                <w:rFonts w:hint="default"/>
                <w:color w:val="auto"/>
                <w:sz w:val="21"/>
                <w:szCs w:val="21"/>
                <w:lang w:val="en-US" w:eastAsia="zh-CN"/>
              </w:rPr>
              <w:t>，</w:t>
            </w:r>
            <w:r>
              <w:rPr>
                <w:rFonts w:hint="default"/>
                <w:color w:val="auto"/>
                <w:sz w:val="21"/>
                <w:szCs w:val="21"/>
                <w:lang w:val="en-GB" w:eastAsia="zh-CN"/>
              </w:rPr>
              <w:t>妥善分类收集后</w:t>
            </w:r>
            <w:r>
              <w:rPr>
                <w:rFonts w:hint="default"/>
                <w:color w:val="auto"/>
                <w:sz w:val="21"/>
                <w:szCs w:val="21"/>
                <w:lang w:val="en-US" w:eastAsia="zh-CN"/>
              </w:rPr>
              <w:t>定期委托有资质的单位进行处置，</w:t>
            </w:r>
            <w:r>
              <w:rPr>
                <w:rFonts w:hint="default"/>
                <w:color w:val="auto"/>
                <w:sz w:val="21"/>
                <w:szCs w:val="21"/>
                <w:lang w:val="en-GB" w:eastAsia="zh-CN"/>
              </w:rPr>
              <w:t>满足《危险废物贮存污染控制标准》（GB18597-20</w:t>
            </w:r>
            <w:r>
              <w:rPr>
                <w:rFonts w:hint="eastAsia"/>
                <w:color w:val="auto"/>
                <w:sz w:val="21"/>
                <w:szCs w:val="21"/>
                <w:lang w:val="en-US" w:eastAsia="zh-CN"/>
              </w:rPr>
              <w:t>23</w:t>
            </w:r>
            <w:r>
              <w:rPr>
                <w:rFonts w:hint="default"/>
                <w:color w:val="auto"/>
                <w:sz w:val="21"/>
                <w:szCs w:val="21"/>
                <w:lang w:val="en-GB" w:eastAsia="zh-CN"/>
              </w:rPr>
              <w:t>）。</w:t>
            </w:r>
            <w:r>
              <w:rPr>
                <w:rFonts w:hint="default"/>
                <w:color w:val="auto"/>
                <w:sz w:val="21"/>
                <w:szCs w:val="21"/>
                <w:lang w:val="en-US" w:eastAsia="zh-CN"/>
              </w:rPr>
              <w:t>危废转移应严格按照</w:t>
            </w:r>
            <w:r>
              <w:rPr>
                <w:rFonts w:hint="default"/>
                <w:color w:val="auto"/>
                <w:sz w:val="21"/>
                <w:szCs w:val="21"/>
              </w:rPr>
              <w:t>《危险废物转移管理办法》</w:t>
            </w:r>
            <w:r>
              <w:rPr>
                <w:rFonts w:hint="default"/>
                <w:color w:val="auto"/>
                <w:sz w:val="21"/>
                <w:szCs w:val="21"/>
                <w:lang w:val="en-US" w:eastAsia="zh-CN"/>
              </w:rPr>
              <w:t>要求；</w:t>
            </w:r>
          </w:p>
          <w:p>
            <w:pPr>
              <w:pStyle w:val="3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生活垃圾：由垃圾桶收集，由市政环卫部门统一清运处理。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023" w:hRule="atLeast"/>
          <w:jc w:val="center"/>
        </w:trPr>
        <w:tc>
          <w:tcPr>
            <w:tcW w:w="1060" w:type="dxa"/>
            <w:vAlign w:val="center"/>
          </w:tcPr>
          <w:p>
            <w:pPr>
              <w:pStyle w:val="36"/>
              <w:keepNext w:val="0"/>
              <w:keepLines w:val="0"/>
              <w:pageBreakBefore w:val="0"/>
              <w:widowControl w:val="0"/>
              <w:suppressLineNumbers w:val="0"/>
              <w:kinsoku/>
              <w:wordWrap/>
              <w:overflowPunct/>
              <w:topLinePunct w:val="0"/>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土壤及地下水污染防治措施</w:t>
            </w:r>
          </w:p>
        </w:tc>
        <w:tc>
          <w:tcPr>
            <w:tcW w:w="7907" w:type="dxa"/>
            <w:gridSpan w:val="4"/>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highlight w:val="none"/>
                <w:lang w:val="en-US" w:eastAsia="zh-CN"/>
              </w:rPr>
              <w:t>本项目不涉及土壤及地下水环境影响。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746" w:hRule="atLeast"/>
          <w:jc w:val="center"/>
        </w:trPr>
        <w:tc>
          <w:tcPr>
            <w:tcW w:w="1060" w:type="dxa"/>
            <w:vAlign w:val="center"/>
          </w:tcPr>
          <w:p>
            <w:pPr>
              <w:pStyle w:val="36"/>
              <w:keepNext w:val="0"/>
              <w:keepLines w:val="0"/>
              <w:pageBreakBefore w:val="0"/>
              <w:widowControl w:val="0"/>
              <w:suppressLineNumbers w:val="0"/>
              <w:kinsoku/>
              <w:wordWrap/>
              <w:overflowPunct/>
              <w:topLinePunct w:val="0"/>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生态保护措施</w:t>
            </w:r>
          </w:p>
        </w:tc>
        <w:tc>
          <w:tcPr>
            <w:tcW w:w="7907" w:type="dxa"/>
            <w:gridSpan w:val="4"/>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highlight w:val="none"/>
                <w:lang w:val="en-US" w:eastAsia="zh-CN"/>
              </w:rPr>
              <w:t>本项目不涉及生态环境影响。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614" w:hRule="atLeast"/>
          <w:jc w:val="center"/>
        </w:trPr>
        <w:tc>
          <w:tcPr>
            <w:tcW w:w="1060" w:type="dxa"/>
            <w:vAlign w:val="center"/>
          </w:tcPr>
          <w:p>
            <w:pPr>
              <w:pStyle w:val="36"/>
              <w:keepNext w:val="0"/>
              <w:keepLines w:val="0"/>
              <w:pageBreakBefore w:val="0"/>
              <w:widowControl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color w:val="auto"/>
                <w:sz w:val="21"/>
                <w:szCs w:val="21"/>
                <w:lang w:val="en-US" w:eastAsia="zh-CN"/>
              </w:rPr>
            </w:pPr>
            <w:r>
              <w:rPr>
                <w:rFonts w:hint="default"/>
                <w:color w:val="auto"/>
                <w:sz w:val="21"/>
                <w:szCs w:val="21"/>
                <w:lang w:val="en-US" w:eastAsia="zh-CN"/>
              </w:rPr>
              <w:t>环境风险</w:t>
            </w:r>
          </w:p>
          <w:p>
            <w:pPr>
              <w:pStyle w:val="36"/>
              <w:keepNext w:val="0"/>
              <w:keepLines w:val="0"/>
              <w:pageBreakBefore w:val="0"/>
              <w:widowControl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防范措施</w:t>
            </w:r>
          </w:p>
        </w:tc>
        <w:tc>
          <w:tcPr>
            <w:tcW w:w="7907" w:type="dxa"/>
            <w:gridSpan w:val="4"/>
            <w:vAlign w:val="center"/>
          </w:tcPr>
          <w:p>
            <w:pPr>
              <w:pStyle w:val="36"/>
              <w:keepNext w:val="0"/>
              <w:keepLines w:val="0"/>
              <w:pageBreakBefore w:val="0"/>
              <w:widowControl w:val="0"/>
              <w:suppressLineNumbers w:val="0"/>
              <w:kinsoku/>
              <w:wordWrap/>
              <w:overflowPunct/>
              <w:topLinePunct w:val="0"/>
              <w:bidi w:val="0"/>
              <w:spacing w:before="0" w:beforeAutospacing="0" w:after="0" w:afterAutospacing="0" w:line="360" w:lineRule="auto"/>
              <w:ind w:left="0" w:leftChars="0" w:right="0" w:firstLine="0" w:firstLineChars="0"/>
              <w:jc w:val="both"/>
              <w:textAlignment w:val="auto"/>
              <w:rPr>
                <w:rFonts w:hint="default"/>
                <w:color w:val="auto"/>
                <w:sz w:val="21"/>
                <w:szCs w:val="21"/>
                <w:lang w:val="en-US" w:eastAsia="zh-CN"/>
              </w:rPr>
            </w:pPr>
            <w:r>
              <w:rPr>
                <w:rFonts w:hint="eastAsia"/>
                <w:color w:val="auto"/>
                <w:sz w:val="21"/>
                <w:szCs w:val="21"/>
                <w:lang w:val="en-US" w:eastAsia="zh-CN"/>
              </w:rPr>
              <w:t>① 试剂室、危化室、</w:t>
            </w:r>
            <w:r>
              <w:rPr>
                <w:rFonts w:hint="default"/>
                <w:color w:val="auto"/>
                <w:sz w:val="21"/>
                <w:szCs w:val="21"/>
                <w:lang w:val="en-US" w:eastAsia="zh-CN"/>
              </w:rPr>
              <w:t>危废暂存间地面采取防渗、设置托盘、</w:t>
            </w:r>
            <w:r>
              <w:rPr>
                <w:rFonts w:hint="eastAsia"/>
                <w:color w:val="auto"/>
                <w:sz w:val="21"/>
                <w:szCs w:val="21"/>
                <w:lang w:val="en-US" w:eastAsia="zh-CN"/>
              </w:rPr>
              <w:t>高门槛</w:t>
            </w:r>
            <w:r>
              <w:rPr>
                <w:rFonts w:hint="default"/>
                <w:color w:val="auto"/>
                <w:sz w:val="21"/>
                <w:szCs w:val="21"/>
                <w:lang w:val="en-US" w:eastAsia="zh-CN"/>
              </w:rPr>
              <w:t>等风险防范措施；</w:t>
            </w:r>
          </w:p>
          <w:p>
            <w:pPr>
              <w:pStyle w:val="36"/>
              <w:keepNext w:val="0"/>
              <w:keepLines w:val="0"/>
              <w:pageBreakBefore w:val="0"/>
              <w:widowControl w:val="0"/>
              <w:suppressLineNumbers w:val="0"/>
              <w:kinsoku/>
              <w:wordWrap/>
              <w:overflowPunct/>
              <w:topLinePunct w:val="0"/>
              <w:bidi w:val="0"/>
              <w:spacing w:before="0" w:beforeAutospacing="0" w:after="0" w:afterAutospacing="0" w:line="360" w:lineRule="auto"/>
              <w:ind w:left="0" w:leftChars="0" w:right="0" w:firstLine="0" w:firstLineChars="0"/>
              <w:jc w:val="both"/>
              <w:textAlignment w:val="auto"/>
              <w:rPr>
                <w:rFonts w:hint="default"/>
                <w:color w:val="auto"/>
                <w:sz w:val="21"/>
                <w:szCs w:val="21"/>
                <w:lang w:val="en-US" w:eastAsia="zh-CN"/>
              </w:rPr>
            </w:pPr>
            <w:r>
              <w:rPr>
                <w:rFonts w:hint="eastAsia"/>
                <w:color w:val="auto"/>
                <w:sz w:val="21"/>
                <w:szCs w:val="21"/>
                <w:lang w:val="en-US" w:eastAsia="zh-CN"/>
              </w:rPr>
              <w:t xml:space="preserve">② </w:t>
            </w:r>
            <w:r>
              <w:rPr>
                <w:rFonts w:hint="default"/>
                <w:color w:val="auto"/>
                <w:sz w:val="21"/>
                <w:szCs w:val="21"/>
                <w:lang w:val="en-US" w:eastAsia="zh-CN"/>
              </w:rPr>
              <w:t>加强</w:t>
            </w:r>
            <w:r>
              <w:rPr>
                <w:rFonts w:hint="eastAsia"/>
                <w:color w:val="auto"/>
                <w:sz w:val="21"/>
                <w:szCs w:val="21"/>
                <w:lang w:val="en-US" w:eastAsia="zh-CN"/>
              </w:rPr>
              <w:t>废气</w:t>
            </w:r>
            <w:r>
              <w:rPr>
                <w:rFonts w:hint="default"/>
                <w:color w:val="auto"/>
                <w:sz w:val="21"/>
                <w:szCs w:val="21"/>
                <w:lang w:val="en-US" w:eastAsia="zh-CN"/>
              </w:rPr>
              <w:t>处理设施管理及维护，避免事故排放；</w:t>
            </w:r>
          </w:p>
          <w:p>
            <w:pPr>
              <w:pStyle w:val="36"/>
              <w:keepNext w:val="0"/>
              <w:keepLines w:val="0"/>
              <w:pageBreakBefore w:val="0"/>
              <w:widowControl w:val="0"/>
              <w:suppressLineNumbers w:val="0"/>
              <w:kinsoku/>
              <w:wordWrap/>
              <w:overflowPunct/>
              <w:topLinePunct w:val="0"/>
              <w:bidi w:val="0"/>
              <w:spacing w:before="0" w:beforeAutospacing="0" w:after="0" w:afterAutospacing="0" w:line="360" w:lineRule="auto"/>
              <w:ind w:left="0" w:leftChars="0" w:right="0" w:firstLine="0" w:firstLineChars="0"/>
              <w:jc w:val="both"/>
              <w:textAlignment w:val="auto"/>
              <w:rPr>
                <w:rFonts w:hint="eastAsia"/>
                <w:color w:val="auto"/>
                <w:sz w:val="21"/>
                <w:szCs w:val="21"/>
                <w:lang w:val="en-US" w:eastAsia="zh-CN"/>
              </w:rPr>
            </w:pPr>
            <w:r>
              <w:rPr>
                <w:rFonts w:hint="eastAsia"/>
                <w:color w:val="auto"/>
                <w:sz w:val="21"/>
                <w:szCs w:val="21"/>
                <w:lang w:val="en-US" w:eastAsia="zh-CN"/>
              </w:rPr>
              <w:t>③ 实验室</w:t>
            </w:r>
            <w:r>
              <w:rPr>
                <w:rFonts w:hint="default"/>
                <w:color w:val="auto"/>
                <w:sz w:val="21"/>
                <w:szCs w:val="21"/>
                <w:lang w:val="en-US" w:eastAsia="zh-CN"/>
              </w:rPr>
              <w:t>内严禁烟火</w:t>
            </w:r>
            <w:r>
              <w:rPr>
                <w:rFonts w:hint="eastAsia"/>
                <w:color w:val="auto"/>
                <w:sz w:val="21"/>
                <w:szCs w:val="21"/>
                <w:lang w:val="en-US" w:eastAsia="zh-CN"/>
              </w:rPr>
              <w:t>，加强员工消防意识和技能培训，配套各类必要消防设备；</w:t>
            </w:r>
          </w:p>
          <w:p>
            <w:pPr>
              <w:pStyle w:val="36"/>
              <w:keepNext w:val="0"/>
              <w:keepLines w:val="0"/>
              <w:pageBreakBefore w:val="0"/>
              <w:widowControl w:val="0"/>
              <w:suppressLineNumbers w:val="0"/>
              <w:kinsoku/>
              <w:wordWrap/>
              <w:overflowPunct/>
              <w:topLinePunct w:val="0"/>
              <w:bidi w:val="0"/>
              <w:spacing w:before="0" w:beforeAutospacing="0" w:after="0" w:afterAutospacing="0" w:line="360" w:lineRule="auto"/>
              <w:ind w:left="0" w:leftChars="0" w:right="0" w:firstLine="0" w:firstLineChars="0"/>
              <w:jc w:val="both"/>
              <w:textAlignment w:val="auto"/>
              <w:rPr>
                <w:rFonts w:hint="eastAsia"/>
                <w:color w:val="auto"/>
                <w:sz w:val="21"/>
                <w:szCs w:val="21"/>
                <w:lang w:val="en-US" w:eastAsia="zh-CN"/>
              </w:rPr>
            </w:pPr>
            <w:r>
              <w:rPr>
                <w:rFonts w:hint="eastAsia"/>
                <w:color w:val="auto"/>
                <w:sz w:val="21"/>
                <w:szCs w:val="21"/>
                <w:lang w:val="en-US" w:eastAsia="zh-CN"/>
              </w:rPr>
              <w:t>④ 配备防护工作服和口罩、手套等及应急医治伤员的必要药品，加强管理操作人员的劳动保护用品的穿戴加强管理，确保安全作业；</w:t>
            </w:r>
          </w:p>
          <w:p>
            <w:pPr>
              <w:pStyle w:val="36"/>
              <w:keepNext w:val="0"/>
              <w:keepLines w:val="0"/>
              <w:pageBreakBefore w:val="0"/>
              <w:widowControl w:val="0"/>
              <w:suppressLineNumbers w:val="0"/>
              <w:kinsoku/>
              <w:wordWrap/>
              <w:overflowPunct/>
              <w:topLinePunct w:val="0"/>
              <w:bidi w:val="0"/>
              <w:spacing w:before="0" w:beforeAutospacing="0" w:after="0" w:afterAutospacing="0" w:line="360" w:lineRule="auto"/>
              <w:ind w:left="0" w:leftChars="0" w:right="0" w:firstLine="0" w:firstLineChars="0"/>
              <w:jc w:val="both"/>
              <w:textAlignment w:val="auto"/>
              <w:rPr>
                <w:rFonts w:hint="default" w:ascii="Times New Roman" w:hAnsi="Times New Roman" w:eastAsia="宋体" w:cs="Times New Roman"/>
                <w:color w:val="auto"/>
                <w:sz w:val="21"/>
                <w:szCs w:val="21"/>
                <w:lang w:val="en-US" w:eastAsia="zh-CN"/>
              </w:rPr>
            </w:pPr>
            <w:r>
              <w:rPr>
                <w:rFonts w:hint="eastAsia"/>
                <w:color w:val="auto"/>
                <w:sz w:val="21"/>
                <w:szCs w:val="21"/>
                <w:lang w:val="en-US" w:eastAsia="zh-CN"/>
              </w:rPr>
              <w:t xml:space="preserve">⑤ </w:t>
            </w:r>
            <w:r>
              <w:rPr>
                <w:rFonts w:hint="default"/>
                <w:color w:val="auto"/>
                <w:sz w:val="21"/>
                <w:szCs w:val="21"/>
                <w:lang w:val="en-US" w:eastAsia="zh-CN"/>
              </w:rPr>
              <w:t>配备相应的堵漏材料</w:t>
            </w:r>
            <w:r>
              <w:rPr>
                <w:rFonts w:hint="eastAsia"/>
                <w:color w:val="auto"/>
                <w:sz w:val="21"/>
                <w:szCs w:val="21"/>
                <w:lang w:val="en-US" w:eastAsia="zh-CN"/>
              </w:rPr>
              <w:t>（沙袋</w:t>
            </w:r>
            <w:r>
              <w:rPr>
                <w:rFonts w:hint="default"/>
                <w:color w:val="auto"/>
                <w:sz w:val="21"/>
                <w:szCs w:val="21"/>
                <w:lang w:val="en-US" w:eastAsia="zh-CN"/>
              </w:rPr>
              <w:t>等</w:t>
            </w:r>
            <w:r>
              <w:rPr>
                <w:rFonts w:hint="eastAsia"/>
                <w:color w:val="auto"/>
                <w:sz w:val="21"/>
                <w:szCs w:val="21"/>
                <w:lang w:val="en-US" w:eastAsia="zh-CN"/>
              </w:rPr>
              <w:t>）和突发事件的应急预案</w:t>
            </w:r>
            <w:r>
              <w:rPr>
                <w:rFonts w:hint="default"/>
                <w:color w:val="auto"/>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060" w:type="dxa"/>
            <w:vAlign w:val="center"/>
          </w:tcPr>
          <w:p>
            <w:pPr>
              <w:pStyle w:val="36"/>
              <w:keepNext w:val="0"/>
              <w:keepLines w:val="0"/>
              <w:pageBreakBefore w:val="0"/>
              <w:widowControl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color w:val="auto"/>
                <w:sz w:val="21"/>
                <w:szCs w:val="21"/>
                <w:lang w:val="en-US" w:eastAsia="zh-CN"/>
              </w:rPr>
            </w:pPr>
            <w:r>
              <w:rPr>
                <w:rFonts w:hint="default"/>
                <w:color w:val="auto"/>
                <w:sz w:val="21"/>
                <w:szCs w:val="21"/>
                <w:lang w:val="en-US" w:eastAsia="zh-CN"/>
              </w:rPr>
              <w:t>其他环境</w:t>
            </w:r>
          </w:p>
          <w:p>
            <w:pPr>
              <w:pStyle w:val="36"/>
              <w:keepNext w:val="0"/>
              <w:keepLines w:val="0"/>
              <w:pageBreakBefore w:val="0"/>
              <w:widowControl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color w:val="auto"/>
                <w:sz w:val="21"/>
                <w:szCs w:val="21"/>
                <w:lang w:val="en-US" w:eastAsia="zh-CN"/>
              </w:rPr>
              <w:t>管理要求</w:t>
            </w:r>
          </w:p>
        </w:tc>
        <w:tc>
          <w:tcPr>
            <w:tcW w:w="7907" w:type="dxa"/>
            <w:gridSpan w:val="4"/>
            <w:vAlign w:val="center"/>
          </w:tcPr>
          <w:p>
            <w:pPr>
              <w:pStyle w:val="36"/>
              <w:keepNext w:val="0"/>
              <w:keepLines w:val="0"/>
              <w:pageBreakBefore w:val="0"/>
              <w:widowControl w:val="0"/>
              <w:suppressLineNumbers w:val="0"/>
              <w:kinsoku/>
              <w:wordWrap/>
              <w:overflowPunct/>
              <w:topLinePunct w:val="0"/>
              <w:bidi w:val="0"/>
              <w:spacing w:before="0" w:beforeAutospacing="0" w:after="0" w:afterAutospacing="0" w:line="360" w:lineRule="auto"/>
              <w:ind w:left="0" w:right="0"/>
              <w:jc w:val="both"/>
              <w:textAlignment w:val="auto"/>
              <w:rPr>
                <w:rFonts w:hint="default"/>
                <w:color w:val="auto"/>
                <w:sz w:val="21"/>
                <w:szCs w:val="21"/>
                <w:lang w:val="en-US" w:eastAsia="zh-CN"/>
              </w:rPr>
            </w:pPr>
            <w:r>
              <w:rPr>
                <w:rFonts w:hint="default"/>
                <w:color w:val="auto"/>
                <w:sz w:val="21"/>
                <w:szCs w:val="21"/>
                <w:lang w:val="en-US" w:eastAsia="zh-CN"/>
              </w:rPr>
              <w:t>1、竣工环境保护验收</w:t>
            </w:r>
          </w:p>
          <w:p>
            <w:pPr>
              <w:pStyle w:val="36"/>
              <w:keepNext w:val="0"/>
              <w:keepLines w:val="0"/>
              <w:pageBreakBefore w:val="0"/>
              <w:widowControl w:val="0"/>
              <w:suppressLineNumbers w:val="0"/>
              <w:kinsoku/>
              <w:wordWrap/>
              <w:overflowPunct/>
              <w:topLinePunct w:val="0"/>
              <w:bidi w:val="0"/>
              <w:spacing w:before="0" w:beforeAutospacing="0" w:after="0" w:afterAutospacing="0" w:line="360" w:lineRule="auto"/>
              <w:ind w:left="0" w:right="0"/>
              <w:jc w:val="both"/>
              <w:textAlignment w:val="auto"/>
              <w:rPr>
                <w:rFonts w:hint="default"/>
                <w:color w:val="auto"/>
                <w:sz w:val="21"/>
                <w:szCs w:val="21"/>
                <w:lang w:val="en-US" w:eastAsia="zh-CN"/>
              </w:rPr>
            </w:pPr>
            <w:r>
              <w:rPr>
                <w:rFonts w:hint="default"/>
                <w:color w:val="auto"/>
                <w:sz w:val="21"/>
                <w:szCs w:val="21"/>
                <w:lang w:val="en-US" w:eastAsia="zh-CN"/>
              </w:rPr>
              <w:t>根据《建设项目竣工环境保护验收暂行办法》的规定，建设项目竣工后，建设单位应当如实查验、监测、记载建设项目环境保护设施的建设和调试情况，编制验收监测报告表。除按照国家规定需要保密的情形外，建设单位应当依法向社会公开验收报告。建设项目配套建设的环境保护设施经验收合格，方可投入生产或者使用；未经验收或者验收不合格的，不得投入生产或者使用。</w:t>
            </w:r>
          </w:p>
          <w:p>
            <w:pPr>
              <w:pStyle w:val="36"/>
              <w:keepNext w:val="0"/>
              <w:keepLines w:val="0"/>
              <w:pageBreakBefore w:val="0"/>
              <w:widowControl w:val="0"/>
              <w:suppressLineNumbers w:val="0"/>
              <w:kinsoku/>
              <w:wordWrap/>
              <w:overflowPunct/>
              <w:topLinePunct w:val="0"/>
              <w:bidi w:val="0"/>
              <w:spacing w:before="0" w:beforeAutospacing="0" w:after="0" w:afterAutospacing="0" w:line="360" w:lineRule="auto"/>
              <w:ind w:left="0" w:right="0"/>
              <w:jc w:val="both"/>
              <w:textAlignment w:val="auto"/>
              <w:rPr>
                <w:rFonts w:hint="default"/>
                <w:color w:val="auto"/>
                <w:sz w:val="21"/>
                <w:szCs w:val="21"/>
                <w:lang w:val="en-US" w:eastAsia="zh-CN"/>
              </w:rPr>
            </w:pPr>
            <w:r>
              <w:rPr>
                <w:rFonts w:hint="default"/>
                <w:color w:val="auto"/>
                <w:sz w:val="21"/>
                <w:szCs w:val="21"/>
                <w:lang w:val="en-US" w:eastAsia="zh-CN"/>
              </w:rPr>
              <w:t>2、排污许可管理要求</w:t>
            </w:r>
          </w:p>
          <w:p>
            <w:pPr>
              <w:pStyle w:val="36"/>
              <w:keepNext w:val="0"/>
              <w:keepLines w:val="0"/>
              <w:pageBreakBefore w:val="0"/>
              <w:widowControl w:val="0"/>
              <w:suppressLineNumbers w:val="0"/>
              <w:kinsoku/>
              <w:wordWrap/>
              <w:overflowPunct/>
              <w:topLinePunct w:val="0"/>
              <w:bidi w:val="0"/>
              <w:spacing w:before="0" w:beforeAutospacing="0" w:after="0" w:afterAutospacing="0" w:line="360" w:lineRule="auto"/>
              <w:ind w:left="0" w:right="0"/>
              <w:jc w:val="both"/>
              <w:textAlignment w:val="auto"/>
              <w:rPr>
                <w:rFonts w:hint="default"/>
                <w:color w:val="auto"/>
                <w:sz w:val="21"/>
                <w:szCs w:val="21"/>
                <w:lang w:val="en-US" w:eastAsia="zh-CN"/>
              </w:rPr>
            </w:pPr>
            <w:r>
              <w:rPr>
                <w:rFonts w:hint="default"/>
                <w:color w:val="auto"/>
                <w:sz w:val="21"/>
                <w:szCs w:val="21"/>
                <w:lang w:val="en-US" w:eastAsia="zh-CN"/>
              </w:rPr>
              <w:t>根据《固定污染源排污许可分类管理名录</w:t>
            </w:r>
            <w:r>
              <w:rPr>
                <w:rFonts w:hint="eastAsia"/>
                <w:color w:val="auto"/>
                <w:sz w:val="21"/>
                <w:szCs w:val="21"/>
                <w:lang w:val="en-US" w:eastAsia="zh-CN"/>
              </w:rPr>
              <w:t>（</w:t>
            </w:r>
            <w:r>
              <w:rPr>
                <w:rFonts w:hint="default"/>
                <w:color w:val="auto"/>
                <w:sz w:val="21"/>
                <w:szCs w:val="21"/>
                <w:lang w:val="en-US" w:eastAsia="zh-CN"/>
              </w:rPr>
              <w:t>2019年版</w:t>
            </w:r>
            <w:r>
              <w:rPr>
                <w:rFonts w:hint="eastAsia"/>
                <w:color w:val="auto"/>
                <w:sz w:val="21"/>
                <w:szCs w:val="21"/>
                <w:lang w:val="en-US" w:eastAsia="zh-CN"/>
              </w:rPr>
              <w:t>）</w:t>
            </w:r>
            <w:r>
              <w:rPr>
                <w:rFonts w:hint="default"/>
                <w:color w:val="auto"/>
                <w:sz w:val="21"/>
                <w:szCs w:val="21"/>
                <w:lang w:val="en-US" w:eastAsia="zh-CN"/>
              </w:rPr>
              <w:t>》（生态环境部令 第11号）可知，本项目未纳入排污许可管理名录。</w:t>
            </w:r>
          </w:p>
          <w:p>
            <w:pPr>
              <w:pStyle w:val="36"/>
              <w:keepNext w:val="0"/>
              <w:keepLines w:val="0"/>
              <w:pageBreakBefore w:val="0"/>
              <w:widowControl w:val="0"/>
              <w:suppressLineNumbers w:val="0"/>
              <w:kinsoku/>
              <w:wordWrap/>
              <w:overflowPunct/>
              <w:topLinePunct w:val="0"/>
              <w:bidi w:val="0"/>
              <w:spacing w:before="0" w:beforeAutospacing="0" w:after="0" w:afterAutospacing="0" w:line="360" w:lineRule="auto"/>
              <w:ind w:left="0" w:right="0"/>
              <w:jc w:val="both"/>
              <w:textAlignment w:val="auto"/>
              <w:rPr>
                <w:rFonts w:hint="default"/>
                <w:color w:val="auto"/>
                <w:sz w:val="21"/>
                <w:szCs w:val="21"/>
                <w:lang w:val="en-US" w:eastAsia="zh-CN"/>
              </w:rPr>
            </w:pPr>
            <w:r>
              <w:rPr>
                <w:rFonts w:hint="default"/>
                <w:color w:val="auto"/>
                <w:sz w:val="21"/>
                <w:szCs w:val="21"/>
                <w:lang w:val="en-US" w:eastAsia="zh-CN"/>
              </w:rPr>
              <w:t>3、建立环境管理制度</w:t>
            </w:r>
          </w:p>
          <w:p>
            <w:pPr>
              <w:pStyle w:val="36"/>
              <w:keepNext w:val="0"/>
              <w:keepLines w:val="0"/>
              <w:pageBreakBefore w:val="0"/>
              <w:widowControl w:val="0"/>
              <w:suppressLineNumbers w:val="0"/>
              <w:kinsoku/>
              <w:wordWrap/>
              <w:overflowPunct/>
              <w:topLinePunct w:val="0"/>
              <w:bidi w:val="0"/>
              <w:spacing w:before="0" w:beforeAutospacing="0" w:after="0" w:afterAutospacing="0" w:line="360" w:lineRule="auto"/>
              <w:ind w:left="0" w:right="0"/>
              <w:jc w:val="both"/>
              <w:textAlignment w:val="auto"/>
              <w:rPr>
                <w:rFonts w:hint="default"/>
                <w:color w:val="auto"/>
                <w:sz w:val="21"/>
                <w:szCs w:val="21"/>
                <w:lang w:val="en-US" w:eastAsia="zh-CN"/>
              </w:rPr>
            </w:pPr>
            <w:r>
              <w:rPr>
                <w:rFonts w:hint="default"/>
                <w:color w:val="auto"/>
                <w:sz w:val="21"/>
                <w:szCs w:val="21"/>
                <w:lang w:val="en-US" w:eastAsia="zh-CN"/>
              </w:rPr>
              <w:t>从本项目建设全过程进行，如设计阶段污染防范、施工阶段污染防治、运营后环保设施环境管理、信息反馈和群众监督各方面形成网络管理，使环境管理工作贯穿于生产的全过程中。</w:t>
            </w:r>
          </w:p>
          <w:p>
            <w:pPr>
              <w:pStyle w:val="36"/>
              <w:keepNext w:val="0"/>
              <w:keepLines w:val="0"/>
              <w:pageBreakBefore w:val="0"/>
              <w:widowControl w:val="0"/>
              <w:suppressLineNumbers w:val="0"/>
              <w:kinsoku/>
              <w:wordWrap/>
              <w:overflowPunct/>
              <w:topLinePunct w:val="0"/>
              <w:bidi w:val="0"/>
              <w:spacing w:before="0" w:beforeAutospacing="0" w:after="0" w:afterAutospacing="0" w:line="360" w:lineRule="auto"/>
              <w:ind w:left="0" w:right="0"/>
              <w:jc w:val="both"/>
              <w:textAlignment w:val="auto"/>
              <w:rPr>
                <w:rFonts w:hint="default"/>
                <w:color w:val="auto"/>
                <w:sz w:val="21"/>
                <w:szCs w:val="21"/>
                <w:lang w:val="en-US" w:eastAsia="zh-CN"/>
              </w:rPr>
            </w:pPr>
            <w:r>
              <w:rPr>
                <w:rFonts w:hint="default"/>
                <w:color w:val="auto"/>
                <w:sz w:val="21"/>
                <w:szCs w:val="21"/>
                <w:lang w:val="en-US" w:eastAsia="zh-CN"/>
              </w:rPr>
              <w:t>4、排污口规范管理</w:t>
            </w:r>
          </w:p>
          <w:p>
            <w:pPr>
              <w:pStyle w:val="36"/>
              <w:keepNext w:val="0"/>
              <w:keepLines w:val="0"/>
              <w:pageBreakBefore w:val="0"/>
              <w:widowControl w:val="0"/>
              <w:suppressLineNumbers w:val="0"/>
              <w:kinsoku/>
              <w:wordWrap/>
              <w:overflowPunct/>
              <w:topLinePunct w:val="0"/>
              <w:bidi w:val="0"/>
              <w:spacing w:before="0" w:beforeAutospacing="0" w:after="0" w:afterAutospacing="0" w:line="360" w:lineRule="auto"/>
              <w:ind w:left="0" w:right="0"/>
              <w:jc w:val="both"/>
              <w:textAlignment w:val="auto"/>
              <w:rPr>
                <w:rFonts w:hint="default"/>
                <w:color w:val="auto"/>
                <w:sz w:val="21"/>
                <w:szCs w:val="21"/>
                <w:lang w:val="en-US" w:eastAsia="zh-CN"/>
              </w:rPr>
            </w:pPr>
            <w:r>
              <w:rPr>
                <w:rFonts w:hint="default"/>
                <w:color w:val="auto"/>
                <w:sz w:val="21"/>
                <w:szCs w:val="21"/>
                <w:lang w:val="en-US" w:eastAsia="zh-CN"/>
              </w:rPr>
              <w:t>规范化排放口：排放口应预留监测口做到便于采样和测定流量，并设立专门的标志（有要求监控的项目应论述），执行《环境保护图形标志排放口（源）》（GB15562.1-1995）</w:t>
            </w:r>
            <w:r>
              <w:rPr>
                <w:rFonts w:hint="eastAsia"/>
                <w:color w:val="auto"/>
                <w:sz w:val="21"/>
                <w:szCs w:val="21"/>
                <w:lang w:val="en-US" w:eastAsia="zh-CN"/>
              </w:rPr>
              <w:t>、</w:t>
            </w:r>
            <w:r>
              <w:rPr>
                <w:rFonts w:hint="default"/>
                <w:color w:val="auto"/>
                <w:sz w:val="21"/>
                <w:szCs w:val="21"/>
                <w:lang w:val="en-US" w:eastAsia="zh-CN"/>
              </w:rPr>
              <w:t>《</w:t>
            </w:r>
            <w:r>
              <w:rPr>
                <w:rFonts w:hint="eastAsia"/>
                <w:color w:val="auto"/>
                <w:sz w:val="21"/>
                <w:szCs w:val="21"/>
                <w:lang w:val="en-US" w:eastAsia="zh-CN"/>
              </w:rPr>
              <w:t>环境保护图形标志固体废物贮存（处置）场</w:t>
            </w:r>
            <w:r>
              <w:rPr>
                <w:rFonts w:hint="default"/>
                <w:color w:val="auto"/>
                <w:sz w:val="21"/>
                <w:szCs w:val="21"/>
                <w:lang w:val="en-US" w:eastAsia="zh-CN"/>
              </w:rPr>
              <w:t>》（GB 15562.2-1995）</w:t>
            </w:r>
            <w:r>
              <w:rPr>
                <w:rFonts w:hint="eastAsia"/>
                <w:color w:val="auto"/>
                <w:sz w:val="21"/>
                <w:szCs w:val="21"/>
                <w:lang w:val="en-US" w:eastAsia="zh-CN"/>
              </w:rPr>
              <w:t>及其修改单（2023年1月20日）和《危险废物识别标志设置技术规范》（HJ 1276-2022）。</w:t>
            </w:r>
            <w:r>
              <w:rPr>
                <w:rFonts w:hint="default"/>
                <w:color w:val="auto"/>
                <w:sz w:val="21"/>
                <w:szCs w:val="21"/>
                <w:lang w:val="en-US" w:eastAsia="zh-CN"/>
              </w:rPr>
              <w:t>标志牌应设在与之功能相应的醒目处，并保持清晰、完整。</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Chars="0"/>
              <w:jc w:val="center"/>
              <w:textAlignment w:val="auto"/>
              <w:rPr>
                <w:rFonts w:hint="default" w:ascii="Times New Roman" w:hAnsi="Times New Roman" w:eastAsia="宋体" w:cs="Times New Roman"/>
                <w:color w:val="auto"/>
                <w:sz w:val="21"/>
                <w:szCs w:val="21"/>
                <w:lang w:val="en-US" w:eastAsia="zh-CN"/>
              </w:rPr>
            </w:pPr>
          </w:p>
        </w:tc>
      </w:tr>
    </w:tbl>
    <w:p>
      <w:pPr>
        <w:bidi w:val="0"/>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br w:type="page"/>
      </w:r>
    </w:p>
    <w:p>
      <w:pPr>
        <w:pStyle w:val="2"/>
        <w:bidi w:val="0"/>
        <w:rPr>
          <w:rFonts w:hint="default"/>
          <w:color w:val="auto"/>
        </w:rPr>
      </w:pPr>
      <w:bookmarkStart w:id="111" w:name="_Toc5524"/>
      <w:bookmarkStart w:id="112" w:name="_Toc2902"/>
      <w:r>
        <w:rPr>
          <w:rFonts w:hint="eastAsia" w:ascii="Times New Roman" w:hAnsi="Times New Roman" w:eastAsia="宋体" w:cs="Times New Roman"/>
          <w:color w:val="auto"/>
          <w:sz w:val="24"/>
          <w:szCs w:val="24"/>
          <w:highlight w:val="none"/>
          <w:lang w:eastAsia="zh-CN"/>
        </w:rPr>
        <w:drawing>
          <wp:anchor distT="0" distB="0" distL="114300" distR="114300" simplePos="0" relativeHeight="251678720" behindDoc="0" locked="0" layoutInCell="1" allowOverlap="1">
            <wp:simplePos x="0" y="0"/>
            <wp:positionH relativeFrom="column">
              <wp:posOffset>-972185</wp:posOffset>
            </wp:positionH>
            <wp:positionV relativeFrom="paragraph">
              <wp:posOffset>-627380</wp:posOffset>
            </wp:positionV>
            <wp:extent cx="7429500" cy="9894570"/>
            <wp:effectExtent l="0" t="0" r="0" b="11430"/>
            <wp:wrapNone/>
            <wp:docPr id="91" name="图片 91" descr="未命名2(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未命名2(1)_02"/>
                    <pic:cNvPicPr>
                      <a:picLocks noChangeAspect="1"/>
                    </pic:cNvPicPr>
                  </pic:nvPicPr>
                  <pic:blipFill>
                    <a:blip r:embed="rId38"/>
                    <a:srcRect l="-1552" t="6133" r="5251" b="3186"/>
                    <a:stretch>
                      <a:fillRect/>
                    </a:stretch>
                  </pic:blipFill>
                  <pic:spPr>
                    <a:xfrm>
                      <a:off x="0" y="0"/>
                      <a:ext cx="7429500" cy="9894570"/>
                    </a:xfrm>
                    <a:prstGeom prst="rect">
                      <a:avLst/>
                    </a:prstGeom>
                  </pic:spPr>
                </pic:pic>
              </a:graphicData>
            </a:graphic>
          </wp:anchor>
        </w:drawing>
      </w:r>
      <w:r>
        <w:rPr>
          <w:rFonts w:hint="default"/>
          <w:color w:val="auto"/>
        </w:rPr>
        <w:t>结论</w:t>
      </w:r>
      <w:bookmarkEnd w:id="111"/>
      <w:bookmarkEnd w:id="112"/>
    </w:p>
    <w:tbl>
      <w:tblPr>
        <w:tblStyle w:val="32"/>
        <w:tblW w:w="8865"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1991" w:hRule="atLeast"/>
          <w:jc w:val="center"/>
        </w:trPr>
        <w:tc>
          <w:tcPr>
            <w:tcW w:w="8865" w:type="dxa"/>
          </w:tcPr>
          <w:p>
            <w:pPr>
              <w:pStyle w:val="69"/>
              <w:keepNext w:val="0"/>
              <w:keepLines w:val="0"/>
              <w:suppressLineNumbers w:val="0"/>
              <w:bidi w:val="0"/>
              <w:spacing w:beforeAutospacing="0" w:after="0" w:afterAutospacing="0"/>
              <w:ind w:left="0" w:right="0"/>
              <w:rPr>
                <w:rFonts w:hint="default" w:ascii="Times New Roman" w:hAnsi="Times New Roman" w:cs="Times New Roman"/>
                <w:color w:val="auto"/>
                <w:highlight w:val="none"/>
              </w:rPr>
            </w:pPr>
            <w:r>
              <w:rPr>
                <w:rFonts w:hint="eastAsia" w:cs="Times New Roman"/>
                <w:color w:val="auto"/>
                <w:highlight w:val="none"/>
                <w:lang w:eastAsia="zh-CN"/>
              </w:rPr>
              <w:t>福建水投集团检测科技有限公司福清水质检测中心实验室项目</w:t>
            </w:r>
            <w:r>
              <w:rPr>
                <w:rFonts w:hint="default" w:ascii="Times New Roman" w:hAnsi="Times New Roman" w:cs="Times New Roman"/>
                <w:color w:val="auto"/>
                <w:highlight w:val="none"/>
              </w:rPr>
              <w:t>的建设符合国家有关产业政策，项目选址合理</w:t>
            </w:r>
            <w:r>
              <w:rPr>
                <w:rFonts w:hint="default" w:ascii="Times New Roman" w:hAnsi="Times New Roman" w:cs="Times New Roman"/>
                <w:color w:val="auto"/>
                <w:highlight w:val="none"/>
                <w:lang w:val="zh-CN"/>
              </w:rPr>
              <w:t>，</w:t>
            </w:r>
            <w:r>
              <w:rPr>
                <w:rFonts w:hint="default" w:ascii="Times New Roman" w:hAnsi="Times New Roman" w:cs="Times New Roman"/>
                <w:color w:val="auto"/>
                <w:highlight w:val="none"/>
              </w:rPr>
              <w:t>平面布局可行。项目运营后产生的</w:t>
            </w:r>
            <w:r>
              <w:rPr>
                <w:rFonts w:hint="default" w:ascii="Times New Roman" w:hAnsi="Times New Roman" w:cs="Times New Roman"/>
                <w:color w:val="auto"/>
                <w:highlight w:val="none"/>
                <w:lang w:val="en-US" w:eastAsia="zh-CN"/>
              </w:rPr>
              <w:t>废</w:t>
            </w:r>
            <w:r>
              <w:rPr>
                <w:rFonts w:hint="default" w:ascii="Times New Roman" w:hAnsi="Times New Roman" w:cs="Times New Roman"/>
                <w:color w:val="auto"/>
                <w:highlight w:val="none"/>
              </w:rPr>
              <w:t>水、废气、噪声、</w:t>
            </w:r>
            <w:r>
              <w:rPr>
                <w:rFonts w:hint="eastAsia" w:cs="Times New Roman"/>
                <w:color w:val="auto"/>
                <w:highlight w:val="none"/>
                <w:lang w:eastAsia="zh-CN"/>
              </w:rPr>
              <w:t>固体废物</w:t>
            </w:r>
            <w:r>
              <w:rPr>
                <w:rFonts w:hint="default" w:ascii="Times New Roman" w:hAnsi="Times New Roman" w:cs="Times New Roman"/>
                <w:color w:val="auto"/>
                <w:highlight w:val="none"/>
              </w:rPr>
              <w:t>通过采取相应的措施治理，能够实现污染物的达标排放，对环境造成影响较小。在工程建设中，严格执行“三同时”制度，项目投产后，严格遵守国家有关法律法规，严格执行相关标准和技术规范，严格落实各项环境风险防范措施，污染物</w:t>
            </w:r>
            <w:r>
              <w:rPr>
                <w:rFonts w:hint="default" w:ascii="Times New Roman" w:hAnsi="Times New Roman" w:cs="Times New Roman"/>
                <w:color w:val="auto"/>
                <w:highlight w:val="none"/>
                <w:lang w:val="en-US" w:eastAsia="zh-CN"/>
              </w:rPr>
              <w:t>稳定</w:t>
            </w:r>
            <w:r>
              <w:rPr>
                <w:rFonts w:hint="default" w:ascii="Times New Roman" w:hAnsi="Times New Roman" w:cs="Times New Roman"/>
                <w:color w:val="auto"/>
                <w:highlight w:val="none"/>
              </w:rPr>
              <w:t>达标排放的前提下，对周边环境影响较小，该项目可实现经济效益、环境效益的协调性发展。从环境保护的角度分析，该项目的建设是可行的。</w:t>
            </w:r>
          </w:p>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p>
          <w:p>
            <w:pPr>
              <w:keepNext w:val="0"/>
              <w:keepLines w:val="0"/>
              <w:suppressLineNumbers w:val="0"/>
              <w:spacing w:before="0" w:beforeAutospacing="0" w:after="0" w:afterAutospacing="0"/>
              <w:ind w:left="0" w:right="0"/>
              <w:rPr>
                <w:rFonts w:hint="default" w:ascii="Times New Roman" w:hAnsi="Times New Roman" w:cs="Times New Roman"/>
                <w:color w:val="auto"/>
                <w:sz w:val="24"/>
                <w:szCs w:val="24"/>
                <w:highlight w:val="none"/>
              </w:rPr>
            </w:pPr>
          </w:p>
          <w:p>
            <w:pPr>
              <w:keepNext w:val="0"/>
              <w:keepLines w:val="0"/>
              <w:suppressLineNumbers w:val="0"/>
              <w:spacing w:before="0" w:beforeAutospacing="0" w:after="0" w:afterAutospacing="0"/>
              <w:ind w:left="0" w:right="0"/>
              <w:rPr>
                <w:rFonts w:hint="default" w:ascii="Times New Roman" w:hAnsi="Times New Roman" w:cs="Times New Roman"/>
                <w:color w:val="auto"/>
                <w:sz w:val="24"/>
                <w:szCs w:val="24"/>
                <w:highlight w:val="none"/>
              </w:rPr>
            </w:pPr>
          </w:p>
          <w:p>
            <w:pPr>
              <w:keepNext w:val="0"/>
              <w:keepLines w:val="0"/>
              <w:suppressLineNumbers w:val="0"/>
              <w:spacing w:before="0" w:beforeAutospacing="0" w:after="0" w:afterAutospacing="0"/>
              <w:ind w:left="0" w:right="0"/>
              <w:rPr>
                <w:rFonts w:hint="default" w:ascii="Times New Roman" w:hAnsi="Times New Roman" w:cs="Times New Roman"/>
                <w:color w:val="auto"/>
                <w:sz w:val="24"/>
                <w:szCs w:val="24"/>
                <w:highlight w:val="none"/>
              </w:rPr>
            </w:pPr>
          </w:p>
          <w:p>
            <w:pPr>
              <w:keepNext w:val="0"/>
              <w:keepLines w:val="0"/>
              <w:suppressLineNumbers w:val="0"/>
              <w:spacing w:before="0" w:beforeAutospacing="0" w:after="0" w:afterAutospacing="0"/>
              <w:ind w:left="0" w:right="0"/>
              <w:rPr>
                <w:rFonts w:hint="default" w:ascii="Times New Roman" w:hAnsi="Times New Roman" w:cs="Times New Roman"/>
                <w:color w:val="auto"/>
                <w:sz w:val="24"/>
                <w:szCs w:val="24"/>
                <w:highlight w:val="none"/>
              </w:rPr>
            </w:pPr>
          </w:p>
          <w:p>
            <w:pPr>
              <w:keepNext w:val="0"/>
              <w:keepLines w:val="0"/>
              <w:suppressLineNumbers w:val="0"/>
              <w:spacing w:before="0" w:beforeAutospacing="0" w:after="0" w:afterAutospacing="0"/>
              <w:ind w:left="0" w:right="0"/>
              <w:rPr>
                <w:rFonts w:hint="eastAsia" w:ascii="Times New Roman" w:hAnsi="Times New Roman" w:eastAsia="宋体" w:cs="Times New Roman"/>
                <w:color w:val="auto"/>
                <w:sz w:val="24"/>
                <w:szCs w:val="24"/>
                <w:highlight w:val="none"/>
                <w:lang w:eastAsia="zh-CN"/>
              </w:rPr>
            </w:pPr>
          </w:p>
          <w:p>
            <w:pPr>
              <w:keepNext w:val="0"/>
              <w:keepLines w:val="0"/>
              <w:suppressLineNumbers w:val="0"/>
              <w:spacing w:before="0" w:beforeAutospacing="0" w:after="0" w:afterAutospacing="0"/>
              <w:ind w:left="0" w:right="0"/>
              <w:rPr>
                <w:rFonts w:hint="default" w:ascii="Times New Roman" w:hAnsi="Times New Roman" w:cs="Times New Roman"/>
                <w:color w:val="auto"/>
                <w:sz w:val="24"/>
                <w:szCs w:val="24"/>
                <w:highlight w:val="none"/>
              </w:rPr>
            </w:pPr>
          </w:p>
          <w:p>
            <w:pPr>
              <w:keepNext w:val="0"/>
              <w:keepLines w:val="0"/>
              <w:suppressLineNumbers w:val="0"/>
              <w:spacing w:before="0" w:beforeAutospacing="0" w:after="0" w:afterAutospacing="0"/>
              <w:ind w:left="0" w:right="0"/>
              <w:jc w:val="right"/>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福建省闽创环保科技有限公司</w:t>
            </w:r>
          </w:p>
          <w:p>
            <w:pPr>
              <w:keepNext w:val="0"/>
              <w:keepLines w:val="0"/>
              <w:suppressLineNumbers w:val="0"/>
              <w:wordWrap w:val="0"/>
              <w:spacing w:before="0" w:beforeAutospacing="0" w:after="0" w:afterAutospacing="0"/>
              <w:ind w:left="0" w:right="0"/>
              <w:jc w:val="right"/>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zh-CN"/>
              </w:rPr>
              <w:t>202</w:t>
            </w:r>
            <w:r>
              <w:rPr>
                <w:rFonts w:hint="eastAsia" w:cs="Times New Roman"/>
                <w:b/>
                <w:bCs/>
                <w:color w:val="auto"/>
                <w:sz w:val="24"/>
                <w:highlight w:val="none"/>
                <w:lang w:val="en-US" w:eastAsia="zh-CN"/>
              </w:rPr>
              <w:t>5</w:t>
            </w:r>
            <w:r>
              <w:rPr>
                <w:rFonts w:hint="default" w:ascii="Times New Roman" w:hAnsi="Times New Roman" w:cs="Times New Roman"/>
                <w:b/>
                <w:bCs/>
                <w:color w:val="auto"/>
                <w:sz w:val="24"/>
                <w:highlight w:val="none"/>
                <w:lang w:val="zh-CN"/>
              </w:rPr>
              <w:t>年</w:t>
            </w:r>
            <w:r>
              <w:rPr>
                <w:rFonts w:hint="eastAsia" w:cs="Times New Roman"/>
                <w:b/>
                <w:bCs/>
                <w:color w:val="auto"/>
                <w:sz w:val="24"/>
                <w:highlight w:val="none"/>
                <w:lang w:val="en-US" w:eastAsia="zh-CN"/>
              </w:rPr>
              <w:t>03</w:t>
            </w:r>
            <w:r>
              <w:rPr>
                <w:rFonts w:hint="default" w:ascii="Times New Roman" w:hAnsi="Times New Roman" w:cs="Times New Roman"/>
                <w:b/>
                <w:bCs/>
                <w:color w:val="auto"/>
                <w:sz w:val="24"/>
                <w:highlight w:val="none"/>
                <w:lang w:val="zh-CN"/>
              </w:rPr>
              <w:t>月</w:t>
            </w:r>
            <w:r>
              <w:rPr>
                <w:rFonts w:hint="eastAsia" w:cs="Times New Roman"/>
                <w:b/>
                <w:bCs/>
                <w:color w:val="auto"/>
                <w:sz w:val="24"/>
                <w:highlight w:val="none"/>
                <w:lang w:val="en-US" w:eastAsia="zh-CN"/>
              </w:rPr>
              <w:t xml:space="preserve">       </w:t>
            </w:r>
          </w:p>
          <w:p>
            <w:pPr>
              <w:keepNext w:val="0"/>
              <w:keepLines w:val="0"/>
              <w:suppressLineNumbers w:val="0"/>
              <w:spacing w:before="0" w:beforeAutospacing="0" w:after="0" w:afterAutospacing="0" w:line="360" w:lineRule="auto"/>
              <w:ind w:left="0" w:right="0"/>
              <w:rPr>
                <w:rFonts w:hint="default" w:ascii="Times New Roman" w:hAnsi="Times New Roman" w:cs="Times New Roman"/>
                <w:color w:val="auto"/>
                <w:sz w:val="24"/>
                <w:highlight w:val="none"/>
              </w:rPr>
            </w:pPr>
          </w:p>
        </w:tc>
      </w:tr>
    </w:tbl>
    <w:p>
      <w:pPr>
        <w:jc w:val="center"/>
        <w:rPr>
          <w:rFonts w:hint="default" w:ascii="Times New Roman" w:hAnsi="Times New Roman" w:cs="Times New Roman"/>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spacing w:line="360" w:lineRule="auto"/>
        <w:outlineLvl w:val="0"/>
        <w:rPr>
          <w:rFonts w:hint="default"/>
          <w:b/>
          <w:bCs/>
          <w:color w:val="auto"/>
          <w:sz w:val="28"/>
          <w:szCs w:val="28"/>
          <w:lang w:val="en-US" w:eastAsia="zh-CN"/>
        </w:rPr>
      </w:pPr>
      <w:bookmarkStart w:id="113" w:name="_Toc20373"/>
      <w:bookmarkStart w:id="114" w:name="_Toc14758"/>
      <w:r>
        <w:rPr>
          <w:rFonts w:hint="eastAsia"/>
          <w:b/>
          <w:bCs/>
          <w:color w:val="auto"/>
          <w:sz w:val="28"/>
          <w:szCs w:val="28"/>
          <w:lang w:val="en-US" w:eastAsia="zh-CN"/>
        </w:rPr>
        <w:t>附表 建设项目污染物排放量汇总表</w:t>
      </w:r>
      <w:bookmarkEnd w:id="113"/>
      <w:bookmarkEnd w:id="114"/>
    </w:p>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eastAsia="方正小标宋_GBK"/>
          <w:snapToGrid w:val="0"/>
          <w:color w:val="auto"/>
          <w:sz w:val="38"/>
          <w:szCs w:val="38"/>
          <w:lang w:val="en-US" w:eastAsia="zh-CN"/>
        </w:rPr>
      </w:pPr>
      <w:r>
        <w:rPr>
          <w:rFonts w:eastAsia="方正小标宋_GBK"/>
          <w:snapToGrid w:val="0"/>
          <w:color w:val="auto"/>
          <w:sz w:val="38"/>
          <w:szCs w:val="38"/>
        </w:rPr>
        <w:t>建设项目污染物排放量汇总表</w:t>
      </w:r>
      <w:r>
        <w:rPr>
          <w:rFonts w:hint="eastAsia" w:eastAsia="方正小标宋_GBK"/>
          <w:snapToGrid w:val="0"/>
          <w:color w:val="auto"/>
          <w:sz w:val="38"/>
          <w:szCs w:val="38"/>
          <w:lang w:val="en-US" w:eastAsia="zh-CN"/>
        </w:rPr>
        <w:t xml:space="preserve">  单</w:t>
      </w:r>
      <w:r>
        <w:rPr>
          <w:rFonts w:hint="eastAsia" w:ascii="Times New Roman" w:hAnsi="Times New Roman" w:eastAsia="方正小标宋_GBK" w:cs="Times New Roman"/>
          <w:snapToGrid w:val="0"/>
          <w:color w:val="auto"/>
          <w:sz w:val="38"/>
          <w:szCs w:val="38"/>
          <w:lang w:val="en-US" w:eastAsia="zh-CN"/>
        </w:rPr>
        <w:t>位：t/a</w:t>
      </w:r>
    </w:p>
    <w:tbl>
      <w:tblPr>
        <w:tblStyle w:val="32"/>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39"/>
        <w:gridCol w:w="1775"/>
        <w:gridCol w:w="1650"/>
        <w:gridCol w:w="1346"/>
        <w:gridCol w:w="1573"/>
        <w:gridCol w:w="1559"/>
        <w:gridCol w:w="1557"/>
        <w:gridCol w:w="1590"/>
        <w:gridCol w:w="139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trPr>
        <w:tc>
          <w:tcPr>
            <w:tcW w:w="1339" w:type="dxa"/>
            <w:tcBorders>
              <w:tl2br w:val="single" w:color="auto" w:sz="4" w:space="0"/>
            </w:tcBorders>
            <w:tcMar>
              <w:left w:w="28" w:type="dxa"/>
              <w:right w:w="28" w:type="dxa"/>
            </w:tcMar>
            <w:vAlign w:val="center"/>
          </w:tcPr>
          <w:p>
            <w:pPr>
              <w:keepNext w:val="0"/>
              <w:keepLines w:val="0"/>
              <w:suppressLineNumbers w:val="0"/>
              <w:wordWrap w:val="0"/>
              <w:spacing w:before="0" w:beforeAutospacing="0" w:after="0" w:afterAutospacing="0"/>
              <w:ind w:left="0" w:right="0"/>
              <w:jc w:val="right"/>
              <w:rPr>
                <w:rFonts w:hint="default"/>
                <w:snapToGrid w:val="0"/>
                <w:color w:val="auto"/>
                <w:spacing w:val="-6"/>
                <w:kern w:val="21"/>
                <w:szCs w:val="21"/>
              </w:rPr>
            </w:pPr>
            <w:r>
              <w:rPr>
                <w:rFonts w:hint="default"/>
                <w:snapToGrid w:val="0"/>
                <w:color w:val="auto"/>
                <w:spacing w:val="-6"/>
                <w:kern w:val="21"/>
                <w:szCs w:val="21"/>
              </w:rPr>
              <w:t>项目</w:t>
            </w:r>
            <w:r>
              <w:rPr>
                <w:rFonts w:hint="eastAsia"/>
                <w:snapToGrid w:val="0"/>
                <w:color w:val="auto"/>
                <w:spacing w:val="-6"/>
                <w:kern w:val="21"/>
                <w:szCs w:val="21"/>
              </w:rPr>
              <w:t xml:space="preserve"> </w:t>
            </w:r>
          </w:p>
          <w:p>
            <w:pPr>
              <w:keepNext w:val="0"/>
              <w:keepLines w:val="0"/>
              <w:suppressLineNumbers w:val="0"/>
              <w:spacing w:before="0" w:beforeAutospacing="0" w:after="0" w:afterAutospacing="0"/>
              <w:ind w:left="0" w:right="0" w:firstLine="198" w:firstLineChars="100"/>
              <w:jc w:val="left"/>
              <w:rPr>
                <w:rFonts w:hint="default"/>
                <w:snapToGrid w:val="0"/>
                <w:color w:val="auto"/>
                <w:spacing w:val="-6"/>
                <w:kern w:val="21"/>
                <w:szCs w:val="21"/>
              </w:rPr>
            </w:pPr>
            <w:r>
              <w:rPr>
                <w:rFonts w:hint="default"/>
                <w:snapToGrid w:val="0"/>
                <w:color w:val="auto"/>
                <w:spacing w:val="-6"/>
                <w:kern w:val="21"/>
                <w:szCs w:val="21"/>
              </w:rPr>
              <w:t>分类</w:t>
            </w:r>
          </w:p>
        </w:tc>
        <w:tc>
          <w:tcPr>
            <w:tcW w:w="1775" w:type="dxa"/>
            <w:tcMar>
              <w:left w:w="28" w:type="dxa"/>
              <w:right w:w="28" w:type="dxa"/>
            </w:tcMar>
            <w:vAlign w:val="center"/>
          </w:tcPr>
          <w:p>
            <w:pPr>
              <w:keepNext w:val="0"/>
              <w:keepLines w:val="0"/>
              <w:suppressLineNumbers w:val="0"/>
              <w:spacing w:before="0" w:beforeAutospacing="0" w:after="0" w:afterAutospacing="0"/>
              <w:ind w:left="0" w:right="0"/>
              <w:jc w:val="center"/>
              <w:rPr>
                <w:rFonts w:hint="default"/>
                <w:snapToGrid w:val="0"/>
                <w:color w:val="auto"/>
                <w:spacing w:val="-6"/>
                <w:kern w:val="21"/>
                <w:szCs w:val="21"/>
              </w:rPr>
            </w:pPr>
            <w:r>
              <w:rPr>
                <w:rFonts w:hint="default"/>
                <w:snapToGrid w:val="0"/>
                <w:color w:val="auto"/>
                <w:spacing w:val="-6"/>
                <w:kern w:val="21"/>
                <w:szCs w:val="21"/>
              </w:rPr>
              <w:t>污染物名称</w:t>
            </w:r>
          </w:p>
        </w:tc>
        <w:tc>
          <w:tcPr>
            <w:tcW w:w="1650" w:type="dxa"/>
            <w:tcMar>
              <w:left w:w="28" w:type="dxa"/>
              <w:right w:w="28" w:type="dxa"/>
            </w:tcMar>
            <w:vAlign w:val="center"/>
          </w:tcPr>
          <w:p>
            <w:pPr>
              <w:keepNext w:val="0"/>
              <w:keepLines w:val="0"/>
              <w:suppressLineNumbers w:val="0"/>
              <w:spacing w:before="0" w:beforeAutospacing="0" w:after="0" w:afterAutospacing="0"/>
              <w:ind w:left="0" w:right="0"/>
              <w:jc w:val="center"/>
              <w:rPr>
                <w:rFonts w:hint="default"/>
                <w:snapToGrid w:val="0"/>
                <w:color w:val="auto"/>
                <w:spacing w:val="-6"/>
                <w:kern w:val="21"/>
                <w:szCs w:val="21"/>
              </w:rPr>
            </w:pPr>
            <w:r>
              <w:rPr>
                <w:rFonts w:hint="default"/>
                <w:snapToGrid w:val="0"/>
                <w:color w:val="auto"/>
                <w:spacing w:val="-6"/>
                <w:kern w:val="21"/>
                <w:szCs w:val="21"/>
              </w:rPr>
              <w:t>现有工程</w:t>
            </w:r>
          </w:p>
          <w:p>
            <w:pPr>
              <w:keepNext w:val="0"/>
              <w:keepLines w:val="0"/>
              <w:suppressLineNumbers w:val="0"/>
              <w:spacing w:before="0" w:beforeAutospacing="0" w:after="0" w:afterAutospacing="0"/>
              <w:ind w:left="0" w:right="0"/>
              <w:jc w:val="center"/>
              <w:rPr>
                <w:rFonts w:hint="default"/>
                <w:snapToGrid w:val="0"/>
                <w:color w:val="auto"/>
                <w:spacing w:val="-6"/>
                <w:kern w:val="21"/>
                <w:szCs w:val="21"/>
              </w:rPr>
            </w:pPr>
            <w:r>
              <w:rPr>
                <w:rFonts w:hint="default"/>
                <w:snapToGrid w:val="0"/>
                <w:color w:val="auto"/>
                <w:spacing w:val="-6"/>
                <w:kern w:val="21"/>
                <w:szCs w:val="21"/>
              </w:rPr>
              <w:t>排放量</w:t>
            </w:r>
            <w:r>
              <w:rPr>
                <w:rFonts w:hint="eastAsia"/>
                <w:snapToGrid w:val="0"/>
                <w:color w:val="auto"/>
                <w:spacing w:val="-6"/>
                <w:kern w:val="21"/>
                <w:szCs w:val="21"/>
              </w:rPr>
              <w:t>（</w:t>
            </w:r>
            <w:r>
              <w:rPr>
                <w:rFonts w:hint="default"/>
                <w:snapToGrid w:val="0"/>
                <w:color w:val="auto"/>
                <w:spacing w:val="-6"/>
                <w:kern w:val="21"/>
                <w:szCs w:val="21"/>
              </w:rPr>
              <w:t>固体废物产生量</w:t>
            </w:r>
            <w:r>
              <w:rPr>
                <w:rFonts w:hint="eastAsia"/>
                <w:snapToGrid w:val="0"/>
                <w:color w:val="auto"/>
                <w:spacing w:val="-6"/>
                <w:kern w:val="21"/>
                <w:szCs w:val="21"/>
              </w:rPr>
              <w:t>）</w:t>
            </w:r>
            <w:r>
              <w:rPr>
                <w:rFonts w:hint="default"/>
                <w:snapToGrid w:val="0"/>
                <w:color w:val="auto"/>
                <w:spacing w:val="-6"/>
                <w:kern w:val="21"/>
                <w:szCs w:val="21"/>
              </w:rPr>
              <w:fldChar w:fldCharType="begin"/>
            </w:r>
            <w:r>
              <w:rPr>
                <w:rFonts w:hint="default"/>
                <w:snapToGrid w:val="0"/>
                <w:color w:val="auto"/>
                <w:spacing w:val="-6"/>
                <w:kern w:val="21"/>
                <w:szCs w:val="21"/>
              </w:rPr>
              <w:instrText xml:space="preserve"> = 1 \* GB3 \* MERGEFORMAT </w:instrText>
            </w:r>
            <w:r>
              <w:rPr>
                <w:rFonts w:hint="default"/>
                <w:snapToGrid w:val="0"/>
                <w:color w:val="auto"/>
                <w:spacing w:val="-6"/>
                <w:kern w:val="21"/>
                <w:szCs w:val="21"/>
              </w:rPr>
              <w:fldChar w:fldCharType="separate"/>
            </w:r>
            <w:r>
              <w:rPr>
                <w:rFonts w:hint="eastAsia" w:ascii="宋体" w:hAnsi="宋体" w:cs="宋体"/>
                <w:color w:val="auto"/>
                <w:szCs w:val="21"/>
              </w:rPr>
              <w:t>①</w:t>
            </w:r>
            <w:r>
              <w:rPr>
                <w:rFonts w:hint="default"/>
                <w:snapToGrid w:val="0"/>
                <w:color w:val="auto"/>
                <w:spacing w:val="-6"/>
                <w:kern w:val="21"/>
                <w:szCs w:val="21"/>
              </w:rPr>
              <w:fldChar w:fldCharType="end"/>
            </w:r>
          </w:p>
        </w:tc>
        <w:tc>
          <w:tcPr>
            <w:tcW w:w="1346" w:type="dxa"/>
            <w:tcMar>
              <w:left w:w="28" w:type="dxa"/>
              <w:right w:w="28" w:type="dxa"/>
            </w:tcMar>
            <w:vAlign w:val="center"/>
          </w:tcPr>
          <w:p>
            <w:pPr>
              <w:keepNext w:val="0"/>
              <w:keepLines w:val="0"/>
              <w:suppressLineNumbers w:val="0"/>
              <w:spacing w:before="0" w:beforeAutospacing="0" w:after="0" w:afterAutospacing="0"/>
              <w:ind w:left="0" w:right="0"/>
              <w:jc w:val="center"/>
              <w:rPr>
                <w:rFonts w:hint="default"/>
                <w:snapToGrid w:val="0"/>
                <w:color w:val="auto"/>
                <w:spacing w:val="-6"/>
                <w:kern w:val="21"/>
                <w:szCs w:val="21"/>
              </w:rPr>
            </w:pPr>
            <w:r>
              <w:rPr>
                <w:rFonts w:hint="default"/>
                <w:snapToGrid w:val="0"/>
                <w:color w:val="auto"/>
                <w:spacing w:val="-6"/>
                <w:kern w:val="21"/>
                <w:szCs w:val="21"/>
              </w:rPr>
              <w:t>现有工程</w:t>
            </w:r>
          </w:p>
          <w:p>
            <w:pPr>
              <w:keepNext w:val="0"/>
              <w:keepLines w:val="0"/>
              <w:suppressLineNumbers w:val="0"/>
              <w:spacing w:before="0" w:beforeAutospacing="0" w:after="0" w:afterAutospacing="0"/>
              <w:ind w:left="0" w:right="0"/>
              <w:jc w:val="center"/>
              <w:rPr>
                <w:rFonts w:hint="default"/>
                <w:snapToGrid w:val="0"/>
                <w:color w:val="auto"/>
                <w:spacing w:val="-6"/>
                <w:kern w:val="21"/>
                <w:szCs w:val="21"/>
              </w:rPr>
            </w:pPr>
            <w:r>
              <w:rPr>
                <w:rFonts w:hint="default"/>
                <w:snapToGrid w:val="0"/>
                <w:color w:val="auto"/>
                <w:spacing w:val="-6"/>
                <w:kern w:val="21"/>
                <w:szCs w:val="21"/>
              </w:rPr>
              <w:t>许可排放量</w:t>
            </w:r>
          </w:p>
          <w:p>
            <w:pPr>
              <w:keepNext w:val="0"/>
              <w:keepLines w:val="0"/>
              <w:suppressLineNumbers w:val="0"/>
              <w:spacing w:before="0" w:beforeAutospacing="0" w:after="0" w:afterAutospacing="0"/>
              <w:ind w:left="0" w:right="0"/>
              <w:jc w:val="center"/>
              <w:rPr>
                <w:rFonts w:hint="default"/>
                <w:snapToGrid w:val="0"/>
                <w:color w:val="auto"/>
                <w:spacing w:val="-6"/>
                <w:kern w:val="21"/>
                <w:szCs w:val="21"/>
              </w:rPr>
            </w:pPr>
            <w:r>
              <w:rPr>
                <w:rFonts w:hint="default"/>
                <w:snapToGrid w:val="0"/>
                <w:color w:val="auto"/>
                <w:spacing w:val="-6"/>
                <w:kern w:val="21"/>
                <w:szCs w:val="21"/>
              </w:rPr>
              <w:fldChar w:fldCharType="begin"/>
            </w:r>
            <w:r>
              <w:rPr>
                <w:rFonts w:hint="default"/>
                <w:snapToGrid w:val="0"/>
                <w:color w:val="auto"/>
                <w:spacing w:val="-6"/>
                <w:kern w:val="21"/>
                <w:szCs w:val="21"/>
              </w:rPr>
              <w:instrText xml:space="preserve"> = 2 \* GB3 \* MERGEFORMAT </w:instrText>
            </w:r>
            <w:r>
              <w:rPr>
                <w:rFonts w:hint="default"/>
                <w:snapToGrid w:val="0"/>
                <w:color w:val="auto"/>
                <w:spacing w:val="-6"/>
                <w:kern w:val="21"/>
                <w:szCs w:val="21"/>
              </w:rPr>
              <w:fldChar w:fldCharType="separate"/>
            </w:r>
            <w:r>
              <w:rPr>
                <w:rFonts w:hint="eastAsia" w:ascii="宋体" w:hAnsi="宋体" w:cs="宋体"/>
                <w:snapToGrid w:val="0"/>
                <w:color w:val="auto"/>
                <w:spacing w:val="-6"/>
                <w:kern w:val="21"/>
                <w:szCs w:val="21"/>
              </w:rPr>
              <w:t>②</w:t>
            </w:r>
            <w:r>
              <w:rPr>
                <w:rFonts w:hint="default"/>
                <w:snapToGrid w:val="0"/>
                <w:color w:val="auto"/>
                <w:spacing w:val="-6"/>
                <w:kern w:val="21"/>
                <w:szCs w:val="21"/>
              </w:rPr>
              <w:fldChar w:fldCharType="end"/>
            </w:r>
          </w:p>
        </w:tc>
        <w:tc>
          <w:tcPr>
            <w:tcW w:w="1573" w:type="dxa"/>
            <w:tcMar>
              <w:left w:w="28" w:type="dxa"/>
              <w:right w:w="28" w:type="dxa"/>
            </w:tcMar>
            <w:vAlign w:val="center"/>
          </w:tcPr>
          <w:p>
            <w:pPr>
              <w:keepNext w:val="0"/>
              <w:keepLines w:val="0"/>
              <w:suppressLineNumbers w:val="0"/>
              <w:spacing w:before="0" w:beforeAutospacing="0" w:after="0" w:afterAutospacing="0"/>
              <w:ind w:left="0" w:right="0"/>
              <w:jc w:val="center"/>
              <w:rPr>
                <w:rFonts w:hint="default"/>
                <w:snapToGrid w:val="0"/>
                <w:color w:val="auto"/>
                <w:spacing w:val="-6"/>
                <w:kern w:val="21"/>
                <w:szCs w:val="21"/>
              </w:rPr>
            </w:pPr>
            <w:r>
              <w:rPr>
                <w:rFonts w:hint="default"/>
                <w:snapToGrid w:val="0"/>
                <w:color w:val="auto"/>
                <w:spacing w:val="-6"/>
                <w:kern w:val="21"/>
                <w:szCs w:val="21"/>
              </w:rPr>
              <w:t>在建工程</w:t>
            </w:r>
          </w:p>
          <w:p>
            <w:pPr>
              <w:keepNext w:val="0"/>
              <w:keepLines w:val="0"/>
              <w:suppressLineNumbers w:val="0"/>
              <w:spacing w:before="0" w:beforeAutospacing="0" w:after="0" w:afterAutospacing="0"/>
              <w:ind w:left="0" w:right="0"/>
              <w:jc w:val="center"/>
              <w:rPr>
                <w:rFonts w:hint="default"/>
                <w:snapToGrid w:val="0"/>
                <w:color w:val="auto"/>
                <w:spacing w:val="-6"/>
                <w:kern w:val="21"/>
                <w:szCs w:val="21"/>
              </w:rPr>
            </w:pPr>
            <w:r>
              <w:rPr>
                <w:rFonts w:hint="default"/>
                <w:snapToGrid w:val="0"/>
                <w:color w:val="auto"/>
                <w:spacing w:val="-6"/>
                <w:kern w:val="21"/>
                <w:szCs w:val="21"/>
              </w:rPr>
              <w:t>排放量</w:t>
            </w:r>
            <w:r>
              <w:rPr>
                <w:rFonts w:hint="eastAsia"/>
                <w:snapToGrid w:val="0"/>
                <w:color w:val="auto"/>
                <w:spacing w:val="-6"/>
                <w:kern w:val="21"/>
                <w:szCs w:val="21"/>
              </w:rPr>
              <w:t>（</w:t>
            </w:r>
            <w:r>
              <w:rPr>
                <w:rFonts w:hint="default"/>
                <w:snapToGrid w:val="0"/>
                <w:color w:val="auto"/>
                <w:spacing w:val="-6"/>
                <w:kern w:val="21"/>
                <w:szCs w:val="21"/>
              </w:rPr>
              <w:t>固体废物产生量</w:t>
            </w:r>
            <w:r>
              <w:rPr>
                <w:rFonts w:hint="eastAsia"/>
                <w:snapToGrid w:val="0"/>
                <w:color w:val="auto"/>
                <w:spacing w:val="-6"/>
                <w:kern w:val="21"/>
                <w:szCs w:val="21"/>
              </w:rPr>
              <w:t>）</w:t>
            </w:r>
            <w:r>
              <w:rPr>
                <w:rFonts w:hint="default"/>
                <w:snapToGrid w:val="0"/>
                <w:color w:val="auto"/>
                <w:spacing w:val="-6"/>
                <w:kern w:val="21"/>
                <w:szCs w:val="21"/>
              </w:rPr>
              <w:fldChar w:fldCharType="begin"/>
            </w:r>
            <w:r>
              <w:rPr>
                <w:rFonts w:hint="default"/>
                <w:snapToGrid w:val="0"/>
                <w:color w:val="auto"/>
                <w:spacing w:val="-6"/>
                <w:kern w:val="21"/>
                <w:szCs w:val="21"/>
              </w:rPr>
              <w:instrText xml:space="preserve"> = 3 \* GB3 \* MERGEFORMAT </w:instrText>
            </w:r>
            <w:r>
              <w:rPr>
                <w:rFonts w:hint="default"/>
                <w:snapToGrid w:val="0"/>
                <w:color w:val="auto"/>
                <w:spacing w:val="-6"/>
                <w:kern w:val="21"/>
                <w:szCs w:val="21"/>
              </w:rPr>
              <w:fldChar w:fldCharType="separate"/>
            </w:r>
            <w:r>
              <w:rPr>
                <w:rFonts w:hint="eastAsia" w:ascii="宋体" w:hAnsi="宋体" w:cs="宋体"/>
                <w:color w:val="auto"/>
                <w:szCs w:val="21"/>
              </w:rPr>
              <w:t>③</w:t>
            </w:r>
            <w:r>
              <w:rPr>
                <w:rFonts w:hint="default"/>
                <w:snapToGrid w:val="0"/>
                <w:color w:val="auto"/>
                <w:spacing w:val="-6"/>
                <w:kern w:val="21"/>
                <w:szCs w:val="21"/>
              </w:rPr>
              <w:fldChar w:fldCharType="end"/>
            </w:r>
          </w:p>
        </w:tc>
        <w:tc>
          <w:tcPr>
            <w:tcW w:w="1559" w:type="dxa"/>
            <w:tcMar>
              <w:left w:w="28" w:type="dxa"/>
              <w:right w:w="28" w:type="dxa"/>
            </w:tcMar>
            <w:vAlign w:val="center"/>
          </w:tcPr>
          <w:p>
            <w:pPr>
              <w:keepNext w:val="0"/>
              <w:keepLines w:val="0"/>
              <w:suppressLineNumbers w:val="0"/>
              <w:spacing w:before="0" w:beforeAutospacing="0" w:after="0" w:afterAutospacing="0"/>
              <w:ind w:left="0" w:right="0"/>
              <w:jc w:val="center"/>
              <w:rPr>
                <w:rFonts w:hint="default"/>
                <w:snapToGrid w:val="0"/>
                <w:color w:val="auto"/>
                <w:spacing w:val="-6"/>
                <w:kern w:val="21"/>
                <w:szCs w:val="21"/>
              </w:rPr>
            </w:pPr>
            <w:r>
              <w:rPr>
                <w:rFonts w:hint="default"/>
                <w:snapToGrid w:val="0"/>
                <w:color w:val="auto"/>
                <w:spacing w:val="-6"/>
                <w:kern w:val="21"/>
                <w:szCs w:val="21"/>
              </w:rPr>
              <w:t>本项目</w:t>
            </w:r>
          </w:p>
          <w:p>
            <w:pPr>
              <w:keepNext w:val="0"/>
              <w:keepLines w:val="0"/>
              <w:suppressLineNumbers w:val="0"/>
              <w:spacing w:before="0" w:beforeAutospacing="0" w:after="0" w:afterAutospacing="0"/>
              <w:ind w:left="0" w:right="0"/>
              <w:jc w:val="center"/>
              <w:rPr>
                <w:rFonts w:hint="default"/>
                <w:snapToGrid w:val="0"/>
                <w:color w:val="auto"/>
                <w:spacing w:val="-6"/>
                <w:kern w:val="21"/>
                <w:szCs w:val="21"/>
              </w:rPr>
            </w:pPr>
            <w:r>
              <w:rPr>
                <w:rFonts w:hint="default"/>
                <w:snapToGrid w:val="0"/>
                <w:color w:val="auto"/>
                <w:spacing w:val="-6"/>
                <w:kern w:val="21"/>
                <w:szCs w:val="21"/>
              </w:rPr>
              <w:t>排放量</w:t>
            </w:r>
            <w:r>
              <w:rPr>
                <w:rFonts w:hint="eastAsia"/>
                <w:snapToGrid w:val="0"/>
                <w:color w:val="auto"/>
                <w:spacing w:val="-6"/>
                <w:kern w:val="21"/>
                <w:szCs w:val="21"/>
              </w:rPr>
              <w:t>（</w:t>
            </w:r>
            <w:r>
              <w:rPr>
                <w:rFonts w:hint="default"/>
                <w:snapToGrid w:val="0"/>
                <w:color w:val="auto"/>
                <w:spacing w:val="-6"/>
                <w:kern w:val="21"/>
                <w:szCs w:val="21"/>
              </w:rPr>
              <w:t>固体废物产生量</w:t>
            </w:r>
            <w:r>
              <w:rPr>
                <w:rFonts w:hint="eastAsia"/>
                <w:snapToGrid w:val="0"/>
                <w:color w:val="auto"/>
                <w:spacing w:val="-6"/>
                <w:kern w:val="21"/>
                <w:szCs w:val="21"/>
              </w:rPr>
              <w:t>）</w:t>
            </w:r>
            <w:r>
              <w:rPr>
                <w:rFonts w:hint="default"/>
                <w:snapToGrid w:val="0"/>
                <w:color w:val="auto"/>
                <w:spacing w:val="-6"/>
                <w:kern w:val="21"/>
                <w:szCs w:val="21"/>
              </w:rPr>
              <w:fldChar w:fldCharType="begin"/>
            </w:r>
            <w:r>
              <w:rPr>
                <w:rFonts w:hint="default"/>
                <w:snapToGrid w:val="0"/>
                <w:color w:val="auto"/>
                <w:spacing w:val="-6"/>
                <w:kern w:val="21"/>
                <w:szCs w:val="21"/>
              </w:rPr>
              <w:instrText xml:space="preserve"> = 4 \* GB3 \* MERGEFORMAT </w:instrText>
            </w:r>
            <w:r>
              <w:rPr>
                <w:rFonts w:hint="default"/>
                <w:snapToGrid w:val="0"/>
                <w:color w:val="auto"/>
                <w:spacing w:val="-6"/>
                <w:kern w:val="21"/>
                <w:szCs w:val="21"/>
              </w:rPr>
              <w:fldChar w:fldCharType="separate"/>
            </w:r>
            <w:r>
              <w:rPr>
                <w:rFonts w:hint="eastAsia" w:ascii="宋体" w:hAnsi="宋体" w:cs="宋体"/>
                <w:color w:val="auto"/>
                <w:szCs w:val="21"/>
              </w:rPr>
              <w:t>④</w:t>
            </w:r>
            <w:r>
              <w:rPr>
                <w:rFonts w:hint="default"/>
                <w:snapToGrid w:val="0"/>
                <w:color w:val="auto"/>
                <w:spacing w:val="-6"/>
                <w:kern w:val="21"/>
                <w:szCs w:val="21"/>
              </w:rPr>
              <w:fldChar w:fldCharType="end"/>
            </w:r>
          </w:p>
        </w:tc>
        <w:tc>
          <w:tcPr>
            <w:tcW w:w="1557" w:type="dxa"/>
            <w:tcMar>
              <w:left w:w="28" w:type="dxa"/>
              <w:right w:w="28" w:type="dxa"/>
            </w:tcMar>
            <w:vAlign w:val="center"/>
          </w:tcPr>
          <w:p>
            <w:pPr>
              <w:keepNext w:val="0"/>
              <w:keepLines w:val="0"/>
              <w:suppressLineNumbers w:val="0"/>
              <w:spacing w:before="0" w:beforeAutospacing="0" w:after="0" w:afterAutospacing="0"/>
              <w:ind w:left="0" w:right="0"/>
              <w:jc w:val="center"/>
              <w:rPr>
                <w:rFonts w:hint="default"/>
                <w:snapToGrid w:val="0"/>
                <w:color w:val="auto"/>
                <w:spacing w:val="-16"/>
                <w:kern w:val="21"/>
                <w:szCs w:val="21"/>
              </w:rPr>
            </w:pPr>
            <w:r>
              <w:rPr>
                <w:rFonts w:hint="default"/>
                <w:snapToGrid w:val="0"/>
                <w:color w:val="auto"/>
                <w:spacing w:val="-16"/>
                <w:kern w:val="21"/>
                <w:szCs w:val="21"/>
              </w:rPr>
              <w:t>以新带老削减量</w:t>
            </w:r>
          </w:p>
          <w:p>
            <w:pPr>
              <w:keepNext w:val="0"/>
              <w:keepLines w:val="0"/>
              <w:suppressLineNumbers w:val="0"/>
              <w:spacing w:before="0" w:beforeAutospacing="0" w:after="0" w:afterAutospacing="0"/>
              <w:ind w:left="0" w:right="0"/>
              <w:jc w:val="center"/>
              <w:rPr>
                <w:rFonts w:hint="default"/>
                <w:snapToGrid w:val="0"/>
                <w:color w:val="auto"/>
                <w:spacing w:val="-16"/>
                <w:kern w:val="21"/>
                <w:szCs w:val="21"/>
              </w:rPr>
            </w:pPr>
            <w:r>
              <w:rPr>
                <w:rFonts w:hint="eastAsia"/>
                <w:snapToGrid w:val="0"/>
                <w:color w:val="auto"/>
                <w:spacing w:val="-16"/>
                <w:kern w:val="21"/>
                <w:szCs w:val="21"/>
              </w:rPr>
              <w:t>（</w:t>
            </w:r>
            <w:r>
              <w:rPr>
                <w:rFonts w:hint="default"/>
                <w:snapToGrid w:val="0"/>
                <w:color w:val="auto"/>
                <w:spacing w:val="-16"/>
                <w:kern w:val="21"/>
                <w:szCs w:val="21"/>
              </w:rPr>
              <w:t>新建项目不填</w:t>
            </w:r>
            <w:r>
              <w:rPr>
                <w:rFonts w:hint="eastAsia"/>
                <w:snapToGrid w:val="0"/>
                <w:color w:val="auto"/>
                <w:spacing w:val="-16"/>
                <w:kern w:val="21"/>
                <w:szCs w:val="21"/>
              </w:rPr>
              <w:t>）</w:t>
            </w:r>
            <w:r>
              <w:rPr>
                <w:rFonts w:hint="default"/>
                <w:snapToGrid w:val="0"/>
                <w:color w:val="auto"/>
                <w:spacing w:val="-16"/>
                <w:kern w:val="21"/>
                <w:szCs w:val="21"/>
              </w:rPr>
              <w:fldChar w:fldCharType="begin"/>
            </w:r>
            <w:r>
              <w:rPr>
                <w:rFonts w:hint="default"/>
                <w:snapToGrid w:val="0"/>
                <w:color w:val="auto"/>
                <w:spacing w:val="-16"/>
                <w:kern w:val="21"/>
                <w:szCs w:val="21"/>
              </w:rPr>
              <w:instrText xml:space="preserve"> = 5 \* GB3 \* MERGEFORMAT </w:instrText>
            </w:r>
            <w:r>
              <w:rPr>
                <w:rFonts w:hint="default"/>
                <w:snapToGrid w:val="0"/>
                <w:color w:val="auto"/>
                <w:spacing w:val="-16"/>
                <w:kern w:val="21"/>
                <w:szCs w:val="21"/>
              </w:rPr>
              <w:fldChar w:fldCharType="separate"/>
            </w:r>
            <w:r>
              <w:rPr>
                <w:rFonts w:hint="eastAsia" w:ascii="宋体" w:hAnsi="宋体" w:cs="宋体"/>
                <w:color w:val="auto"/>
                <w:szCs w:val="21"/>
              </w:rPr>
              <w:t>⑤</w:t>
            </w:r>
            <w:r>
              <w:rPr>
                <w:rFonts w:hint="default"/>
                <w:snapToGrid w:val="0"/>
                <w:color w:val="auto"/>
                <w:spacing w:val="-16"/>
                <w:kern w:val="21"/>
                <w:szCs w:val="21"/>
              </w:rPr>
              <w:fldChar w:fldCharType="end"/>
            </w:r>
          </w:p>
        </w:tc>
        <w:tc>
          <w:tcPr>
            <w:tcW w:w="1590" w:type="dxa"/>
            <w:tcMar>
              <w:left w:w="28" w:type="dxa"/>
              <w:right w:w="28" w:type="dxa"/>
            </w:tcMar>
            <w:vAlign w:val="center"/>
          </w:tcPr>
          <w:p>
            <w:pPr>
              <w:keepNext w:val="0"/>
              <w:keepLines w:val="0"/>
              <w:suppressLineNumbers w:val="0"/>
              <w:spacing w:before="0" w:beforeAutospacing="0" w:after="0" w:afterAutospacing="0"/>
              <w:ind w:left="0" w:right="0"/>
              <w:jc w:val="center"/>
              <w:rPr>
                <w:rFonts w:hint="default"/>
                <w:snapToGrid w:val="0"/>
                <w:color w:val="auto"/>
                <w:spacing w:val="-16"/>
                <w:kern w:val="21"/>
                <w:szCs w:val="21"/>
              </w:rPr>
            </w:pPr>
            <w:r>
              <w:rPr>
                <w:rFonts w:hint="default"/>
                <w:snapToGrid w:val="0"/>
                <w:color w:val="auto"/>
                <w:spacing w:val="-16"/>
                <w:kern w:val="21"/>
                <w:szCs w:val="21"/>
              </w:rPr>
              <w:t>本项目建成后</w:t>
            </w:r>
          </w:p>
          <w:p>
            <w:pPr>
              <w:keepNext w:val="0"/>
              <w:keepLines w:val="0"/>
              <w:suppressLineNumbers w:val="0"/>
              <w:spacing w:before="0" w:beforeAutospacing="0" w:after="0" w:afterAutospacing="0"/>
              <w:ind w:left="0" w:right="0"/>
              <w:jc w:val="center"/>
              <w:rPr>
                <w:rFonts w:hint="default"/>
                <w:snapToGrid w:val="0"/>
                <w:color w:val="auto"/>
                <w:spacing w:val="-16"/>
                <w:kern w:val="21"/>
                <w:szCs w:val="21"/>
              </w:rPr>
            </w:pPr>
            <w:r>
              <w:rPr>
                <w:rFonts w:hint="default"/>
                <w:snapToGrid w:val="0"/>
                <w:color w:val="auto"/>
                <w:spacing w:val="-16"/>
                <w:kern w:val="21"/>
                <w:szCs w:val="21"/>
              </w:rPr>
              <w:t>全厂排放量</w:t>
            </w:r>
            <w:r>
              <w:rPr>
                <w:rFonts w:hint="eastAsia"/>
                <w:snapToGrid w:val="0"/>
                <w:color w:val="auto"/>
                <w:spacing w:val="-6"/>
                <w:kern w:val="21"/>
                <w:szCs w:val="21"/>
              </w:rPr>
              <w:t>（</w:t>
            </w:r>
            <w:r>
              <w:rPr>
                <w:rFonts w:hint="default"/>
                <w:snapToGrid w:val="0"/>
                <w:color w:val="auto"/>
                <w:spacing w:val="-6"/>
                <w:kern w:val="21"/>
                <w:szCs w:val="21"/>
              </w:rPr>
              <w:t>固体废物产生量</w:t>
            </w:r>
            <w:r>
              <w:rPr>
                <w:rFonts w:hint="eastAsia"/>
                <w:snapToGrid w:val="0"/>
                <w:color w:val="auto"/>
                <w:spacing w:val="-6"/>
                <w:kern w:val="21"/>
                <w:szCs w:val="21"/>
              </w:rPr>
              <w:t>）</w:t>
            </w:r>
            <w:r>
              <w:rPr>
                <w:rFonts w:hint="default"/>
                <w:snapToGrid w:val="0"/>
                <w:color w:val="auto"/>
                <w:spacing w:val="-16"/>
                <w:kern w:val="21"/>
                <w:szCs w:val="21"/>
              </w:rPr>
              <w:fldChar w:fldCharType="begin"/>
            </w:r>
            <w:r>
              <w:rPr>
                <w:rFonts w:hint="default"/>
                <w:snapToGrid w:val="0"/>
                <w:color w:val="auto"/>
                <w:spacing w:val="-16"/>
                <w:kern w:val="21"/>
                <w:szCs w:val="21"/>
              </w:rPr>
              <w:instrText xml:space="preserve"> = 6 \* GB3 \* MERGEFORMAT </w:instrText>
            </w:r>
            <w:r>
              <w:rPr>
                <w:rFonts w:hint="default"/>
                <w:snapToGrid w:val="0"/>
                <w:color w:val="auto"/>
                <w:spacing w:val="-16"/>
                <w:kern w:val="21"/>
                <w:szCs w:val="21"/>
              </w:rPr>
              <w:fldChar w:fldCharType="separate"/>
            </w:r>
            <w:r>
              <w:rPr>
                <w:rFonts w:hint="eastAsia" w:ascii="宋体" w:hAnsi="宋体" w:cs="宋体"/>
                <w:color w:val="auto"/>
                <w:szCs w:val="21"/>
              </w:rPr>
              <w:t>⑥</w:t>
            </w:r>
            <w:r>
              <w:rPr>
                <w:rFonts w:hint="default"/>
                <w:snapToGrid w:val="0"/>
                <w:color w:val="auto"/>
                <w:spacing w:val="-16"/>
                <w:kern w:val="21"/>
                <w:szCs w:val="21"/>
              </w:rPr>
              <w:fldChar w:fldCharType="end"/>
            </w:r>
          </w:p>
        </w:tc>
        <w:tc>
          <w:tcPr>
            <w:tcW w:w="1399" w:type="dxa"/>
            <w:tcMar>
              <w:left w:w="28" w:type="dxa"/>
              <w:right w:w="28" w:type="dxa"/>
            </w:tcMar>
            <w:vAlign w:val="center"/>
          </w:tcPr>
          <w:p>
            <w:pPr>
              <w:keepNext w:val="0"/>
              <w:keepLines w:val="0"/>
              <w:suppressLineNumbers w:val="0"/>
              <w:spacing w:before="0" w:beforeAutospacing="0" w:after="0" w:afterAutospacing="0"/>
              <w:ind w:left="0" w:right="0"/>
              <w:jc w:val="center"/>
              <w:rPr>
                <w:rFonts w:hint="default"/>
                <w:snapToGrid w:val="0"/>
                <w:color w:val="auto"/>
                <w:spacing w:val="-6"/>
                <w:kern w:val="21"/>
                <w:szCs w:val="21"/>
              </w:rPr>
            </w:pPr>
            <w:r>
              <w:rPr>
                <w:rFonts w:hint="default"/>
                <w:snapToGrid w:val="0"/>
                <w:color w:val="auto"/>
                <w:spacing w:val="-6"/>
                <w:kern w:val="21"/>
                <w:szCs w:val="21"/>
              </w:rPr>
              <w:t>变化量</w:t>
            </w:r>
          </w:p>
          <w:p>
            <w:pPr>
              <w:keepNext w:val="0"/>
              <w:keepLines w:val="0"/>
              <w:suppressLineNumbers w:val="0"/>
              <w:spacing w:before="0" w:beforeAutospacing="0" w:after="0" w:afterAutospacing="0"/>
              <w:ind w:left="0" w:right="0"/>
              <w:jc w:val="center"/>
              <w:rPr>
                <w:rFonts w:hint="default"/>
                <w:snapToGrid w:val="0"/>
                <w:color w:val="auto"/>
                <w:spacing w:val="-6"/>
                <w:kern w:val="21"/>
                <w:szCs w:val="21"/>
              </w:rPr>
            </w:pPr>
            <w:r>
              <w:rPr>
                <w:rFonts w:hint="default"/>
                <w:snapToGrid w:val="0"/>
                <w:color w:val="auto"/>
                <w:spacing w:val="-6"/>
                <w:kern w:val="21"/>
                <w:szCs w:val="21"/>
              </w:rPr>
              <w:fldChar w:fldCharType="begin"/>
            </w:r>
            <w:r>
              <w:rPr>
                <w:rFonts w:hint="default"/>
                <w:snapToGrid w:val="0"/>
                <w:color w:val="auto"/>
                <w:spacing w:val="-6"/>
                <w:kern w:val="21"/>
                <w:szCs w:val="21"/>
              </w:rPr>
              <w:instrText xml:space="preserve"> = 7 \* GB3 \* MERGEFORMAT </w:instrText>
            </w:r>
            <w:r>
              <w:rPr>
                <w:rFonts w:hint="default"/>
                <w:snapToGrid w:val="0"/>
                <w:color w:val="auto"/>
                <w:spacing w:val="-6"/>
                <w:kern w:val="21"/>
                <w:szCs w:val="21"/>
              </w:rPr>
              <w:fldChar w:fldCharType="separate"/>
            </w:r>
            <w:r>
              <w:rPr>
                <w:rFonts w:hint="eastAsia" w:ascii="宋体" w:hAnsi="宋体" w:cs="宋体"/>
                <w:color w:val="auto"/>
                <w:szCs w:val="21"/>
              </w:rPr>
              <w:t>⑦</w:t>
            </w:r>
            <w:r>
              <w:rPr>
                <w:rFonts w:hint="default"/>
                <w:snapToGrid w:val="0"/>
                <w:color w:val="auto"/>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339" w:type="dxa"/>
            <w:vMerge w:val="restart"/>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r>
              <w:rPr>
                <w:rFonts w:hint="default"/>
                <w:snapToGrid w:val="0"/>
                <w:color w:val="auto"/>
                <w:kern w:val="21"/>
                <w:szCs w:val="21"/>
              </w:rPr>
              <w:t>废气</w:t>
            </w:r>
          </w:p>
        </w:tc>
        <w:tc>
          <w:tcPr>
            <w:tcW w:w="1775" w:type="dxa"/>
            <w:vAlign w:val="center"/>
          </w:tcPr>
          <w:p>
            <w:pPr>
              <w:pStyle w:val="37"/>
              <w:keepNext w:val="0"/>
              <w:keepLines w:val="0"/>
              <w:widowControl/>
              <w:suppressLineNumbers w:val="0"/>
              <w:bidi w:val="0"/>
              <w:spacing w:before="0" w:beforeAutospacing="0" w:after="0" w:afterAutospacing="0"/>
              <w:ind w:left="0" w:leftChars="0" w:right="0" w:rightChars="0" w:firstLine="0" w:firstLineChars="0"/>
              <w:rPr>
                <w:rFonts w:hint="default" w:eastAsia="宋体"/>
                <w:snapToGrid w:val="0"/>
                <w:color w:val="auto"/>
                <w:kern w:val="21"/>
                <w:szCs w:val="21"/>
                <w:lang w:val="en-US" w:eastAsia="zh-CN"/>
              </w:rPr>
            </w:pPr>
            <w:r>
              <w:rPr>
                <w:rFonts w:hint="default"/>
                <w:color w:val="auto"/>
                <w:szCs w:val="20"/>
                <w:lang w:val="en-US" w:eastAsia="zh-CN"/>
              </w:rPr>
              <w:t>氯化氢</w:t>
            </w:r>
          </w:p>
        </w:tc>
        <w:tc>
          <w:tcPr>
            <w:tcW w:w="1650" w:type="dxa"/>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lang w:val="en-US"/>
              </w:rPr>
            </w:pPr>
          </w:p>
        </w:tc>
        <w:tc>
          <w:tcPr>
            <w:tcW w:w="1346" w:type="dxa"/>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573" w:type="dxa"/>
            <w:vAlign w:val="center"/>
          </w:tcPr>
          <w:p>
            <w:pPr>
              <w:keepNext w:val="0"/>
              <w:keepLines w:val="0"/>
              <w:suppressLineNumbers w:val="0"/>
              <w:spacing w:before="0" w:beforeAutospacing="0" w:after="0" w:afterAutospacing="0"/>
              <w:ind w:left="0" w:right="0"/>
              <w:jc w:val="center"/>
              <w:rPr>
                <w:rFonts w:hint="eastAsia" w:eastAsia="宋体"/>
                <w:snapToGrid w:val="0"/>
                <w:color w:val="auto"/>
                <w:kern w:val="21"/>
                <w:szCs w:val="21"/>
                <w:lang w:val="en-US" w:eastAsia="zh-CN"/>
              </w:rPr>
            </w:pPr>
          </w:p>
        </w:tc>
        <w:tc>
          <w:tcPr>
            <w:tcW w:w="1559"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 xml:space="preserve">0.0019 </w:t>
            </w:r>
          </w:p>
        </w:tc>
        <w:tc>
          <w:tcPr>
            <w:tcW w:w="155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eastAsia" w:ascii="Times New Roman" w:hAnsi="Times New Roman" w:eastAsia="宋体" w:cs="Times New Roman"/>
                <w:snapToGrid w:val="0"/>
                <w:color w:val="auto"/>
                <w:kern w:val="21"/>
                <w:szCs w:val="21"/>
                <w:lang w:val="en-US" w:eastAsia="zh-CN"/>
              </w:rPr>
            </w:pPr>
          </w:p>
        </w:tc>
        <w:tc>
          <w:tcPr>
            <w:tcW w:w="1590"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 xml:space="preserve">0.0019 </w:t>
            </w:r>
          </w:p>
        </w:tc>
        <w:tc>
          <w:tcPr>
            <w:tcW w:w="1399"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 xml:space="preserve">0.0019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339" w:type="dxa"/>
            <w:vMerge w:val="continue"/>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775" w:type="dxa"/>
            <w:vAlign w:val="center"/>
          </w:tcPr>
          <w:p>
            <w:pPr>
              <w:pStyle w:val="37"/>
              <w:keepNext w:val="0"/>
              <w:keepLines w:val="0"/>
              <w:widowControl/>
              <w:suppressLineNumbers w:val="0"/>
              <w:bidi w:val="0"/>
              <w:spacing w:before="0" w:beforeAutospacing="0" w:after="0" w:afterAutospacing="0"/>
              <w:ind w:left="0" w:leftChars="0" w:right="0" w:rightChars="0" w:firstLine="0" w:firstLineChars="0"/>
              <w:rPr>
                <w:rFonts w:hint="default"/>
                <w:snapToGrid w:val="0"/>
                <w:color w:val="auto"/>
                <w:kern w:val="21"/>
                <w:szCs w:val="21"/>
              </w:rPr>
            </w:pPr>
            <w:r>
              <w:rPr>
                <w:rFonts w:hint="default"/>
                <w:color w:val="auto"/>
                <w:szCs w:val="20"/>
                <w:lang w:val="en-US" w:eastAsia="zh-CN"/>
              </w:rPr>
              <w:t>硫酸雾</w:t>
            </w:r>
          </w:p>
        </w:tc>
        <w:tc>
          <w:tcPr>
            <w:tcW w:w="1650" w:type="dxa"/>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346" w:type="dxa"/>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573" w:type="dxa"/>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559"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 xml:space="preserve">0.0035 </w:t>
            </w:r>
          </w:p>
        </w:tc>
        <w:tc>
          <w:tcPr>
            <w:tcW w:w="155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default" w:ascii="Times New Roman" w:hAnsi="Times New Roman" w:eastAsia="宋体" w:cs="Times New Roman"/>
                <w:snapToGrid w:val="0"/>
                <w:color w:val="auto"/>
                <w:kern w:val="21"/>
                <w:szCs w:val="21"/>
                <w:lang w:val="en-US" w:eastAsia="zh-CN"/>
              </w:rPr>
            </w:pPr>
          </w:p>
        </w:tc>
        <w:tc>
          <w:tcPr>
            <w:tcW w:w="1590"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 xml:space="preserve">0.0035 </w:t>
            </w:r>
          </w:p>
        </w:tc>
        <w:tc>
          <w:tcPr>
            <w:tcW w:w="1399"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 xml:space="preserve">0.0035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339" w:type="dxa"/>
            <w:vMerge w:val="continue"/>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775" w:type="dxa"/>
            <w:vAlign w:val="center"/>
          </w:tcPr>
          <w:p>
            <w:pPr>
              <w:pStyle w:val="37"/>
              <w:keepNext w:val="0"/>
              <w:keepLines w:val="0"/>
              <w:widowControl/>
              <w:suppressLineNumbers w:val="0"/>
              <w:bidi w:val="0"/>
              <w:spacing w:before="0" w:beforeAutospacing="0" w:after="0" w:afterAutospacing="0"/>
              <w:ind w:left="0" w:leftChars="0" w:right="0" w:rightChars="0" w:firstLine="0" w:firstLineChars="0"/>
              <w:rPr>
                <w:rFonts w:hint="eastAsia"/>
                <w:color w:val="auto"/>
                <w:szCs w:val="20"/>
                <w:lang w:val="en-US" w:eastAsia="zh-CN"/>
              </w:rPr>
            </w:pPr>
            <w:r>
              <w:rPr>
                <w:rFonts w:hint="default"/>
                <w:color w:val="auto"/>
                <w:szCs w:val="20"/>
                <w:lang w:val="en-US" w:eastAsia="zh-CN"/>
              </w:rPr>
              <w:t>非甲烷总烃</w:t>
            </w:r>
          </w:p>
        </w:tc>
        <w:tc>
          <w:tcPr>
            <w:tcW w:w="1650" w:type="dxa"/>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auto"/>
                <w:szCs w:val="21"/>
                <w:lang w:val="en-US" w:eastAsia="zh-CN"/>
              </w:rPr>
            </w:pPr>
          </w:p>
        </w:tc>
        <w:tc>
          <w:tcPr>
            <w:tcW w:w="1346" w:type="dxa"/>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auto"/>
                <w:szCs w:val="21"/>
                <w:lang w:val="en-US" w:eastAsia="zh-CN"/>
              </w:rPr>
            </w:pPr>
          </w:p>
        </w:tc>
        <w:tc>
          <w:tcPr>
            <w:tcW w:w="1573" w:type="dxa"/>
            <w:vAlign w:val="center"/>
          </w:tcPr>
          <w:p>
            <w:pPr>
              <w:keepNext w:val="0"/>
              <w:keepLines w:val="0"/>
              <w:suppressLineNumbers w:val="0"/>
              <w:spacing w:before="0" w:beforeAutospacing="0" w:after="0" w:afterAutospacing="0"/>
              <w:ind w:left="0" w:right="0"/>
              <w:jc w:val="center"/>
              <w:rPr>
                <w:rFonts w:hint="eastAsia"/>
                <w:snapToGrid w:val="0"/>
                <w:color w:val="auto"/>
                <w:kern w:val="21"/>
                <w:szCs w:val="21"/>
                <w:lang w:val="en-US" w:eastAsia="zh-CN"/>
              </w:rPr>
            </w:pPr>
          </w:p>
        </w:tc>
        <w:tc>
          <w:tcPr>
            <w:tcW w:w="1559"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kern w:val="21"/>
                <w:szCs w:val="21"/>
                <w:lang w:val="en-US" w:eastAsia="zh-CN"/>
              </w:rPr>
            </w:pPr>
            <w:r>
              <w:rPr>
                <w:rFonts w:hint="eastAsia" w:cs="Times New Roman"/>
                <w:snapToGrid w:val="0"/>
                <w:color w:val="auto"/>
                <w:kern w:val="21"/>
                <w:szCs w:val="21"/>
                <w:lang w:val="en-US" w:eastAsia="zh-CN"/>
              </w:rPr>
              <w:t>0.0159</w:t>
            </w:r>
            <w:r>
              <w:rPr>
                <w:rFonts w:hint="eastAsia" w:ascii="Times New Roman" w:hAnsi="Times New Roman" w:eastAsia="宋体" w:cs="Times New Roman"/>
                <w:snapToGrid w:val="0"/>
                <w:color w:val="auto"/>
                <w:kern w:val="21"/>
                <w:szCs w:val="21"/>
                <w:lang w:val="en-US" w:eastAsia="zh-CN"/>
              </w:rPr>
              <w:t xml:space="preserve"> </w:t>
            </w:r>
          </w:p>
        </w:tc>
        <w:tc>
          <w:tcPr>
            <w:tcW w:w="155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eastAsia" w:ascii="Times New Roman" w:hAnsi="Times New Roman" w:eastAsia="宋体" w:cs="Times New Roman"/>
                <w:snapToGrid w:val="0"/>
                <w:color w:val="auto"/>
                <w:kern w:val="21"/>
                <w:szCs w:val="21"/>
                <w:lang w:val="en-US" w:eastAsia="zh-CN"/>
              </w:rPr>
            </w:pPr>
          </w:p>
        </w:tc>
        <w:tc>
          <w:tcPr>
            <w:tcW w:w="1590"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snapToGrid w:val="0"/>
                <w:color w:val="auto"/>
                <w:kern w:val="21"/>
                <w:szCs w:val="21"/>
                <w:lang w:val="en-US" w:eastAsia="zh-CN"/>
              </w:rPr>
            </w:pPr>
            <w:r>
              <w:rPr>
                <w:rFonts w:hint="eastAsia" w:cs="Times New Roman"/>
                <w:snapToGrid w:val="0"/>
                <w:color w:val="auto"/>
                <w:kern w:val="21"/>
                <w:szCs w:val="21"/>
                <w:lang w:val="en-US" w:eastAsia="zh-CN"/>
              </w:rPr>
              <w:t>0.0159</w:t>
            </w:r>
            <w:r>
              <w:rPr>
                <w:rFonts w:hint="eastAsia" w:ascii="Times New Roman" w:hAnsi="Times New Roman" w:eastAsia="宋体" w:cs="Times New Roman"/>
                <w:snapToGrid w:val="0"/>
                <w:color w:val="auto"/>
                <w:kern w:val="21"/>
                <w:szCs w:val="21"/>
                <w:lang w:val="en-US" w:eastAsia="zh-CN"/>
              </w:rPr>
              <w:t xml:space="preserve"> </w:t>
            </w:r>
          </w:p>
        </w:tc>
        <w:tc>
          <w:tcPr>
            <w:tcW w:w="1399"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snapToGrid w:val="0"/>
                <w:color w:val="auto"/>
                <w:kern w:val="21"/>
                <w:szCs w:val="21"/>
                <w:lang w:val="en-US" w:eastAsia="zh-CN"/>
              </w:rPr>
            </w:pPr>
            <w:r>
              <w:rPr>
                <w:rFonts w:hint="eastAsia" w:cs="Times New Roman"/>
                <w:snapToGrid w:val="0"/>
                <w:color w:val="auto"/>
                <w:kern w:val="21"/>
                <w:szCs w:val="21"/>
                <w:lang w:val="en-US" w:eastAsia="zh-CN"/>
              </w:rPr>
              <w:t>0.0159</w:t>
            </w:r>
            <w:r>
              <w:rPr>
                <w:rFonts w:hint="eastAsia" w:ascii="Times New Roman" w:hAnsi="Times New Roman" w:eastAsia="宋体" w:cs="Times New Roman"/>
                <w:snapToGrid w:val="0"/>
                <w:color w:val="auto"/>
                <w:kern w:val="21"/>
                <w:szCs w:val="21"/>
                <w:lang w:val="en-US" w:eastAsia="zh-CN"/>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339" w:type="dxa"/>
            <w:vMerge w:val="continue"/>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775" w:type="dxa"/>
            <w:vAlign w:val="center"/>
          </w:tcPr>
          <w:p>
            <w:pPr>
              <w:pStyle w:val="37"/>
              <w:keepNext w:val="0"/>
              <w:keepLines w:val="0"/>
              <w:widowControl/>
              <w:suppressLineNumbers w:val="0"/>
              <w:bidi w:val="0"/>
              <w:spacing w:before="0" w:beforeAutospacing="0" w:after="0" w:afterAutospacing="0"/>
              <w:ind w:left="0" w:leftChars="0" w:right="0" w:rightChars="0" w:firstLine="0" w:firstLineChars="0"/>
              <w:rPr>
                <w:rFonts w:hint="default"/>
                <w:color w:val="auto"/>
                <w:szCs w:val="20"/>
                <w:lang w:val="en-US" w:eastAsia="zh-CN"/>
              </w:rPr>
            </w:pPr>
            <w:r>
              <w:rPr>
                <w:rFonts w:hint="eastAsia"/>
                <w:color w:val="auto"/>
                <w:szCs w:val="20"/>
                <w:lang w:val="en-US" w:eastAsia="zh-CN"/>
              </w:rPr>
              <w:t>氨</w:t>
            </w:r>
          </w:p>
        </w:tc>
        <w:tc>
          <w:tcPr>
            <w:tcW w:w="1650" w:type="dxa"/>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auto"/>
                <w:szCs w:val="21"/>
                <w:lang w:val="en-US" w:eastAsia="zh-CN"/>
              </w:rPr>
            </w:pPr>
          </w:p>
        </w:tc>
        <w:tc>
          <w:tcPr>
            <w:tcW w:w="1346" w:type="dxa"/>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auto"/>
                <w:szCs w:val="21"/>
                <w:lang w:val="en-US" w:eastAsia="zh-CN"/>
              </w:rPr>
            </w:pPr>
          </w:p>
        </w:tc>
        <w:tc>
          <w:tcPr>
            <w:tcW w:w="1573" w:type="dxa"/>
            <w:vAlign w:val="center"/>
          </w:tcPr>
          <w:p>
            <w:pPr>
              <w:keepNext w:val="0"/>
              <w:keepLines w:val="0"/>
              <w:suppressLineNumbers w:val="0"/>
              <w:spacing w:before="0" w:beforeAutospacing="0" w:after="0" w:afterAutospacing="0"/>
              <w:ind w:left="0" w:right="0"/>
              <w:jc w:val="center"/>
              <w:rPr>
                <w:rFonts w:hint="eastAsia"/>
                <w:snapToGrid w:val="0"/>
                <w:color w:val="auto"/>
                <w:kern w:val="21"/>
                <w:szCs w:val="21"/>
                <w:lang w:val="en-US" w:eastAsia="zh-CN"/>
              </w:rPr>
            </w:pPr>
          </w:p>
        </w:tc>
        <w:tc>
          <w:tcPr>
            <w:tcW w:w="1559"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 xml:space="preserve">0.0001 </w:t>
            </w:r>
          </w:p>
        </w:tc>
        <w:tc>
          <w:tcPr>
            <w:tcW w:w="155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42" w:leftChars="20" w:right="42" w:rightChars="20" w:firstLine="0" w:firstLineChars="0"/>
              <w:jc w:val="center"/>
              <w:textAlignment w:val="auto"/>
              <w:rPr>
                <w:rFonts w:hint="eastAsia" w:ascii="Times New Roman" w:hAnsi="Times New Roman" w:eastAsia="宋体" w:cs="Times New Roman"/>
                <w:snapToGrid w:val="0"/>
                <w:color w:val="auto"/>
                <w:kern w:val="21"/>
                <w:szCs w:val="21"/>
                <w:lang w:val="en-US" w:eastAsia="zh-CN"/>
              </w:rPr>
            </w:pPr>
          </w:p>
        </w:tc>
        <w:tc>
          <w:tcPr>
            <w:tcW w:w="1590"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 xml:space="preserve">0.0001 </w:t>
            </w:r>
          </w:p>
        </w:tc>
        <w:tc>
          <w:tcPr>
            <w:tcW w:w="1399"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 xml:space="preserve">0.0001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339" w:type="dxa"/>
            <w:vMerge w:val="restart"/>
            <w:vAlign w:val="center"/>
          </w:tcPr>
          <w:p>
            <w:pPr>
              <w:keepNext w:val="0"/>
              <w:keepLines w:val="0"/>
              <w:suppressLineNumbers w:val="0"/>
              <w:spacing w:before="0" w:beforeAutospacing="0" w:after="0" w:afterAutospacing="0"/>
              <w:ind w:left="0" w:right="0"/>
              <w:jc w:val="center"/>
              <w:rPr>
                <w:rFonts w:hint="eastAsia" w:eastAsia="宋体"/>
                <w:snapToGrid w:val="0"/>
                <w:color w:val="auto"/>
                <w:kern w:val="21"/>
                <w:szCs w:val="21"/>
                <w:lang w:eastAsia="zh-CN"/>
              </w:rPr>
            </w:pPr>
            <w:r>
              <w:rPr>
                <w:rFonts w:hint="eastAsia"/>
                <w:snapToGrid w:val="0"/>
                <w:color w:val="auto"/>
                <w:kern w:val="21"/>
                <w:szCs w:val="21"/>
                <w:lang w:val="en-US" w:eastAsia="zh-CN"/>
              </w:rPr>
              <w:t>废水</w:t>
            </w:r>
          </w:p>
        </w:tc>
        <w:tc>
          <w:tcPr>
            <w:tcW w:w="1775"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r>
              <w:rPr>
                <w:rFonts w:hint="eastAsia" w:ascii="Times New Roman" w:hAnsi="Times New Roman" w:eastAsia="宋体" w:cs="Times New Roman"/>
                <w:color w:val="auto"/>
                <w:kern w:val="2"/>
                <w:sz w:val="21"/>
                <w:szCs w:val="24"/>
                <w:lang w:val="en-US" w:eastAsia="zh-CN" w:bidi="ar-SA"/>
              </w:rPr>
              <w:t>废水量</w:t>
            </w:r>
          </w:p>
        </w:tc>
        <w:tc>
          <w:tcPr>
            <w:tcW w:w="1650"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346"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573" w:type="dxa"/>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559"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eastAsia="宋体"/>
                <w:snapToGrid w:val="0"/>
                <w:color w:val="auto"/>
                <w:kern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668.5</w:t>
            </w:r>
          </w:p>
        </w:tc>
        <w:tc>
          <w:tcPr>
            <w:tcW w:w="1557" w:type="dxa"/>
            <w:vAlign w:val="center"/>
          </w:tcPr>
          <w:p>
            <w:pPr>
              <w:keepNext w:val="0"/>
              <w:keepLines w:val="0"/>
              <w:suppressLineNumbers w:val="0"/>
              <w:spacing w:before="0" w:beforeAutospacing="0" w:after="0" w:afterAutospacing="0"/>
              <w:ind w:left="0" w:right="0"/>
              <w:jc w:val="center"/>
              <w:rPr>
                <w:rFonts w:hint="default"/>
                <w:color w:val="auto"/>
              </w:rPr>
            </w:pPr>
          </w:p>
        </w:tc>
        <w:tc>
          <w:tcPr>
            <w:tcW w:w="1590"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snapToGrid w:val="0"/>
                <w:color w:val="auto"/>
                <w:kern w:val="21"/>
                <w:szCs w:val="21"/>
              </w:rPr>
            </w:pPr>
            <w:r>
              <w:rPr>
                <w:rFonts w:hint="default" w:ascii="Times New Roman" w:hAnsi="Times New Roman" w:eastAsia="宋体" w:cs="Times New Roman"/>
                <w:i w:val="0"/>
                <w:iCs w:val="0"/>
                <w:color w:val="auto"/>
                <w:kern w:val="0"/>
                <w:sz w:val="21"/>
                <w:szCs w:val="21"/>
                <w:u w:val="none"/>
                <w:lang w:val="en-US" w:eastAsia="zh-CN" w:bidi="ar"/>
              </w:rPr>
              <w:t>668.5</w:t>
            </w:r>
          </w:p>
        </w:tc>
        <w:tc>
          <w:tcPr>
            <w:tcW w:w="1399"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snapToGrid w:val="0"/>
                <w:color w:val="auto"/>
                <w:kern w:val="21"/>
                <w:szCs w:val="21"/>
              </w:rPr>
            </w:pPr>
            <w:r>
              <w:rPr>
                <w:rFonts w:hint="default" w:ascii="Times New Roman" w:hAnsi="Times New Roman" w:eastAsia="宋体" w:cs="Times New Roman"/>
                <w:i w:val="0"/>
                <w:iCs w:val="0"/>
                <w:color w:val="auto"/>
                <w:kern w:val="0"/>
                <w:sz w:val="21"/>
                <w:szCs w:val="21"/>
                <w:u w:val="none"/>
                <w:lang w:val="en-US" w:eastAsia="zh-CN" w:bidi="ar"/>
              </w:rPr>
              <w:t>668.5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339" w:type="dxa"/>
            <w:vMerge w:val="continue"/>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775"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color w:val="auto"/>
                <w:szCs w:val="20"/>
              </w:rPr>
            </w:pPr>
            <w:r>
              <w:rPr>
                <w:rFonts w:hint="eastAsia" w:ascii="Times New Roman" w:hAnsi="Times New Roman" w:eastAsia="宋体" w:cs="Times New Roman"/>
                <w:color w:val="auto"/>
                <w:kern w:val="2"/>
                <w:sz w:val="21"/>
                <w:szCs w:val="24"/>
                <w:lang w:val="en-US" w:eastAsia="zh-CN" w:bidi="ar-SA"/>
              </w:rPr>
              <w:t>COD</w:t>
            </w:r>
          </w:p>
        </w:tc>
        <w:tc>
          <w:tcPr>
            <w:tcW w:w="1650"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346"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573" w:type="dxa"/>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559"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0.1509 </w:t>
            </w:r>
          </w:p>
        </w:tc>
        <w:tc>
          <w:tcPr>
            <w:tcW w:w="1557" w:type="dxa"/>
            <w:vAlign w:val="center"/>
          </w:tcPr>
          <w:p>
            <w:pPr>
              <w:keepNext w:val="0"/>
              <w:keepLines w:val="0"/>
              <w:suppressLineNumbers w:val="0"/>
              <w:spacing w:before="0" w:beforeAutospacing="0" w:after="0" w:afterAutospacing="0"/>
              <w:ind w:left="0" w:right="0"/>
              <w:jc w:val="center"/>
              <w:rPr>
                <w:rFonts w:hint="default"/>
                <w:color w:val="auto"/>
              </w:rPr>
            </w:pPr>
          </w:p>
        </w:tc>
        <w:tc>
          <w:tcPr>
            <w:tcW w:w="1590"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eastAsia="等线"/>
                <w:color w:val="auto"/>
                <w:kern w:val="0"/>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0.1509 </w:t>
            </w:r>
          </w:p>
        </w:tc>
        <w:tc>
          <w:tcPr>
            <w:tcW w:w="1399"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eastAsia="等线"/>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 xml:space="preserve">0.1509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339" w:type="dxa"/>
            <w:vMerge w:val="continue"/>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775"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color w:val="auto"/>
                <w:szCs w:val="20"/>
              </w:rPr>
            </w:pPr>
            <w:r>
              <w:rPr>
                <w:rFonts w:hint="eastAsia" w:ascii="Times New Roman" w:hAnsi="Times New Roman" w:eastAsia="宋体" w:cs="Times New Roman"/>
                <w:color w:val="auto"/>
                <w:kern w:val="2"/>
                <w:sz w:val="21"/>
                <w:szCs w:val="24"/>
                <w:lang w:val="en-US" w:eastAsia="zh-CN" w:bidi="ar-SA"/>
              </w:rPr>
              <w:t>氨氮</w:t>
            </w:r>
          </w:p>
        </w:tc>
        <w:tc>
          <w:tcPr>
            <w:tcW w:w="1650"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346"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573" w:type="dxa"/>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559"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0.0136 </w:t>
            </w:r>
          </w:p>
        </w:tc>
        <w:tc>
          <w:tcPr>
            <w:tcW w:w="1557" w:type="dxa"/>
            <w:vAlign w:val="center"/>
          </w:tcPr>
          <w:p>
            <w:pPr>
              <w:keepNext w:val="0"/>
              <w:keepLines w:val="0"/>
              <w:suppressLineNumbers w:val="0"/>
              <w:spacing w:before="0" w:beforeAutospacing="0" w:after="0" w:afterAutospacing="0"/>
              <w:ind w:left="0" w:right="0"/>
              <w:jc w:val="center"/>
              <w:rPr>
                <w:rFonts w:hint="default"/>
                <w:color w:val="auto"/>
              </w:rPr>
            </w:pPr>
          </w:p>
        </w:tc>
        <w:tc>
          <w:tcPr>
            <w:tcW w:w="1590"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eastAsia="等线"/>
                <w:color w:val="auto"/>
                <w:szCs w:val="21"/>
              </w:rPr>
            </w:pPr>
            <w:r>
              <w:rPr>
                <w:rFonts w:hint="default" w:ascii="Times New Roman" w:hAnsi="Times New Roman" w:eastAsia="宋体" w:cs="Times New Roman"/>
                <w:i w:val="0"/>
                <w:iCs w:val="0"/>
                <w:color w:val="auto"/>
                <w:kern w:val="0"/>
                <w:sz w:val="21"/>
                <w:szCs w:val="21"/>
                <w:u w:val="none"/>
                <w:lang w:val="en-US" w:eastAsia="zh-CN" w:bidi="ar"/>
              </w:rPr>
              <w:t xml:space="preserve">0.0136 </w:t>
            </w:r>
          </w:p>
        </w:tc>
        <w:tc>
          <w:tcPr>
            <w:tcW w:w="1399"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eastAsia="等线"/>
                <w:color w:val="auto"/>
                <w:szCs w:val="21"/>
              </w:rPr>
            </w:pPr>
            <w:r>
              <w:rPr>
                <w:rFonts w:hint="default" w:ascii="Times New Roman" w:hAnsi="Times New Roman" w:eastAsia="宋体" w:cs="Times New Roman"/>
                <w:i w:val="0"/>
                <w:iCs w:val="0"/>
                <w:color w:val="auto"/>
                <w:kern w:val="0"/>
                <w:sz w:val="21"/>
                <w:szCs w:val="21"/>
                <w:u w:val="none"/>
                <w:lang w:val="en-US" w:eastAsia="zh-CN" w:bidi="ar"/>
              </w:rPr>
              <w:t xml:space="preserve">0.0136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339" w:type="dxa"/>
            <w:vMerge w:val="continue"/>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775"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eastAsia" w:eastAsia="宋体"/>
                <w:color w:val="auto"/>
                <w:szCs w:val="20"/>
                <w:lang w:val="en-US" w:eastAsia="zh-CN"/>
              </w:rPr>
            </w:pPr>
            <w:r>
              <w:rPr>
                <w:rFonts w:hint="eastAsia" w:ascii="Times New Roman" w:hAnsi="Times New Roman" w:eastAsia="宋体" w:cs="Times New Roman"/>
                <w:color w:val="auto"/>
                <w:kern w:val="2"/>
                <w:sz w:val="21"/>
                <w:szCs w:val="24"/>
                <w:lang w:val="en-US" w:eastAsia="zh-CN" w:bidi="ar-SA"/>
              </w:rPr>
              <w:t>BOD</w:t>
            </w:r>
            <w:r>
              <w:rPr>
                <w:rFonts w:hint="eastAsia" w:ascii="Times New Roman" w:hAnsi="Times New Roman" w:eastAsia="宋体" w:cs="Times New Roman"/>
                <w:color w:val="auto"/>
                <w:kern w:val="2"/>
                <w:sz w:val="21"/>
                <w:szCs w:val="24"/>
                <w:vertAlign w:val="subscript"/>
                <w:lang w:val="en-US" w:eastAsia="zh-CN" w:bidi="ar-SA"/>
              </w:rPr>
              <w:t>5</w:t>
            </w:r>
          </w:p>
        </w:tc>
        <w:tc>
          <w:tcPr>
            <w:tcW w:w="1650"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346"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573" w:type="dxa"/>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559"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0.0765 </w:t>
            </w:r>
          </w:p>
        </w:tc>
        <w:tc>
          <w:tcPr>
            <w:tcW w:w="1557" w:type="dxa"/>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590"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eastAsia="等线"/>
                <w:color w:val="auto"/>
                <w:kern w:val="0"/>
                <w:szCs w:val="21"/>
                <w:lang w:bidi="ar"/>
              </w:rPr>
            </w:pPr>
            <w:r>
              <w:rPr>
                <w:rFonts w:hint="default" w:ascii="Times New Roman" w:hAnsi="Times New Roman" w:eastAsia="宋体" w:cs="Times New Roman"/>
                <w:i w:val="0"/>
                <w:iCs w:val="0"/>
                <w:color w:val="auto"/>
                <w:kern w:val="0"/>
                <w:sz w:val="21"/>
                <w:szCs w:val="21"/>
                <w:u w:val="none"/>
                <w:lang w:val="en-US" w:eastAsia="zh-CN" w:bidi="ar"/>
              </w:rPr>
              <w:t xml:space="preserve">0.0765 </w:t>
            </w:r>
          </w:p>
        </w:tc>
        <w:tc>
          <w:tcPr>
            <w:tcW w:w="1399"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eastAsia="等线"/>
                <w:color w:val="auto"/>
                <w:kern w:val="0"/>
                <w:szCs w:val="21"/>
                <w:lang w:bidi="ar"/>
              </w:rPr>
            </w:pPr>
            <w:r>
              <w:rPr>
                <w:rFonts w:hint="default" w:ascii="Times New Roman" w:hAnsi="Times New Roman" w:eastAsia="宋体" w:cs="Times New Roman"/>
                <w:i w:val="0"/>
                <w:iCs w:val="0"/>
                <w:color w:val="auto"/>
                <w:kern w:val="0"/>
                <w:sz w:val="21"/>
                <w:szCs w:val="21"/>
                <w:u w:val="none"/>
                <w:lang w:val="en-US" w:eastAsia="zh-CN" w:bidi="ar"/>
              </w:rPr>
              <w:t xml:space="preserve">0.0765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339" w:type="dxa"/>
            <w:vMerge w:val="continue"/>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775"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eastAsia"/>
                <w:color w:val="auto"/>
                <w:szCs w:val="20"/>
                <w:lang w:val="en-US" w:eastAsia="zh-CN"/>
              </w:rPr>
            </w:pPr>
            <w:r>
              <w:rPr>
                <w:rFonts w:hint="eastAsia" w:ascii="Times New Roman" w:hAnsi="Times New Roman" w:eastAsia="宋体" w:cs="Times New Roman"/>
                <w:color w:val="auto"/>
                <w:kern w:val="2"/>
                <w:sz w:val="21"/>
                <w:szCs w:val="24"/>
                <w:lang w:val="en-US" w:eastAsia="zh-CN" w:bidi="ar-SA"/>
              </w:rPr>
              <w:t>SS</w:t>
            </w:r>
          </w:p>
        </w:tc>
        <w:tc>
          <w:tcPr>
            <w:tcW w:w="1650"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346"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573" w:type="dxa"/>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559"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0.0659 </w:t>
            </w:r>
          </w:p>
        </w:tc>
        <w:tc>
          <w:tcPr>
            <w:tcW w:w="1557" w:type="dxa"/>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590"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eastAsia="等线"/>
                <w:color w:val="auto"/>
                <w:kern w:val="0"/>
                <w:szCs w:val="21"/>
                <w:lang w:bidi="ar"/>
              </w:rPr>
            </w:pPr>
            <w:r>
              <w:rPr>
                <w:rFonts w:hint="default" w:ascii="Times New Roman" w:hAnsi="Times New Roman" w:eastAsia="宋体" w:cs="Times New Roman"/>
                <w:i w:val="0"/>
                <w:iCs w:val="0"/>
                <w:color w:val="auto"/>
                <w:kern w:val="0"/>
                <w:sz w:val="21"/>
                <w:szCs w:val="21"/>
                <w:u w:val="none"/>
                <w:lang w:val="en-US" w:eastAsia="zh-CN" w:bidi="ar"/>
              </w:rPr>
              <w:t xml:space="preserve">0.0659 </w:t>
            </w:r>
          </w:p>
        </w:tc>
        <w:tc>
          <w:tcPr>
            <w:tcW w:w="1399"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eastAsia="等线"/>
                <w:color w:val="auto"/>
                <w:kern w:val="0"/>
                <w:szCs w:val="21"/>
                <w:lang w:bidi="ar"/>
              </w:rPr>
            </w:pPr>
            <w:r>
              <w:rPr>
                <w:rFonts w:hint="default" w:ascii="Times New Roman" w:hAnsi="Times New Roman" w:eastAsia="宋体" w:cs="Times New Roman"/>
                <w:i w:val="0"/>
                <w:iCs w:val="0"/>
                <w:color w:val="auto"/>
                <w:kern w:val="0"/>
                <w:sz w:val="21"/>
                <w:szCs w:val="21"/>
                <w:u w:val="none"/>
                <w:lang w:val="en-US" w:eastAsia="zh-CN" w:bidi="ar"/>
              </w:rPr>
              <w:t xml:space="preserve">0.0659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339" w:type="dxa"/>
            <w:vMerge w:val="restart"/>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r>
              <w:rPr>
                <w:rFonts w:hint="default"/>
                <w:snapToGrid w:val="0"/>
                <w:color w:val="auto"/>
                <w:kern w:val="21"/>
                <w:szCs w:val="21"/>
              </w:rPr>
              <w:t>一般工业</w:t>
            </w:r>
          </w:p>
          <w:p>
            <w:pPr>
              <w:keepNext w:val="0"/>
              <w:keepLines w:val="0"/>
              <w:suppressLineNumbers w:val="0"/>
              <w:spacing w:before="0" w:beforeAutospacing="0" w:after="0" w:afterAutospacing="0"/>
              <w:ind w:left="0" w:right="0"/>
              <w:jc w:val="center"/>
              <w:rPr>
                <w:rFonts w:hint="default"/>
                <w:snapToGrid w:val="0"/>
                <w:color w:val="auto"/>
                <w:kern w:val="21"/>
                <w:szCs w:val="21"/>
              </w:rPr>
            </w:pPr>
            <w:r>
              <w:rPr>
                <w:rFonts w:hint="default"/>
                <w:snapToGrid w:val="0"/>
                <w:color w:val="auto"/>
                <w:kern w:val="21"/>
                <w:szCs w:val="21"/>
              </w:rPr>
              <w:t>固体废物</w:t>
            </w:r>
          </w:p>
        </w:tc>
        <w:tc>
          <w:tcPr>
            <w:tcW w:w="177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kern w:val="0"/>
              </w:rPr>
            </w:pPr>
            <w:r>
              <w:rPr>
                <w:rFonts w:hint="default" w:ascii="Times New Roman" w:hAnsi="Times New Roman" w:cs="Times New Roman"/>
                <w:color w:val="auto"/>
                <w:lang w:val="en-US" w:eastAsia="zh-CN"/>
              </w:rPr>
              <w:t>水样</w:t>
            </w:r>
            <w:r>
              <w:rPr>
                <w:rFonts w:hint="eastAsia" w:ascii="Times New Roman" w:hAnsi="Times New Roman" w:cs="Times New Roman"/>
                <w:color w:val="auto"/>
                <w:lang w:val="en-US" w:eastAsia="zh-CN"/>
              </w:rPr>
              <w:t>包装物</w:t>
            </w:r>
          </w:p>
        </w:tc>
        <w:tc>
          <w:tcPr>
            <w:tcW w:w="1650"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346"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573" w:type="dxa"/>
            <w:vAlign w:val="center"/>
          </w:tcPr>
          <w:p>
            <w:pPr>
              <w:keepNext w:val="0"/>
              <w:keepLines w:val="0"/>
              <w:suppressLineNumbers w:val="0"/>
              <w:spacing w:before="0" w:beforeAutospacing="0" w:after="0" w:afterAutospacing="0"/>
              <w:ind w:left="0" w:right="0"/>
              <w:jc w:val="center"/>
              <w:rPr>
                <w:rFonts w:hint="eastAsia" w:eastAsia="宋体"/>
                <w:snapToGrid w:val="0"/>
                <w:color w:val="auto"/>
                <w:kern w:val="21"/>
                <w:szCs w:val="21"/>
                <w:lang w:val="en-US" w:eastAsia="zh-CN"/>
              </w:rPr>
            </w:pPr>
          </w:p>
        </w:tc>
        <w:tc>
          <w:tcPr>
            <w:tcW w:w="155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cs="Times New Roman"/>
                <w:b w:val="0"/>
                <w:bCs w:val="0"/>
                <w:color w:val="auto"/>
                <w:sz w:val="21"/>
                <w:szCs w:val="21"/>
                <w:lang w:val="en-US" w:eastAsia="zh-CN"/>
              </w:rPr>
              <w:t>0.2</w:t>
            </w:r>
          </w:p>
        </w:tc>
        <w:tc>
          <w:tcPr>
            <w:tcW w:w="1557" w:type="dxa"/>
            <w:vAlign w:val="center"/>
          </w:tcPr>
          <w:p>
            <w:pPr>
              <w:keepNext w:val="0"/>
              <w:keepLines w:val="0"/>
              <w:suppressLineNumbers w:val="0"/>
              <w:spacing w:before="0" w:beforeAutospacing="0" w:after="0" w:afterAutospacing="0"/>
              <w:ind w:left="0" w:right="0"/>
              <w:jc w:val="center"/>
              <w:rPr>
                <w:rFonts w:hint="default"/>
                <w:color w:val="auto"/>
              </w:rPr>
            </w:pPr>
          </w:p>
        </w:tc>
        <w:tc>
          <w:tcPr>
            <w:tcW w:w="1590"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eastAsia"/>
                <w:color w:val="auto"/>
                <w:lang w:val="en-US" w:eastAsia="zh-CN"/>
              </w:rPr>
            </w:pPr>
            <w:r>
              <w:rPr>
                <w:rFonts w:hint="eastAsia" w:ascii="Times New Roman" w:hAnsi="Times New Roman" w:cs="Times New Roman"/>
                <w:b w:val="0"/>
                <w:bCs w:val="0"/>
                <w:color w:val="auto"/>
                <w:sz w:val="21"/>
                <w:szCs w:val="21"/>
                <w:lang w:val="en-US" w:eastAsia="zh-CN"/>
              </w:rPr>
              <w:t>0.2</w:t>
            </w:r>
          </w:p>
        </w:tc>
        <w:tc>
          <w:tcPr>
            <w:tcW w:w="139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cs="Times New Roman"/>
                <w:b w:val="0"/>
                <w:bCs w:val="0"/>
                <w:color w:val="auto"/>
                <w:sz w:val="21"/>
                <w:szCs w:val="21"/>
                <w:lang w:val="en-US" w:eastAsia="zh-CN"/>
              </w:rPr>
              <w:t>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339" w:type="dxa"/>
            <w:vMerge w:val="continue"/>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77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color w:val="auto"/>
                <w:kern w:val="0"/>
              </w:rPr>
            </w:pPr>
            <w:r>
              <w:rPr>
                <w:rFonts w:hint="eastAsia"/>
                <w:color w:val="auto"/>
                <w:sz w:val="21"/>
                <w:szCs w:val="21"/>
                <w:lang w:val="en-US" w:eastAsia="zh-CN"/>
              </w:rPr>
              <w:t>废树脂、废过滤材料</w:t>
            </w:r>
          </w:p>
        </w:tc>
        <w:tc>
          <w:tcPr>
            <w:tcW w:w="1650"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346"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573" w:type="dxa"/>
            <w:vAlign w:val="center"/>
          </w:tcPr>
          <w:p>
            <w:pPr>
              <w:keepNext w:val="0"/>
              <w:keepLines w:val="0"/>
              <w:suppressLineNumbers w:val="0"/>
              <w:spacing w:before="0" w:beforeAutospacing="0" w:after="0" w:afterAutospacing="0"/>
              <w:ind w:left="0" w:right="0"/>
              <w:jc w:val="center"/>
              <w:rPr>
                <w:rFonts w:hint="eastAsia" w:eastAsia="宋体"/>
                <w:snapToGrid w:val="0"/>
                <w:color w:val="auto"/>
                <w:kern w:val="21"/>
                <w:szCs w:val="21"/>
                <w:lang w:val="en-US" w:eastAsia="zh-CN"/>
              </w:rPr>
            </w:pPr>
          </w:p>
        </w:tc>
        <w:tc>
          <w:tcPr>
            <w:tcW w:w="155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cs="Times New Roman"/>
                <w:b w:val="0"/>
                <w:bCs w:val="0"/>
                <w:color w:val="auto"/>
                <w:sz w:val="21"/>
                <w:szCs w:val="21"/>
                <w:lang w:val="en-US" w:eastAsia="zh-CN"/>
              </w:rPr>
              <w:t>0.035</w:t>
            </w:r>
          </w:p>
        </w:tc>
        <w:tc>
          <w:tcPr>
            <w:tcW w:w="1557" w:type="dxa"/>
            <w:vAlign w:val="center"/>
          </w:tcPr>
          <w:p>
            <w:pPr>
              <w:keepNext w:val="0"/>
              <w:keepLines w:val="0"/>
              <w:suppressLineNumbers w:val="0"/>
              <w:spacing w:before="0" w:beforeAutospacing="0" w:after="0" w:afterAutospacing="0"/>
              <w:ind w:left="0" w:right="0"/>
              <w:jc w:val="center"/>
              <w:rPr>
                <w:rFonts w:hint="default"/>
                <w:color w:val="auto"/>
              </w:rPr>
            </w:pPr>
          </w:p>
        </w:tc>
        <w:tc>
          <w:tcPr>
            <w:tcW w:w="1590"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eastAsia"/>
                <w:color w:val="auto"/>
                <w:lang w:val="en-US" w:eastAsia="zh-CN"/>
              </w:rPr>
            </w:pPr>
            <w:r>
              <w:rPr>
                <w:rFonts w:hint="eastAsia" w:ascii="Times New Roman" w:hAnsi="Times New Roman" w:cs="Times New Roman"/>
                <w:b w:val="0"/>
                <w:bCs w:val="0"/>
                <w:color w:val="auto"/>
                <w:sz w:val="21"/>
                <w:szCs w:val="21"/>
                <w:lang w:val="en-US" w:eastAsia="zh-CN"/>
              </w:rPr>
              <w:t>0.035</w:t>
            </w:r>
          </w:p>
        </w:tc>
        <w:tc>
          <w:tcPr>
            <w:tcW w:w="139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cs="Times New Roman"/>
                <w:b w:val="0"/>
                <w:bCs w:val="0"/>
                <w:color w:val="auto"/>
                <w:sz w:val="21"/>
                <w:szCs w:val="21"/>
                <w:lang w:val="en-US" w:eastAsia="zh-CN"/>
              </w:rPr>
              <w:t>0.035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339" w:type="dxa"/>
            <w:vMerge w:val="continue"/>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77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eastAsia"/>
                <w:color w:val="auto"/>
                <w:sz w:val="21"/>
                <w:szCs w:val="21"/>
                <w:lang w:val="en-US" w:eastAsia="zh-CN"/>
              </w:rPr>
            </w:pPr>
            <w:r>
              <w:rPr>
                <w:rFonts w:hint="eastAsia" w:ascii="Times New Roman" w:hAnsi="Times New Roman" w:cs="Times New Roman"/>
                <w:color w:val="auto"/>
                <w:sz w:val="21"/>
                <w:szCs w:val="21"/>
                <w:lang w:val="en-US" w:eastAsia="zh-CN"/>
              </w:rPr>
              <w:t>微生物废样品</w:t>
            </w:r>
          </w:p>
        </w:tc>
        <w:tc>
          <w:tcPr>
            <w:tcW w:w="1650"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346"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573" w:type="dxa"/>
            <w:vAlign w:val="center"/>
          </w:tcPr>
          <w:p>
            <w:pPr>
              <w:keepNext w:val="0"/>
              <w:keepLines w:val="0"/>
              <w:suppressLineNumbers w:val="0"/>
              <w:spacing w:before="0" w:beforeAutospacing="0" w:after="0" w:afterAutospacing="0"/>
              <w:ind w:left="0" w:right="0"/>
              <w:jc w:val="center"/>
              <w:rPr>
                <w:rFonts w:hint="eastAsia" w:eastAsia="宋体"/>
                <w:snapToGrid w:val="0"/>
                <w:color w:val="auto"/>
                <w:kern w:val="21"/>
                <w:szCs w:val="21"/>
                <w:lang w:val="en-US" w:eastAsia="zh-CN"/>
              </w:rPr>
            </w:pPr>
          </w:p>
        </w:tc>
        <w:tc>
          <w:tcPr>
            <w:tcW w:w="155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0.2</w:t>
            </w:r>
          </w:p>
        </w:tc>
        <w:tc>
          <w:tcPr>
            <w:tcW w:w="1557" w:type="dxa"/>
            <w:vAlign w:val="center"/>
          </w:tcPr>
          <w:p>
            <w:pPr>
              <w:keepNext w:val="0"/>
              <w:keepLines w:val="0"/>
              <w:suppressLineNumbers w:val="0"/>
              <w:spacing w:before="0" w:beforeAutospacing="0" w:after="0" w:afterAutospacing="0"/>
              <w:ind w:left="0" w:leftChars="0" w:right="0" w:rightChars="0"/>
              <w:jc w:val="center"/>
              <w:rPr>
                <w:rFonts w:hint="default"/>
                <w:color w:val="auto"/>
              </w:rPr>
            </w:pPr>
          </w:p>
        </w:tc>
        <w:tc>
          <w:tcPr>
            <w:tcW w:w="1590"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0.2</w:t>
            </w:r>
          </w:p>
        </w:tc>
        <w:tc>
          <w:tcPr>
            <w:tcW w:w="139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339" w:type="dxa"/>
            <w:vMerge w:val="restart"/>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r>
              <w:rPr>
                <w:rFonts w:hint="default"/>
                <w:snapToGrid w:val="0"/>
                <w:color w:val="auto"/>
                <w:kern w:val="21"/>
                <w:szCs w:val="21"/>
              </w:rPr>
              <w:t>危险废物</w:t>
            </w:r>
          </w:p>
        </w:tc>
        <w:tc>
          <w:tcPr>
            <w:tcW w:w="177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z w:val="21"/>
              </w:rPr>
            </w:pPr>
            <w:r>
              <w:rPr>
                <w:rFonts w:hint="default"/>
                <w:color w:val="auto"/>
                <w:lang w:val="en-US" w:eastAsia="zh-CN"/>
              </w:rPr>
              <w:t>废</w:t>
            </w:r>
            <w:r>
              <w:rPr>
                <w:rFonts w:hint="eastAsia"/>
                <w:color w:val="auto"/>
                <w:lang w:val="en-US" w:eastAsia="zh-CN"/>
              </w:rPr>
              <w:t>试剂</w:t>
            </w:r>
            <w:r>
              <w:rPr>
                <w:rFonts w:hint="default"/>
                <w:color w:val="auto"/>
                <w:lang w:val="en-US" w:eastAsia="zh-CN"/>
              </w:rPr>
              <w:t>包装</w:t>
            </w:r>
            <w:r>
              <w:rPr>
                <w:rFonts w:hint="eastAsia"/>
                <w:color w:val="auto"/>
                <w:lang w:val="en-US" w:eastAsia="zh-CN"/>
              </w:rPr>
              <w:t>物</w:t>
            </w:r>
          </w:p>
        </w:tc>
        <w:tc>
          <w:tcPr>
            <w:tcW w:w="1650"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346"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573" w:type="dxa"/>
            <w:vAlign w:val="center"/>
          </w:tcPr>
          <w:p>
            <w:pPr>
              <w:keepNext w:val="0"/>
              <w:keepLines w:val="0"/>
              <w:suppressLineNumbers w:val="0"/>
              <w:spacing w:before="0" w:beforeAutospacing="0" w:after="0" w:afterAutospacing="0"/>
              <w:ind w:left="0" w:right="0"/>
              <w:jc w:val="center"/>
              <w:rPr>
                <w:rFonts w:hint="eastAsia" w:eastAsia="宋体"/>
                <w:snapToGrid w:val="0"/>
                <w:color w:val="auto"/>
                <w:kern w:val="21"/>
                <w:szCs w:val="21"/>
                <w:lang w:val="en-US" w:eastAsia="zh-CN"/>
              </w:rPr>
            </w:pPr>
          </w:p>
        </w:tc>
        <w:tc>
          <w:tcPr>
            <w:tcW w:w="155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cs="Times New Roman"/>
                <w:b w:val="0"/>
                <w:bCs w:val="0"/>
                <w:color w:val="auto"/>
                <w:sz w:val="21"/>
                <w:szCs w:val="21"/>
                <w:lang w:val="en-US" w:eastAsia="zh-CN"/>
              </w:rPr>
              <w:t>0.02</w:t>
            </w:r>
          </w:p>
        </w:tc>
        <w:tc>
          <w:tcPr>
            <w:tcW w:w="1557" w:type="dxa"/>
            <w:vAlign w:val="center"/>
          </w:tcPr>
          <w:p>
            <w:pPr>
              <w:keepNext w:val="0"/>
              <w:keepLines w:val="0"/>
              <w:suppressLineNumbers w:val="0"/>
              <w:spacing w:before="0" w:beforeAutospacing="0" w:after="0" w:afterAutospacing="0"/>
              <w:ind w:left="0" w:right="0"/>
              <w:jc w:val="center"/>
              <w:rPr>
                <w:rFonts w:hint="default"/>
                <w:color w:val="auto"/>
              </w:rPr>
            </w:pPr>
          </w:p>
        </w:tc>
        <w:tc>
          <w:tcPr>
            <w:tcW w:w="1590"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eastAsia"/>
                <w:color w:val="auto"/>
                <w:lang w:val="en-US" w:eastAsia="zh-CN"/>
              </w:rPr>
            </w:pPr>
            <w:r>
              <w:rPr>
                <w:rFonts w:hint="eastAsia" w:ascii="Times New Roman" w:hAnsi="Times New Roman" w:cs="Times New Roman"/>
                <w:b w:val="0"/>
                <w:bCs w:val="0"/>
                <w:color w:val="auto"/>
                <w:sz w:val="21"/>
                <w:szCs w:val="21"/>
                <w:lang w:val="en-US" w:eastAsia="zh-CN"/>
              </w:rPr>
              <w:t>0.02</w:t>
            </w:r>
          </w:p>
        </w:tc>
        <w:tc>
          <w:tcPr>
            <w:tcW w:w="139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cs="Times New Roman"/>
                <w:b w:val="0"/>
                <w:bCs w:val="0"/>
                <w:color w:val="auto"/>
                <w:sz w:val="21"/>
                <w:szCs w:val="21"/>
                <w:lang w:val="en-US" w:eastAsia="zh-CN"/>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339" w:type="dxa"/>
            <w:vMerge w:val="continue"/>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77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z w:val="21"/>
              </w:rPr>
            </w:pPr>
            <w:r>
              <w:rPr>
                <w:rFonts w:hint="eastAsia"/>
                <w:color w:val="auto"/>
                <w:sz w:val="21"/>
                <w:szCs w:val="21"/>
                <w:lang w:val="en-US" w:eastAsia="zh-CN"/>
              </w:rPr>
              <w:t>高浓度废液</w:t>
            </w:r>
          </w:p>
        </w:tc>
        <w:tc>
          <w:tcPr>
            <w:tcW w:w="1650"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346"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573" w:type="dxa"/>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55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cs="Times New Roman"/>
                <w:b w:val="0"/>
                <w:bCs w:val="0"/>
                <w:color w:val="auto"/>
                <w:sz w:val="21"/>
                <w:szCs w:val="21"/>
                <w:lang w:val="en-US" w:eastAsia="zh-CN"/>
              </w:rPr>
              <w:t>4.8</w:t>
            </w:r>
          </w:p>
        </w:tc>
        <w:tc>
          <w:tcPr>
            <w:tcW w:w="1557" w:type="dxa"/>
            <w:vAlign w:val="center"/>
          </w:tcPr>
          <w:p>
            <w:pPr>
              <w:keepNext w:val="0"/>
              <w:keepLines w:val="0"/>
              <w:suppressLineNumbers w:val="0"/>
              <w:spacing w:before="0" w:beforeAutospacing="0" w:after="0" w:afterAutospacing="0"/>
              <w:ind w:left="0" w:right="0"/>
              <w:jc w:val="center"/>
              <w:rPr>
                <w:rFonts w:hint="default"/>
                <w:color w:val="auto"/>
              </w:rPr>
            </w:pPr>
          </w:p>
        </w:tc>
        <w:tc>
          <w:tcPr>
            <w:tcW w:w="1590"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eastAsia"/>
                <w:color w:val="auto"/>
                <w:lang w:val="en-US" w:eastAsia="zh-CN"/>
              </w:rPr>
            </w:pPr>
            <w:r>
              <w:rPr>
                <w:rFonts w:hint="eastAsia" w:ascii="Times New Roman" w:hAnsi="Times New Roman" w:cs="Times New Roman"/>
                <w:b w:val="0"/>
                <w:bCs w:val="0"/>
                <w:color w:val="auto"/>
                <w:sz w:val="21"/>
                <w:szCs w:val="21"/>
                <w:lang w:val="en-US" w:eastAsia="zh-CN"/>
              </w:rPr>
              <w:t>4.8</w:t>
            </w:r>
          </w:p>
        </w:tc>
        <w:tc>
          <w:tcPr>
            <w:tcW w:w="139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cs="Times New Roman"/>
                <w:b w:val="0"/>
                <w:bCs w:val="0"/>
                <w:color w:val="auto"/>
                <w:sz w:val="21"/>
                <w:szCs w:val="21"/>
                <w:lang w:val="en-US" w:eastAsia="zh-CN"/>
              </w:rPr>
              <w:t>4.8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339" w:type="dxa"/>
            <w:vMerge w:val="continue"/>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77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z w:val="21"/>
              </w:rPr>
            </w:pPr>
            <w:r>
              <w:rPr>
                <w:rFonts w:hint="eastAsia" w:ascii="Times New Roman" w:hAnsi="Times New Roman" w:eastAsia="宋体" w:cs="宋体"/>
                <w:color w:val="auto"/>
                <w:lang w:val="en-US" w:eastAsia="zh-CN"/>
              </w:rPr>
              <w:t>实验室废物</w:t>
            </w:r>
          </w:p>
        </w:tc>
        <w:tc>
          <w:tcPr>
            <w:tcW w:w="1650"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346"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573" w:type="dxa"/>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55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b w:val="0"/>
                <w:bCs w:val="0"/>
                <w:color w:val="auto"/>
                <w:sz w:val="21"/>
                <w:szCs w:val="21"/>
                <w:lang w:val="en-US" w:eastAsia="zh-CN"/>
              </w:rPr>
              <w:t>0.5</w:t>
            </w:r>
          </w:p>
        </w:tc>
        <w:tc>
          <w:tcPr>
            <w:tcW w:w="1557" w:type="dxa"/>
            <w:vAlign w:val="center"/>
          </w:tcPr>
          <w:p>
            <w:pPr>
              <w:keepNext w:val="0"/>
              <w:keepLines w:val="0"/>
              <w:suppressLineNumbers w:val="0"/>
              <w:spacing w:before="0" w:beforeAutospacing="0" w:after="0" w:afterAutospacing="0"/>
              <w:ind w:left="0" w:right="0"/>
              <w:jc w:val="center"/>
              <w:rPr>
                <w:rFonts w:hint="default"/>
                <w:color w:val="auto"/>
              </w:rPr>
            </w:pPr>
          </w:p>
        </w:tc>
        <w:tc>
          <w:tcPr>
            <w:tcW w:w="1590"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eastAsia"/>
                <w:color w:val="auto"/>
                <w:lang w:val="en-US" w:eastAsia="zh-CN"/>
              </w:rPr>
            </w:pPr>
            <w:r>
              <w:rPr>
                <w:rFonts w:hint="eastAsia" w:ascii="Times New Roman" w:hAnsi="Times New Roman" w:eastAsia="宋体" w:cs="Times New Roman"/>
                <w:b w:val="0"/>
                <w:bCs w:val="0"/>
                <w:color w:val="auto"/>
                <w:sz w:val="21"/>
                <w:szCs w:val="21"/>
                <w:lang w:val="en-US" w:eastAsia="zh-CN"/>
              </w:rPr>
              <w:t>0.5</w:t>
            </w:r>
          </w:p>
        </w:tc>
        <w:tc>
          <w:tcPr>
            <w:tcW w:w="139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b w:val="0"/>
                <w:bCs w:val="0"/>
                <w:color w:val="auto"/>
                <w:sz w:val="21"/>
                <w:szCs w:val="21"/>
                <w:lang w:val="en-US" w:eastAsia="zh-CN"/>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339" w:type="dxa"/>
            <w:vMerge w:val="continue"/>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77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rPr>
            </w:pPr>
            <w:r>
              <w:rPr>
                <w:rFonts w:hint="eastAsia"/>
                <w:color w:val="auto"/>
                <w:sz w:val="21"/>
                <w:szCs w:val="21"/>
                <w:lang w:val="en-US" w:eastAsia="zh-CN"/>
              </w:rPr>
              <w:t>喷淋废液</w:t>
            </w:r>
          </w:p>
        </w:tc>
        <w:tc>
          <w:tcPr>
            <w:tcW w:w="1650"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346"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573" w:type="dxa"/>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55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b w:val="0"/>
                <w:bCs w:val="0"/>
                <w:color w:val="auto"/>
                <w:sz w:val="21"/>
                <w:szCs w:val="21"/>
                <w:lang w:val="en-US" w:eastAsia="zh-CN"/>
              </w:rPr>
              <w:t>1</w:t>
            </w:r>
          </w:p>
        </w:tc>
        <w:tc>
          <w:tcPr>
            <w:tcW w:w="1557" w:type="dxa"/>
            <w:vAlign w:val="center"/>
          </w:tcPr>
          <w:p>
            <w:pPr>
              <w:keepNext w:val="0"/>
              <w:keepLines w:val="0"/>
              <w:suppressLineNumbers w:val="0"/>
              <w:spacing w:before="0" w:beforeAutospacing="0" w:after="0" w:afterAutospacing="0"/>
              <w:ind w:left="0" w:right="0"/>
              <w:jc w:val="center"/>
              <w:rPr>
                <w:rFonts w:hint="default"/>
                <w:color w:val="auto"/>
              </w:rPr>
            </w:pPr>
          </w:p>
        </w:tc>
        <w:tc>
          <w:tcPr>
            <w:tcW w:w="1590"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color w:val="auto"/>
                <w:lang w:val="en-US" w:eastAsia="zh-CN"/>
              </w:rPr>
            </w:pPr>
            <w:r>
              <w:rPr>
                <w:rFonts w:hint="eastAsia" w:ascii="Times New Roman" w:hAnsi="Times New Roman" w:eastAsia="宋体" w:cs="Times New Roman"/>
                <w:b w:val="0"/>
                <w:bCs w:val="0"/>
                <w:color w:val="auto"/>
                <w:sz w:val="21"/>
                <w:szCs w:val="21"/>
                <w:lang w:val="en-US" w:eastAsia="zh-CN"/>
              </w:rPr>
              <w:t>1</w:t>
            </w:r>
          </w:p>
        </w:tc>
        <w:tc>
          <w:tcPr>
            <w:tcW w:w="139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b w:val="0"/>
                <w:bCs w:val="0"/>
                <w:color w:val="auto"/>
                <w:sz w:val="21"/>
                <w:szCs w:val="21"/>
                <w:lang w:val="en-US" w:eastAsia="zh-CN"/>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339" w:type="dxa"/>
            <w:vMerge w:val="continue"/>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77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rPr>
            </w:pPr>
            <w:r>
              <w:rPr>
                <w:rFonts w:hint="eastAsia"/>
                <w:color w:val="auto"/>
                <w:sz w:val="21"/>
                <w:szCs w:val="21"/>
                <w:lang w:val="en-US" w:eastAsia="zh-CN"/>
              </w:rPr>
              <w:t>废试剂</w:t>
            </w:r>
          </w:p>
        </w:tc>
        <w:tc>
          <w:tcPr>
            <w:tcW w:w="1650"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346"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573" w:type="dxa"/>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55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b w:val="0"/>
                <w:bCs w:val="0"/>
                <w:color w:val="auto"/>
                <w:sz w:val="21"/>
                <w:szCs w:val="21"/>
                <w:lang w:val="en-US" w:eastAsia="zh-CN"/>
              </w:rPr>
              <w:t>0.01</w:t>
            </w:r>
          </w:p>
        </w:tc>
        <w:tc>
          <w:tcPr>
            <w:tcW w:w="1557" w:type="dxa"/>
            <w:vAlign w:val="center"/>
          </w:tcPr>
          <w:p>
            <w:pPr>
              <w:keepNext w:val="0"/>
              <w:keepLines w:val="0"/>
              <w:suppressLineNumbers w:val="0"/>
              <w:spacing w:before="0" w:beforeAutospacing="0" w:after="0" w:afterAutospacing="0"/>
              <w:ind w:left="0" w:right="0"/>
              <w:jc w:val="center"/>
              <w:rPr>
                <w:rFonts w:hint="default"/>
                <w:color w:val="auto"/>
              </w:rPr>
            </w:pPr>
          </w:p>
        </w:tc>
        <w:tc>
          <w:tcPr>
            <w:tcW w:w="1590"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color w:val="auto"/>
                <w:lang w:val="en-US" w:eastAsia="zh-CN"/>
              </w:rPr>
            </w:pPr>
            <w:r>
              <w:rPr>
                <w:rFonts w:hint="eastAsia" w:ascii="Times New Roman" w:hAnsi="Times New Roman" w:eastAsia="宋体" w:cs="Times New Roman"/>
                <w:b w:val="0"/>
                <w:bCs w:val="0"/>
                <w:color w:val="auto"/>
                <w:sz w:val="21"/>
                <w:szCs w:val="21"/>
                <w:lang w:val="en-US" w:eastAsia="zh-CN"/>
              </w:rPr>
              <w:t>0.01</w:t>
            </w:r>
          </w:p>
        </w:tc>
        <w:tc>
          <w:tcPr>
            <w:tcW w:w="139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b w:val="0"/>
                <w:bCs w:val="0"/>
                <w:color w:val="auto"/>
                <w:sz w:val="21"/>
                <w:szCs w:val="21"/>
                <w:lang w:val="en-US" w:eastAsia="zh-CN"/>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339" w:type="dxa"/>
            <w:vMerge w:val="continue"/>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77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olor w:val="auto"/>
                <w:sz w:val="21"/>
                <w:szCs w:val="21"/>
                <w:lang w:val="en-US" w:eastAsia="zh-CN"/>
              </w:rPr>
            </w:pPr>
            <w:r>
              <w:rPr>
                <w:rFonts w:hint="eastAsia"/>
                <w:color w:val="auto"/>
                <w:sz w:val="21"/>
                <w:szCs w:val="21"/>
                <w:lang w:val="en-US" w:eastAsia="zh-CN"/>
              </w:rPr>
              <w:t>废活性炭</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rPr>
            </w:pPr>
            <w:r>
              <w:rPr>
                <w:rFonts w:hint="eastAsia"/>
                <w:color w:val="auto"/>
                <w:sz w:val="21"/>
                <w:szCs w:val="21"/>
                <w:lang w:val="en-US" w:eastAsia="zh-CN"/>
              </w:rPr>
              <w:t>（废气处理）</w:t>
            </w:r>
          </w:p>
        </w:tc>
        <w:tc>
          <w:tcPr>
            <w:tcW w:w="1650"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346"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573" w:type="dxa"/>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55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color w:val="auto"/>
                <w:u w:val="none"/>
                <w:lang w:val="en-US" w:eastAsia="zh-CN"/>
              </w:rPr>
              <w:t>0.</w:t>
            </w:r>
            <w:r>
              <w:rPr>
                <w:rFonts w:hint="eastAsia" w:ascii="Times New Roman" w:hAnsi="Times New Roman" w:cs="Times New Roman"/>
                <w:color w:val="auto"/>
                <w:u w:val="none"/>
                <w:lang w:val="en-US" w:eastAsia="zh-CN"/>
              </w:rPr>
              <w:t>141</w:t>
            </w:r>
          </w:p>
        </w:tc>
        <w:tc>
          <w:tcPr>
            <w:tcW w:w="1557" w:type="dxa"/>
            <w:vAlign w:val="center"/>
          </w:tcPr>
          <w:p>
            <w:pPr>
              <w:keepNext w:val="0"/>
              <w:keepLines w:val="0"/>
              <w:suppressLineNumbers w:val="0"/>
              <w:spacing w:before="0" w:beforeAutospacing="0" w:after="0" w:afterAutospacing="0"/>
              <w:ind w:left="0" w:right="0"/>
              <w:jc w:val="center"/>
              <w:rPr>
                <w:rFonts w:hint="default"/>
                <w:color w:val="auto"/>
              </w:rPr>
            </w:pPr>
          </w:p>
        </w:tc>
        <w:tc>
          <w:tcPr>
            <w:tcW w:w="1590"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color w:val="auto"/>
                <w:lang w:val="en-US" w:eastAsia="zh-CN"/>
              </w:rPr>
            </w:pPr>
            <w:r>
              <w:rPr>
                <w:rFonts w:hint="default" w:ascii="Times New Roman" w:hAnsi="Times New Roman" w:cs="Times New Roman"/>
                <w:color w:val="auto"/>
                <w:u w:val="none"/>
                <w:lang w:val="en-US" w:eastAsia="zh-CN"/>
              </w:rPr>
              <w:t>0.</w:t>
            </w:r>
            <w:r>
              <w:rPr>
                <w:rFonts w:hint="eastAsia" w:ascii="Times New Roman" w:hAnsi="Times New Roman" w:cs="Times New Roman"/>
                <w:color w:val="auto"/>
                <w:u w:val="none"/>
                <w:lang w:val="en-US" w:eastAsia="zh-CN"/>
              </w:rPr>
              <w:t>141</w:t>
            </w:r>
          </w:p>
        </w:tc>
        <w:tc>
          <w:tcPr>
            <w:tcW w:w="139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color w:val="auto"/>
                <w:u w:val="none"/>
                <w:lang w:val="en-US" w:eastAsia="zh-CN"/>
              </w:rPr>
              <w:t>0.</w:t>
            </w:r>
            <w:r>
              <w:rPr>
                <w:rFonts w:hint="eastAsia" w:ascii="Times New Roman" w:hAnsi="Times New Roman" w:cs="Times New Roman"/>
                <w:color w:val="auto"/>
                <w:u w:val="none"/>
                <w:lang w:val="en-US" w:eastAsia="zh-CN"/>
              </w:rPr>
              <w:t>141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339" w:type="dxa"/>
            <w:vMerge w:val="continue"/>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77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olor w:val="auto"/>
                <w:sz w:val="21"/>
                <w:szCs w:val="21"/>
                <w:lang w:val="en-US" w:eastAsia="zh-CN"/>
              </w:rPr>
            </w:pPr>
            <w:r>
              <w:rPr>
                <w:rFonts w:hint="eastAsia" w:ascii="Times New Roman" w:hAnsi="Times New Roman" w:eastAsia="宋体" w:cs="Times New Roman"/>
                <w:color w:val="auto"/>
                <w:sz w:val="21"/>
                <w:szCs w:val="21"/>
                <w:lang w:val="en-US" w:eastAsia="zh-CN"/>
              </w:rPr>
              <w:t>污泥</w:t>
            </w:r>
          </w:p>
        </w:tc>
        <w:tc>
          <w:tcPr>
            <w:tcW w:w="1650"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346"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573" w:type="dxa"/>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55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0.01</w:t>
            </w:r>
          </w:p>
        </w:tc>
        <w:tc>
          <w:tcPr>
            <w:tcW w:w="1557" w:type="dxa"/>
            <w:vAlign w:val="center"/>
          </w:tcPr>
          <w:p>
            <w:pPr>
              <w:keepNext w:val="0"/>
              <w:keepLines w:val="0"/>
              <w:suppressLineNumbers w:val="0"/>
              <w:spacing w:before="0" w:beforeAutospacing="0" w:after="0" w:afterAutospacing="0"/>
              <w:ind w:left="0" w:right="0"/>
              <w:jc w:val="center"/>
              <w:rPr>
                <w:rFonts w:hint="default"/>
                <w:color w:val="auto"/>
              </w:rPr>
            </w:pPr>
          </w:p>
        </w:tc>
        <w:tc>
          <w:tcPr>
            <w:tcW w:w="1590"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0.01</w:t>
            </w:r>
          </w:p>
        </w:tc>
        <w:tc>
          <w:tcPr>
            <w:tcW w:w="139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339" w:type="dxa"/>
            <w:vMerge w:val="continue"/>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77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废重金属捕捉器</w:t>
            </w:r>
          </w:p>
        </w:tc>
        <w:tc>
          <w:tcPr>
            <w:tcW w:w="1650"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346"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573" w:type="dxa"/>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55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0.01</w:t>
            </w:r>
          </w:p>
        </w:tc>
        <w:tc>
          <w:tcPr>
            <w:tcW w:w="1557" w:type="dxa"/>
            <w:vAlign w:val="center"/>
          </w:tcPr>
          <w:p>
            <w:pPr>
              <w:keepNext w:val="0"/>
              <w:keepLines w:val="0"/>
              <w:suppressLineNumbers w:val="0"/>
              <w:spacing w:before="0" w:beforeAutospacing="0" w:after="0" w:afterAutospacing="0"/>
              <w:ind w:left="0" w:leftChars="0" w:right="0" w:rightChars="0"/>
              <w:jc w:val="center"/>
              <w:rPr>
                <w:rFonts w:hint="default"/>
                <w:color w:val="auto"/>
              </w:rPr>
            </w:pPr>
          </w:p>
        </w:tc>
        <w:tc>
          <w:tcPr>
            <w:tcW w:w="1590"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0.01</w:t>
            </w:r>
          </w:p>
        </w:tc>
        <w:tc>
          <w:tcPr>
            <w:tcW w:w="139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rPr>
        <w:tc>
          <w:tcPr>
            <w:tcW w:w="1339" w:type="dxa"/>
            <w:vMerge w:val="continue"/>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77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olor w:val="auto"/>
                <w:sz w:val="21"/>
                <w:szCs w:val="21"/>
                <w:lang w:val="en-US" w:eastAsia="zh-CN"/>
              </w:rPr>
            </w:pPr>
            <w:r>
              <w:rPr>
                <w:rFonts w:hint="eastAsia" w:ascii="Times New Roman" w:hAnsi="Times New Roman" w:eastAsia="宋体" w:cs="Times New Roman"/>
                <w:color w:val="auto"/>
                <w:sz w:val="21"/>
                <w:szCs w:val="21"/>
                <w:lang w:val="en-US" w:eastAsia="zh-CN"/>
              </w:rPr>
              <w:t>废活性炭、废石英砂（废水处理）</w:t>
            </w:r>
          </w:p>
        </w:tc>
        <w:tc>
          <w:tcPr>
            <w:tcW w:w="1650"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346" w:type="dxa"/>
            <w:vAlign w:val="center"/>
          </w:tcPr>
          <w:p>
            <w:pPr>
              <w:pStyle w:val="37"/>
              <w:keepNext w:val="0"/>
              <w:keepLines w:val="0"/>
              <w:widowControl/>
              <w:suppressLineNumbers w:val="0"/>
              <w:bidi w:val="0"/>
              <w:spacing w:before="0" w:beforeAutospacing="0" w:after="0" w:afterAutospacing="0"/>
              <w:ind w:left="0" w:leftChars="0" w:right="0" w:firstLine="0" w:firstLineChars="0"/>
              <w:jc w:val="center"/>
              <w:rPr>
                <w:rFonts w:hint="default"/>
                <w:snapToGrid w:val="0"/>
                <w:color w:val="auto"/>
                <w:kern w:val="21"/>
                <w:szCs w:val="21"/>
              </w:rPr>
            </w:pPr>
          </w:p>
        </w:tc>
        <w:tc>
          <w:tcPr>
            <w:tcW w:w="1573" w:type="dxa"/>
            <w:vAlign w:val="center"/>
          </w:tcPr>
          <w:p>
            <w:pPr>
              <w:keepNext w:val="0"/>
              <w:keepLines w:val="0"/>
              <w:suppressLineNumbers w:val="0"/>
              <w:spacing w:before="0" w:beforeAutospacing="0" w:after="0" w:afterAutospacing="0"/>
              <w:ind w:left="0" w:right="0"/>
              <w:jc w:val="center"/>
              <w:rPr>
                <w:rFonts w:hint="default"/>
                <w:snapToGrid w:val="0"/>
                <w:color w:val="auto"/>
                <w:kern w:val="21"/>
                <w:szCs w:val="21"/>
              </w:rPr>
            </w:pPr>
          </w:p>
        </w:tc>
        <w:tc>
          <w:tcPr>
            <w:tcW w:w="155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0.05</w:t>
            </w:r>
          </w:p>
        </w:tc>
        <w:tc>
          <w:tcPr>
            <w:tcW w:w="1557" w:type="dxa"/>
            <w:vAlign w:val="center"/>
          </w:tcPr>
          <w:p>
            <w:pPr>
              <w:keepNext w:val="0"/>
              <w:keepLines w:val="0"/>
              <w:suppressLineNumbers w:val="0"/>
              <w:spacing w:before="0" w:beforeAutospacing="0" w:after="0" w:afterAutospacing="0"/>
              <w:ind w:left="0" w:right="0"/>
              <w:jc w:val="center"/>
              <w:rPr>
                <w:rFonts w:hint="default"/>
                <w:color w:val="auto"/>
              </w:rPr>
            </w:pPr>
          </w:p>
        </w:tc>
        <w:tc>
          <w:tcPr>
            <w:tcW w:w="1590"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0.05</w:t>
            </w:r>
          </w:p>
        </w:tc>
        <w:tc>
          <w:tcPr>
            <w:tcW w:w="1399" w:type="dxa"/>
            <w:vAlign w:val="center"/>
          </w:tcPr>
          <w:p>
            <w:pPr>
              <w:pStyle w:val="59"/>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0.05</w:t>
            </w:r>
          </w:p>
        </w:tc>
      </w:tr>
    </w:tbl>
    <w:p>
      <w:pPr>
        <w:spacing w:before="192" w:beforeLines="80" w:after="24"/>
        <w:ind w:firstLine="480"/>
        <w:jc w:val="left"/>
        <w:rPr>
          <w:rFonts w:hint="default" w:ascii="Times New Roman" w:hAnsi="Times New Roman" w:cs="Times New Roman"/>
          <w:color w:val="auto"/>
          <w:lang w:val="en-US" w:eastAsia="zh-CN"/>
        </w:rPr>
      </w:pPr>
      <w:r>
        <w:rPr>
          <w:snapToGrid w:val="0"/>
          <w:color w:val="auto"/>
          <w:kern w:val="21"/>
          <w:szCs w:val="21"/>
        </w:rPr>
        <w:t>注：</w:t>
      </w:r>
      <w:r>
        <w:rPr>
          <w:snapToGrid w:val="0"/>
          <w:color w:val="auto"/>
          <w:spacing w:val="-16"/>
          <w:kern w:val="21"/>
          <w:szCs w:val="21"/>
        </w:rPr>
        <w:fldChar w:fldCharType="begin"/>
      </w:r>
      <w:r>
        <w:rPr>
          <w:snapToGrid w:val="0"/>
          <w:color w:val="auto"/>
          <w:spacing w:val="-16"/>
          <w:kern w:val="21"/>
          <w:szCs w:val="21"/>
        </w:rPr>
        <w:instrText xml:space="preserve"> = 6 \* GB3 \* MERGEFORMAT </w:instrText>
      </w:r>
      <w:r>
        <w:rPr>
          <w:snapToGrid w:val="0"/>
          <w:color w:val="auto"/>
          <w:spacing w:val="-16"/>
          <w:kern w:val="21"/>
          <w:szCs w:val="21"/>
        </w:rPr>
        <w:fldChar w:fldCharType="separate"/>
      </w:r>
      <w:r>
        <w:rPr>
          <w:rFonts w:hint="eastAsia" w:hAnsi="宋体" w:cs="宋体"/>
          <w:color w:val="auto"/>
          <w:szCs w:val="21"/>
        </w:rPr>
        <w:t>⑥</w:t>
      </w:r>
      <w:r>
        <w:rPr>
          <w:snapToGrid w:val="0"/>
          <w:color w:val="auto"/>
          <w:spacing w:val="-16"/>
          <w:kern w:val="21"/>
          <w:szCs w:val="21"/>
        </w:rPr>
        <w:fldChar w:fldCharType="end"/>
      </w:r>
      <w:r>
        <w:rPr>
          <w:snapToGrid w:val="0"/>
          <w:color w:val="auto"/>
          <w:spacing w:val="-16"/>
          <w:kern w:val="21"/>
          <w:szCs w:val="21"/>
        </w:rPr>
        <w:t>=</w:t>
      </w:r>
      <w:r>
        <w:rPr>
          <w:snapToGrid w:val="0"/>
          <w:color w:val="auto"/>
          <w:spacing w:val="-6"/>
          <w:kern w:val="21"/>
          <w:szCs w:val="21"/>
        </w:rPr>
        <w:fldChar w:fldCharType="begin"/>
      </w:r>
      <w:r>
        <w:rPr>
          <w:snapToGrid w:val="0"/>
          <w:color w:val="auto"/>
          <w:spacing w:val="-6"/>
          <w:kern w:val="21"/>
          <w:szCs w:val="21"/>
        </w:rPr>
        <w:instrText xml:space="preserve"> = 1 \* GB3 \* MERGEFORMAT </w:instrText>
      </w:r>
      <w:r>
        <w:rPr>
          <w:snapToGrid w:val="0"/>
          <w:color w:val="auto"/>
          <w:spacing w:val="-6"/>
          <w:kern w:val="21"/>
          <w:szCs w:val="21"/>
        </w:rPr>
        <w:fldChar w:fldCharType="separate"/>
      </w:r>
      <w:r>
        <w:rPr>
          <w:rFonts w:hint="eastAsia" w:hAnsi="宋体" w:cs="宋体"/>
          <w:color w:val="auto"/>
          <w:szCs w:val="21"/>
        </w:rPr>
        <w:t>①</w:t>
      </w:r>
      <w:r>
        <w:rPr>
          <w:snapToGrid w:val="0"/>
          <w:color w:val="auto"/>
          <w:spacing w:val="-6"/>
          <w:kern w:val="21"/>
          <w:szCs w:val="21"/>
        </w:rPr>
        <w:fldChar w:fldCharType="end"/>
      </w:r>
      <w:r>
        <w:rPr>
          <w:snapToGrid w:val="0"/>
          <w:color w:val="auto"/>
          <w:spacing w:val="-6"/>
          <w:kern w:val="21"/>
          <w:szCs w:val="21"/>
        </w:rPr>
        <w:t>+</w:t>
      </w:r>
      <w:r>
        <w:rPr>
          <w:snapToGrid w:val="0"/>
          <w:color w:val="auto"/>
          <w:spacing w:val="-6"/>
          <w:kern w:val="21"/>
          <w:szCs w:val="21"/>
        </w:rPr>
        <w:fldChar w:fldCharType="begin"/>
      </w:r>
      <w:r>
        <w:rPr>
          <w:snapToGrid w:val="0"/>
          <w:color w:val="auto"/>
          <w:spacing w:val="-6"/>
          <w:kern w:val="21"/>
          <w:szCs w:val="21"/>
        </w:rPr>
        <w:instrText xml:space="preserve"> = 3 \* GB3 \* MERGEFORMAT </w:instrText>
      </w:r>
      <w:r>
        <w:rPr>
          <w:snapToGrid w:val="0"/>
          <w:color w:val="auto"/>
          <w:spacing w:val="-6"/>
          <w:kern w:val="21"/>
          <w:szCs w:val="21"/>
        </w:rPr>
        <w:fldChar w:fldCharType="separate"/>
      </w:r>
      <w:r>
        <w:rPr>
          <w:rFonts w:hint="eastAsia" w:hAnsi="宋体" w:cs="宋体"/>
          <w:color w:val="auto"/>
          <w:szCs w:val="21"/>
        </w:rPr>
        <w:t>③</w:t>
      </w:r>
      <w:r>
        <w:rPr>
          <w:snapToGrid w:val="0"/>
          <w:color w:val="auto"/>
          <w:spacing w:val="-6"/>
          <w:kern w:val="21"/>
          <w:szCs w:val="21"/>
        </w:rPr>
        <w:fldChar w:fldCharType="end"/>
      </w:r>
      <w:r>
        <w:rPr>
          <w:snapToGrid w:val="0"/>
          <w:color w:val="auto"/>
          <w:spacing w:val="-6"/>
          <w:kern w:val="21"/>
          <w:szCs w:val="21"/>
        </w:rPr>
        <w:t>+</w:t>
      </w:r>
      <w:r>
        <w:rPr>
          <w:snapToGrid w:val="0"/>
          <w:color w:val="auto"/>
          <w:spacing w:val="-6"/>
          <w:kern w:val="21"/>
          <w:szCs w:val="21"/>
        </w:rPr>
        <w:fldChar w:fldCharType="begin"/>
      </w:r>
      <w:r>
        <w:rPr>
          <w:snapToGrid w:val="0"/>
          <w:color w:val="auto"/>
          <w:spacing w:val="-6"/>
          <w:kern w:val="21"/>
          <w:szCs w:val="21"/>
        </w:rPr>
        <w:instrText xml:space="preserve"> = 4 \* GB3 \* MERGEFORMAT </w:instrText>
      </w:r>
      <w:r>
        <w:rPr>
          <w:snapToGrid w:val="0"/>
          <w:color w:val="auto"/>
          <w:spacing w:val="-6"/>
          <w:kern w:val="21"/>
          <w:szCs w:val="21"/>
        </w:rPr>
        <w:fldChar w:fldCharType="separate"/>
      </w:r>
      <w:r>
        <w:rPr>
          <w:rFonts w:hint="eastAsia" w:hAnsi="宋体" w:cs="宋体"/>
          <w:color w:val="auto"/>
          <w:szCs w:val="21"/>
        </w:rPr>
        <w:t>④</w:t>
      </w:r>
      <w:r>
        <w:rPr>
          <w:snapToGrid w:val="0"/>
          <w:color w:val="auto"/>
          <w:spacing w:val="-6"/>
          <w:kern w:val="21"/>
          <w:szCs w:val="21"/>
        </w:rPr>
        <w:fldChar w:fldCharType="end"/>
      </w:r>
      <w:r>
        <w:rPr>
          <w:snapToGrid w:val="0"/>
          <w:color w:val="auto"/>
          <w:spacing w:val="-6"/>
          <w:kern w:val="21"/>
          <w:szCs w:val="21"/>
        </w:rPr>
        <w:t>-</w:t>
      </w:r>
      <w:r>
        <w:rPr>
          <w:snapToGrid w:val="0"/>
          <w:color w:val="auto"/>
          <w:spacing w:val="-16"/>
          <w:kern w:val="21"/>
          <w:szCs w:val="21"/>
        </w:rPr>
        <w:fldChar w:fldCharType="begin"/>
      </w:r>
      <w:r>
        <w:rPr>
          <w:snapToGrid w:val="0"/>
          <w:color w:val="auto"/>
          <w:spacing w:val="-16"/>
          <w:kern w:val="21"/>
          <w:szCs w:val="21"/>
        </w:rPr>
        <w:instrText xml:space="preserve"> = 5 \* GB3 \* MERGEFORMAT </w:instrText>
      </w:r>
      <w:r>
        <w:rPr>
          <w:snapToGrid w:val="0"/>
          <w:color w:val="auto"/>
          <w:spacing w:val="-16"/>
          <w:kern w:val="21"/>
          <w:szCs w:val="21"/>
        </w:rPr>
        <w:fldChar w:fldCharType="separate"/>
      </w:r>
      <w:r>
        <w:rPr>
          <w:rFonts w:hint="eastAsia" w:hAnsi="宋体" w:cs="宋体"/>
          <w:color w:val="auto"/>
          <w:szCs w:val="21"/>
        </w:rPr>
        <w:t>⑤</w:t>
      </w:r>
      <w:r>
        <w:rPr>
          <w:snapToGrid w:val="0"/>
          <w:color w:val="auto"/>
          <w:spacing w:val="-16"/>
          <w:kern w:val="21"/>
          <w:szCs w:val="21"/>
        </w:rPr>
        <w:fldChar w:fldCharType="end"/>
      </w:r>
      <w:r>
        <w:rPr>
          <w:snapToGrid w:val="0"/>
          <w:color w:val="auto"/>
          <w:spacing w:val="-16"/>
          <w:kern w:val="21"/>
          <w:szCs w:val="21"/>
        </w:rPr>
        <w:t>；</w:t>
      </w:r>
      <w:r>
        <w:rPr>
          <w:snapToGrid w:val="0"/>
          <w:color w:val="auto"/>
          <w:spacing w:val="-6"/>
          <w:kern w:val="21"/>
          <w:szCs w:val="21"/>
        </w:rPr>
        <w:fldChar w:fldCharType="begin"/>
      </w:r>
      <w:r>
        <w:rPr>
          <w:snapToGrid w:val="0"/>
          <w:color w:val="auto"/>
          <w:spacing w:val="-6"/>
          <w:kern w:val="21"/>
          <w:szCs w:val="21"/>
        </w:rPr>
        <w:instrText xml:space="preserve"> = 7 \* GB3 \* MERGEFORMAT </w:instrText>
      </w:r>
      <w:r>
        <w:rPr>
          <w:snapToGrid w:val="0"/>
          <w:color w:val="auto"/>
          <w:spacing w:val="-6"/>
          <w:kern w:val="21"/>
          <w:szCs w:val="21"/>
        </w:rPr>
        <w:fldChar w:fldCharType="separate"/>
      </w:r>
      <w:r>
        <w:rPr>
          <w:rFonts w:hint="eastAsia" w:hAnsi="宋体" w:cs="宋体"/>
          <w:color w:val="auto"/>
          <w:szCs w:val="21"/>
        </w:rPr>
        <w:t>⑦</w:t>
      </w:r>
      <w:r>
        <w:rPr>
          <w:snapToGrid w:val="0"/>
          <w:color w:val="auto"/>
          <w:spacing w:val="-6"/>
          <w:kern w:val="21"/>
          <w:szCs w:val="21"/>
        </w:rPr>
        <w:fldChar w:fldCharType="end"/>
      </w:r>
      <w:r>
        <w:rPr>
          <w:snapToGrid w:val="0"/>
          <w:color w:val="auto"/>
          <w:spacing w:val="-6"/>
          <w:kern w:val="21"/>
          <w:szCs w:val="21"/>
        </w:rPr>
        <w:t>=</w:t>
      </w:r>
      <w:r>
        <w:rPr>
          <w:snapToGrid w:val="0"/>
          <w:color w:val="auto"/>
          <w:spacing w:val="-16"/>
          <w:kern w:val="21"/>
          <w:szCs w:val="21"/>
        </w:rPr>
        <w:fldChar w:fldCharType="begin"/>
      </w:r>
      <w:r>
        <w:rPr>
          <w:snapToGrid w:val="0"/>
          <w:color w:val="auto"/>
          <w:spacing w:val="-16"/>
          <w:kern w:val="21"/>
          <w:szCs w:val="21"/>
        </w:rPr>
        <w:instrText xml:space="preserve"> = 6 \* GB3 \* MERGEFORMAT </w:instrText>
      </w:r>
      <w:r>
        <w:rPr>
          <w:snapToGrid w:val="0"/>
          <w:color w:val="auto"/>
          <w:spacing w:val="-16"/>
          <w:kern w:val="21"/>
          <w:szCs w:val="21"/>
        </w:rPr>
        <w:fldChar w:fldCharType="separate"/>
      </w:r>
      <w:r>
        <w:rPr>
          <w:rFonts w:hint="eastAsia" w:hAnsi="宋体" w:cs="宋体"/>
          <w:color w:val="auto"/>
          <w:szCs w:val="21"/>
        </w:rPr>
        <w:t>⑥</w:t>
      </w:r>
      <w:r>
        <w:rPr>
          <w:snapToGrid w:val="0"/>
          <w:color w:val="auto"/>
          <w:spacing w:val="-16"/>
          <w:kern w:val="21"/>
          <w:szCs w:val="21"/>
        </w:rPr>
        <w:fldChar w:fldCharType="end"/>
      </w:r>
      <w:r>
        <w:rPr>
          <w:snapToGrid w:val="0"/>
          <w:color w:val="auto"/>
          <w:spacing w:val="-16"/>
          <w:kern w:val="21"/>
          <w:szCs w:val="21"/>
        </w:rPr>
        <w:t>-</w:t>
      </w:r>
      <w:r>
        <w:rPr>
          <w:snapToGrid w:val="0"/>
          <w:color w:val="auto"/>
          <w:spacing w:val="-6"/>
          <w:kern w:val="21"/>
          <w:szCs w:val="21"/>
        </w:rPr>
        <w:fldChar w:fldCharType="begin"/>
      </w:r>
      <w:r>
        <w:rPr>
          <w:snapToGrid w:val="0"/>
          <w:color w:val="auto"/>
          <w:spacing w:val="-6"/>
          <w:kern w:val="21"/>
          <w:szCs w:val="21"/>
        </w:rPr>
        <w:instrText xml:space="preserve"> = 1 \* GB3 \* MERGEFORMAT </w:instrText>
      </w:r>
      <w:r>
        <w:rPr>
          <w:snapToGrid w:val="0"/>
          <w:color w:val="auto"/>
          <w:spacing w:val="-6"/>
          <w:kern w:val="21"/>
          <w:szCs w:val="21"/>
        </w:rPr>
        <w:fldChar w:fldCharType="separate"/>
      </w:r>
      <w:r>
        <w:rPr>
          <w:rFonts w:hint="eastAsia" w:hAnsi="宋体" w:cs="宋体"/>
          <w:color w:val="auto"/>
          <w:szCs w:val="21"/>
        </w:rPr>
        <w:t>①</w:t>
      </w:r>
      <w:r>
        <w:rPr>
          <w:snapToGrid w:val="0"/>
          <w:color w:val="auto"/>
          <w:spacing w:val="-6"/>
          <w:kern w:val="21"/>
          <w:szCs w:val="21"/>
        </w:rPr>
        <w:fldChar w:fldCharType="end"/>
      </w:r>
      <w:r>
        <w:rPr>
          <w:rFonts w:hint="eastAsia"/>
          <w:snapToGrid w:val="0"/>
          <w:color w:val="auto"/>
          <w:spacing w:val="-6"/>
          <w:kern w:val="21"/>
          <w:szCs w:val="21"/>
        </w:rPr>
        <w:t>。</w:t>
      </w:r>
    </w:p>
    <w:p>
      <w:pPr>
        <w:pStyle w:val="2"/>
        <w:rPr>
          <w:rFonts w:hint="default"/>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2"/>
        <w:keepNext/>
        <w:keepLines w:val="0"/>
        <w:pageBreakBefore w:val="0"/>
        <w:widowControl w:val="0"/>
        <w:numPr>
          <w:ilvl w:val="0"/>
          <w:numId w:val="0"/>
        </w:numPr>
        <w:kinsoku/>
        <w:wordWrap/>
        <w:overflowPunct w:val="0"/>
        <w:topLinePunct w:val="0"/>
        <w:autoSpaceDE/>
        <w:autoSpaceDN/>
        <w:bidi w:val="0"/>
        <w:adjustRightInd/>
        <w:snapToGrid w:val="0"/>
        <w:jc w:val="both"/>
        <w:textAlignment w:val="auto"/>
        <w:rPr>
          <w:rFonts w:hint="default" w:ascii="Times New Roman" w:hAnsi="Times New Roman" w:eastAsia="宋体" w:cs="Times New Roman"/>
          <w:b/>
          <w:bCs w:val="0"/>
          <w:color w:val="auto"/>
          <w:sz w:val="24"/>
          <w:szCs w:val="24"/>
          <w:highlight w:val="none"/>
        </w:rPr>
      </w:pPr>
      <w:bookmarkStart w:id="115" w:name="_Toc7361"/>
      <w:bookmarkStart w:id="116" w:name="_Toc13941"/>
      <w:r>
        <w:rPr>
          <w:rFonts w:hint="default" w:ascii="Times New Roman" w:hAnsi="Times New Roman" w:eastAsia="宋体" w:cs="Times New Roman"/>
          <w:b/>
          <w:bCs w:val="0"/>
          <w:color w:val="auto"/>
          <w:sz w:val="24"/>
          <w:szCs w:val="24"/>
          <w:highlight w:val="none"/>
        </w:rPr>
        <w:t>附图1：项目地理位置图</w:t>
      </w:r>
      <w:bookmarkEnd w:id="115"/>
      <w:bookmarkEnd w:id="116"/>
    </w:p>
    <w:p>
      <w:pPr>
        <w:jc w:val="center"/>
        <w:rPr>
          <w:rFonts w:hint="default" w:ascii="Times New Roman" w:hAnsi="Times New Roman" w:eastAsia="宋体" w:cs="Times New Roman"/>
          <w:color w:val="auto"/>
          <w:sz w:val="24"/>
          <w:szCs w:val="24"/>
          <w:highlight w:val="none"/>
          <w:lang w:eastAsia="zh-CN"/>
        </w:rPr>
      </w:pPr>
      <w:r>
        <w:rPr>
          <w:rFonts w:hint="eastAsia"/>
          <w:color w:val="000000"/>
          <w:lang w:val="en-US" w:eastAsia="zh-CN"/>
        </w:rPr>
        <w:drawing>
          <wp:inline distT="0" distB="0" distL="114300" distR="114300">
            <wp:extent cx="5709285" cy="7753985"/>
            <wp:effectExtent l="0" t="0" r="5715" b="18415"/>
            <wp:docPr id="37" name="图片 9" descr="地理位置图（博莱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descr="地理位置图（博莱特）"/>
                    <pic:cNvPicPr>
                      <a:picLocks noChangeAspect="1"/>
                    </pic:cNvPicPr>
                  </pic:nvPicPr>
                  <pic:blipFill>
                    <a:blip r:embed="rId39"/>
                    <a:srcRect l="2647" t="3587" r="5801" b="4492"/>
                    <a:stretch>
                      <a:fillRect/>
                    </a:stretch>
                  </pic:blipFill>
                  <pic:spPr>
                    <a:xfrm>
                      <a:off x="0" y="0"/>
                      <a:ext cx="5709285" cy="7753985"/>
                    </a:xfrm>
                    <a:prstGeom prst="rect">
                      <a:avLst/>
                    </a:prstGeom>
                    <a:noFill/>
                    <a:ln>
                      <a:noFill/>
                    </a:ln>
                  </pic:spPr>
                </pic:pic>
              </a:graphicData>
            </a:graphic>
          </wp:inline>
        </w:drawing>
      </w:r>
    </w:p>
    <w:p>
      <w:pPr>
        <w:pStyle w:val="2"/>
        <w:numPr>
          <w:ilvl w:val="0"/>
          <w:numId w:val="0"/>
        </w:numPr>
        <w:spacing w:before="240" w:after="120"/>
        <w:jc w:val="both"/>
        <w:rPr>
          <w:rFonts w:hint="default" w:ascii="Times New Roman" w:hAnsi="Times New Roman" w:eastAsia="宋体" w:cs="Times New Roman"/>
          <w:b/>
          <w:bCs w:val="0"/>
          <w:color w:val="auto"/>
          <w:sz w:val="24"/>
          <w:szCs w:val="24"/>
          <w:highlight w:val="none"/>
        </w:rPr>
        <w:sectPr>
          <w:footerReference r:id="rId7" w:type="default"/>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bookmarkStart w:id="117" w:name="_Toc9326"/>
    </w:p>
    <w:p>
      <w:pPr>
        <w:pStyle w:val="2"/>
        <w:numPr>
          <w:ilvl w:val="0"/>
          <w:numId w:val="0"/>
        </w:numPr>
        <w:spacing w:before="240" w:after="120"/>
        <w:jc w:val="both"/>
        <w:rPr>
          <w:rFonts w:hint="default" w:ascii="Times New Roman" w:hAnsi="Times New Roman" w:eastAsia="宋体" w:cs="Times New Roman"/>
          <w:b/>
          <w:bCs w:val="0"/>
          <w:color w:val="auto"/>
          <w:sz w:val="24"/>
          <w:szCs w:val="24"/>
          <w:highlight w:val="none"/>
        </w:rPr>
      </w:pPr>
      <w:bookmarkStart w:id="118" w:name="_Toc25616"/>
      <w:r>
        <w:rPr>
          <w:rFonts w:hint="default" w:ascii="Times New Roman" w:hAnsi="Times New Roman" w:eastAsia="宋体" w:cs="Times New Roman"/>
          <w:b/>
          <w:bCs w:val="0"/>
          <w:color w:val="auto"/>
          <w:sz w:val="24"/>
          <w:szCs w:val="24"/>
          <w:highlight w:val="none"/>
        </w:rPr>
        <w:t>附图2：项目周边环境及环境保护目标分布图</w:t>
      </w:r>
      <w:bookmarkEnd w:id="117"/>
      <w:bookmarkEnd w:id="118"/>
    </w:p>
    <w:p>
      <w:pPr>
        <w:pStyle w:val="51"/>
        <w:ind w:left="0" w:leftChars="0" w:firstLine="0" w:firstLineChars="0"/>
        <w:jc w:val="center"/>
        <w:rPr>
          <w:rFonts w:hint="default" w:ascii="Times New Roman" w:hAnsi="Times New Roman" w:cs="Times New Roman"/>
          <w:color w:val="auto"/>
        </w:rPr>
      </w:pPr>
      <w:r>
        <w:drawing>
          <wp:anchor distT="0" distB="0" distL="114300" distR="114300" simplePos="0" relativeHeight="251668480" behindDoc="0" locked="0" layoutInCell="1" allowOverlap="1">
            <wp:simplePos x="0" y="0"/>
            <wp:positionH relativeFrom="column">
              <wp:posOffset>8009255</wp:posOffset>
            </wp:positionH>
            <wp:positionV relativeFrom="paragraph">
              <wp:posOffset>12065</wp:posOffset>
            </wp:positionV>
            <wp:extent cx="568325" cy="848995"/>
            <wp:effectExtent l="0" t="0" r="3175" b="8255"/>
            <wp:wrapNone/>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pic:cNvPicPr>
                  </pic:nvPicPr>
                  <pic:blipFill>
                    <a:blip r:embed="rId40"/>
                    <a:stretch>
                      <a:fillRect/>
                    </a:stretch>
                  </pic:blipFill>
                  <pic:spPr>
                    <a:xfrm>
                      <a:off x="0" y="0"/>
                      <a:ext cx="568325" cy="848995"/>
                    </a:xfrm>
                    <a:prstGeom prst="rect">
                      <a:avLst/>
                    </a:prstGeom>
                    <a:noFill/>
                    <a:ln>
                      <a:noFill/>
                    </a:ln>
                  </pic:spPr>
                </pic:pic>
              </a:graphicData>
            </a:graphic>
          </wp:anchor>
        </w:drawing>
      </w:r>
      <w:r>
        <w:rPr>
          <w:color w:val="auto"/>
          <w:sz w:val="21"/>
        </w:rPr>
        <w:drawing>
          <wp:inline distT="0" distB="0" distL="114300" distR="114300">
            <wp:extent cx="8596630" cy="5065395"/>
            <wp:effectExtent l="0" t="0" r="13970" b="1905"/>
            <wp:docPr id="1" name="图片 1" descr="周边环境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周边环境111"/>
                    <pic:cNvPicPr>
                      <a:picLocks noChangeAspect="1"/>
                    </pic:cNvPicPr>
                  </pic:nvPicPr>
                  <pic:blipFill>
                    <a:blip r:embed="rId41"/>
                    <a:srcRect r="8858"/>
                    <a:stretch>
                      <a:fillRect/>
                    </a:stretch>
                  </pic:blipFill>
                  <pic:spPr>
                    <a:xfrm>
                      <a:off x="0" y="0"/>
                      <a:ext cx="8596630" cy="5065395"/>
                    </a:xfrm>
                    <a:prstGeom prst="rect">
                      <a:avLst/>
                    </a:prstGeom>
                  </pic:spPr>
                </pic:pic>
              </a:graphicData>
            </a:graphic>
          </wp:inline>
        </w:drawing>
      </w:r>
      <w:r>
        <w:rPr>
          <w:color w:val="auto"/>
          <w:sz w:val="21"/>
        </w:rPr>
        <mc:AlternateContent>
          <mc:Choice Requires="wps">
            <w:drawing>
              <wp:anchor distT="0" distB="0" distL="114300" distR="114300" simplePos="0" relativeHeight="251666432" behindDoc="0" locked="0" layoutInCell="1" allowOverlap="1">
                <wp:simplePos x="0" y="0"/>
                <wp:positionH relativeFrom="column">
                  <wp:posOffset>6176645</wp:posOffset>
                </wp:positionH>
                <wp:positionV relativeFrom="paragraph">
                  <wp:posOffset>6429375</wp:posOffset>
                </wp:positionV>
                <wp:extent cx="833120" cy="934085"/>
                <wp:effectExtent l="4445" t="4445" r="15875" b="6350"/>
                <wp:wrapNone/>
                <wp:docPr id="40" name="矩形 40"/>
                <wp:cNvGraphicFramePr/>
                <a:graphic xmlns:a="http://schemas.openxmlformats.org/drawingml/2006/main">
                  <a:graphicData uri="http://schemas.microsoft.com/office/word/2010/wordprocessingShape">
                    <wps:wsp>
                      <wps:cNvSpPr/>
                      <wps:spPr>
                        <a:xfrm>
                          <a:off x="0" y="0"/>
                          <a:ext cx="833120" cy="9340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lang w:val="en-US" w:eastAsia="zh-CN"/>
                              </w:rPr>
                            </w:pPr>
                            <w:r>
                              <w:rPr>
                                <w:rFonts w:hint="eastAsia"/>
                                <w:lang w:val="en-US" w:eastAsia="zh-CN"/>
                              </w:rPr>
                              <w:t>图  例</w:t>
                            </w:r>
                          </w:p>
                          <w:p>
                            <w:pPr>
                              <w:jc w:val="right"/>
                              <w:rPr>
                                <w:rFonts w:hint="eastAsia"/>
                                <w:sz w:val="15"/>
                                <w:szCs w:val="15"/>
                                <w:lang w:val="en-US" w:eastAsia="zh-CN"/>
                              </w:rPr>
                            </w:pPr>
                            <w:r>
                              <w:rPr>
                                <w:rFonts w:hint="eastAsia"/>
                                <w:sz w:val="15"/>
                                <w:szCs w:val="15"/>
                                <w:lang w:val="en-US" w:eastAsia="zh-CN"/>
                              </w:rPr>
                              <w:t>项目红线</w:t>
                            </w:r>
                          </w:p>
                          <w:p>
                            <w:pPr>
                              <w:jc w:val="right"/>
                              <w:rPr>
                                <w:rFonts w:hint="eastAsia"/>
                                <w:sz w:val="15"/>
                                <w:szCs w:val="15"/>
                                <w:lang w:val="en-US" w:eastAsia="zh-CN"/>
                              </w:rPr>
                            </w:pPr>
                            <w:r>
                              <w:rPr>
                                <w:rFonts w:hint="eastAsia"/>
                                <w:sz w:val="15"/>
                                <w:szCs w:val="15"/>
                                <w:lang w:val="en-US" w:eastAsia="zh-CN"/>
                              </w:rPr>
                              <w:t>大气监测点</w:t>
                            </w:r>
                          </w:p>
                          <w:p>
                            <w:pPr>
                              <w:jc w:val="right"/>
                              <w:rPr>
                                <w:rFonts w:hint="default"/>
                                <w:sz w:val="15"/>
                                <w:szCs w:val="15"/>
                                <w:lang w:val="en-US" w:eastAsia="zh-CN"/>
                              </w:rPr>
                            </w:pPr>
                          </w:p>
                        </w:txbxContent>
                      </wps:txbx>
                      <wps:bodyPr upright="1"/>
                    </wps:wsp>
                  </a:graphicData>
                </a:graphic>
              </wp:anchor>
            </w:drawing>
          </mc:Choice>
          <mc:Fallback>
            <w:pict>
              <v:rect id="_x0000_s1026" o:spid="_x0000_s1026" o:spt="1" style="position:absolute;left:0pt;margin-left:486.35pt;margin-top:506.25pt;height:73.55pt;width:65.6pt;z-index:251666432;mso-width-relative:page;mso-height-relative:page;" fillcolor="#FFFFFF" filled="t" stroked="t" coordsize="21600,21600" o:gfxdata="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U04AN&#10;2gAAAA4BAAAPAAAAAAAAAAEAIAAAACIAAABkcnMvZG93bnJldi54bWxQSwECFAAUAAAACACHTuJA&#10;REnv6+YBAADcAwAADgAAAAAAAAABACAAAAApAQAAZHJzL2Uyb0RvYy54bWxQSwUGAAAAAAYABgBZ&#10;AQAAgQUAAAAA&#10;">
                <v:fill on="t" focussize="0,0"/>
                <v:stroke color="#000000" joinstyle="miter"/>
                <v:imagedata o:title=""/>
                <o:lock v:ext="edit" aspectratio="f"/>
                <v:textbox>
                  <w:txbxContent>
                    <w:p>
                      <w:pPr>
                        <w:jc w:val="center"/>
                        <w:rPr>
                          <w:rFonts w:hint="eastAsia"/>
                          <w:lang w:val="en-US" w:eastAsia="zh-CN"/>
                        </w:rPr>
                      </w:pPr>
                      <w:r>
                        <w:rPr>
                          <w:rFonts w:hint="eastAsia"/>
                          <w:lang w:val="en-US" w:eastAsia="zh-CN"/>
                        </w:rPr>
                        <w:t>图  例</w:t>
                      </w:r>
                    </w:p>
                    <w:p>
                      <w:pPr>
                        <w:jc w:val="right"/>
                        <w:rPr>
                          <w:rFonts w:hint="eastAsia"/>
                          <w:sz w:val="15"/>
                          <w:szCs w:val="15"/>
                          <w:lang w:val="en-US" w:eastAsia="zh-CN"/>
                        </w:rPr>
                      </w:pPr>
                      <w:r>
                        <w:rPr>
                          <w:rFonts w:hint="eastAsia"/>
                          <w:sz w:val="15"/>
                          <w:szCs w:val="15"/>
                          <w:lang w:val="en-US" w:eastAsia="zh-CN"/>
                        </w:rPr>
                        <w:t>项目红线</w:t>
                      </w:r>
                    </w:p>
                    <w:p>
                      <w:pPr>
                        <w:jc w:val="right"/>
                        <w:rPr>
                          <w:rFonts w:hint="eastAsia"/>
                          <w:sz w:val="15"/>
                          <w:szCs w:val="15"/>
                          <w:lang w:val="en-US" w:eastAsia="zh-CN"/>
                        </w:rPr>
                      </w:pPr>
                      <w:r>
                        <w:rPr>
                          <w:rFonts w:hint="eastAsia"/>
                          <w:sz w:val="15"/>
                          <w:szCs w:val="15"/>
                          <w:lang w:val="en-US" w:eastAsia="zh-CN"/>
                        </w:rPr>
                        <w:t>大气监测点</w:t>
                      </w:r>
                    </w:p>
                    <w:p>
                      <w:pPr>
                        <w:jc w:val="right"/>
                        <w:rPr>
                          <w:rFonts w:hint="default"/>
                          <w:sz w:val="15"/>
                          <w:szCs w:val="15"/>
                          <w:lang w:val="en-US" w:eastAsia="zh-CN"/>
                        </w:rPr>
                      </w:pPr>
                    </w:p>
                  </w:txbxContent>
                </v:textbox>
              </v:rect>
            </w:pict>
          </mc:Fallback>
        </mc:AlternateContent>
      </w:r>
    </w:p>
    <w:tbl>
      <w:tblPr>
        <w:tblStyle w:val="33"/>
        <w:tblW w:w="1365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50"/>
        <w:gridCol w:w="4550"/>
        <w:gridCol w:w="45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10" w:hRule="atLeast"/>
        </w:trPr>
        <w:tc>
          <w:tcPr>
            <w:tcW w:w="4550" w:type="dxa"/>
            <w:vAlign w:val="center"/>
          </w:tcPr>
          <w:p>
            <w:pPr>
              <w:pStyle w:val="51"/>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both"/>
              <w:textAlignment w:val="auto"/>
              <w:rPr>
                <w:rFonts w:hint="default" w:ascii="Times New Roman" w:hAnsi="Times New Roman" w:cs="Times New Roman"/>
                <w:color w:val="auto"/>
                <w:vertAlign w:val="baseline"/>
                <w:lang w:eastAsia="zh-CN"/>
              </w:rPr>
            </w:pPr>
            <w:r>
              <w:rPr>
                <w:rFonts w:hint="default" w:ascii="Times New Roman" w:hAnsi="Times New Roman" w:cs="Times New Roman"/>
                <w:color w:val="auto"/>
                <w:vertAlign w:val="baseline"/>
                <w:lang w:eastAsia="zh-CN"/>
              </w:rPr>
              <w:drawing>
                <wp:inline distT="0" distB="0" distL="114300" distR="114300">
                  <wp:extent cx="2743200" cy="2060575"/>
                  <wp:effectExtent l="0" t="0" r="0" b="15875"/>
                  <wp:docPr id="44" name="图片 44" descr="946b5571a8f64fe1c7a4fb589d3dd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946b5571a8f64fe1c7a4fb589d3dd5b"/>
                          <pic:cNvPicPr>
                            <a:picLocks noChangeAspect="1"/>
                          </pic:cNvPicPr>
                        </pic:nvPicPr>
                        <pic:blipFill>
                          <a:blip r:embed="rId42"/>
                          <a:stretch>
                            <a:fillRect/>
                          </a:stretch>
                        </pic:blipFill>
                        <pic:spPr>
                          <a:xfrm>
                            <a:off x="0" y="0"/>
                            <a:ext cx="2743200" cy="2060575"/>
                          </a:xfrm>
                          <a:prstGeom prst="rect">
                            <a:avLst/>
                          </a:prstGeom>
                        </pic:spPr>
                      </pic:pic>
                    </a:graphicData>
                  </a:graphic>
                </wp:inline>
              </w:drawing>
            </w:r>
          </w:p>
        </w:tc>
        <w:tc>
          <w:tcPr>
            <w:tcW w:w="4550" w:type="dxa"/>
            <w:vAlign w:val="center"/>
          </w:tcPr>
          <w:p>
            <w:pPr>
              <w:pStyle w:val="51"/>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both"/>
              <w:textAlignment w:val="auto"/>
              <w:rPr>
                <w:rFonts w:hint="default" w:ascii="Times New Roman" w:hAnsi="Times New Roman" w:cs="Times New Roman"/>
                <w:color w:val="auto"/>
                <w:vertAlign w:val="baseline"/>
                <w:lang w:eastAsia="zh-CN"/>
              </w:rPr>
            </w:pPr>
            <w:r>
              <w:rPr>
                <w:rFonts w:hint="default" w:ascii="Times New Roman" w:hAnsi="Times New Roman" w:cs="Times New Roman"/>
                <w:color w:val="auto"/>
                <w:vertAlign w:val="baseline"/>
                <w:lang w:eastAsia="zh-CN"/>
              </w:rPr>
              <w:drawing>
                <wp:inline distT="0" distB="0" distL="114300" distR="114300">
                  <wp:extent cx="2743200" cy="2060575"/>
                  <wp:effectExtent l="0" t="0" r="0" b="15875"/>
                  <wp:docPr id="46" name="图片 46" descr="560bac0ad709e9848ebfe13738d03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560bac0ad709e9848ebfe13738d03db"/>
                          <pic:cNvPicPr>
                            <a:picLocks noChangeAspect="1"/>
                          </pic:cNvPicPr>
                        </pic:nvPicPr>
                        <pic:blipFill>
                          <a:blip r:embed="rId43"/>
                          <a:stretch>
                            <a:fillRect/>
                          </a:stretch>
                        </pic:blipFill>
                        <pic:spPr>
                          <a:xfrm>
                            <a:off x="0" y="0"/>
                            <a:ext cx="2743200" cy="2060575"/>
                          </a:xfrm>
                          <a:prstGeom prst="rect">
                            <a:avLst/>
                          </a:prstGeom>
                        </pic:spPr>
                      </pic:pic>
                    </a:graphicData>
                  </a:graphic>
                </wp:inline>
              </w:drawing>
            </w:r>
          </w:p>
        </w:tc>
        <w:tc>
          <w:tcPr>
            <w:tcW w:w="4552" w:type="dxa"/>
            <w:vAlign w:val="center"/>
          </w:tcPr>
          <w:p>
            <w:pPr>
              <w:pStyle w:val="51"/>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both"/>
              <w:textAlignment w:val="auto"/>
              <w:rPr>
                <w:rFonts w:hint="default" w:ascii="Times New Roman" w:hAnsi="Times New Roman" w:cs="Times New Roman"/>
                <w:color w:val="auto"/>
                <w:vertAlign w:val="baseline"/>
                <w:lang w:eastAsia="zh-CN"/>
              </w:rPr>
            </w:pPr>
            <w:r>
              <w:rPr>
                <w:rFonts w:hint="default" w:ascii="Times New Roman" w:hAnsi="Times New Roman" w:cs="Times New Roman"/>
                <w:color w:val="auto"/>
                <w:vertAlign w:val="baseline"/>
                <w:lang w:eastAsia="zh-CN"/>
              </w:rPr>
              <w:drawing>
                <wp:inline distT="0" distB="0" distL="114300" distR="114300">
                  <wp:extent cx="2743200" cy="2060575"/>
                  <wp:effectExtent l="0" t="0" r="0" b="15875"/>
                  <wp:docPr id="50" name="图片 50" descr="bf6995dbde69c6e353c908de91d53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bf6995dbde69c6e353c908de91d53b1"/>
                          <pic:cNvPicPr>
                            <a:picLocks noChangeAspect="1"/>
                          </pic:cNvPicPr>
                        </pic:nvPicPr>
                        <pic:blipFill>
                          <a:blip r:embed="rId44"/>
                          <a:stretch>
                            <a:fillRect/>
                          </a:stretch>
                        </pic:blipFill>
                        <pic:spPr>
                          <a:xfrm>
                            <a:off x="0" y="0"/>
                            <a:ext cx="2743200" cy="20605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1" w:hRule="atLeast"/>
        </w:trPr>
        <w:tc>
          <w:tcPr>
            <w:tcW w:w="4550" w:type="dxa"/>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项目实验室所在</w:t>
            </w:r>
            <w:r>
              <w:rPr>
                <w:rFonts w:hint="eastAsia" w:ascii="Times New Roman" w:hAnsi="Times New Roman" w:cs="Times New Roman"/>
                <w:color w:val="auto"/>
                <w:sz w:val="21"/>
                <w:szCs w:val="21"/>
                <w:lang w:val="en-US" w:eastAsia="zh-CN"/>
              </w:rPr>
              <w:t>厂房</w:t>
            </w:r>
          </w:p>
        </w:tc>
        <w:tc>
          <w:tcPr>
            <w:tcW w:w="4550" w:type="dxa"/>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项目实验室所在</w:t>
            </w:r>
            <w:r>
              <w:rPr>
                <w:rFonts w:hint="eastAsia" w:ascii="Times New Roman" w:hAnsi="Times New Roman" w:cs="Times New Roman"/>
                <w:color w:val="auto"/>
                <w:sz w:val="21"/>
                <w:szCs w:val="21"/>
                <w:lang w:val="en-US" w:eastAsia="zh-CN"/>
              </w:rPr>
              <w:t>厂房屋顶（废气设施设置点）</w:t>
            </w:r>
          </w:p>
        </w:tc>
        <w:tc>
          <w:tcPr>
            <w:tcW w:w="4552" w:type="dxa"/>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项目西侧</w:t>
            </w:r>
            <w:r>
              <w:rPr>
                <w:rFonts w:hint="eastAsia" w:ascii="Times New Roman" w:hAnsi="Times New Roman" w:cs="Times New Roman"/>
                <w:color w:val="auto"/>
                <w:sz w:val="21"/>
                <w:szCs w:val="21"/>
                <w:lang w:val="en-US" w:eastAsia="zh-CN"/>
              </w:rPr>
              <w:t>（刘下村）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65" w:hRule="atLeast"/>
        </w:trPr>
        <w:tc>
          <w:tcPr>
            <w:tcW w:w="4550" w:type="dxa"/>
            <w:vAlign w:val="center"/>
          </w:tcPr>
          <w:p>
            <w:pPr>
              <w:pStyle w:val="51"/>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both"/>
              <w:textAlignment w:val="auto"/>
              <w:rPr>
                <w:rFonts w:hint="default" w:ascii="Times New Roman" w:hAnsi="Times New Roman" w:cs="Times New Roman"/>
                <w:color w:val="auto"/>
                <w:vertAlign w:val="baseline"/>
                <w:lang w:eastAsia="zh-CN"/>
              </w:rPr>
            </w:pPr>
            <w:r>
              <w:rPr>
                <w:rFonts w:hint="default" w:ascii="Times New Roman" w:hAnsi="Times New Roman" w:cs="Times New Roman"/>
                <w:color w:val="auto"/>
                <w:vertAlign w:val="baseline"/>
                <w:lang w:eastAsia="zh-CN"/>
              </w:rPr>
              <w:drawing>
                <wp:inline distT="0" distB="0" distL="114300" distR="114300">
                  <wp:extent cx="2743200" cy="2060575"/>
                  <wp:effectExtent l="0" t="0" r="0" b="15875"/>
                  <wp:docPr id="51" name="图片 51" descr="4cfdcfe4683c377671d6b35b8c1e5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4cfdcfe4683c377671d6b35b8c1e5bd"/>
                          <pic:cNvPicPr>
                            <a:picLocks noChangeAspect="1"/>
                          </pic:cNvPicPr>
                        </pic:nvPicPr>
                        <pic:blipFill>
                          <a:blip r:embed="rId45"/>
                          <a:stretch>
                            <a:fillRect/>
                          </a:stretch>
                        </pic:blipFill>
                        <pic:spPr>
                          <a:xfrm>
                            <a:off x="0" y="0"/>
                            <a:ext cx="2743200" cy="2060575"/>
                          </a:xfrm>
                          <a:prstGeom prst="rect">
                            <a:avLst/>
                          </a:prstGeom>
                        </pic:spPr>
                      </pic:pic>
                    </a:graphicData>
                  </a:graphic>
                </wp:inline>
              </w:drawing>
            </w:r>
          </w:p>
        </w:tc>
        <w:tc>
          <w:tcPr>
            <w:tcW w:w="4550" w:type="dxa"/>
            <w:vAlign w:val="center"/>
          </w:tcPr>
          <w:p>
            <w:pPr>
              <w:pStyle w:val="51"/>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both"/>
              <w:textAlignment w:val="auto"/>
              <w:rPr>
                <w:rFonts w:hint="default" w:ascii="Times New Roman" w:hAnsi="Times New Roman" w:cs="Times New Roman"/>
                <w:color w:val="auto"/>
                <w:vertAlign w:val="baseline"/>
                <w:lang w:eastAsia="zh-CN"/>
              </w:rPr>
            </w:pPr>
            <w:r>
              <w:rPr>
                <w:rFonts w:hint="default" w:ascii="Times New Roman" w:hAnsi="Times New Roman" w:cs="Times New Roman"/>
                <w:color w:val="auto"/>
                <w:vertAlign w:val="baseline"/>
                <w:lang w:eastAsia="zh-CN"/>
              </w:rPr>
              <w:drawing>
                <wp:inline distT="0" distB="0" distL="114300" distR="114300">
                  <wp:extent cx="2743200" cy="2060575"/>
                  <wp:effectExtent l="0" t="0" r="0" b="15875"/>
                  <wp:docPr id="53" name="图片 53" descr="1f91ee564ef9e734b993d9996f7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1f91ee564ef9e734b993d9996f74819"/>
                          <pic:cNvPicPr>
                            <a:picLocks noChangeAspect="1"/>
                          </pic:cNvPicPr>
                        </pic:nvPicPr>
                        <pic:blipFill>
                          <a:blip r:embed="rId46"/>
                          <a:stretch>
                            <a:fillRect/>
                          </a:stretch>
                        </pic:blipFill>
                        <pic:spPr>
                          <a:xfrm>
                            <a:off x="0" y="0"/>
                            <a:ext cx="2743200" cy="2060575"/>
                          </a:xfrm>
                          <a:prstGeom prst="rect">
                            <a:avLst/>
                          </a:prstGeom>
                        </pic:spPr>
                      </pic:pic>
                    </a:graphicData>
                  </a:graphic>
                </wp:inline>
              </w:drawing>
            </w:r>
          </w:p>
        </w:tc>
        <w:tc>
          <w:tcPr>
            <w:tcW w:w="4552" w:type="dxa"/>
            <w:vAlign w:val="center"/>
          </w:tcPr>
          <w:p>
            <w:pPr>
              <w:pStyle w:val="51"/>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both"/>
              <w:textAlignment w:val="auto"/>
              <w:rPr>
                <w:rFonts w:hint="default" w:ascii="Times New Roman" w:hAnsi="Times New Roman" w:cs="Times New Roman"/>
                <w:color w:val="auto"/>
                <w:vertAlign w:val="baseline"/>
                <w:lang w:eastAsia="zh-CN"/>
              </w:rPr>
            </w:pPr>
            <w:r>
              <w:rPr>
                <w:rFonts w:hint="default" w:ascii="Times New Roman" w:hAnsi="Times New Roman" w:cs="Times New Roman"/>
                <w:color w:val="auto"/>
                <w:vertAlign w:val="baseline"/>
                <w:lang w:eastAsia="zh-CN"/>
              </w:rPr>
              <w:drawing>
                <wp:inline distT="0" distB="0" distL="114300" distR="114300">
                  <wp:extent cx="2743200" cy="2060575"/>
                  <wp:effectExtent l="0" t="0" r="0" b="15875"/>
                  <wp:docPr id="52" name="图片 52" descr="e6195d69979729b67349b5c34701e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e6195d69979729b67349b5c34701e8f"/>
                          <pic:cNvPicPr>
                            <a:picLocks noChangeAspect="1"/>
                          </pic:cNvPicPr>
                        </pic:nvPicPr>
                        <pic:blipFill>
                          <a:blip r:embed="rId47"/>
                          <a:stretch>
                            <a:fillRect/>
                          </a:stretch>
                        </pic:blipFill>
                        <pic:spPr>
                          <a:xfrm>
                            <a:off x="0" y="0"/>
                            <a:ext cx="2743200" cy="20605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9" w:hRule="atLeast"/>
        </w:trPr>
        <w:tc>
          <w:tcPr>
            <w:tcW w:w="4550" w:type="dxa"/>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项目南侧</w:t>
            </w:r>
          </w:p>
        </w:tc>
        <w:tc>
          <w:tcPr>
            <w:tcW w:w="4550" w:type="dxa"/>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项目</w:t>
            </w:r>
            <w:r>
              <w:rPr>
                <w:rFonts w:hint="eastAsia" w:ascii="Times New Roman" w:hAnsi="Times New Roman" w:cs="Times New Roman"/>
                <w:color w:val="auto"/>
                <w:sz w:val="21"/>
                <w:szCs w:val="21"/>
                <w:lang w:val="en-US" w:eastAsia="zh-CN"/>
              </w:rPr>
              <w:t>东侧（大北溪）</w:t>
            </w:r>
          </w:p>
        </w:tc>
        <w:tc>
          <w:tcPr>
            <w:tcW w:w="4552" w:type="dxa"/>
            <w:vAlign w:val="center"/>
          </w:tcPr>
          <w:p>
            <w:pPr>
              <w:pStyle w:val="5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项目北侧</w:t>
            </w:r>
          </w:p>
        </w:tc>
      </w:tr>
    </w:tbl>
    <w:p>
      <w:pPr>
        <w:pStyle w:val="51"/>
        <w:ind w:left="0" w:leftChars="0" w:firstLine="0" w:firstLineChars="0"/>
        <w:jc w:val="center"/>
        <w:rPr>
          <w:rFonts w:hint="default" w:ascii="Times New Roman" w:hAnsi="Times New Roman" w:cs="Times New Roman"/>
          <w:color w:val="auto"/>
          <w:lang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2"/>
        <w:numPr>
          <w:ilvl w:val="0"/>
          <w:numId w:val="0"/>
        </w:numPr>
        <w:spacing w:before="240" w:after="120"/>
        <w:jc w:val="both"/>
      </w:pPr>
      <w:bookmarkStart w:id="119" w:name="_Toc14627"/>
      <w:bookmarkStart w:id="120" w:name="_Toc32410"/>
      <w:r>
        <w:rPr>
          <w:rFonts w:hint="default" w:ascii="Times New Roman" w:hAnsi="Times New Roman" w:eastAsia="宋体" w:cs="Times New Roman"/>
          <w:b/>
          <w:bCs w:val="0"/>
          <w:color w:val="auto"/>
          <w:sz w:val="24"/>
          <w:szCs w:val="24"/>
          <w:highlight w:val="none"/>
        </w:rPr>
        <w:t>附图3：</w:t>
      </w:r>
      <w:r>
        <w:rPr>
          <w:rFonts w:hint="default" w:ascii="Times New Roman" w:hAnsi="Times New Roman" w:eastAsia="宋体" w:cs="Times New Roman"/>
          <w:b/>
          <w:bCs w:val="0"/>
          <w:color w:val="auto"/>
          <w:sz w:val="24"/>
          <w:szCs w:val="24"/>
          <w:highlight w:val="none"/>
          <w:lang w:val="en-US" w:eastAsia="zh-CN"/>
        </w:rPr>
        <w:t>实验室</w:t>
      </w:r>
      <w:r>
        <w:rPr>
          <w:rFonts w:hint="default" w:ascii="Times New Roman" w:hAnsi="Times New Roman" w:eastAsia="宋体" w:cs="Times New Roman"/>
          <w:b/>
          <w:bCs w:val="0"/>
          <w:color w:val="auto"/>
          <w:sz w:val="24"/>
          <w:szCs w:val="24"/>
          <w:highlight w:val="none"/>
        </w:rPr>
        <w:t>平面布置</w:t>
      </w:r>
      <w:r>
        <w:rPr>
          <w:rFonts w:hint="eastAsia" w:cs="Times New Roman"/>
          <w:b/>
          <w:bCs w:val="0"/>
          <w:color w:val="auto"/>
          <w:sz w:val="24"/>
          <w:szCs w:val="24"/>
          <w:highlight w:val="none"/>
          <w:lang w:val="en-US" w:eastAsia="zh-CN"/>
        </w:rPr>
        <w:t>（污水管路、通风管道）</w:t>
      </w:r>
      <w:bookmarkEnd w:id="119"/>
      <w:bookmarkEnd w:id="120"/>
    </w:p>
    <w:p>
      <w:pPr>
        <w:rPr>
          <w:rFonts w:hint="default"/>
          <w:lang w:eastAsia="zh-CN"/>
        </w:rPr>
      </w:pPr>
    </w:p>
    <w:p>
      <w:pPr>
        <w:bidi w:val="0"/>
        <w:jc w:val="center"/>
        <w:rPr>
          <w:rFonts w:hint="default" w:ascii="Times New Roman" w:hAnsi="Times New Roman" w:cs="Times New Roman"/>
          <w:color w:val="auto"/>
          <w:highlight w:val="none"/>
          <w:lang w:eastAsia="zh-CN"/>
        </w:rPr>
      </w:pPr>
      <w:r>
        <w:drawing>
          <wp:inline distT="0" distB="0" distL="114300" distR="114300">
            <wp:extent cx="14032865" cy="6327775"/>
            <wp:effectExtent l="0" t="0" r="6985" b="15875"/>
            <wp:docPr id="3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5"/>
                    <pic:cNvPicPr>
                      <a:picLocks noChangeAspect="1"/>
                    </pic:cNvPicPr>
                  </pic:nvPicPr>
                  <pic:blipFill>
                    <a:blip r:embed="rId48"/>
                    <a:stretch>
                      <a:fillRect/>
                    </a:stretch>
                  </pic:blipFill>
                  <pic:spPr>
                    <a:xfrm>
                      <a:off x="0" y="0"/>
                      <a:ext cx="14032865" cy="6327775"/>
                    </a:xfrm>
                    <a:prstGeom prst="rect">
                      <a:avLst/>
                    </a:prstGeom>
                    <a:noFill/>
                    <a:ln>
                      <a:noFill/>
                    </a:ln>
                  </pic:spPr>
                </pic:pic>
              </a:graphicData>
            </a:graphic>
          </wp:inline>
        </w:drawing>
      </w:r>
    </w:p>
    <w:p>
      <w:pPr>
        <w:pStyle w:val="19"/>
      </w:pPr>
    </w:p>
    <w:p>
      <w:pPr>
        <w:pStyle w:val="19"/>
      </w:pPr>
    </w:p>
    <w:p>
      <w:pPr>
        <w:pStyle w:val="19"/>
      </w:pPr>
    </w:p>
    <w:p>
      <w:pPr>
        <w:pStyle w:val="19"/>
      </w:pPr>
    </w:p>
    <w:p>
      <w:pPr>
        <w:pStyle w:val="19"/>
      </w:pPr>
    </w:p>
    <w:p>
      <w:pPr>
        <w:pStyle w:val="19"/>
      </w:pPr>
    </w:p>
    <w:p>
      <w:pPr>
        <w:pStyle w:val="19"/>
      </w:pPr>
    </w:p>
    <w:p>
      <w:pPr>
        <w:pStyle w:val="19"/>
      </w:pPr>
    </w:p>
    <w:p>
      <w:pPr>
        <w:pStyle w:val="19"/>
      </w:pPr>
    </w:p>
    <w:p>
      <w:pPr>
        <w:pStyle w:val="19"/>
      </w:pPr>
    </w:p>
    <w:p>
      <w:pPr>
        <w:pStyle w:val="19"/>
      </w:pPr>
    </w:p>
    <w:p>
      <w:pPr>
        <w:pStyle w:val="19"/>
      </w:pPr>
    </w:p>
    <w:p>
      <w:pPr>
        <w:pStyle w:val="19"/>
      </w:pPr>
    </w:p>
    <w:p>
      <w:pPr>
        <w:pStyle w:val="19"/>
      </w:pPr>
    </w:p>
    <w:p>
      <w:pPr>
        <w:pStyle w:val="19"/>
      </w:pPr>
    </w:p>
    <w:p>
      <w:pPr>
        <w:pStyle w:val="19"/>
      </w:pPr>
    </w:p>
    <w:p>
      <w:pPr>
        <w:pStyle w:val="19"/>
      </w:pPr>
    </w:p>
    <w:p>
      <w:pPr>
        <w:pStyle w:val="19"/>
      </w:pPr>
    </w:p>
    <w:p>
      <w:pPr>
        <w:pStyle w:val="19"/>
      </w:pPr>
    </w:p>
    <w:p>
      <w:pPr>
        <w:pStyle w:val="19"/>
      </w:pPr>
    </w:p>
    <w:p>
      <w:pPr>
        <w:pStyle w:val="19"/>
      </w:pPr>
    </w:p>
    <w:p>
      <w:pPr>
        <w:pStyle w:val="19"/>
      </w:pPr>
    </w:p>
    <w:p>
      <w:pPr>
        <w:pStyle w:val="19"/>
      </w:pPr>
      <w:r>
        <w:drawing>
          <wp:inline distT="0" distB="0" distL="114300" distR="114300">
            <wp:extent cx="14001750" cy="6618605"/>
            <wp:effectExtent l="0" t="0" r="0" b="10795"/>
            <wp:docPr id="3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9"/>
                    <pic:cNvPicPr>
                      <a:picLocks noChangeAspect="1"/>
                    </pic:cNvPicPr>
                  </pic:nvPicPr>
                  <pic:blipFill>
                    <a:blip r:embed="rId49"/>
                    <a:stretch>
                      <a:fillRect/>
                    </a:stretch>
                  </pic:blipFill>
                  <pic:spPr>
                    <a:xfrm>
                      <a:off x="0" y="0"/>
                      <a:ext cx="14001750" cy="6618605"/>
                    </a:xfrm>
                    <a:prstGeom prst="rect">
                      <a:avLst/>
                    </a:prstGeom>
                    <a:noFill/>
                    <a:ln>
                      <a:noFill/>
                    </a:ln>
                  </pic:spPr>
                </pic:pic>
              </a:graphicData>
            </a:graphic>
          </wp:inline>
        </w:drawing>
      </w:r>
    </w:p>
    <w:p>
      <w:pPr>
        <w:pStyle w:val="19"/>
      </w:pPr>
    </w:p>
    <w:p>
      <w:pPr>
        <w:pStyle w:val="19"/>
      </w:pPr>
    </w:p>
    <w:p>
      <w:pPr>
        <w:pStyle w:val="19"/>
        <w:rPr>
          <w:rFonts w:hint="default"/>
          <w:lang w:eastAsia="zh-CN"/>
        </w:rPr>
      </w:pPr>
    </w:p>
    <w:p>
      <w:pPr>
        <w:pStyle w:val="19"/>
      </w:pPr>
    </w:p>
    <w:p>
      <w:pPr>
        <w:pStyle w:val="19"/>
        <w:rPr>
          <w:rFonts w:hint="default"/>
          <w:lang w:eastAsia="zh-CN"/>
        </w:rPr>
      </w:pPr>
    </w:p>
    <w:p>
      <w:pPr>
        <w:pStyle w:val="19"/>
        <w:rPr>
          <w:rFonts w:hint="default"/>
          <w:lang w:eastAsia="zh-CN"/>
        </w:rPr>
      </w:pPr>
    </w:p>
    <w:p>
      <w:pPr>
        <w:pStyle w:val="19"/>
        <w:rPr>
          <w:rFonts w:hint="default"/>
          <w:lang w:eastAsia="zh-CN"/>
        </w:rPr>
      </w:pPr>
      <w:r>
        <w:drawing>
          <wp:inline distT="0" distB="0" distL="114300" distR="114300">
            <wp:extent cx="14036040" cy="6778625"/>
            <wp:effectExtent l="0" t="0" r="3810" b="3175"/>
            <wp:docPr id="3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8"/>
                    <pic:cNvPicPr>
                      <a:picLocks noChangeAspect="1"/>
                    </pic:cNvPicPr>
                  </pic:nvPicPr>
                  <pic:blipFill>
                    <a:blip r:embed="rId50"/>
                    <a:stretch>
                      <a:fillRect/>
                    </a:stretch>
                  </pic:blipFill>
                  <pic:spPr>
                    <a:xfrm>
                      <a:off x="0" y="0"/>
                      <a:ext cx="14036040" cy="6778625"/>
                    </a:xfrm>
                    <a:prstGeom prst="rect">
                      <a:avLst/>
                    </a:prstGeom>
                    <a:noFill/>
                    <a:ln>
                      <a:noFill/>
                    </a:ln>
                  </pic:spPr>
                </pic:pic>
              </a:graphicData>
            </a:graphic>
          </wp:inline>
        </w:drawing>
      </w:r>
    </w:p>
    <w:p/>
    <w:p>
      <w:pPr>
        <w:pStyle w:val="2"/>
        <w:rPr>
          <w:rFonts w:hint="default"/>
          <w:lang w:eastAsia="zh-CN"/>
        </w:rPr>
        <w:sectPr>
          <w:pgSz w:w="23811" w:h="16838" w:orient="landscape"/>
          <w:pgMar w:top="1134" w:right="850" w:bottom="1134" w:left="850"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2"/>
        <w:numPr>
          <w:ilvl w:val="0"/>
          <w:numId w:val="0"/>
        </w:numPr>
        <w:spacing w:before="240" w:after="120"/>
        <w:jc w:val="both"/>
        <w:rPr>
          <w:rFonts w:hint="default" w:ascii="Times New Roman" w:hAnsi="Times New Roman" w:eastAsia="宋体" w:cs="Times New Roman"/>
          <w:b/>
          <w:bCs w:val="0"/>
          <w:color w:val="auto"/>
          <w:sz w:val="24"/>
          <w:szCs w:val="24"/>
          <w:highlight w:val="none"/>
        </w:rPr>
      </w:pPr>
      <w:bookmarkStart w:id="121" w:name="_Toc9007"/>
      <w:bookmarkStart w:id="122" w:name="_Toc2352"/>
      <w:bookmarkStart w:id="123" w:name="_Toc31553"/>
      <w:bookmarkStart w:id="124" w:name="_Toc27673"/>
      <w:bookmarkStart w:id="125" w:name="_Toc10949"/>
      <w:bookmarkStart w:id="126" w:name="_Toc29488"/>
      <w:bookmarkStart w:id="127" w:name="_Toc15213"/>
      <w:r>
        <w:rPr>
          <w:rFonts w:hint="default" w:ascii="Times New Roman" w:hAnsi="Times New Roman" w:eastAsia="宋体" w:cs="Times New Roman"/>
          <w:b/>
          <w:bCs w:val="0"/>
          <w:color w:val="auto"/>
          <w:sz w:val="24"/>
          <w:szCs w:val="24"/>
          <w:highlight w:val="none"/>
        </w:rPr>
        <w:pict>
          <v:shape id="_x0000_s1026" o:spid="_x0000_s1026" o:spt="136" type="#_x0000_t136" style="position:absolute;left:0pt;margin-left:819.75pt;margin-top:543.35pt;height:9pt;width:32pt;z-index:-251654144;mso-width-relative:page;mso-height-relative:page;" fillcolor="#000000" filled="t" coordsize="21600,21600">
            <v:path/>
            <v:fill on="t" focussize="0,0"/>
            <v:stroke/>
            <v:imagedata o:title=""/>
            <o:lock v:ext="edit"/>
            <v:textpath on="t" fitshape="t" fitpath="t" trim="t" xscale="f" string="污水管网" style="font-family:宋体;font-size:8pt;v-text-align:center;"/>
          </v:shape>
        </w:pict>
      </w:r>
      <w:r>
        <w:rPr>
          <w:rFonts w:hint="default" w:ascii="Times New Roman" w:hAnsi="Times New Roman" w:eastAsia="宋体" w:cs="Times New Roman"/>
          <w:b/>
          <w:bCs w:val="0"/>
          <w:color w:val="auto"/>
          <w:sz w:val="24"/>
          <w:szCs w:val="24"/>
          <w:highlight w:val="none"/>
        </w:rPr>
        <w:pict>
          <v:shape id="_x0000_s1027" o:spid="_x0000_s1027" o:spt="136" type="#_x0000_t136" style="position:absolute;left:0pt;margin-left:819.7pt;margin-top:562.25pt;height:9pt;width:32pt;z-index:-251653120;mso-width-relative:page;mso-height-relative:page;" fillcolor="#000000" filled="t" coordsize="21600,21600">
            <v:path/>
            <v:fill on="t" focussize="0,0"/>
            <v:stroke/>
            <v:imagedata o:title=""/>
            <o:lock v:ext="edit"/>
            <v:textpath on="t" fitshape="t" fitpath="t" trim="t" xscale="f" string="雨水管网" style="font-family:宋体;font-size:8pt;v-text-align:center;"/>
          </v:shape>
        </w:pict>
      </w:r>
      <w:r>
        <w:rPr>
          <w:rFonts w:hint="default" w:ascii="Times New Roman" w:hAnsi="Times New Roman" w:eastAsia="宋体" w:cs="Times New Roman"/>
          <w:b/>
          <w:bCs w:val="0"/>
          <w:color w:val="auto"/>
          <w:sz w:val="24"/>
          <w:szCs w:val="24"/>
          <w:highlight w:val="none"/>
        </w:rPr>
        <mc:AlternateContent>
          <mc:Choice Requires="wps">
            <w:drawing>
              <wp:anchor distT="0" distB="0" distL="114300" distR="114300" simplePos="0" relativeHeight="251665408" behindDoc="0" locked="0" layoutInCell="1" allowOverlap="1">
                <wp:simplePos x="0" y="0"/>
                <wp:positionH relativeFrom="column">
                  <wp:posOffset>10084435</wp:posOffset>
                </wp:positionH>
                <wp:positionV relativeFrom="paragraph">
                  <wp:posOffset>7226300</wp:posOffset>
                </wp:positionV>
                <wp:extent cx="240030" cy="635"/>
                <wp:effectExtent l="0" t="0" r="0" b="0"/>
                <wp:wrapNone/>
                <wp:docPr id="59" name="直接连接符 59"/>
                <wp:cNvGraphicFramePr/>
                <a:graphic xmlns:a="http://schemas.openxmlformats.org/drawingml/2006/main">
                  <a:graphicData uri="http://schemas.microsoft.com/office/word/2010/wordprocessingShape">
                    <wps:wsp>
                      <wps:cNvCnPr/>
                      <wps:spPr>
                        <a:xfrm>
                          <a:off x="0" y="0"/>
                          <a:ext cx="240030" cy="635"/>
                        </a:xfrm>
                        <a:prstGeom prst="line">
                          <a:avLst/>
                        </a:prstGeom>
                        <a:ln w="19050" cap="flat" cmpd="sng">
                          <a:solidFill>
                            <a:srgbClr val="00B05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794.05pt;margin-top:569pt;height:0.05pt;width:18.9pt;z-index:251665408;mso-width-relative:page;mso-height-relative:page;" filled="f" stroked="t" coordsize="21600,21600" o:gfxdata="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CWQHSNkAAAAPAQAADwAAAAAA&#10;AAABACAAAAAiAAAAZHJzL2Rvd25yZXYueG1sUEsBAhQAFAAAAAgAh07iQL+vNwjZAQAAnAMAAA4A&#10;AAAAAAAAAQAgAAAAKAEAAGRycy9lMm9Eb2MueG1sUEsFBgAAAAAGAAYAWQEAAHMFAAAAAA==&#10;">
                <v:fill on="f" focussize="0,0"/>
                <v:stroke weight="1.5pt" color="#00B050" joinstyle="round"/>
                <v:imagedata o:title=""/>
                <o:lock v:ext="edit" aspectratio="f"/>
              </v:line>
            </w:pict>
          </mc:Fallback>
        </mc:AlternateContent>
      </w:r>
      <w:r>
        <w:rPr>
          <w:rFonts w:hint="default" w:ascii="Times New Roman" w:hAnsi="Times New Roman" w:eastAsia="宋体" w:cs="Times New Roman"/>
          <w:b/>
          <w:bCs w:val="0"/>
          <w:color w:val="auto"/>
          <w:sz w:val="24"/>
          <w:szCs w:val="24"/>
          <w:highlight w:val="none"/>
        </w:rPr>
        <mc:AlternateContent>
          <mc:Choice Requires="wps">
            <w:drawing>
              <wp:anchor distT="0" distB="0" distL="114300" distR="114300" simplePos="0" relativeHeight="251664384" behindDoc="0" locked="0" layoutInCell="1" allowOverlap="1">
                <wp:simplePos x="0" y="0"/>
                <wp:positionH relativeFrom="column">
                  <wp:posOffset>10057130</wp:posOffset>
                </wp:positionH>
                <wp:positionV relativeFrom="paragraph">
                  <wp:posOffset>6960235</wp:posOffset>
                </wp:positionV>
                <wp:extent cx="218440" cy="635"/>
                <wp:effectExtent l="0" t="9525" r="10160" b="18415"/>
                <wp:wrapNone/>
                <wp:docPr id="60" name="直接连接符 60"/>
                <wp:cNvGraphicFramePr/>
                <a:graphic xmlns:a="http://schemas.openxmlformats.org/drawingml/2006/main">
                  <a:graphicData uri="http://schemas.microsoft.com/office/word/2010/wordprocessingShape">
                    <wps:wsp>
                      <wps:cNvCnPr/>
                      <wps:spPr>
                        <a:xfrm>
                          <a:off x="0" y="0"/>
                          <a:ext cx="218440" cy="635"/>
                        </a:xfrm>
                        <a:prstGeom prst="line">
                          <a:avLst/>
                        </a:prstGeom>
                        <a:ln w="19050" cap="flat" cmpd="sng">
                          <a:solidFill>
                            <a:srgbClr val="953735"/>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791.9pt;margin-top:548.05pt;height:0.05pt;width:17.2pt;z-index:251664384;mso-width-relative:page;mso-height-relative:page;" filled="f" stroked="t" coordsize="21600,21600" o:gfxdata="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oUsqgNsAAAAPAQAADwAA&#10;AAAAAAABACAAAAAiAAAAZHJzL2Rvd25yZXYueG1sUEsBAhQAFAAAAAgAh07iQLoGdFDaAQAAnAMA&#10;AA4AAAAAAAAAAQAgAAAAKgEAAGRycy9lMm9Eb2MueG1sUEsFBgAAAAAGAAYAWQEAAHYFAAAAAA==&#10;">
                <v:fill on="f" focussize="0,0"/>
                <v:stroke weight="1.5pt" color="#953735" joinstyle="round"/>
                <v:imagedata o:title=""/>
                <o:lock v:ext="edit" aspectratio="f"/>
              </v:line>
            </w:pict>
          </mc:Fallback>
        </mc:AlternateContent>
      </w:r>
      <w:r>
        <w:rPr>
          <w:rFonts w:hint="default" w:ascii="Times New Roman" w:hAnsi="Times New Roman" w:eastAsia="宋体" w:cs="Times New Roman"/>
          <w:b/>
          <w:bCs w:val="0"/>
          <w:color w:val="auto"/>
          <w:sz w:val="24"/>
          <w:szCs w:val="24"/>
          <w:highlight w:val="none"/>
        </w:rPr>
        <w:t>附件1：委托书</w:t>
      </w:r>
      <w:bookmarkEnd w:id="121"/>
      <w:bookmarkEnd w:id="122"/>
      <w:bookmarkEnd w:id="123"/>
      <w:bookmarkEnd w:id="124"/>
      <w:bookmarkEnd w:id="125"/>
      <w:bookmarkEnd w:id="126"/>
      <w:bookmarkEnd w:id="127"/>
    </w:p>
    <w:p>
      <w:pPr>
        <w:rPr>
          <w:rFonts w:hint="eastAsia" w:eastAsia="宋体"/>
          <w:color w:val="auto"/>
          <w:lang w:eastAsia="zh-CN"/>
        </w:rPr>
      </w:pPr>
      <w:r>
        <w:rPr>
          <w:rFonts w:hint="eastAsia" w:eastAsia="宋体"/>
          <w:color w:val="auto"/>
          <w:lang w:eastAsia="zh-CN"/>
        </w:rPr>
        <w:drawing>
          <wp:inline distT="0" distB="0" distL="114300" distR="114300">
            <wp:extent cx="5740400" cy="8117205"/>
            <wp:effectExtent l="0" t="0" r="12700" b="17145"/>
            <wp:docPr id="5" name="图片 5" descr="未命名2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未命名2_03"/>
                    <pic:cNvPicPr>
                      <a:picLocks noChangeAspect="1"/>
                    </pic:cNvPicPr>
                  </pic:nvPicPr>
                  <pic:blipFill>
                    <a:blip r:embed="rId51"/>
                    <a:stretch>
                      <a:fillRect/>
                    </a:stretch>
                  </pic:blipFill>
                  <pic:spPr>
                    <a:xfrm>
                      <a:off x="0" y="0"/>
                      <a:ext cx="5740400" cy="8117205"/>
                    </a:xfrm>
                    <a:prstGeom prst="rect">
                      <a:avLst/>
                    </a:prstGeom>
                  </pic:spPr>
                </pic:pic>
              </a:graphicData>
            </a:graphic>
          </wp:inline>
        </w:drawing>
      </w:r>
    </w:p>
    <w:p>
      <w:pPr>
        <w:pStyle w:val="2"/>
        <w:numPr>
          <w:ilvl w:val="1"/>
          <w:numId w:val="0"/>
        </w:numPr>
        <w:tabs>
          <w:tab w:val="left" w:pos="0"/>
          <w:tab w:val="clear" w:pos="420"/>
        </w:tabs>
        <w:jc w:val="both"/>
        <w:outlineLvl w:val="9"/>
        <w:rPr>
          <w:rFonts w:hint="default" w:ascii="Times New Roman" w:hAnsi="Times New Roman" w:eastAsia="黑体" w:cs="Times New Roman"/>
          <w:b/>
          <w:color w:val="auto"/>
          <w:sz w:val="24"/>
          <w:szCs w:val="24"/>
          <w:highlight w:val="none"/>
          <w:lang w:eastAsia="zh-CN"/>
        </w:rPr>
        <w:sectPr>
          <w:footerReference r:id="rId8" w:type="default"/>
          <w:pgSz w:w="11906" w:h="16838"/>
          <w:pgMar w:top="1417" w:right="1418" w:bottom="1417" w:left="1418"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128" w:name="_Toc28688"/>
    </w:p>
    <w:bookmarkEnd w:id="128"/>
    <w:p>
      <w:pPr>
        <w:pStyle w:val="2"/>
        <w:keepNext/>
        <w:keepLines w:val="0"/>
        <w:pageBreakBefore w:val="0"/>
        <w:widowControl w:val="0"/>
        <w:numPr>
          <w:ilvl w:val="0"/>
          <w:numId w:val="0"/>
        </w:numPr>
        <w:kinsoku/>
        <w:wordWrap/>
        <w:overflowPunct w:val="0"/>
        <w:topLinePunct w:val="0"/>
        <w:autoSpaceDE/>
        <w:autoSpaceDN/>
        <w:bidi w:val="0"/>
        <w:adjustRightInd/>
        <w:snapToGrid w:val="0"/>
        <w:spacing w:line="240" w:lineRule="auto"/>
        <w:jc w:val="both"/>
        <w:textAlignment w:val="auto"/>
        <w:rPr>
          <w:rFonts w:hint="default" w:ascii="Times New Roman" w:hAnsi="Times New Roman" w:eastAsia="宋体" w:cs="Times New Roman"/>
          <w:b/>
          <w:bCs w:val="0"/>
          <w:color w:val="auto"/>
          <w:sz w:val="24"/>
          <w:szCs w:val="24"/>
          <w:highlight w:val="none"/>
          <w:lang w:val="en-US" w:eastAsia="zh-CN"/>
        </w:rPr>
      </w:pPr>
      <w:bookmarkStart w:id="129" w:name="_Toc28025"/>
      <w:bookmarkStart w:id="130" w:name="_Toc20595"/>
      <w:r>
        <w:rPr>
          <w:rFonts w:hint="default" w:ascii="Times New Roman" w:hAnsi="Times New Roman" w:eastAsia="宋体" w:cs="Times New Roman"/>
          <w:b/>
          <w:bCs w:val="0"/>
          <w:color w:val="auto"/>
          <w:sz w:val="24"/>
          <w:szCs w:val="24"/>
          <w:highlight w:val="none"/>
        </w:rPr>
        <w:t>附件</w:t>
      </w:r>
      <w:r>
        <w:rPr>
          <w:rFonts w:hint="default" w:ascii="Times New Roman" w:hAnsi="Times New Roman" w:eastAsia="宋体" w:cs="Times New Roman"/>
          <w:b/>
          <w:bCs w:val="0"/>
          <w:color w:val="auto"/>
          <w:sz w:val="24"/>
          <w:szCs w:val="24"/>
          <w:highlight w:val="none"/>
          <w:lang w:val="en-US" w:eastAsia="zh-CN"/>
        </w:rPr>
        <w:t>2</w:t>
      </w:r>
      <w:r>
        <w:rPr>
          <w:rFonts w:hint="default" w:ascii="Times New Roman" w:hAnsi="Times New Roman" w:eastAsia="宋体" w:cs="Times New Roman"/>
          <w:b/>
          <w:bCs w:val="0"/>
          <w:color w:val="auto"/>
          <w:sz w:val="24"/>
          <w:szCs w:val="24"/>
          <w:highlight w:val="none"/>
        </w:rPr>
        <w:t>：</w:t>
      </w:r>
      <w:r>
        <w:rPr>
          <w:rFonts w:hint="eastAsia" w:ascii="Times New Roman" w:hAnsi="Times New Roman" w:eastAsia="宋体" w:cs="Times New Roman"/>
          <w:b/>
          <w:bCs w:val="0"/>
          <w:color w:val="auto"/>
          <w:sz w:val="24"/>
          <w:szCs w:val="24"/>
          <w:highlight w:val="none"/>
          <w:lang w:val="en-US" w:eastAsia="zh-CN"/>
        </w:rPr>
        <w:t>项目备案表</w:t>
      </w:r>
      <w:bookmarkEnd w:id="129"/>
    </w:p>
    <w:p>
      <w:pPr>
        <w:jc w:val="center"/>
        <w:rPr>
          <w:rFonts w:hint="default"/>
        </w:rPr>
        <w:sectPr>
          <w:type w:val="continuous"/>
          <w:pgSz w:w="16838" w:h="11906" w:orient="landscape"/>
          <w:pgMar w:top="1418" w:right="1417" w:bottom="1418" w:left="1417"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drawing>
          <wp:inline distT="0" distB="0" distL="114300" distR="114300">
            <wp:extent cx="7284720" cy="5403215"/>
            <wp:effectExtent l="0" t="0" r="0" b="0"/>
            <wp:docPr id="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9"/>
                    <pic:cNvPicPr>
                      <a:picLocks noChangeAspect="1"/>
                    </pic:cNvPicPr>
                  </pic:nvPicPr>
                  <pic:blipFill>
                    <a:blip r:embed="rId52"/>
                    <a:srcRect t="2637" b="3476"/>
                    <a:stretch>
                      <a:fillRect/>
                    </a:stretch>
                  </pic:blipFill>
                  <pic:spPr>
                    <a:xfrm>
                      <a:off x="0" y="0"/>
                      <a:ext cx="7284720" cy="5403215"/>
                    </a:xfrm>
                    <a:prstGeom prst="rect">
                      <a:avLst/>
                    </a:prstGeom>
                    <a:noFill/>
                    <a:ln>
                      <a:noFill/>
                    </a:ln>
                  </pic:spPr>
                </pic:pic>
              </a:graphicData>
            </a:graphic>
          </wp:inline>
        </w:drawing>
      </w:r>
    </w:p>
    <w:p>
      <w:pPr>
        <w:pStyle w:val="2"/>
        <w:keepNext/>
        <w:keepLines w:val="0"/>
        <w:pageBreakBefore w:val="0"/>
        <w:widowControl w:val="0"/>
        <w:numPr>
          <w:ilvl w:val="0"/>
          <w:numId w:val="0"/>
        </w:numPr>
        <w:kinsoku/>
        <w:wordWrap/>
        <w:overflowPunct w:val="0"/>
        <w:topLinePunct w:val="0"/>
        <w:autoSpaceDE/>
        <w:autoSpaceDN/>
        <w:bidi w:val="0"/>
        <w:adjustRightInd/>
        <w:snapToGrid w:val="0"/>
        <w:spacing w:line="240" w:lineRule="auto"/>
        <w:jc w:val="both"/>
        <w:textAlignment w:val="auto"/>
        <w:rPr>
          <w:rFonts w:hint="default" w:ascii="Times New Roman" w:hAnsi="Times New Roman" w:eastAsia="宋体" w:cs="Times New Roman"/>
          <w:b/>
          <w:bCs w:val="0"/>
          <w:color w:val="auto"/>
          <w:sz w:val="24"/>
          <w:szCs w:val="24"/>
          <w:highlight w:val="none"/>
        </w:rPr>
      </w:pPr>
      <w:bookmarkStart w:id="131" w:name="_Toc1003"/>
      <w:r>
        <w:rPr>
          <w:rFonts w:hint="default" w:ascii="Times New Roman" w:hAnsi="Times New Roman" w:eastAsia="宋体" w:cs="Times New Roman"/>
          <w:b/>
          <w:bCs w:val="0"/>
          <w:color w:val="auto"/>
          <w:sz w:val="24"/>
          <w:szCs w:val="24"/>
          <w:highlight w:val="none"/>
        </w:rPr>
        <w:t>附件</w:t>
      </w:r>
      <w:r>
        <w:rPr>
          <w:rFonts w:hint="eastAsia" w:cs="Times New Roman"/>
          <w:b/>
          <w:bCs w:val="0"/>
          <w:color w:val="auto"/>
          <w:sz w:val="24"/>
          <w:szCs w:val="24"/>
          <w:highlight w:val="none"/>
          <w:lang w:val="en-US" w:eastAsia="zh-CN"/>
        </w:rPr>
        <w:t>3</w:t>
      </w:r>
      <w:r>
        <w:rPr>
          <w:rFonts w:hint="default" w:ascii="Times New Roman" w:hAnsi="Times New Roman" w:eastAsia="宋体" w:cs="Times New Roman"/>
          <w:b/>
          <w:bCs w:val="0"/>
          <w:color w:val="auto"/>
          <w:sz w:val="24"/>
          <w:szCs w:val="24"/>
          <w:highlight w:val="none"/>
        </w:rPr>
        <w:t>：营业执照</w:t>
      </w:r>
      <w:bookmarkEnd w:id="130"/>
      <w:bookmarkEnd w:id="131"/>
    </w:p>
    <w:p>
      <w:pPr>
        <w:pStyle w:val="19"/>
        <w:jc w:val="center"/>
        <w:rPr>
          <w:rFonts w:hint="default"/>
        </w:rPr>
        <w:sectPr>
          <w:pgSz w:w="16838" w:h="11906" w:orient="landscape"/>
          <w:pgMar w:top="1418" w:right="1417" w:bottom="1418" w:left="1417"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drawing>
          <wp:inline distT="0" distB="0" distL="114300" distR="114300">
            <wp:extent cx="7663815" cy="5376545"/>
            <wp:effectExtent l="0" t="0" r="13335" b="14605"/>
            <wp:docPr id="9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5"/>
                    <pic:cNvPicPr>
                      <a:picLocks noChangeAspect="1"/>
                    </pic:cNvPicPr>
                  </pic:nvPicPr>
                  <pic:blipFill>
                    <a:blip r:embed="rId53"/>
                    <a:stretch>
                      <a:fillRect/>
                    </a:stretch>
                  </pic:blipFill>
                  <pic:spPr>
                    <a:xfrm>
                      <a:off x="0" y="0"/>
                      <a:ext cx="7663815" cy="5376545"/>
                    </a:xfrm>
                    <a:prstGeom prst="rect">
                      <a:avLst/>
                    </a:prstGeom>
                    <a:noFill/>
                    <a:ln>
                      <a:noFill/>
                    </a:ln>
                  </pic:spPr>
                </pic:pic>
              </a:graphicData>
            </a:graphic>
          </wp:inline>
        </w:drawing>
      </w:r>
    </w:p>
    <w:p>
      <w:pPr>
        <w:tabs>
          <w:tab w:val="left" w:pos="0"/>
          <w:tab w:val="left" w:pos="420"/>
        </w:tabs>
        <w:outlineLvl w:val="0"/>
        <w:rPr>
          <w:rFonts w:hint="default" w:ascii="Times New Roman" w:hAnsi="Times New Roman" w:cs="Times New Roman"/>
          <w:b/>
          <w:bCs/>
          <w:color w:val="auto"/>
          <w:kern w:val="44"/>
          <w:sz w:val="24"/>
          <w:szCs w:val="24"/>
          <w:highlight w:val="none"/>
          <w:lang w:val="en-US" w:eastAsia="zh-CN"/>
        </w:rPr>
      </w:pPr>
      <w:bookmarkStart w:id="132" w:name="_Toc27899"/>
      <w:bookmarkStart w:id="133" w:name="_Toc7737"/>
      <w:bookmarkStart w:id="134" w:name="_Toc4675"/>
      <w:bookmarkStart w:id="135" w:name="_Toc12344"/>
      <w:bookmarkStart w:id="136" w:name="_Toc23459"/>
      <w:bookmarkStart w:id="137" w:name="_Toc7606"/>
      <w:bookmarkStart w:id="138" w:name="_Toc14200"/>
      <w:r>
        <w:rPr>
          <w:rFonts w:hint="default" w:ascii="Times New Roman" w:hAnsi="Times New Roman" w:cs="Times New Roman"/>
          <w:b/>
          <w:bCs/>
          <w:color w:val="auto"/>
          <w:kern w:val="44"/>
          <w:sz w:val="24"/>
          <w:szCs w:val="24"/>
          <w:highlight w:val="none"/>
        </w:rPr>
        <w:t>附件</w:t>
      </w:r>
      <w:r>
        <w:rPr>
          <w:rFonts w:hint="eastAsia" w:cs="Times New Roman"/>
          <w:b/>
          <w:bCs/>
          <w:color w:val="auto"/>
          <w:kern w:val="44"/>
          <w:sz w:val="24"/>
          <w:szCs w:val="24"/>
          <w:highlight w:val="none"/>
          <w:lang w:val="en-US" w:eastAsia="zh-CN"/>
        </w:rPr>
        <w:t>4</w:t>
      </w:r>
      <w:r>
        <w:rPr>
          <w:rFonts w:hint="default" w:ascii="Times New Roman" w:hAnsi="Times New Roman" w:cs="Times New Roman"/>
          <w:b/>
          <w:bCs/>
          <w:color w:val="auto"/>
          <w:kern w:val="44"/>
          <w:sz w:val="24"/>
          <w:szCs w:val="24"/>
          <w:highlight w:val="none"/>
        </w:rPr>
        <w:t>：</w:t>
      </w:r>
      <w:bookmarkEnd w:id="132"/>
      <w:bookmarkEnd w:id="133"/>
      <w:bookmarkEnd w:id="134"/>
      <w:bookmarkEnd w:id="135"/>
      <w:bookmarkEnd w:id="136"/>
      <w:r>
        <w:rPr>
          <w:rFonts w:hint="default" w:ascii="Times New Roman" w:hAnsi="Times New Roman" w:cs="Times New Roman"/>
          <w:b/>
          <w:bCs/>
          <w:color w:val="auto"/>
          <w:kern w:val="44"/>
          <w:sz w:val="24"/>
          <w:szCs w:val="24"/>
          <w:highlight w:val="none"/>
          <w:lang w:val="en-US" w:eastAsia="zh-CN"/>
        </w:rPr>
        <w:t>用地租赁合同</w:t>
      </w:r>
      <w:bookmarkEnd w:id="137"/>
      <w:bookmarkEnd w:id="138"/>
    </w:p>
    <w:p>
      <w:pP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drawing>
          <wp:inline distT="0" distB="0" distL="114300" distR="114300">
            <wp:extent cx="5721350" cy="8091805"/>
            <wp:effectExtent l="0" t="0" r="12700" b="4445"/>
            <wp:docPr id="89" name="图片 89" descr="洪宽租赁合同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洪宽租赁合同_00"/>
                    <pic:cNvPicPr>
                      <a:picLocks noChangeAspect="1"/>
                    </pic:cNvPicPr>
                  </pic:nvPicPr>
                  <pic:blipFill>
                    <a:blip r:embed="rId54"/>
                    <a:stretch>
                      <a:fillRect/>
                    </a:stretch>
                  </pic:blipFill>
                  <pic:spPr>
                    <a:xfrm>
                      <a:off x="0" y="0"/>
                      <a:ext cx="5721350" cy="8091805"/>
                    </a:xfrm>
                    <a:prstGeom prst="rect">
                      <a:avLst/>
                    </a:prstGeom>
                  </pic:spPr>
                </pic:pic>
              </a:graphicData>
            </a:graphic>
          </wp:inline>
        </w:drawing>
      </w:r>
      <w:r>
        <w:rPr>
          <w:rFonts w:hint="default" w:ascii="Times New Roman" w:hAnsi="Times New Roman" w:eastAsia="宋体" w:cs="Times New Roman"/>
          <w:color w:val="auto"/>
          <w:sz w:val="24"/>
          <w:highlight w:val="none"/>
          <w:lang w:eastAsia="zh-CN"/>
        </w:rPr>
        <w:drawing>
          <wp:inline distT="0" distB="0" distL="114300" distR="114300">
            <wp:extent cx="5721350" cy="8091805"/>
            <wp:effectExtent l="0" t="0" r="12700" b="4445"/>
            <wp:docPr id="88" name="图片 88" descr="洪宽租赁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洪宽租赁合同_01"/>
                    <pic:cNvPicPr>
                      <a:picLocks noChangeAspect="1"/>
                    </pic:cNvPicPr>
                  </pic:nvPicPr>
                  <pic:blipFill>
                    <a:blip r:embed="rId55"/>
                    <a:stretch>
                      <a:fillRect/>
                    </a:stretch>
                  </pic:blipFill>
                  <pic:spPr>
                    <a:xfrm>
                      <a:off x="0" y="0"/>
                      <a:ext cx="5721350" cy="8091805"/>
                    </a:xfrm>
                    <a:prstGeom prst="rect">
                      <a:avLst/>
                    </a:prstGeom>
                  </pic:spPr>
                </pic:pic>
              </a:graphicData>
            </a:graphic>
          </wp:inline>
        </w:drawing>
      </w:r>
      <w:r>
        <w:rPr>
          <w:rFonts w:hint="default" w:ascii="Times New Roman" w:hAnsi="Times New Roman" w:eastAsia="宋体" w:cs="Times New Roman"/>
          <w:color w:val="auto"/>
          <w:sz w:val="24"/>
          <w:highlight w:val="none"/>
          <w:lang w:eastAsia="zh-CN"/>
        </w:rPr>
        <w:drawing>
          <wp:inline distT="0" distB="0" distL="114300" distR="114300">
            <wp:extent cx="5721350" cy="8091805"/>
            <wp:effectExtent l="0" t="0" r="12700" b="4445"/>
            <wp:docPr id="87" name="图片 87" descr="洪宽租赁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洪宽租赁合同_02"/>
                    <pic:cNvPicPr>
                      <a:picLocks noChangeAspect="1"/>
                    </pic:cNvPicPr>
                  </pic:nvPicPr>
                  <pic:blipFill>
                    <a:blip r:embed="rId56"/>
                    <a:stretch>
                      <a:fillRect/>
                    </a:stretch>
                  </pic:blipFill>
                  <pic:spPr>
                    <a:xfrm>
                      <a:off x="0" y="0"/>
                      <a:ext cx="5721350" cy="8091805"/>
                    </a:xfrm>
                    <a:prstGeom prst="rect">
                      <a:avLst/>
                    </a:prstGeom>
                  </pic:spPr>
                </pic:pic>
              </a:graphicData>
            </a:graphic>
          </wp:inline>
        </w:drawing>
      </w:r>
      <w:r>
        <w:rPr>
          <w:rFonts w:hint="default" w:ascii="Times New Roman" w:hAnsi="Times New Roman" w:eastAsia="宋体" w:cs="Times New Roman"/>
          <w:color w:val="auto"/>
          <w:sz w:val="24"/>
          <w:highlight w:val="none"/>
          <w:lang w:eastAsia="zh-CN"/>
        </w:rPr>
        <w:drawing>
          <wp:inline distT="0" distB="0" distL="114300" distR="114300">
            <wp:extent cx="5721350" cy="8091805"/>
            <wp:effectExtent l="0" t="0" r="12700" b="4445"/>
            <wp:docPr id="85" name="图片 85" descr="洪宽租赁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洪宽租赁合同_03"/>
                    <pic:cNvPicPr>
                      <a:picLocks noChangeAspect="1"/>
                    </pic:cNvPicPr>
                  </pic:nvPicPr>
                  <pic:blipFill>
                    <a:blip r:embed="rId57"/>
                    <a:stretch>
                      <a:fillRect/>
                    </a:stretch>
                  </pic:blipFill>
                  <pic:spPr>
                    <a:xfrm>
                      <a:off x="0" y="0"/>
                      <a:ext cx="5721350" cy="8091805"/>
                    </a:xfrm>
                    <a:prstGeom prst="rect">
                      <a:avLst/>
                    </a:prstGeom>
                  </pic:spPr>
                </pic:pic>
              </a:graphicData>
            </a:graphic>
          </wp:inline>
        </w:drawing>
      </w:r>
      <w:r>
        <w:rPr>
          <w:rFonts w:hint="default" w:ascii="Times New Roman" w:hAnsi="Times New Roman" w:eastAsia="宋体" w:cs="Times New Roman"/>
          <w:color w:val="auto"/>
          <w:sz w:val="24"/>
          <w:highlight w:val="none"/>
          <w:lang w:eastAsia="zh-CN"/>
        </w:rPr>
        <w:drawing>
          <wp:inline distT="0" distB="0" distL="114300" distR="114300">
            <wp:extent cx="5721350" cy="8091805"/>
            <wp:effectExtent l="0" t="0" r="12700" b="4445"/>
            <wp:docPr id="84" name="图片 84" descr="洪宽租赁合同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洪宽租赁合同_04"/>
                    <pic:cNvPicPr>
                      <a:picLocks noChangeAspect="1"/>
                    </pic:cNvPicPr>
                  </pic:nvPicPr>
                  <pic:blipFill>
                    <a:blip r:embed="rId58"/>
                    <a:stretch>
                      <a:fillRect/>
                    </a:stretch>
                  </pic:blipFill>
                  <pic:spPr>
                    <a:xfrm>
                      <a:off x="0" y="0"/>
                      <a:ext cx="5721350" cy="8091805"/>
                    </a:xfrm>
                    <a:prstGeom prst="rect">
                      <a:avLst/>
                    </a:prstGeom>
                  </pic:spPr>
                </pic:pic>
              </a:graphicData>
            </a:graphic>
          </wp:inline>
        </w:drawing>
      </w:r>
      <w:r>
        <w:rPr>
          <w:rFonts w:hint="default" w:ascii="Times New Roman" w:hAnsi="Times New Roman" w:eastAsia="宋体" w:cs="Times New Roman"/>
          <w:color w:val="auto"/>
          <w:sz w:val="24"/>
          <w:highlight w:val="none"/>
          <w:lang w:eastAsia="zh-CN"/>
        </w:rPr>
        <w:drawing>
          <wp:inline distT="0" distB="0" distL="114300" distR="114300">
            <wp:extent cx="5721350" cy="8091805"/>
            <wp:effectExtent l="0" t="0" r="12700" b="4445"/>
            <wp:docPr id="83" name="图片 83" descr="洪宽租赁合同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洪宽租赁合同_05"/>
                    <pic:cNvPicPr>
                      <a:picLocks noChangeAspect="1"/>
                    </pic:cNvPicPr>
                  </pic:nvPicPr>
                  <pic:blipFill>
                    <a:blip r:embed="rId59"/>
                    <a:stretch>
                      <a:fillRect/>
                    </a:stretch>
                  </pic:blipFill>
                  <pic:spPr>
                    <a:xfrm>
                      <a:off x="0" y="0"/>
                      <a:ext cx="5721350" cy="8091805"/>
                    </a:xfrm>
                    <a:prstGeom prst="rect">
                      <a:avLst/>
                    </a:prstGeom>
                  </pic:spPr>
                </pic:pic>
              </a:graphicData>
            </a:graphic>
          </wp:inline>
        </w:drawing>
      </w:r>
      <w:r>
        <w:rPr>
          <w:rFonts w:hint="default" w:ascii="Times New Roman" w:hAnsi="Times New Roman" w:eastAsia="宋体" w:cs="Times New Roman"/>
          <w:color w:val="auto"/>
          <w:sz w:val="24"/>
          <w:highlight w:val="none"/>
          <w:lang w:eastAsia="zh-CN"/>
        </w:rPr>
        <w:drawing>
          <wp:inline distT="0" distB="0" distL="114300" distR="114300">
            <wp:extent cx="5721350" cy="8091805"/>
            <wp:effectExtent l="0" t="0" r="12700" b="4445"/>
            <wp:docPr id="82" name="图片 82" descr="洪宽租赁合同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洪宽租赁合同_06"/>
                    <pic:cNvPicPr>
                      <a:picLocks noChangeAspect="1"/>
                    </pic:cNvPicPr>
                  </pic:nvPicPr>
                  <pic:blipFill>
                    <a:blip r:embed="rId60"/>
                    <a:stretch>
                      <a:fillRect/>
                    </a:stretch>
                  </pic:blipFill>
                  <pic:spPr>
                    <a:xfrm>
                      <a:off x="0" y="0"/>
                      <a:ext cx="5721350" cy="8091805"/>
                    </a:xfrm>
                    <a:prstGeom prst="rect">
                      <a:avLst/>
                    </a:prstGeom>
                  </pic:spPr>
                </pic:pic>
              </a:graphicData>
            </a:graphic>
          </wp:inline>
        </w:drawing>
      </w:r>
      <w:r>
        <w:rPr>
          <w:rFonts w:hint="default" w:ascii="Times New Roman" w:hAnsi="Times New Roman" w:eastAsia="宋体" w:cs="Times New Roman"/>
          <w:color w:val="auto"/>
          <w:sz w:val="24"/>
          <w:highlight w:val="none"/>
          <w:lang w:eastAsia="zh-CN"/>
        </w:rPr>
        <w:drawing>
          <wp:inline distT="0" distB="0" distL="114300" distR="114300">
            <wp:extent cx="5721350" cy="8091805"/>
            <wp:effectExtent l="0" t="0" r="12700" b="4445"/>
            <wp:docPr id="81" name="图片 81" descr="洪宽租赁合同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洪宽租赁合同_07"/>
                    <pic:cNvPicPr>
                      <a:picLocks noChangeAspect="1"/>
                    </pic:cNvPicPr>
                  </pic:nvPicPr>
                  <pic:blipFill>
                    <a:blip r:embed="rId61"/>
                    <a:stretch>
                      <a:fillRect/>
                    </a:stretch>
                  </pic:blipFill>
                  <pic:spPr>
                    <a:xfrm>
                      <a:off x="0" y="0"/>
                      <a:ext cx="5721350" cy="8091805"/>
                    </a:xfrm>
                    <a:prstGeom prst="rect">
                      <a:avLst/>
                    </a:prstGeom>
                  </pic:spPr>
                </pic:pic>
              </a:graphicData>
            </a:graphic>
          </wp:inline>
        </w:drawing>
      </w:r>
      <w:r>
        <w:rPr>
          <w:rFonts w:hint="default" w:ascii="Times New Roman" w:hAnsi="Times New Roman" w:eastAsia="宋体" w:cs="Times New Roman"/>
          <w:color w:val="auto"/>
          <w:sz w:val="24"/>
          <w:highlight w:val="none"/>
          <w:lang w:eastAsia="zh-CN"/>
        </w:rPr>
        <w:drawing>
          <wp:inline distT="0" distB="0" distL="114300" distR="114300">
            <wp:extent cx="5721350" cy="8091805"/>
            <wp:effectExtent l="0" t="0" r="12700" b="4445"/>
            <wp:docPr id="80" name="图片 80" descr="洪宽租赁合同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洪宽租赁合同_08"/>
                    <pic:cNvPicPr>
                      <a:picLocks noChangeAspect="1"/>
                    </pic:cNvPicPr>
                  </pic:nvPicPr>
                  <pic:blipFill>
                    <a:blip r:embed="rId62"/>
                    <a:stretch>
                      <a:fillRect/>
                    </a:stretch>
                  </pic:blipFill>
                  <pic:spPr>
                    <a:xfrm>
                      <a:off x="0" y="0"/>
                      <a:ext cx="5721350" cy="8091805"/>
                    </a:xfrm>
                    <a:prstGeom prst="rect">
                      <a:avLst/>
                    </a:prstGeom>
                  </pic:spPr>
                </pic:pic>
              </a:graphicData>
            </a:graphic>
          </wp:inline>
        </w:drawing>
      </w:r>
      <w:r>
        <w:rPr>
          <w:rFonts w:hint="default" w:ascii="Times New Roman" w:hAnsi="Times New Roman" w:eastAsia="宋体" w:cs="Times New Roman"/>
          <w:color w:val="auto"/>
          <w:sz w:val="24"/>
          <w:highlight w:val="none"/>
          <w:lang w:eastAsia="zh-CN"/>
        </w:rPr>
        <w:drawing>
          <wp:inline distT="0" distB="0" distL="114300" distR="114300">
            <wp:extent cx="5721350" cy="8091805"/>
            <wp:effectExtent l="0" t="0" r="12700" b="4445"/>
            <wp:docPr id="79" name="图片 79" descr="洪宽租赁合同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洪宽租赁合同_09"/>
                    <pic:cNvPicPr>
                      <a:picLocks noChangeAspect="1"/>
                    </pic:cNvPicPr>
                  </pic:nvPicPr>
                  <pic:blipFill>
                    <a:blip r:embed="rId63"/>
                    <a:stretch>
                      <a:fillRect/>
                    </a:stretch>
                  </pic:blipFill>
                  <pic:spPr>
                    <a:xfrm>
                      <a:off x="0" y="0"/>
                      <a:ext cx="5721350" cy="8091805"/>
                    </a:xfrm>
                    <a:prstGeom prst="rect">
                      <a:avLst/>
                    </a:prstGeom>
                  </pic:spPr>
                </pic:pic>
              </a:graphicData>
            </a:graphic>
          </wp:inline>
        </w:drawing>
      </w:r>
      <w:r>
        <w:rPr>
          <w:rFonts w:hint="default" w:ascii="Times New Roman" w:hAnsi="Times New Roman" w:eastAsia="宋体" w:cs="Times New Roman"/>
          <w:color w:val="auto"/>
          <w:sz w:val="24"/>
          <w:highlight w:val="none"/>
          <w:lang w:eastAsia="zh-CN"/>
        </w:rPr>
        <w:drawing>
          <wp:inline distT="0" distB="0" distL="114300" distR="114300">
            <wp:extent cx="5721350" cy="8091805"/>
            <wp:effectExtent l="0" t="0" r="12700" b="4445"/>
            <wp:docPr id="78" name="图片 78" descr="洪宽租赁合同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洪宽租赁合同_10"/>
                    <pic:cNvPicPr>
                      <a:picLocks noChangeAspect="1"/>
                    </pic:cNvPicPr>
                  </pic:nvPicPr>
                  <pic:blipFill>
                    <a:blip r:embed="rId64"/>
                    <a:stretch>
                      <a:fillRect/>
                    </a:stretch>
                  </pic:blipFill>
                  <pic:spPr>
                    <a:xfrm>
                      <a:off x="0" y="0"/>
                      <a:ext cx="5721350" cy="8091805"/>
                    </a:xfrm>
                    <a:prstGeom prst="rect">
                      <a:avLst/>
                    </a:prstGeom>
                  </pic:spPr>
                </pic:pic>
              </a:graphicData>
            </a:graphic>
          </wp:inline>
        </w:drawing>
      </w:r>
      <w:r>
        <w:rPr>
          <w:rFonts w:hint="default" w:ascii="Times New Roman" w:hAnsi="Times New Roman" w:eastAsia="宋体" w:cs="Times New Roman"/>
          <w:color w:val="auto"/>
          <w:sz w:val="24"/>
          <w:highlight w:val="none"/>
          <w:lang w:eastAsia="zh-CN"/>
        </w:rPr>
        <w:drawing>
          <wp:inline distT="0" distB="0" distL="114300" distR="114300">
            <wp:extent cx="5721350" cy="8091805"/>
            <wp:effectExtent l="0" t="0" r="12700" b="4445"/>
            <wp:docPr id="77" name="图片 77" descr="洪宽租赁合同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洪宽租赁合同_11"/>
                    <pic:cNvPicPr>
                      <a:picLocks noChangeAspect="1"/>
                    </pic:cNvPicPr>
                  </pic:nvPicPr>
                  <pic:blipFill>
                    <a:blip r:embed="rId65"/>
                    <a:stretch>
                      <a:fillRect/>
                    </a:stretch>
                  </pic:blipFill>
                  <pic:spPr>
                    <a:xfrm>
                      <a:off x="0" y="0"/>
                      <a:ext cx="5721350" cy="8091805"/>
                    </a:xfrm>
                    <a:prstGeom prst="rect">
                      <a:avLst/>
                    </a:prstGeom>
                  </pic:spPr>
                </pic:pic>
              </a:graphicData>
            </a:graphic>
          </wp:inline>
        </w:drawing>
      </w:r>
      <w:r>
        <w:rPr>
          <w:rFonts w:hint="default" w:ascii="Times New Roman" w:hAnsi="Times New Roman" w:eastAsia="宋体" w:cs="Times New Roman"/>
          <w:color w:val="auto"/>
          <w:sz w:val="24"/>
          <w:highlight w:val="none"/>
          <w:lang w:eastAsia="zh-CN"/>
        </w:rPr>
        <w:drawing>
          <wp:inline distT="0" distB="0" distL="114300" distR="114300">
            <wp:extent cx="5721350" cy="8091805"/>
            <wp:effectExtent l="0" t="0" r="12700" b="4445"/>
            <wp:docPr id="76" name="图片 76" descr="洪宽租赁合同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洪宽租赁合同_12"/>
                    <pic:cNvPicPr>
                      <a:picLocks noChangeAspect="1"/>
                    </pic:cNvPicPr>
                  </pic:nvPicPr>
                  <pic:blipFill>
                    <a:blip r:embed="rId66"/>
                    <a:stretch>
                      <a:fillRect/>
                    </a:stretch>
                  </pic:blipFill>
                  <pic:spPr>
                    <a:xfrm>
                      <a:off x="0" y="0"/>
                      <a:ext cx="5721350" cy="8091805"/>
                    </a:xfrm>
                    <a:prstGeom prst="rect">
                      <a:avLst/>
                    </a:prstGeom>
                  </pic:spPr>
                </pic:pic>
              </a:graphicData>
            </a:graphic>
          </wp:inline>
        </w:drawing>
      </w:r>
      <w:r>
        <w:rPr>
          <w:rFonts w:hint="default" w:ascii="Times New Roman" w:hAnsi="Times New Roman" w:eastAsia="宋体" w:cs="Times New Roman"/>
          <w:color w:val="auto"/>
          <w:sz w:val="24"/>
          <w:highlight w:val="none"/>
          <w:lang w:eastAsia="zh-CN"/>
        </w:rPr>
        <w:drawing>
          <wp:inline distT="0" distB="0" distL="114300" distR="114300">
            <wp:extent cx="5721350" cy="8091805"/>
            <wp:effectExtent l="0" t="0" r="12700" b="4445"/>
            <wp:docPr id="75" name="图片 75" descr="洪宽租赁合同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洪宽租赁合同_13"/>
                    <pic:cNvPicPr>
                      <a:picLocks noChangeAspect="1"/>
                    </pic:cNvPicPr>
                  </pic:nvPicPr>
                  <pic:blipFill>
                    <a:blip r:embed="rId67"/>
                    <a:stretch>
                      <a:fillRect/>
                    </a:stretch>
                  </pic:blipFill>
                  <pic:spPr>
                    <a:xfrm>
                      <a:off x="0" y="0"/>
                      <a:ext cx="5721350" cy="8091805"/>
                    </a:xfrm>
                    <a:prstGeom prst="rect">
                      <a:avLst/>
                    </a:prstGeom>
                  </pic:spPr>
                </pic:pic>
              </a:graphicData>
            </a:graphic>
          </wp:inline>
        </w:drawing>
      </w:r>
      <w:r>
        <w:rPr>
          <w:rFonts w:hint="default" w:ascii="Times New Roman" w:hAnsi="Times New Roman" w:eastAsia="宋体" w:cs="Times New Roman"/>
          <w:color w:val="auto"/>
          <w:sz w:val="24"/>
          <w:highlight w:val="none"/>
          <w:lang w:eastAsia="zh-CN"/>
        </w:rPr>
        <w:drawing>
          <wp:inline distT="0" distB="0" distL="114300" distR="114300">
            <wp:extent cx="5721350" cy="8091805"/>
            <wp:effectExtent l="0" t="0" r="12700" b="4445"/>
            <wp:docPr id="74" name="图片 74" descr="洪宽租赁合同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洪宽租赁合同_14"/>
                    <pic:cNvPicPr>
                      <a:picLocks noChangeAspect="1"/>
                    </pic:cNvPicPr>
                  </pic:nvPicPr>
                  <pic:blipFill>
                    <a:blip r:embed="rId68"/>
                    <a:stretch>
                      <a:fillRect/>
                    </a:stretch>
                  </pic:blipFill>
                  <pic:spPr>
                    <a:xfrm>
                      <a:off x="0" y="0"/>
                      <a:ext cx="5721350" cy="8091805"/>
                    </a:xfrm>
                    <a:prstGeom prst="rect">
                      <a:avLst/>
                    </a:prstGeom>
                  </pic:spPr>
                </pic:pic>
              </a:graphicData>
            </a:graphic>
          </wp:inline>
        </w:drawing>
      </w:r>
      <w:r>
        <w:rPr>
          <w:rFonts w:hint="default" w:ascii="Times New Roman" w:hAnsi="Times New Roman" w:eastAsia="宋体" w:cs="Times New Roman"/>
          <w:color w:val="auto"/>
          <w:sz w:val="24"/>
          <w:highlight w:val="none"/>
          <w:lang w:eastAsia="zh-CN"/>
        </w:rPr>
        <w:drawing>
          <wp:inline distT="0" distB="0" distL="114300" distR="114300">
            <wp:extent cx="5721350" cy="8091805"/>
            <wp:effectExtent l="0" t="0" r="12700" b="4445"/>
            <wp:docPr id="73" name="图片 73" descr="洪宽租赁合同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洪宽租赁合同_15"/>
                    <pic:cNvPicPr>
                      <a:picLocks noChangeAspect="1"/>
                    </pic:cNvPicPr>
                  </pic:nvPicPr>
                  <pic:blipFill>
                    <a:blip r:embed="rId69"/>
                    <a:stretch>
                      <a:fillRect/>
                    </a:stretch>
                  </pic:blipFill>
                  <pic:spPr>
                    <a:xfrm>
                      <a:off x="0" y="0"/>
                      <a:ext cx="5721350" cy="8091805"/>
                    </a:xfrm>
                    <a:prstGeom prst="rect">
                      <a:avLst/>
                    </a:prstGeom>
                  </pic:spPr>
                </pic:pic>
              </a:graphicData>
            </a:graphic>
          </wp:inline>
        </w:drawing>
      </w:r>
      <w:r>
        <w:rPr>
          <w:rFonts w:hint="default" w:ascii="Times New Roman" w:hAnsi="Times New Roman" w:eastAsia="宋体" w:cs="Times New Roman"/>
          <w:color w:val="auto"/>
          <w:sz w:val="24"/>
          <w:highlight w:val="none"/>
          <w:lang w:eastAsia="zh-CN"/>
        </w:rPr>
        <w:drawing>
          <wp:inline distT="0" distB="0" distL="114300" distR="114300">
            <wp:extent cx="5721350" cy="8091805"/>
            <wp:effectExtent l="0" t="0" r="12700" b="4445"/>
            <wp:docPr id="71" name="图片 71" descr="洪宽租赁合同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洪宽租赁合同_17"/>
                    <pic:cNvPicPr>
                      <a:picLocks noChangeAspect="1"/>
                    </pic:cNvPicPr>
                  </pic:nvPicPr>
                  <pic:blipFill>
                    <a:blip r:embed="rId70"/>
                    <a:stretch>
                      <a:fillRect/>
                    </a:stretch>
                  </pic:blipFill>
                  <pic:spPr>
                    <a:xfrm>
                      <a:off x="0" y="0"/>
                      <a:ext cx="5721350" cy="8091805"/>
                    </a:xfrm>
                    <a:prstGeom prst="rect">
                      <a:avLst/>
                    </a:prstGeom>
                  </pic:spPr>
                </pic:pic>
              </a:graphicData>
            </a:graphic>
          </wp:inline>
        </w:drawing>
      </w:r>
      <w:r>
        <w:rPr>
          <w:rFonts w:hint="default" w:ascii="Times New Roman" w:hAnsi="Times New Roman" w:eastAsia="宋体" w:cs="Times New Roman"/>
          <w:color w:val="auto"/>
          <w:sz w:val="24"/>
          <w:highlight w:val="none"/>
          <w:lang w:eastAsia="zh-CN"/>
        </w:rPr>
        <w:drawing>
          <wp:inline distT="0" distB="0" distL="114300" distR="114300">
            <wp:extent cx="5721350" cy="8091805"/>
            <wp:effectExtent l="0" t="0" r="12700" b="4445"/>
            <wp:docPr id="70" name="图片 70" descr="洪宽租赁合同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洪宽租赁合同_18"/>
                    <pic:cNvPicPr>
                      <a:picLocks noChangeAspect="1"/>
                    </pic:cNvPicPr>
                  </pic:nvPicPr>
                  <pic:blipFill>
                    <a:blip r:embed="rId71"/>
                    <a:stretch>
                      <a:fillRect/>
                    </a:stretch>
                  </pic:blipFill>
                  <pic:spPr>
                    <a:xfrm>
                      <a:off x="0" y="0"/>
                      <a:ext cx="5721350" cy="8091805"/>
                    </a:xfrm>
                    <a:prstGeom prst="rect">
                      <a:avLst/>
                    </a:prstGeom>
                  </pic:spPr>
                </pic:pic>
              </a:graphicData>
            </a:graphic>
          </wp:inline>
        </w:drawing>
      </w:r>
      <w:r>
        <w:rPr>
          <w:rFonts w:hint="default" w:ascii="Times New Roman" w:hAnsi="Times New Roman" w:eastAsia="宋体" w:cs="Times New Roman"/>
          <w:color w:val="auto"/>
          <w:sz w:val="24"/>
          <w:highlight w:val="none"/>
          <w:lang w:eastAsia="zh-CN"/>
        </w:rPr>
        <w:drawing>
          <wp:inline distT="0" distB="0" distL="114300" distR="114300">
            <wp:extent cx="5721350" cy="8091805"/>
            <wp:effectExtent l="0" t="0" r="12700" b="4445"/>
            <wp:docPr id="69" name="图片 69" descr="洪宽租赁合同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洪宽租赁合同_19"/>
                    <pic:cNvPicPr>
                      <a:picLocks noChangeAspect="1"/>
                    </pic:cNvPicPr>
                  </pic:nvPicPr>
                  <pic:blipFill>
                    <a:blip r:embed="rId72"/>
                    <a:stretch>
                      <a:fillRect/>
                    </a:stretch>
                  </pic:blipFill>
                  <pic:spPr>
                    <a:xfrm>
                      <a:off x="0" y="0"/>
                      <a:ext cx="5721350" cy="8091805"/>
                    </a:xfrm>
                    <a:prstGeom prst="rect">
                      <a:avLst/>
                    </a:prstGeom>
                  </pic:spPr>
                </pic:pic>
              </a:graphicData>
            </a:graphic>
          </wp:inline>
        </w:drawing>
      </w:r>
      <w:r>
        <w:rPr>
          <w:rFonts w:hint="default" w:ascii="Times New Roman" w:hAnsi="Times New Roman" w:eastAsia="宋体" w:cs="Times New Roman"/>
          <w:color w:val="auto"/>
          <w:sz w:val="24"/>
          <w:highlight w:val="none"/>
          <w:lang w:eastAsia="zh-CN"/>
        </w:rPr>
        <w:drawing>
          <wp:inline distT="0" distB="0" distL="114300" distR="114300">
            <wp:extent cx="5721350" cy="8091805"/>
            <wp:effectExtent l="0" t="0" r="12700" b="4445"/>
            <wp:docPr id="68" name="图片 68" descr="洪宽租赁合同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洪宽租赁合同_20"/>
                    <pic:cNvPicPr>
                      <a:picLocks noChangeAspect="1"/>
                    </pic:cNvPicPr>
                  </pic:nvPicPr>
                  <pic:blipFill>
                    <a:blip r:embed="rId73"/>
                    <a:stretch>
                      <a:fillRect/>
                    </a:stretch>
                  </pic:blipFill>
                  <pic:spPr>
                    <a:xfrm>
                      <a:off x="0" y="0"/>
                      <a:ext cx="5721350" cy="8091805"/>
                    </a:xfrm>
                    <a:prstGeom prst="rect">
                      <a:avLst/>
                    </a:prstGeom>
                  </pic:spPr>
                </pic:pic>
              </a:graphicData>
            </a:graphic>
          </wp:inline>
        </w:drawing>
      </w:r>
      <w:r>
        <w:rPr>
          <w:rFonts w:hint="default" w:ascii="Times New Roman" w:hAnsi="Times New Roman" w:eastAsia="宋体" w:cs="Times New Roman"/>
          <w:color w:val="auto"/>
          <w:sz w:val="24"/>
          <w:highlight w:val="none"/>
          <w:lang w:eastAsia="zh-CN"/>
        </w:rPr>
        <w:drawing>
          <wp:inline distT="0" distB="0" distL="114300" distR="114300">
            <wp:extent cx="5721350" cy="8091805"/>
            <wp:effectExtent l="0" t="0" r="12700" b="4445"/>
            <wp:docPr id="67" name="图片 67" descr="洪宽租赁合同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洪宽租赁合同_21"/>
                    <pic:cNvPicPr>
                      <a:picLocks noChangeAspect="1"/>
                    </pic:cNvPicPr>
                  </pic:nvPicPr>
                  <pic:blipFill>
                    <a:blip r:embed="rId74"/>
                    <a:stretch>
                      <a:fillRect/>
                    </a:stretch>
                  </pic:blipFill>
                  <pic:spPr>
                    <a:xfrm>
                      <a:off x="0" y="0"/>
                      <a:ext cx="5721350" cy="8091805"/>
                    </a:xfrm>
                    <a:prstGeom prst="rect">
                      <a:avLst/>
                    </a:prstGeom>
                  </pic:spPr>
                </pic:pic>
              </a:graphicData>
            </a:graphic>
          </wp:inline>
        </w:drawing>
      </w:r>
    </w:p>
    <w:p>
      <w:pPr>
        <w:rPr>
          <w:rFonts w:hint="default" w:ascii="Times New Roman" w:hAnsi="Times New Roman" w:cs="Times New Roman"/>
          <w:color w:val="auto"/>
          <w:sz w:val="24"/>
          <w:highlight w:val="none"/>
        </w:rPr>
      </w:pPr>
    </w:p>
    <w:p>
      <w:pPr>
        <w:rPr>
          <w:rFonts w:hint="default" w:ascii="Times New Roman" w:hAnsi="Times New Roman" w:cs="Times New Roman"/>
          <w:b/>
          <w:bCs/>
          <w:color w:val="auto"/>
          <w:sz w:val="24"/>
          <w:highlight w:val="none"/>
        </w:rPr>
        <w:sectPr>
          <w:type w:val="continuous"/>
          <w:pgSz w:w="11850" w:h="16783"/>
          <w:pgMar w:top="1134" w:right="1417" w:bottom="283" w:left="1417" w:header="851" w:footer="992" w:gutter="0"/>
          <w:pgBorders>
            <w:top w:val="none" w:sz="0" w:space="0"/>
            <w:left w:val="none" w:sz="0" w:space="0"/>
            <w:bottom w:val="none" w:sz="0" w:space="0"/>
            <w:right w:val="none" w:sz="0" w:space="0"/>
          </w:pgBorders>
          <w:pgNumType w:fmt="numberInDash"/>
          <w:cols w:space="720" w:num="1"/>
          <w:docGrid w:type="lines" w:linePitch="333" w:charSpace="0"/>
        </w:sectPr>
      </w:pPr>
    </w:p>
    <w:p>
      <w:pPr>
        <w:pStyle w:val="2"/>
        <w:keepNext/>
        <w:keepLines w:val="0"/>
        <w:pageBreakBefore w:val="0"/>
        <w:widowControl w:val="0"/>
        <w:numPr>
          <w:ilvl w:val="0"/>
          <w:numId w:val="0"/>
        </w:numPr>
        <w:kinsoku/>
        <w:wordWrap/>
        <w:overflowPunct w:val="0"/>
        <w:topLinePunct w:val="0"/>
        <w:autoSpaceDE/>
        <w:autoSpaceDN/>
        <w:bidi w:val="0"/>
        <w:adjustRightInd/>
        <w:snapToGrid w:val="0"/>
        <w:jc w:val="both"/>
        <w:textAlignment w:val="auto"/>
        <w:rPr>
          <w:rFonts w:hint="default" w:ascii="Times New Roman" w:hAnsi="Times New Roman" w:eastAsia="宋体" w:cs="Times New Roman"/>
          <w:b/>
          <w:bCs w:val="0"/>
          <w:color w:val="auto"/>
          <w:sz w:val="24"/>
          <w:szCs w:val="24"/>
          <w:highlight w:val="none"/>
          <w:lang w:val="en-US" w:eastAsia="zh-CN"/>
        </w:rPr>
      </w:pPr>
      <w:bookmarkStart w:id="139" w:name="_Toc9908"/>
      <w:bookmarkStart w:id="140" w:name="_Toc15768"/>
      <w:r>
        <w:rPr>
          <w:rFonts w:hint="default" w:ascii="Times New Roman" w:hAnsi="Times New Roman" w:eastAsia="宋体" w:cs="Times New Roman"/>
          <w:b/>
          <w:bCs w:val="0"/>
          <w:color w:val="auto"/>
          <w:sz w:val="24"/>
          <w:szCs w:val="24"/>
          <w:highlight w:val="none"/>
        </w:rPr>
        <w:t>附件</w:t>
      </w:r>
      <w:r>
        <w:rPr>
          <w:rFonts w:hint="eastAsia" w:ascii="Times New Roman" w:hAnsi="Times New Roman" w:eastAsia="宋体" w:cs="Times New Roman"/>
          <w:b/>
          <w:bCs w:val="0"/>
          <w:color w:val="auto"/>
          <w:sz w:val="24"/>
          <w:szCs w:val="24"/>
          <w:highlight w:val="none"/>
          <w:lang w:val="en-US" w:eastAsia="zh-CN"/>
        </w:rPr>
        <w:t>5</w:t>
      </w:r>
      <w:r>
        <w:rPr>
          <w:rFonts w:hint="default" w:ascii="Times New Roman" w:hAnsi="Times New Roman" w:eastAsia="宋体" w:cs="Times New Roman"/>
          <w:b/>
          <w:bCs w:val="0"/>
          <w:color w:val="auto"/>
          <w:sz w:val="24"/>
          <w:szCs w:val="24"/>
          <w:highlight w:val="none"/>
          <w:lang w:val="en-US" w:eastAsia="zh-CN"/>
        </w:rPr>
        <w:t>：</w:t>
      </w:r>
      <w:bookmarkEnd w:id="139"/>
      <w:bookmarkStart w:id="141" w:name="_Toc9932"/>
      <w:r>
        <w:rPr>
          <w:rFonts w:hint="eastAsia" w:ascii="Times New Roman" w:hAnsi="Times New Roman" w:eastAsia="宋体" w:cs="Times New Roman"/>
          <w:b/>
          <w:bCs w:val="0"/>
          <w:color w:val="auto"/>
          <w:sz w:val="24"/>
          <w:szCs w:val="24"/>
          <w:highlight w:val="none"/>
          <w:lang w:val="en-US" w:eastAsia="zh-CN"/>
        </w:rPr>
        <w:t>三线一单综合查询报告书</w:t>
      </w:r>
      <w:bookmarkEnd w:id="140"/>
      <w:bookmarkEnd w:id="141"/>
    </w:p>
    <w:p>
      <w:pPr>
        <w:keepNext/>
        <w:keepLines/>
        <w:widowControl w:val="0"/>
        <w:suppressLineNumbers w:val="0"/>
        <w:pBdr>
          <w:top w:val="none" w:color="auto" w:sz="0" w:space="0"/>
          <w:left w:val="none" w:color="auto" w:sz="0" w:space="0"/>
          <w:bottom w:val="none" w:color="auto" w:sz="0" w:space="0"/>
          <w:right w:val="none" w:color="auto" w:sz="0" w:space="0"/>
          <w:between w:val="none" w:color="auto" w:sz="0" w:space="0"/>
        </w:pBdr>
        <w:spacing w:before="340" w:beforeAutospacing="0" w:after="330" w:afterAutospacing="0" w:line="576" w:lineRule="auto"/>
        <w:jc w:val="center"/>
      </w:pPr>
      <w:r>
        <w:rPr>
          <w:rFonts w:ascii="等线" w:hAnsi="等线" w:eastAsia="等线" w:cs="等线"/>
          <w:b/>
          <w:bCs/>
          <w:color w:val="000000"/>
          <w:sz w:val="44"/>
          <w:szCs w:val="44"/>
        </w:rPr>
        <w:t>福建省生态环境分区管控综合查询报告</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right"/>
      </w:pPr>
      <w:r>
        <w:rPr>
          <w:rFonts w:hint="eastAsia" w:ascii="等线" w:hAnsi="等线" w:eastAsia="等线" w:cs="等线"/>
          <w:b/>
          <w:bCs/>
          <w:color w:val="FF0000"/>
          <w:sz w:val="21"/>
          <w:szCs w:val="21"/>
        </w:rPr>
        <w:t>分析报告仅供参考，不构成任何形式专业建议及审批意见</w:t>
      </w:r>
    </w:p>
    <w:tbl>
      <w:tblPr>
        <w:tblStyle w:val="32"/>
        <w:tblW w:w="8575" w:type="dxa"/>
        <w:jc w:val="center"/>
        <w:tblCellSpacing w:w="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2099"/>
        <w:gridCol w:w="2276"/>
        <w:gridCol w:w="2100"/>
        <w:gridCol w:w="210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Ex>
        <w:trPr>
          <w:tblCellSpacing w:w="0" w:type="dxa"/>
          <w:jc w:val="center"/>
        </w:trPr>
        <w:tc>
          <w:tcPr>
            <w:tcW w:w="857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center"/>
              <w:rPr>
                <w:rFonts w:hint="default"/>
              </w:rPr>
            </w:pPr>
            <w:r>
              <w:rPr>
                <w:rFonts w:hint="eastAsia" w:ascii="宋体" w:hAnsi="宋体" w:eastAsia="宋体" w:cs="宋体"/>
                <w:color w:val="000000"/>
                <w:sz w:val="32"/>
                <w:szCs w:val="32"/>
              </w:rPr>
              <w:t>基本情况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blCellSpacing w:w="0" w:type="dxa"/>
          <w:jc w:val="center"/>
        </w:trPr>
        <w:tc>
          <w:tcPr>
            <w:tcW w:w="209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宋体" w:hAnsi="宋体" w:eastAsia="宋体" w:cs="宋体"/>
                <w:color w:val="000000"/>
                <w:sz w:val="24"/>
                <w:szCs w:val="24"/>
              </w:rPr>
              <w:t>报告编号</w:t>
            </w:r>
          </w:p>
        </w:tc>
        <w:tc>
          <w:tcPr>
            <w:tcW w:w="227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宋体" w:hAnsi="宋体" w:eastAsia="宋体" w:cs="宋体"/>
                <w:color w:val="000000"/>
                <w:sz w:val="24"/>
                <w:szCs w:val="24"/>
              </w:rPr>
              <w:t>FQGK1738925848530</w:t>
            </w:r>
          </w:p>
        </w:tc>
        <w:tc>
          <w:tcPr>
            <w:tcW w:w="210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宋体" w:hAnsi="宋体" w:eastAsia="宋体" w:cs="宋体"/>
                <w:color w:val="000000"/>
                <w:sz w:val="24"/>
                <w:szCs w:val="24"/>
              </w:rPr>
              <w:t>报告名称</w:t>
            </w:r>
          </w:p>
        </w:tc>
        <w:tc>
          <w:tcPr>
            <w:tcW w:w="210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宋体" w:hAnsi="宋体" w:eastAsia="宋体" w:cs="宋体"/>
                <w:color w:val="000000"/>
                <w:sz w:val="24"/>
                <w:szCs w:val="24"/>
              </w:rPr>
              <w:t>报告07185728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blCellSpacing w:w="0" w:type="dxa"/>
          <w:jc w:val="center"/>
        </w:trPr>
        <w:tc>
          <w:tcPr>
            <w:tcW w:w="209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宋体" w:hAnsi="宋体" w:eastAsia="宋体" w:cs="宋体"/>
                <w:color w:val="000000"/>
                <w:sz w:val="24"/>
                <w:szCs w:val="24"/>
              </w:rPr>
              <w:t>报告时间</w:t>
            </w:r>
          </w:p>
        </w:tc>
        <w:tc>
          <w:tcPr>
            <w:tcW w:w="227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宋体" w:hAnsi="宋体" w:eastAsia="宋体" w:cs="宋体"/>
                <w:color w:val="000000"/>
                <w:sz w:val="24"/>
                <w:szCs w:val="24"/>
              </w:rPr>
              <w:t>2025-01-27</w:t>
            </w:r>
          </w:p>
        </w:tc>
        <w:tc>
          <w:tcPr>
            <w:tcW w:w="210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宋体" w:hAnsi="宋体" w:eastAsia="宋体" w:cs="宋体"/>
                <w:color w:val="000000"/>
                <w:sz w:val="24"/>
                <w:szCs w:val="24"/>
              </w:rPr>
              <w:t>划定面积(公顷)</w:t>
            </w:r>
          </w:p>
        </w:tc>
        <w:tc>
          <w:tcPr>
            <w:tcW w:w="210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宋体" w:hAnsi="宋体" w:eastAsia="宋体" w:cs="宋体"/>
                <w:color w:val="000000"/>
                <w:sz w:val="24"/>
                <w:szCs w:val="24"/>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blCellSpacing w:w="0" w:type="dxa"/>
          <w:jc w:val="center"/>
        </w:trPr>
        <w:tc>
          <w:tcPr>
            <w:tcW w:w="209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宋体" w:hAnsi="宋体" w:eastAsia="宋体" w:cs="宋体"/>
                <w:color w:val="000000"/>
                <w:sz w:val="24"/>
                <w:szCs w:val="24"/>
              </w:rPr>
              <w:t>缓冲半径（米）</w:t>
            </w:r>
          </w:p>
        </w:tc>
        <w:tc>
          <w:tcPr>
            <w:tcW w:w="227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default"/>
              </w:rPr>
              <w:t> </w:t>
            </w:r>
          </w:p>
        </w:tc>
        <w:tc>
          <w:tcPr>
            <w:tcW w:w="210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宋体" w:hAnsi="宋体" w:eastAsia="宋体" w:cs="宋体"/>
                <w:color w:val="000000"/>
                <w:sz w:val="24"/>
                <w:szCs w:val="24"/>
              </w:rPr>
              <w:t>行业类别</w:t>
            </w:r>
          </w:p>
        </w:tc>
        <w:tc>
          <w:tcPr>
            <w:tcW w:w="210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default"/>
              </w:rPr>
              <w:t>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blCellSpacing w:w="0" w:type="dxa"/>
          <w:jc w:val="center"/>
        </w:trPr>
        <w:tc>
          <w:tcPr>
            <w:tcW w:w="857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center"/>
              <w:rPr>
                <w:rFonts w:hint="default"/>
              </w:rPr>
            </w:pPr>
            <w:r>
              <w:rPr>
                <w:rFonts w:hint="eastAsia" w:ascii="宋体" w:hAnsi="宋体" w:eastAsia="宋体" w:cs="宋体"/>
                <w:color w:val="000000"/>
                <w:sz w:val="32"/>
                <w:szCs w:val="32"/>
              </w:rPr>
              <w:t>总体概述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52" w:hRule="atLeast"/>
          <w:tblCellSpacing w:w="0" w:type="dxa"/>
          <w:jc w:val="center"/>
        </w:trPr>
        <w:tc>
          <w:tcPr>
            <w:tcW w:w="857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宋体" w:hAnsi="宋体" w:eastAsia="宋体" w:cs="宋体"/>
                <w:color w:val="000000"/>
                <w:sz w:val="24"/>
                <w:szCs w:val="24"/>
              </w:rPr>
              <w:t>项目所选地块涉及1个生态环境管控单元，其中重点管控单元1个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097" w:hRule="atLeast"/>
          <w:tblCellSpacing w:w="0" w:type="dxa"/>
          <w:jc w:val="center"/>
        </w:trPr>
        <w:tc>
          <w:tcPr>
            <w:tcW w:w="857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宋体" w:hAnsi="宋体" w:eastAsia="宋体" w:cs="宋体"/>
                <w:color w:val="000000"/>
                <w:sz w:val="24"/>
                <w:szCs w:val="24"/>
              </w:rPr>
              <w:drawing>
                <wp:inline distT="0" distB="0" distL="114300" distR="114300">
                  <wp:extent cx="5267325" cy="3362325"/>
                  <wp:effectExtent l="0" t="0" r="9525" b="9525"/>
                  <wp:docPr id="57"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3" descr="IMG_256"/>
                          <pic:cNvPicPr>
                            <a:picLocks noChangeAspect="1"/>
                          </pic:cNvPicPr>
                        </pic:nvPicPr>
                        <pic:blipFill>
                          <a:blip r:embed="rId75"/>
                          <a:stretch>
                            <a:fillRect/>
                          </a:stretch>
                        </pic:blipFill>
                        <pic:spPr>
                          <a:xfrm>
                            <a:off x="0" y="0"/>
                            <a:ext cx="5267325" cy="3362325"/>
                          </a:xfrm>
                          <a:prstGeom prst="rect">
                            <a:avLst/>
                          </a:prstGeom>
                          <a:noFill/>
                          <a:ln w="9525">
                            <a:noFill/>
                          </a:ln>
                        </pic:spPr>
                      </pic:pic>
                    </a:graphicData>
                  </a:graphic>
                </wp:inline>
              </w:drawing>
            </w:r>
          </w:p>
        </w:tc>
      </w:tr>
    </w:tbl>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center"/>
      </w:pPr>
      <w:r>
        <w:rPr>
          <w:rFonts w:hint="eastAsia" w:ascii="宋体" w:hAnsi="宋体" w:eastAsia="宋体" w:cs="宋体"/>
          <w:color w:val="000000"/>
          <w:sz w:val="32"/>
          <w:szCs w:val="32"/>
        </w:rPr>
        <w:t>环境管控单元准入要求</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pPr>
      <w:r>
        <w:t> </w:t>
      </w:r>
    </w:p>
    <w:tbl>
      <w:tblPr>
        <w:tblStyle w:val="32"/>
        <w:tblW w:w="8522" w:type="dxa"/>
        <w:jc w:val="center"/>
        <w:tblCellSpacing w:w="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2348"/>
        <w:gridCol w:w="2663"/>
        <w:gridCol w:w="1680"/>
        <w:gridCol w:w="183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Ex>
        <w:trPr>
          <w:tblCellSpacing w:w="0" w:type="dxa"/>
          <w:jc w:val="center"/>
        </w:trPr>
        <w:tc>
          <w:tcPr>
            <w:tcW w:w="8522"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center"/>
              <w:rPr>
                <w:rFonts w:hint="default"/>
              </w:rPr>
            </w:pPr>
            <w:r>
              <w:rPr>
                <w:rFonts w:hint="eastAsia" w:ascii="等线" w:hAnsi="等线" w:eastAsia="等线" w:cs="等线"/>
                <w:b/>
                <w:bCs/>
                <w:color w:val="000000"/>
                <w:sz w:val="28"/>
                <w:szCs w:val="28"/>
              </w:rPr>
              <w:t>福清市重点管控单元1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Ex>
        <w:trPr>
          <w:tblCellSpacing w:w="0" w:type="dxa"/>
          <w:jc w:val="center"/>
        </w:trPr>
        <w:tc>
          <w:tcPr>
            <w:tcW w:w="234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b/>
                <w:bCs/>
                <w:color w:val="000000"/>
                <w:sz w:val="21"/>
                <w:szCs w:val="21"/>
              </w:rPr>
              <w:t>陆域生态环境管控单元</w:t>
            </w:r>
          </w:p>
        </w:tc>
        <w:tc>
          <w:tcPr>
            <w:tcW w:w="61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color w:val="000000"/>
                <w:sz w:val="21"/>
                <w:szCs w:val="21"/>
              </w:rPr>
              <w:t>ZH35018120008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Ex>
        <w:trPr>
          <w:tblCellSpacing w:w="0" w:type="dxa"/>
          <w:jc w:val="center"/>
        </w:trPr>
        <w:tc>
          <w:tcPr>
            <w:tcW w:w="234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b/>
                <w:bCs/>
                <w:color w:val="000000"/>
                <w:sz w:val="21"/>
                <w:szCs w:val="21"/>
              </w:rPr>
              <w:t>市级行政单元</w:t>
            </w:r>
          </w:p>
        </w:tc>
        <w:tc>
          <w:tcPr>
            <w:tcW w:w="266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color w:val="000000"/>
                <w:sz w:val="21"/>
                <w:szCs w:val="21"/>
              </w:rPr>
              <w:t>福州市</w:t>
            </w:r>
          </w:p>
        </w:tc>
        <w:tc>
          <w:tcPr>
            <w:tcW w:w="168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b/>
                <w:bCs/>
                <w:color w:val="000000"/>
                <w:sz w:val="21"/>
                <w:szCs w:val="21"/>
              </w:rPr>
              <w:t>县级行政单元</w:t>
            </w:r>
          </w:p>
        </w:tc>
        <w:tc>
          <w:tcPr>
            <w:tcW w:w="183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color w:val="000000"/>
                <w:sz w:val="21"/>
                <w:szCs w:val="21"/>
              </w:rPr>
              <w:t>福清市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Ex>
        <w:trPr>
          <w:tblCellSpacing w:w="0" w:type="dxa"/>
          <w:jc w:val="center"/>
        </w:trPr>
        <w:tc>
          <w:tcPr>
            <w:tcW w:w="234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b/>
                <w:bCs/>
                <w:color w:val="000000"/>
                <w:sz w:val="21"/>
                <w:szCs w:val="21"/>
              </w:rPr>
              <w:t>管控单元分类</w:t>
            </w:r>
          </w:p>
        </w:tc>
        <w:tc>
          <w:tcPr>
            <w:tcW w:w="617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color w:val="000000"/>
                <w:sz w:val="21"/>
                <w:szCs w:val="21"/>
              </w:rPr>
              <w:t>重点管控单元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Ex>
        <w:trPr>
          <w:tblCellSpacing w:w="0" w:type="dxa"/>
          <w:jc w:val="center"/>
        </w:trPr>
        <w:tc>
          <w:tcPr>
            <w:tcW w:w="8522"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b/>
                <w:bCs/>
                <w:color w:val="000000"/>
                <w:sz w:val="21"/>
                <w:szCs w:val="21"/>
              </w:rPr>
              <w:t>1、空间布局约束</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color w:val="000000"/>
                <w:sz w:val="21"/>
                <w:szCs w:val="21"/>
              </w:rPr>
              <w:t>1.严禁在城镇人口密集区新建危险化学品生产企业；现有不符合安全和卫生防护距离要求的危险化学品生产企业2025年底前完成就地改造达标、搬迁进入规范化工园区或关闭退出。城市建成区内现有有色金属、印染、原料药制造、化工等污染较重的企业应有序搬迁改造或依法关闭。2.严格控制包装印刷、工业涂装、制鞋等高VOCs排放的项目建设，相关新建项目必须进入工业园区。3.禁止开发利用未经评估和无害化处理的列入建设用地污染地块名录及开发利用负面清单的土地。</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b/>
                <w:bCs/>
                <w:color w:val="000000"/>
                <w:sz w:val="21"/>
                <w:szCs w:val="21"/>
              </w:rPr>
              <w:t>2、污染物排放管控</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color w:val="000000"/>
                <w:sz w:val="21"/>
                <w:szCs w:val="21"/>
              </w:rPr>
              <w:t>落实新增二氧化硫、氮氧化物和VOCs排放总量控制要求。</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b/>
                <w:bCs/>
                <w:color w:val="000000"/>
                <w:sz w:val="21"/>
                <w:szCs w:val="21"/>
              </w:rPr>
              <w:t>3、环境风险防控</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color w:val="000000"/>
                <w:sz w:val="21"/>
                <w:szCs w:val="21"/>
              </w:rPr>
              <w:t>单元内现有化学原料和化学制品制造业、有色金属冶炼和压延加工业等具有潜在土壤污染环境风险的企业退役后，应开展土壤环境状况评估，经评估认为污染地块可能损害人体健康和环境，应当进行修复的，由造成污染的单位和个人负责被污染土壤的修复。</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b/>
                <w:bCs/>
                <w:color w:val="000000"/>
                <w:sz w:val="21"/>
                <w:szCs w:val="21"/>
              </w:rPr>
              <w:t>4、资源开发效率要求</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color w:val="000000"/>
                <w:sz w:val="21"/>
                <w:szCs w:val="21"/>
              </w:rPr>
              <w:t>高污染燃料禁燃区内禁止燃用高污染燃料，禁止新建、扩建燃用高污染燃料的设施。已建的燃用高污染燃料设施，限期改用电、天然气、液化石油气等清洁能源。</w:t>
            </w:r>
          </w:p>
        </w:tc>
      </w:tr>
    </w:tbl>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pPr>
      <w:r>
        <w:t> </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center"/>
      </w:pPr>
      <w:r>
        <w:rPr>
          <w:rFonts w:hint="eastAsia" w:ascii="宋体" w:hAnsi="宋体" w:eastAsia="宋体" w:cs="宋体"/>
          <w:color w:val="000000"/>
          <w:sz w:val="32"/>
          <w:szCs w:val="32"/>
        </w:rPr>
        <w:t>区域总体管控</w:t>
      </w:r>
    </w:p>
    <w:tbl>
      <w:tblPr>
        <w:tblStyle w:val="32"/>
        <w:tblW w:w="8522" w:type="dxa"/>
        <w:jc w:val="center"/>
        <w:tblCellSpacing w:w="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2136"/>
        <w:gridCol w:w="638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Ex>
        <w:trPr>
          <w:tblCellSpacing w:w="0" w:type="dxa"/>
          <w:jc w:val="center"/>
        </w:trPr>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color w:val="000000"/>
                <w:sz w:val="21"/>
                <w:szCs w:val="21"/>
              </w:rPr>
              <w:t>城镇生活类重点管控单元</w:t>
            </w:r>
          </w:p>
        </w:tc>
        <w:tc>
          <w:tcPr>
            <w:tcW w:w="638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b/>
                <w:bCs/>
                <w:color w:val="000000"/>
                <w:sz w:val="21"/>
                <w:szCs w:val="21"/>
              </w:rPr>
              <w:t>1、空间布局约束</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color w:val="000000"/>
                <w:sz w:val="21"/>
                <w:szCs w:val="21"/>
              </w:rPr>
              <w:t>严禁在城镇人口密集区新建危险化学品生产企业；现有不符合安全和卫生防护距离要求的危险化学品生产企业2025年底前完成就地改造达标、搬迁进入规范化工园区或关闭退出。</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b/>
                <w:bCs/>
                <w:color w:val="000000"/>
                <w:sz w:val="21"/>
                <w:szCs w:val="21"/>
              </w:rPr>
              <w:t>2、污染物排放管控</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color w:val="000000"/>
                <w:sz w:val="21"/>
                <w:szCs w:val="21"/>
              </w:rPr>
              <w:t>在城市建成区新建大气污染型项目，二氧化硫、氮氧化物排放量应实行倍量削减替代。</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b/>
                <w:bCs/>
                <w:color w:val="000000"/>
                <w:sz w:val="21"/>
                <w:szCs w:val="21"/>
              </w:rPr>
              <w:t>3、环境风险防控</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color w:val="000000"/>
                <w:sz w:val="21"/>
                <w:szCs w:val="21"/>
              </w:rPr>
              <w:t>无</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b/>
                <w:bCs/>
                <w:color w:val="000000"/>
                <w:sz w:val="21"/>
                <w:szCs w:val="21"/>
              </w:rPr>
              <w:t>4、资源开发效率要求</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color w:val="000000"/>
                <w:sz w:val="21"/>
                <w:szCs w:val="21"/>
              </w:rPr>
              <w:t>无</w:t>
            </w:r>
          </w:p>
        </w:tc>
      </w:tr>
    </w:tbl>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pPr>
      <w:r>
        <w:t> </w:t>
      </w:r>
    </w:p>
    <w:tbl>
      <w:tblPr>
        <w:tblStyle w:val="32"/>
        <w:tblW w:w="8522" w:type="dxa"/>
        <w:jc w:val="center"/>
        <w:tblCellSpacing w:w="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2136"/>
        <w:gridCol w:w="638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PrEx>
        <w:trPr>
          <w:tblCellSpacing w:w="0" w:type="dxa"/>
          <w:jc w:val="center"/>
        </w:trPr>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color w:val="000000"/>
                <w:sz w:val="21"/>
                <w:szCs w:val="21"/>
              </w:rPr>
              <w:t>福州市陆域</w:t>
            </w:r>
          </w:p>
        </w:tc>
        <w:tc>
          <w:tcPr>
            <w:tcW w:w="638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b/>
                <w:bCs/>
                <w:color w:val="000000"/>
                <w:sz w:val="21"/>
                <w:szCs w:val="21"/>
              </w:rPr>
              <w:t>1、空间布局约束</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color w:val="000000"/>
                <w:sz w:val="21"/>
                <w:szCs w:val="21"/>
              </w:rPr>
              <w:t>一、优先保护单元中的生态保护红线1.根据《关于在国土空间规划中统筹划定落实三条控制线的指导意见》《自然资源部生态环境部国家林业和草原局关于加强生态保护红线管理的通知（试行）》，加强生态保护红线管理，严守自然生态安全边界。生态保护红线内，自然保护地核心保护区原则上禁止人为活动，其它区域禁止开发性、生产性建设活动，在符合法律法规的前提下，仅允许以下对生态功能不造成破坏的有限人为活动。生态保护红线内自然保护区、风景名胜区、饮用水水源保护区等区域，依照法律法规执行。（1）管护巡护、保护执法、科学研究、调查监测、测绘导航、防灾减灾救灾、军事国防、疫情防控等活动及相关的必要设施修筑。（2）原住居民和其他合法权益主体，允许在不扩大现有建设用地、用海用岛、耕地、水产养殖规模和放牧强度（符合草畜平衡管理规定）的前提下，开展种植、放牧、捕捞、养殖（不包括投礁型海洋牧场、围海养殖）等活动，修筑生产生活设施。（3）经依法批准的考古调查发掘、古生物化石调查发掘、标本采集和文物保护活动。（4）按规定对人工商品林进行抚育采伐，或以提升森林质量、优化栖息地、建设生物防火隔离带等为目的的树种更新，依法开展的竹林采伐经营。（5）不破坏生态功能的适度参观旅游、科普宣教及符合相关规划的配套性服务设施和相关的必要公共设施建设及维护。（6）必须且无法避让、符合县级以上国土空间规划的线性基础设施、通讯和防洪、供水设施建设和船舶航行、航道疏浚清淤等活动；已有的合法水利、交通运输等设施运行维护改造。（7）地质调查与矿产资源勘查开采。包括：基础地质调查和战略性矿产资源远景调查等公益性工作；铀矿勘查开采活动，可办理矿业权登记；已依法设立的油气探矿权继续勘查活动，可办理探矿权延续、变更（不含扩大勘查区块范围）、保留、注销，当发现可供开采油气资源并探明储量时，可将开采拟占用的地表或海域范围依照国家相关规定调出生态保护红线；已依法设立的油气采矿权不扩大用地用海范围，继续开采，可办理采矿权延续、变更（不含扩大矿区范围）、注销；已依法设立的矿泉水和地热采矿权，在不超出已经核定的生产规模、不新增生产设施的前提下继续开采，可办理采矿权延续、变更（不含扩大矿区范围）、注销；已依法设立和新立铬、铜、镍、锂、钴、锆、钾盐、（中）重稀土矿等战略性矿产探矿权开展勘查活动，可办理探矿权登记，因国家战略需要开展开采活动的，可办理采矿权登记。上述勘查开采活动，应落实减缓生态环境影响措施，严格执行绿色勘查、开采及矿山环境生态修复相关要求。（8）依据县级以上国土空间规划和生态保护修复专项规划开展的生态修复。（9）法律法规规定允许的其他人为活动。2.依据《福建省自然资源厅福建省生态环境厅福建省林业局关于进一步加强生态保护红线监管的通知（试行）》（闽自然资发〔2023〕56号），允许占用生态保护红线的重大项目范围：（1）党中央、国务院发布文件或批准规划中明确具体名称的项目和国务院批准的项目。（2）中央军委及其有关部门批准的军事国防项目。（3）国家级规划（指国务院及其有关部门正式颁布）明确的交通、水利项目。（4）国家级规划明确的电网项目，国家级规划明确的且符合国家产业政策的能源矿产勘查开采、油气管线、水电、核电项目。（5）为贯彻落实党中央、国务院重大决策部署，国务院投资主管部门或国务院投资主管部门会同有关部门确认的交通、能源、水利等基础设施项目。（6）按照国家重大项目用地保障工作机制要求，国家发展改革委会同有关部门确认的需中央加大建设用地保障力度，确实难以避让的国家重大项目。二、优先保护单元中的一般生态空间1.一般生态空间以保护和修复生态环境、提供生态产品和服务为首要任务，因地制宜地发展不影响主体功能定位的适宜产业。2.一般生态空间内未纳入生态保护红线的饮用水水源保护区等各类法定保护地，其管控要求依照相关法律法规执行。3.一般生态空间内现有合法的水泥厂、矿山开发等生产性设施及生活垃圾处置等民生工程予以保留，应按照法律法规要求落实污染防治和生态保护措施，避免对生态功能造成破坏。三、其它要求1.福州市石化中上游项目重点在福州江阴港城经济区、可门港经济区化工新材料产业园布局。2.禁止在闽江马尾罗星塔以上流域范围新、扩建制革项目，严控新（扩）建植物制浆、印染、合成革及人造革、电镀项目。3.禁止在通风廊道和主导风向的上风向布局大气重污染企业，推进建成区大气重污染企业搬迁或升级改造、环境风险企业搬迁或关闭退出。4.禁止新、改、扩建生产高VOCs含量有机溶剂型涂料、油墨和胶黏剂的项目。5.持续加强闽清等地建陶产业的环境综合治理，充分衔接国土空间规划和生态环境分区管控，并对照产业政策、城市总体发展规划等要求，进一步明确发展定位，优化产业布局和规模。6.新建、扩建的涉及重点重金属污染物［1］的有色金属冶炼、电镀、制革、铅蓄电池制造企业应优先选择布设在依法合规设立并经规划环评、环境基础设施和环境风险防范措施齐全的产业园区。禁止低端落后产能向闽江中上游地区转移。禁止新建用汞的电石法（聚）氯乙烯生产工艺。加快推进专业电镀企业入园，到2025年底专业电镀企业入园率达到90%以上。7.禁止在流域上游新建、扩建重污染企业和项目。8.重要敏感水体及富营养化湖库生态缓冲带除相关政府部门批准的科学研究活动外，禁止其它可能对保护区构成危害或不良影响的大规模生产、建设活动。9.新、改、扩建煤电、钢铁、建材、石化、化工等“两高”项目，严格落实国家、省、市产业规划、产业政策、“三线一单”、规划环评，以及产能置换、煤炭消费减量替代、区域污染削减等相关要求。10.单元内涉及永久基本农田的，应按照《福建省基本农田保护条例》（2010年修正本）、《国土资源部关于全面实行永久共本农田特殊保护的通知》（国土资规〔2018〕1号）、《中共中央国务院关于加强耕地保护和改进占补平衡的意见》（2017年1月9日）等相关文件要求进行格管理，一般建设项目不得占用永久基本农田，重大建设项目选址确实难以避让永久基本农田的，必须依法依规办理。严禁通过擅自调整县乡国土空间规划，规避占用永久基本农田的审批。禁止随意砍伐防风固沙林和农田保护林。严格按照自然资源部、农业农村部、国家林业和草原局《关于严格耕地用途管制有关问题的通知》（自然资发〔2021〕166号）要求全面落实耕地用途管制。</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b/>
                <w:bCs/>
                <w:color w:val="000000"/>
                <w:sz w:val="21"/>
                <w:szCs w:val="21"/>
              </w:rPr>
              <w:t>2、污染物排放管控</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color w:val="000000"/>
                <w:sz w:val="21"/>
                <w:szCs w:val="21"/>
              </w:rPr>
              <w:t>1.工业类新（改、扩）建项目新增主要污染物（水污染物化学需氧量、氨氮和大气污染物二氧化硫、氮氧化物）排放总量指标应符合区域环境质量和总量控制要求，立足于通过“以新带老”、削减存量，努力实现区域、企业自身总量平衡。总量指标来源、审核和监督管理按照“榕环保综〔2017〕90号”等相关文件执行。2.新、改、扩建涉VOCs排放项目，应从源头加强控制，使用低（无）VOCs含量的原辅材料，实施新建项目VOCs排放区域内1.2及以上倍量替代。3.严格控制新建、改建、扩建钢铁、水泥、平板玻璃、有色金属冶炼、化工等工业项目。新改扩建钢铁、火电项目应执行超低排放限值，有色项目应当执行大气污染物特别排放限值。重点控制区新建化工、石化应当执行大气污染物特别排放限值。4.氟化工、印染、电镀等行业企业实行水污染物特别排放限值。5.新、改、扩建重点行业［2］建设项目要遵循重点重金属污染物排放“等量替代”原则，总量来源原则上应是同一重点行业内的削减量，当同一重点行业无法满足时可从其他重点行业调剂。6.每小时35（含）—65蒸吨燃煤锅炉和位于县级及以上城市建成区内保留的燃煤、燃油、燃生物质锅炉，原则上2024年底前必须全面实现超低排放。7.水泥行业新改扩建项目严格对照超低排放、能效标杆水平建设实施；现有项目超低排放改造应按文件（闽环规〔2023〕2号）的时限要求分步推进，2025年底前全面完成［3］［4］。8.化工园区新建项目实施“禁限控”化学物质管控措施，项目在开展环境影响评价时应严格落实相关要求，严格涉新污染物建设项目源头防控和准入管理。以印染、皮革、农药、医药、涂料等行业为重点，推进有毒有害化学物质替代。严格落实废药品、废农药以及抗生素生产过程中产生的废母液、废反应基和废培养基等废物的收集利用处置要求。</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b/>
                <w:bCs/>
                <w:color w:val="000000"/>
                <w:sz w:val="21"/>
                <w:szCs w:val="21"/>
              </w:rPr>
              <w:t>3、环境风险防控</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color w:val="000000"/>
                <w:sz w:val="21"/>
                <w:szCs w:val="21"/>
              </w:rPr>
              <w:t>无</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b/>
                <w:bCs/>
                <w:color w:val="000000"/>
                <w:sz w:val="21"/>
                <w:szCs w:val="21"/>
              </w:rPr>
              <w:t>4、资源开发效率要求</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color w:val="000000"/>
                <w:sz w:val="21"/>
                <w:szCs w:val="21"/>
              </w:rPr>
              <w:t>1.到2024年底，全市范围内每小时10蒸吨及以下燃煤锅炉全面淘汰；到2025年底，全市范围内每小时35蒸吨以下燃煤锅炉通过集中供热、清洁能源替代、深度治理等方式全面实现转型、升级、退出，县级及以上城市建成区在用锅炉（燃煤、燃油、燃生物质）全面改用电能等清洁能源或治理达到超低排放水平；禁止新建每小时35蒸吨以下燃煤锅炉，以及每小时10蒸吨及以下燃生物质和其他使用高污染燃料的锅炉。集中供热管网覆盖范围内禁止新建、扩建分散燃煤、燃油等供热锅炉。2.按照“提气、转电、控煤”的发展思路，推动陶瓷行业进一步优化用能结构，实现能源消费清洁低碳化。</w:t>
            </w:r>
          </w:p>
        </w:tc>
      </w:tr>
    </w:tbl>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pPr>
      <w:r>
        <w:t> </w:t>
      </w:r>
    </w:p>
    <w:tbl>
      <w:tblPr>
        <w:tblStyle w:val="32"/>
        <w:tblW w:w="8522" w:type="dxa"/>
        <w:jc w:val="center"/>
        <w:tblCellSpacing w:w="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2136"/>
        <w:gridCol w:w="638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Ex>
        <w:trPr>
          <w:tblCellSpacing w:w="0" w:type="dxa"/>
          <w:jc w:val="center"/>
        </w:trPr>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color w:val="000000"/>
                <w:sz w:val="21"/>
                <w:szCs w:val="21"/>
              </w:rPr>
              <w:t>全省陆域</w:t>
            </w:r>
          </w:p>
        </w:tc>
        <w:tc>
          <w:tcPr>
            <w:tcW w:w="638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b/>
                <w:bCs/>
                <w:color w:val="000000"/>
                <w:sz w:val="21"/>
                <w:szCs w:val="21"/>
              </w:rPr>
              <w:t>1、空间布局约束</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color w:val="000000"/>
                <w:sz w:val="21"/>
                <w:szCs w:val="21"/>
              </w:rPr>
              <w:t>1.石化、汽车、船舶、冶金、水泥、制浆造纸、印染等重点产业，要符合全省规划布局要求。2.严控钢铁、水泥、平板玻璃等产能过剩行业新增产能，新增产能应实施产能等量或减量置换。3.除列入国家规划的大型煤电和符合相关要求的等容量替代项目，以及以供热为主的热电联产项目外，原则上不再建设新的煤电项目。4.氟化工产业应集中布局在《关于促进我省氟化工产业绿色高效发展的若干意见》中确定的园区，在上述园区之外不再新建氟化工项目，园区之外现有氟化工项目不再扩大规模。5.禁止在水环境质量不能稳定达标的区域内，建设新增相应不达标污染物指标排放量的工业项目。6.禁止在通风廊道和主导风向的上风向布局大气重污染企业，推进建成区大气重污染企业搬迁或升级改造、环境风险企业搬迁或关闭退出。7.新建、扩建的涉及重点重金属污染物［1］的有色金属冶炼、电镀、制革、铅蓄电池制造企业布局应符合《福建省进一步加强重金属污染防控实施方案》（闽环保固体〔2022〕17号）要求。禁止低端落后产能向闽江中上游地区、九龙江北溪江东北引桥闸以上、西溪桥闸以上流域、晋江流域上游转移。禁止新建用汞的电石法（聚）氯乙烯生产工艺。</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b/>
                <w:bCs/>
                <w:color w:val="000000"/>
                <w:sz w:val="21"/>
                <w:szCs w:val="21"/>
              </w:rPr>
              <w:t>2、污染物排放管控</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color w:val="000000"/>
                <w:sz w:val="21"/>
                <w:szCs w:val="21"/>
              </w:rPr>
              <w:t>1.建设项目新增的主要污染物（含VOCs）排放量应按要求实行等量或倍量替代。重点行业建设项目新增的主要污染物排放量应同时满足《关于加强重点行业建设项目区域削减措施监督管理的通知》（环办环评〔2020〕36号）的要求。涉及新增总磷排放的建设项目应符合相关削减替代要求。新、改、扩建重点行业［2］建设项目要符合“闽环保固体〔2022〕17号”文件要求2.新改扩建钢铁、火电项目应执行超低排放限值，有色项目应当执行大气污染物特别排放限值。水泥行业新改扩建项目严格对照超低排放、能效标杆水平建设实施，现有项目超低排放改造应按“闽环规〔2023〕2号”文件的时限要求分步推进，2025年底前全面完成［2］［4］。3.近岸海域汇水区域、“六江两溪”流域以及排入湖泊、水库等封闭、半封闭水域的城镇污水处理设施执行不低于一级A排放标准。到2025年，省级及以上各类开发区、工业园区完成“污水零直排区”建设，混合处理工业污水和生活污水的污水处理厂达到一级A排放标准。4.优化调整货物运输方式，提升铁路货运比例，推进钢铁、电力、电解铝、焦化等重点工业企业和工业园区货物由公路运输转向铁路运输。5.加强石化、涂料、纺织印染、橡胶、医药等行业新污染物环境风险管控。</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b/>
                <w:bCs/>
                <w:color w:val="000000"/>
                <w:sz w:val="21"/>
                <w:szCs w:val="21"/>
              </w:rPr>
              <w:t>3、环境风险防控</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color w:val="000000"/>
                <w:sz w:val="21"/>
                <w:szCs w:val="21"/>
              </w:rPr>
              <w:t>无</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b/>
                <w:bCs/>
                <w:color w:val="000000"/>
                <w:sz w:val="21"/>
                <w:szCs w:val="21"/>
              </w:rPr>
              <w:t>4、资源开发效率要求</w:t>
            </w:r>
          </w:p>
          <w:p>
            <w:pPr>
              <w:pStyle w:val="26"/>
              <w:keepNext w:val="0"/>
              <w:keepLines w:val="0"/>
              <w:widowControl w:val="0"/>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jc w:val="both"/>
              <w:rPr>
                <w:rFonts w:hint="default"/>
              </w:rPr>
            </w:pPr>
            <w:r>
              <w:rPr>
                <w:rFonts w:hint="eastAsia" w:ascii="等线" w:hAnsi="等线" w:eastAsia="等线" w:cs="等线"/>
                <w:color w:val="000000"/>
                <w:sz w:val="21"/>
                <w:szCs w:val="21"/>
              </w:rPr>
              <w:t>1.实施能源消耗总量和强度双控。2.强化产业园区单位土地面积投资强度和效用指标的刚性约束，提高土地利用效率。3.具备使用再生水条件但未充分利用的钢铁、火电、化工、制浆造纸、印染等项目，不得批准其新增取水许可。在沿海地区电力、化工、石化等行业，推行直接利用海水作为循环冷却等工业用水。4.落实“闽环规〔2023〕1号”文件要求，不再新建每小时35蒸吨以下燃煤锅炉，以及每小时10蒸吨及以下燃生物质和其他使用高污染燃料的锅炉。集中供热管网覆盖范围内禁止新建、扩建分散燃煤、燃油等供热锅炉。5.落实“闽环保大气〔2023〕5号”文件要求，按照“提气、转电、控煤”的发展思路，推动陶瓷行业进一步优化用能结构，实现能源消费清洁低碳化。</w:t>
            </w:r>
          </w:p>
        </w:tc>
      </w:tr>
    </w:tbl>
    <w:p>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br w:type="page"/>
      </w:r>
    </w:p>
    <w:p>
      <w:pPr>
        <w:pStyle w:val="36"/>
        <w:bidi w:val="0"/>
        <w:ind w:left="0" w:leftChars="0" w:firstLine="0" w:firstLineChars="0"/>
        <w:rPr>
          <w:rFonts w:hint="default" w:ascii="Times New Roman" w:hAnsi="Times New Roman" w:cs="Times New Roman"/>
          <w:color w:val="auto"/>
          <w:lang w:val="en-US" w:eastAsia="zh-CN"/>
        </w:rPr>
        <w:sectPr>
          <w:pgSz w:w="11850" w:h="16783"/>
          <w:pgMar w:top="1417" w:right="1417" w:bottom="1417"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2"/>
        <w:keepNext/>
        <w:keepLines w:val="0"/>
        <w:pageBreakBefore w:val="0"/>
        <w:widowControl w:val="0"/>
        <w:numPr>
          <w:ilvl w:val="0"/>
          <w:numId w:val="0"/>
        </w:numPr>
        <w:kinsoku/>
        <w:wordWrap/>
        <w:overflowPunct w:val="0"/>
        <w:topLinePunct w:val="0"/>
        <w:autoSpaceDE/>
        <w:autoSpaceDN/>
        <w:bidi w:val="0"/>
        <w:adjustRightInd/>
        <w:snapToGrid w:val="0"/>
        <w:jc w:val="both"/>
        <w:textAlignment w:val="auto"/>
        <w:rPr>
          <w:rFonts w:hint="default" w:ascii="Times New Roman" w:hAnsi="Times New Roman" w:eastAsia="宋体" w:cs="Times New Roman"/>
          <w:b/>
          <w:bCs w:val="0"/>
          <w:color w:val="auto"/>
          <w:sz w:val="24"/>
          <w:szCs w:val="24"/>
          <w:highlight w:val="none"/>
          <w:lang w:val="en-US" w:eastAsia="zh-CN"/>
        </w:rPr>
      </w:pPr>
      <w:bookmarkStart w:id="142" w:name="_Toc4243"/>
      <w:r>
        <w:rPr>
          <w:rFonts w:hint="default" w:ascii="Times New Roman" w:hAnsi="Times New Roman" w:eastAsia="宋体" w:cs="Times New Roman"/>
          <w:b/>
          <w:bCs w:val="0"/>
          <w:color w:val="auto"/>
          <w:sz w:val="24"/>
          <w:szCs w:val="24"/>
          <w:highlight w:val="none"/>
        </w:rPr>
        <w:t>附件</w:t>
      </w:r>
      <w:r>
        <w:rPr>
          <w:rFonts w:hint="eastAsia" w:ascii="Times New Roman" w:hAnsi="Times New Roman" w:eastAsia="宋体" w:cs="Times New Roman"/>
          <w:b/>
          <w:bCs w:val="0"/>
          <w:color w:val="auto"/>
          <w:sz w:val="24"/>
          <w:szCs w:val="24"/>
          <w:highlight w:val="none"/>
          <w:lang w:val="en-US" w:eastAsia="zh-CN"/>
        </w:rPr>
        <w:t>7</w:t>
      </w:r>
      <w:r>
        <w:rPr>
          <w:rFonts w:hint="default" w:ascii="Times New Roman" w:hAnsi="Times New Roman" w:eastAsia="宋体" w:cs="Times New Roman"/>
          <w:b/>
          <w:bCs w:val="0"/>
          <w:color w:val="auto"/>
          <w:sz w:val="24"/>
          <w:szCs w:val="24"/>
          <w:highlight w:val="none"/>
          <w:lang w:val="en-US" w:eastAsia="zh-CN"/>
        </w:rPr>
        <w:t>：</w:t>
      </w:r>
      <w:r>
        <w:rPr>
          <w:rFonts w:hint="eastAsia" w:ascii="Times New Roman" w:hAnsi="Times New Roman" w:eastAsia="宋体" w:cs="Times New Roman"/>
          <w:b/>
          <w:bCs w:val="0"/>
          <w:color w:val="auto"/>
          <w:sz w:val="24"/>
          <w:szCs w:val="24"/>
          <w:highlight w:val="none"/>
          <w:lang w:val="en-US" w:eastAsia="zh-CN"/>
        </w:rPr>
        <w:t>排水证明</w:t>
      </w:r>
      <w:bookmarkEnd w:id="142"/>
    </w:p>
    <w:p>
      <w:pPr>
        <w:pStyle w:val="36"/>
        <w:bidi w:val="0"/>
        <w:ind w:left="0" w:leftChars="0" w:firstLine="0" w:firstLineChars="0"/>
        <w:rPr>
          <w:rFonts w:hint="default" w:ascii="Times New Roman" w:hAnsi="Times New Roman" w:cs="Times New Roman"/>
          <w:color w:val="auto"/>
          <w:lang w:val="en-US" w:eastAsia="zh-CN"/>
        </w:rPr>
      </w:pPr>
      <w:r>
        <w:drawing>
          <wp:inline distT="0" distB="0" distL="114300" distR="114300">
            <wp:extent cx="5790565" cy="7658735"/>
            <wp:effectExtent l="0" t="0" r="635" b="18415"/>
            <wp:docPr id="6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4"/>
                    <pic:cNvPicPr>
                      <a:picLocks noChangeAspect="1"/>
                    </pic:cNvPicPr>
                  </pic:nvPicPr>
                  <pic:blipFill>
                    <a:blip r:embed="rId76"/>
                    <a:stretch>
                      <a:fillRect/>
                    </a:stretch>
                  </pic:blipFill>
                  <pic:spPr>
                    <a:xfrm>
                      <a:off x="0" y="0"/>
                      <a:ext cx="5790565" cy="7658735"/>
                    </a:xfrm>
                    <a:prstGeom prst="rect">
                      <a:avLst/>
                    </a:prstGeom>
                    <a:noFill/>
                    <a:ln>
                      <a:noFill/>
                    </a:ln>
                  </pic:spPr>
                </pic:pic>
              </a:graphicData>
            </a:graphic>
          </wp:inline>
        </w:drawing>
      </w:r>
    </w:p>
    <w:p>
      <w:pPr>
        <w:pStyle w:val="36"/>
        <w:bidi w:val="0"/>
        <w:ind w:left="0" w:leftChars="0" w:firstLine="0" w:firstLineChars="0"/>
        <w:rPr>
          <w:rFonts w:hint="default" w:ascii="Times New Roman" w:hAnsi="Times New Roman" w:cs="Times New Roman"/>
          <w:color w:val="auto"/>
          <w:lang w:val="en-US" w:eastAsia="zh-CN"/>
        </w:rPr>
      </w:pPr>
    </w:p>
    <w:p>
      <w:pPr>
        <w:pStyle w:val="36"/>
        <w:bidi w:val="0"/>
        <w:ind w:left="0" w:leftChars="0" w:firstLine="0" w:firstLineChars="0"/>
        <w:rPr>
          <w:rFonts w:hint="default" w:ascii="Times New Roman" w:hAnsi="Times New Roman" w:cs="Times New Roman"/>
          <w:color w:val="auto"/>
          <w:lang w:val="en-US" w:eastAsia="zh-CN"/>
        </w:rPr>
        <w:sectPr>
          <w:pgSz w:w="11850" w:h="16783"/>
          <w:pgMar w:top="1417" w:right="1417" w:bottom="1417"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2"/>
        <w:keepNext/>
        <w:keepLines w:val="0"/>
        <w:pageBreakBefore w:val="0"/>
        <w:widowControl w:val="0"/>
        <w:numPr>
          <w:ilvl w:val="0"/>
          <w:numId w:val="0"/>
        </w:numPr>
        <w:kinsoku/>
        <w:wordWrap/>
        <w:overflowPunct w:val="0"/>
        <w:topLinePunct w:val="0"/>
        <w:autoSpaceDE/>
        <w:autoSpaceDN/>
        <w:bidi w:val="0"/>
        <w:adjustRightInd/>
        <w:snapToGrid w:val="0"/>
        <w:jc w:val="both"/>
        <w:textAlignment w:val="auto"/>
        <w:rPr>
          <w:rFonts w:hint="eastAsia" w:cs="Times New Roman"/>
          <w:b/>
          <w:bCs w:val="0"/>
          <w:color w:val="auto"/>
          <w:sz w:val="24"/>
          <w:szCs w:val="24"/>
          <w:highlight w:val="none"/>
          <w:lang w:val="en-US" w:eastAsia="zh-CN"/>
        </w:rPr>
      </w:pPr>
      <w:bookmarkStart w:id="143" w:name="_Toc6907"/>
      <w:r>
        <w:rPr>
          <w:rFonts w:hint="default" w:ascii="Times New Roman" w:hAnsi="Times New Roman" w:eastAsia="宋体" w:cs="Times New Roman"/>
          <w:b/>
          <w:bCs w:val="0"/>
          <w:color w:val="auto"/>
          <w:sz w:val="24"/>
          <w:szCs w:val="24"/>
          <w:highlight w:val="none"/>
        </w:rPr>
        <w:t>附件</w:t>
      </w:r>
      <w:r>
        <w:rPr>
          <w:rFonts w:hint="eastAsia" w:cs="Times New Roman"/>
          <w:b/>
          <w:bCs w:val="0"/>
          <w:color w:val="auto"/>
          <w:sz w:val="24"/>
          <w:szCs w:val="24"/>
          <w:highlight w:val="none"/>
          <w:lang w:val="en-US" w:eastAsia="zh-CN"/>
        </w:rPr>
        <w:t>8</w:t>
      </w:r>
      <w:r>
        <w:rPr>
          <w:rFonts w:hint="default" w:ascii="Times New Roman" w:hAnsi="Times New Roman" w:eastAsia="宋体" w:cs="Times New Roman"/>
          <w:b/>
          <w:bCs w:val="0"/>
          <w:color w:val="auto"/>
          <w:sz w:val="24"/>
          <w:szCs w:val="24"/>
          <w:highlight w:val="none"/>
          <w:lang w:val="en-US" w:eastAsia="zh-CN"/>
        </w:rPr>
        <w:t>：</w:t>
      </w:r>
      <w:r>
        <w:rPr>
          <w:rFonts w:hint="eastAsia" w:ascii="Times New Roman" w:hAnsi="Times New Roman" w:eastAsia="宋体" w:cs="Times New Roman"/>
          <w:b/>
          <w:bCs w:val="0"/>
          <w:color w:val="auto"/>
          <w:sz w:val="24"/>
          <w:szCs w:val="24"/>
          <w:highlight w:val="none"/>
          <w:lang w:val="en-US" w:eastAsia="zh-CN"/>
        </w:rPr>
        <w:t>放射性同位素</w:t>
      </w:r>
      <w:r>
        <w:rPr>
          <w:rFonts w:hint="eastAsia" w:cs="Times New Roman"/>
          <w:b/>
          <w:bCs w:val="0"/>
          <w:color w:val="auto"/>
          <w:sz w:val="24"/>
          <w:szCs w:val="24"/>
          <w:highlight w:val="none"/>
          <w:lang w:val="en-US" w:eastAsia="zh-CN"/>
        </w:rPr>
        <w:t>豁免证明</w:t>
      </w:r>
      <w:bookmarkEnd w:id="143"/>
    </w:p>
    <w:p>
      <w:pPr>
        <w:rPr>
          <w:rFonts w:hint="default"/>
          <w:lang w:val="en-US" w:eastAsia="zh-CN"/>
        </w:rPr>
      </w:pPr>
      <w:r>
        <w:drawing>
          <wp:inline distT="0" distB="0" distL="114300" distR="114300">
            <wp:extent cx="5725160" cy="671195"/>
            <wp:effectExtent l="0" t="0" r="0" b="0"/>
            <wp:docPr id="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0"/>
                    <pic:cNvPicPr>
                      <a:picLocks noChangeAspect="1"/>
                    </pic:cNvPicPr>
                  </pic:nvPicPr>
                  <pic:blipFill>
                    <a:blip r:embed="rId77"/>
                    <a:srcRect t="82024"/>
                    <a:stretch>
                      <a:fillRect/>
                    </a:stretch>
                  </pic:blipFill>
                  <pic:spPr>
                    <a:xfrm>
                      <a:off x="0" y="0"/>
                      <a:ext cx="5725160" cy="67119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5622290" cy="3507105"/>
            <wp:effectExtent l="0" t="0" r="16510" b="17145"/>
            <wp:docPr id="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2"/>
                    <pic:cNvPicPr>
                      <a:picLocks noChangeAspect="1"/>
                    </pic:cNvPicPr>
                  </pic:nvPicPr>
                  <pic:blipFill>
                    <a:blip r:embed="rId78"/>
                    <a:stretch>
                      <a:fillRect/>
                    </a:stretch>
                  </pic:blipFill>
                  <pic:spPr>
                    <a:xfrm>
                      <a:off x="0" y="0"/>
                      <a:ext cx="5622290" cy="3507105"/>
                    </a:xfrm>
                    <a:prstGeom prst="rect">
                      <a:avLst/>
                    </a:prstGeom>
                    <a:noFill/>
                    <a:ln>
                      <a:noFill/>
                    </a:ln>
                  </pic:spPr>
                </pic:pic>
              </a:graphicData>
            </a:graphic>
          </wp:inline>
        </w:drawing>
      </w:r>
    </w:p>
    <w:p>
      <w:pPr>
        <w:pStyle w:val="36"/>
        <w:bidi w:val="0"/>
        <w:ind w:left="0" w:leftChars="0" w:firstLine="0" w:firstLineChars="0"/>
        <w:rPr>
          <w:rFonts w:hint="default" w:ascii="Times New Roman" w:hAnsi="Times New Roman" w:cs="Times New Roman"/>
          <w:color w:val="auto"/>
          <w:lang w:val="en-US" w:eastAsia="zh-CN"/>
        </w:rPr>
        <w:sectPr>
          <w:pgSz w:w="11850" w:h="16783"/>
          <w:pgMar w:top="1417" w:right="1417" w:bottom="1417" w:left="1417" w:header="851" w:footer="851" w:gutter="0"/>
          <w:pgBorders>
            <w:top w:val="none" w:sz="0" w:space="0"/>
            <w:left w:val="none" w:sz="0" w:space="0"/>
            <w:bottom w:val="none" w:sz="0" w:space="0"/>
            <w:right w:val="none" w:sz="0" w:space="0"/>
          </w:pgBorders>
          <w:pgNumType w:fmt="numberInDash"/>
          <w:cols w:space="720" w:num="1"/>
          <w:docGrid w:linePitch="312" w:charSpace="0"/>
        </w:sectPr>
      </w:pPr>
      <w:r>
        <w:drawing>
          <wp:inline distT="0" distB="0" distL="114300" distR="114300">
            <wp:extent cx="5666740" cy="2446655"/>
            <wp:effectExtent l="0" t="0" r="10160" b="10795"/>
            <wp:docPr id="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3"/>
                    <pic:cNvPicPr>
                      <a:picLocks noChangeAspect="1"/>
                    </pic:cNvPicPr>
                  </pic:nvPicPr>
                  <pic:blipFill>
                    <a:blip r:embed="rId79"/>
                    <a:srcRect l="1022" t="721"/>
                    <a:stretch>
                      <a:fillRect/>
                    </a:stretch>
                  </pic:blipFill>
                  <pic:spPr>
                    <a:xfrm>
                      <a:off x="0" y="0"/>
                      <a:ext cx="5666740" cy="2446655"/>
                    </a:xfrm>
                    <a:prstGeom prst="rect">
                      <a:avLst/>
                    </a:prstGeom>
                    <a:noFill/>
                    <a:ln>
                      <a:noFill/>
                    </a:ln>
                  </pic:spPr>
                </pic:pic>
              </a:graphicData>
            </a:graphic>
          </wp:inline>
        </w:drawing>
      </w:r>
    </w:p>
    <w:p>
      <w:pPr>
        <w:pStyle w:val="2"/>
        <w:keepNext/>
        <w:keepLines w:val="0"/>
        <w:pageBreakBefore w:val="0"/>
        <w:widowControl w:val="0"/>
        <w:numPr>
          <w:ilvl w:val="0"/>
          <w:numId w:val="0"/>
        </w:numPr>
        <w:kinsoku/>
        <w:wordWrap/>
        <w:overflowPunct w:val="0"/>
        <w:topLinePunct w:val="0"/>
        <w:autoSpaceDE/>
        <w:autoSpaceDN/>
        <w:bidi w:val="0"/>
        <w:adjustRightInd/>
        <w:snapToGrid w:val="0"/>
        <w:jc w:val="both"/>
        <w:textAlignment w:val="auto"/>
        <w:rPr>
          <w:rFonts w:hint="eastAsia" w:ascii="Times New Roman" w:hAnsi="Times New Roman" w:eastAsia="宋体" w:cs="Times New Roman"/>
          <w:b/>
          <w:bCs w:val="0"/>
          <w:color w:val="auto"/>
          <w:sz w:val="24"/>
          <w:szCs w:val="24"/>
          <w:highlight w:val="none"/>
          <w:lang w:val="en-US" w:eastAsia="zh-CN"/>
        </w:rPr>
      </w:pPr>
      <w:bookmarkStart w:id="144" w:name="_Toc15578"/>
      <w:r>
        <w:rPr>
          <w:rFonts w:hint="default" w:ascii="Times New Roman" w:hAnsi="Times New Roman" w:eastAsia="宋体" w:cs="Times New Roman"/>
          <w:b/>
          <w:bCs w:val="0"/>
          <w:color w:val="auto"/>
          <w:sz w:val="24"/>
          <w:szCs w:val="24"/>
          <w:highlight w:val="none"/>
        </w:rPr>
        <w:t>附件</w:t>
      </w:r>
      <w:r>
        <w:rPr>
          <w:rFonts w:hint="eastAsia" w:cs="Times New Roman"/>
          <w:b/>
          <w:bCs w:val="0"/>
          <w:color w:val="auto"/>
          <w:sz w:val="24"/>
          <w:szCs w:val="24"/>
          <w:highlight w:val="none"/>
          <w:lang w:val="en-US" w:eastAsia="zh-CN"/>
        </w:rPr>
        <w:t>9</w:t>
      </w:r>
      <w:r>
        <w:rPr>
          <w:rFonts w:hint="default" w:ascii="Times New Roman" w:hAnsi="Times New Roman" w:eastAsia="宋体" w:cs="Times New Roman"/>
          <w:b/>
          <w:bCs w:val="0"/>
          <w:color w:val="auto"/>
          <w:sz w:val="24"/>
          <w:szCs w:val="24"/>
          <w:highlight w:val="none"/>
          <w:lang w:val="en-US" w:eastAsia="zh-CN"/>
        </w:rPr>
        <w:t>：</w:t>
      </w:r>
      <w:r>
        <w:rPr>
          <w:rFonts w:hint="eastAsia" w:ascii="Times New Roman" w:hAnsi="Times New Roman" w:eastAsia="宋体" w:cs="Times New Roman"/>
          <w:b/>
          <w:bCs w:val="0"/>
          <w:color w:val="auto"/>
          <w:sz w:val="24"/>
          <w:szCs w:val="24"/>
          <w:highlight w:val="none"/>
          <w:lang w:val="en-US" w:eastAsia="zh-CN"/>
        </w:rPr>
        <w:t>关于环评文件公开文本删除的涉及国家秘密、商业秘密等内容的删除依据和理由说明</w:t>
      </w:r>
      <w:bookmarkEnd w:id="144"/>
    </w:p>
    <w:p>
      <w:pPr>
        <w:rPr>
          <w:rFonts w:hint="eastAsia"/>
          <w:lang w:val="en-US" w:eastAsia="zh-CN"/>
        </w:rPr>
      </w:pPr>
      <w:r>
        <w:drawing>
          <wp:inline distT="0" distB="0" distL="114300" distR="114300">
            <wp:extent cx="5610860" cy="7875905"/>
            <wp:effectExtent l="0" t="0" r="8890" b="10795"/>
            <wp:docPr id="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9"/>
                    <pic:cNvPicPr>
                      <a:picLocks noChangeAspect="1"/>
                    </pic:cNvPicPr>
                  </pic:nvPicPr>
                  <pic:blipFill>
                    <a:blip r:embed="rId80"/>
                    <a:stretch>
                      <a:fillRect/>
                    </a:stretch>
                  </pic:blipFill>
                  <pic:spPr>
                    <a:xfrm>
                      <a:off x="0" y="0"/>
                      <a:ext cx="5610860" cy="7875905"/>
                    </a:xfrm>
                    <a:prstGeom prst="rect">
                      <a:avLst/>
                    </a:prstGeom>
                    <a:noFill/>
                    <a:ln>
                      <a:noFill/>
                    </a:ln>
                  </pic:spPr>
                </pic:pic>
              </a:graphicData>
            </a:graphic>
          </wp:inline>
        </w:drawing>
      </w:r>
    </w:p>
    <w:p>
      <w:pPr>
        <w:spacing w:before="192" w:beforeLines="80" w:after="24"/>
        <w:jc w:val="left"/>
        <w:rPr>
          <w:rFonts w:hint="default" w:ascii="Times New Roman" w:hAnsi="Times New Roman" w:cs="Times New Roman"/>
          <w:color w:val="auto"/>
          <w:lang w:val="en-US" w:eastAsia="zh-CN"/>
        </w:rPr>
      </w:pPr>
    </w:p>
    <w:p>
      <w:pPr>
        <w:keepNext/>
        <w:keepLines w:val="0"/>
        <w:pageBreakBefore w:val="0"/>
        <w:widowControl w:val="0"/>
        <w:numPr>
          <w:ilvl w:val="0"/>
          <w:numId w:val="0"/>
        </w:numPr>
        <w:tabs>
          <w:tab w:val="left" w:pos="420"/>
        </w:tabs>
        <w:kinsoku/>
        <w:wordWrap/>
        <w:overflowPunct w:val="0"/>
        <w:topLinePunct w:val="0"/>
        <w:autoSpaceDE/>
        <w:autoSpaceDN/>
        <w:bidi w:val="0"/>
        <w:adjustRightInd/>
        <w:snapToGrid w:val="0"/>
        <w:ind w:leftChars="0"/>
        <w:jc w:val="both"/>
        <w:textAlignment w:val="auto"/>
        <w:outlineLvl w:val="9"/>
        <w:rPr>
          <w:rFonts w:hint="default"/>
          <w:lang w:val="en-US" w:eastAsia="zh-CN"/>
        </w:rPr>
        <w:sectPr>
          <w:footerReference r:id="rId9" w:type="default"/>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r>
        <w:rPr>
          <w:rFonts w:hint="default"/>
          <w:lang w:val="en-US" w:eastAsia="zh-CN"/>
        </w:rPr>
        <w:drawing>
          <wp:inline distT="0" distB="0" distL="114300" distR="114300">
            <wp:extent cx="5598160" cy="7916545"/>
            <wp:effectExtent l="0" t="0" r="2540" b="8255"/>
            <wp:docPr id="56" name="图片 56" descr="未命名2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未命名2_03"/>
                    <pic:cNvPicPr>
                      <a:picLocks noChangeAspect="1"/>
                    </pic:cNvPicPr>
                  </pic:nvPicPr>
                  <pic:blipFill>
                    <a:blip r:embed="rId81"/>
                    <a:stretch>
                      <a:fillRect/>
                    </a:stretch>
                  </pic:blipFill>
                  <pic:spPr>
                    <a:xfrm>
                      <a:off x="0" y="0"/>
                      <a:ext cx="5598160" cy="7916545"/>
                    </a:xfrm>
                    <a:prstGeom prst="rect">
                      <a:avLst/>
                    </a:prstGeom>
                  </pic:spPr>
                </pic:pic>
              </a:graphicData>
            </a:graphic>
          </wp:inline>
        </w:drawing>
      </w:r>
    </w:p>
    <w:p>
      <w:pPr>
        <w:pStyle w:val="2"/>
        <w:keepNext/>
        <w:keepLines w:val="0"/>
        <w:pageBreakBefore w:val="0"/>
        <w:widowControl w:val="0"/>
        <w:numPr>
          <w:ilvl w:val="0"/>
          <w:numId w:val="0"/>
        </w:numPr>
        <w:kinsoku/>
        <w:wordWrap/>
        <w:overflowPunct w:val="0"/>
        <w:topLinePunct w:val="0"/>
        <w:autoSpaceDE/>
        <w:autoSpaceDN/>
        <w:bidi w:val="0"/>
        <w:adjustRightInd/>
        <w:snapToGrid w:val="0"/>
        <w:jc w:val="both"/>
        <w:textAlignment w:val="auto"/>
        <w:rPr>
          <w:rFonts w:hint="eastAsia" w:cs="Times New Roman"/>
          <w:b/>
          <w:bCs w:val="0"/>
          <w:color w:val="auto"/>
          <w:sz w:val="24"/>
          <w:szCs w:val="24"/>
          <w:highlight w:val="none"/>
          <w:lang w:val="en-US" w:eastAsia="zh-CN"/>
        </w:rPr>
      </w:pPr>
      <w:bookmarkStart w:id="145" w:name="_Toc10923"/>
      <w:r>
        <w:rPr>
          <w:rFonts w:hint="default" w:ascii="Times New Roman" w:hAnsi="Times New Roman" w:eastAsia="宋体" w:cs="Times New Roman"/>
          <w:b/>
          <w:bCs w:val="0"/>
          <w:color w:val="auto"/>
          <w:sz w:val="24"/>
          <w:szCs w:val="24"/>
          <w:highlight w:val="none"/>
        </w:rPr>
        <w:t>附件</w:t>
      </w:r>
      <w:r>
        <w:rPr>
          <w:rFonts w:hint="eastAsia" w:cs="Times New Roman"/>
          <w:b/>
          <w:bCs w:val="0"/>
          <w:color w:val="auto"/>
          <w:sz w:val="24"/>
          <w:szCs w:val="24"/>
          <w:highlight w:val="none"/>
          <w:lang w:val="en-US" w:eastAsia="zh-CN"/>
        </w:rPr>
        <w:t>10</w:t>
      </w:r>
      <w:r>
        <w:rPr>
          <w:rFonts w:hint="default" w:ascii="Times New Roman" w:hAnsi="Times New Roman" w:eastAsia="宋体" w:cs="Times New Roman"/>
          <w:b/>
          <w:bCs w:val="0"/>
          <w:color w:val="auto"/>
          <w:sz w:val="24"/>
          <w:szCs w:val="24"/>
          <w:highlight w:val="none"/>
          <w:lang w:val="en-US" w:eastAsia="zh-CN"/>
        </w:rPr>
        <w:t>：</w:t>
      </w:r>
      <w:r>
        <w:rPr>
          <w:rFonts w:hint="eastAsia" w:ascii="Times New Roman" w:hAnsi="Times New Roman" w:eastAsia="宋体" w:cs="Times New Roman"/>
          <w:b/>
          <w:bCs w:val="0"/>
          <w:color w:val="auto"/>
          <w:sz w:val="24"/>
          <w:szCs w:val="24"/>
          <w:highlight w:val="none"/>
          <w:lang w:val="en-US" w:eastAsia="zh-CN"/>
        </w:rPr>
        <w:t>关于公开建设项目环评文件等信息情况的说明</w:t>
      </w:r>
      <w:bookmarkEnd w:id="145"/>
    </w:p>
    <w:p>
      <w:pPr>
        <w:rPr>
          <w:rFonts w:hint="default"/>
          <w:lang w:val="en-US" w:eastAsia="zh-CN"/>
        </w:rPr>
      </w:pPr>
      <w:r>
        <w:rPr>
          <w:rFonts w:hint="default"/>
          <w:lang w:val="en-US" w:eastAsia="zh-CN"/>
        </w:rPr>
        <w:drawing>
          <wp:inline distT="0" distB="0" distL="114300" distR="114300">
            <wp:extent cx="5598160" cy="7917180"/>
            <wp:effectExtent l="0" t="0" r="2540" b="7620"/>
            <wp:docPr id="13" name="图片 13" descr="未命名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未命名2_01"/>
                    <pic:cNvPicPr>
                      <a:picLocks noChangeAspect="1"/>
                    </pic:cNvPicPr>
                  </pic:nvPicPr>
                  <pic:blipFill>
                    <a:blip r:embed="rId82"/>
                    <a:stretch>
                      <a:fillRect/>
                    </a:stretch>
                  </pic:blipFill>
                  <pic:spPr>
                    <a:xfrm>
                      <a:off x="0" y="0"/>
                      <a:ext cx="5598160" cy="7917180"/>
                    </a:xfrm>
                    <a:prstGeom prst="rect">
                      <a:avLst/>
                    </a:prstGeom>
                  </pic:spPr>
                </pic:pic>
              </a:graphicData>
            </a:graphic>
          </wp:inline>
        </w:drawing>
      </w:r>
    </w:p>
    <w:p>
      <w:pPr>
        <w:pStyle w:val="2"/>
        <w:keepNext/>
        <w:keepLines w:val="0"/>
        <w:pageBreakBefore w:val="0"/>
        <w:widowControl w:val="0"/>
        <w:numPr>
          <w:ilvl w:val="0"/>
          <w:numId w:val="0"/>
        </w:numPr>
        <w:kinsoku/>
        <w:wordWrap/>
        <w:overflowPunct w:val="0"/>
        <w:topLinePunct w:val="0"/>
        <w:autoSpaceDE/>
        <w:autoSpaceDN/>
        <w:bidi w:val="0"/>
        <w:adjustRightInd/>
        <w:snapToGrid w:val="0"/>
        <w:jc w:val="both"/>
        <w:textAlignment w:val="auto"/>
        <w:rPr>
          <w:rFonts w:hint="default" w:ascii="Times New Roman" w:hAnsi="Times New Roman" w:eastAsia="宋体" w:cs="Times New Roman"/>
          <w:b/>
          <w:bCs w:val="0"/>
          <w:color w:val="auto"/>
          <w:sz w:val="24"/>
          <w:szCs w:val="24"/>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rPr>
          <w:rFonts w:hint="default"/>
          <w:lang w:val="en-US" w:eastAsia="zh-CN"/>
        </w:rPr>
      </w:pPr>
    </w:p>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body>
</w:document>
</file>

<file path=word/customizations.xml><?xml version="1.0" encoding="utf-8"?>
<wne:tcg xmlns:r="http://schemas.openxmlformats.org/officeDocument/2006/relationships" xmlns:wne="http://schemas.microsoft.com/office/word/2006/wordml">
  <wne:keymaps>
    <wne:keymap wne:kcmPrimary="0632">
      <wne:acd wne:acdName="acd0"/>
    </wne:keymap>
    <wne:keymap wne:kcmPrimary="0633">
      <wne:acd wne:acdName="acd1"/>
    </wne:keymap>
    <wne:keymap wne:kcmPrimary="0634">
      <wne:acd wne:acdName="acd2"/>
    </wne:keymap>
    <wne:keymap wne:kcmPrimary="0635">
      <wne:acd wne:acdName="acd3"/>
    </wne:keymap>
    <wne:keymap wne:kcmPrimary="0642">
      <wne:acd wne:acdName="acd4"/>
    </wne:keymap>
    <wne:keymap wne:kcmPrimary="0647">
      <wne:acd wne:acdName="acd5"/>
    </wne:keymap>
    <wne:keymap wne:kcmPrimary="06DE">
      <wne:acd wne:acdName="acd6"/>
    </wne:keymap>
  </wne:keymaps>
  <wne:acds>
    <wne:acd wne:argValue="AQAAAAIA" wne:acdName="acd0" wne:fciIndexBasedOn="0065"/>
    <wne:acd wne:argValue="AQAAAAMA" wne:acdName="acd1" wne:fciIndexBasedOn="0065"/>
    <wne:acd wne:argValue="AQAAAAQA" wne:acdName="acd2" wne:fciIndexBasedOn="0065"/>
    <wne:acd wne:argValue="AQAAAAUA" wne:acdName="acd3" wne:fciIndexBasedOn="0065"/>
    <wne:acd wne:argValue="AgBoiDxoB2iYmA==" wne:acdName="acd4" wne:fciIndexBasedOn="0065"/>
    <wne:acd wne:argValue="AgD+VodlB2iYmA==" wne:acdName="acd5" wne:fciIndexBasedOn="0065"/>
    <wne:acd wne:argValue="AgD9lRtSpWJKVGNrh2U=" wne:acdName="acd6" wne:fciIndexBasedOn="0065"/>
  </wne:acds>
</wne:tc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10002FF" w:usb1="4000ACFF" w:usb2="00000009" w:usb3="00000000" w:csb0="2000019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方正小标宋_GBK">
    <w:altName w:val="微软雅黑"/>
    <w:panose1 w:val="02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80F3C52" w:usb2="00000016" w:usb3="00000000" w:csb0="0004001F" w:csb1="00000000"/>
  </w:font>
  <w:font w:name="仿宋">
    <w:panose1 w:val="02010609060101010101"/>
    <w:charset w:val="86"/>
    <w:family w:val="auto"/>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Cambria Math">
    <w:panose1 w:val="02040503050406030204"/>
    <w:charset w:val="00"/>
    <w:family w:val="auto"/>
    <w:pitch w:val="default"/>
    <w:sig w:usb0="E00002FF" w:usb1="420024FF" w:usb2="00000000"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Gulim">
    <w:panose1 w:val="020B0600000101010101"/>
    <w:charset w:val="81"/>
    <w:family w:val="auto"/>
    <w:pitch w:val="default"/>
    <w:sig w:usb0="B00002AF" w:usb1="69D77CFB" w:usb2="00000030" w:usb3="00000000" w:csb0="4008009F" w:csb1="DFD70000"/>
  </w:font>
  <w:font w:name="Arial">
    <w:panose1 w:val="020B0604020202020204"/>
    <w:charset w:val="00"/>
    <w:family w:val="auto"/>
    <w:pitch w:val="default"/>
    <w:sig w:usb0="E0002AFF" w:usb1="C0007843"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rPr>
                              <w:sz w:val="21"/>
                              <w:szCs w:val="22"/>
                            </w:rPr>
                          </w:pPr>
                          <w:r>
                            <w:rPr>
                              <w:rFonts w:hint="eastAsia"/>
                            </w:rPr>
                            <w:fldChar w:fldCharType="begin"/>
                          </w:r>
                          <w:r>
                            <w:rPr>
                              <w:rFonts w:hint="eastAsia"/>
                            </w:rPr>
                            <w:instrText xml:space="preserve"> PAGE  \* MERGEFORMAT </w:instrText>
                          </w:r>
                          <w:r>
                            <w:rPr>
                              <w:rFonts w:hint="eastAsia"/>
                            </w:rPr>
                            <w:fldChar w:fldCharType="separate"/>
                          </w:r>
                          <w:r>
                            <w:t>- 19 -</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s0lY7tAAAAAFAQAADwAAAAAAAAABACAAAAAiAAAA&#10;ZHJzL2Rvd25yZXYueG1sUEsBAhQAFAAAAAgAh07iQEpBx08PAgAACQQAAA4AAAAAAAAAAQAgAAAA&#10;HwEAAGRycy9lMm9Eb2MueG1sUEsFBgAAAAAGAAYAWQEAAKAFAAAAAA==&#10;">
              <v:fill on="f" focussize="0,0"/>
              <v:stroke on="f" weight="0.5pt"/>
              <v:imagedata o:title=""/>
              <o:lock v:ext="edit" aspectratio="f"/>
              <v:textbox inset="0mm,0mm,0mm,0mm" style="mso-fit-shape-to-text:t;">
                <w:txbxContent>
                  <w:p>
                    <w:pPr>
                      <w:pStyle w:val="20"/>
                      <w:rPr>
                        <w:sz w:val="21"/>
                        <w:szCs w:val="22"/>
                      </w:rPr>
                    </w:pPr>
                    <w:r>
                      <w:rPr>
                        <w:rFonts w:hint="eastAsia"/>
                      </w:rPr>
                      <w:fldChar w:fldCharType="begin"/>
                    </w:r>
                    <w:r>
                      <w:rPr>
                        <w:rFonts w:hint="eastAsia"/>
                      </w:rPr>
                      <w:instrText xml:space="preserve"> PAGE  \* MERGEFORMAT </w:instrText>
                    </w:r>
                    <w:r>
                      <w:rPr>
                        <w:rFonts w:hint="eastAsia"/>
                      </w:rPr>
                      <w:fldChar w:fldCharType="separate"/>
                    </w:r>
                    <w:r>
                      <w:t>- 19 -</w:t>
                    </w:r>
                    <w:r>
                      <w:rPr>
                        <w:rFonts w:hint="eastAsia"/>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rPr>
                              <w:rFonts w:hint="eastAsia"/>
                            </w:rPr>
                            <w:fldChar w:fldCharType="begin"/>
                          </w:r>
                          <w:r>
                            <w:rPr>
                              <w:rFonts w:hint="eastAsia"/>
                            </w:rPr>
                            <w:instrText xml:space="preserve"> PAGE  \* MERGEFORMAT </w:instrText>
                          </w:r>
                          <w:r>
                            <w:rPr>
                              <w:rFonts w:hint="eastAsia"/>
                            </w:rPr>
                            <w:fldChar w:fldCharType="separate"/>
                          </w:r>
                          <w:r>
                            <w:t>- 41 -</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Azyo1RECAAAJBAAADgAAAAAAAAABACAA&#10;AAAfAQAAZHJzL2Uyb0RvYy54bWxQSwUGAAAAAAYABgBZAQAAogUAAAAA&#10;">
              <v:fill on="f" focussize="0,0"/>
              <v:stroke on="f" weight="0.5pt"/>
              <v:imagedata o:title=""/>
              <o:lock v:ext="edit" aspectratio="f"/>
              <v:textbox inset="0mm,0mm,0mm,0mm" style="mso-fit-shape-to-text:t;">
                <w:txbxContent>
                  <w:p>
                    <w:pPr>
                      <w:pStyle w:val="20"/>
                    </w:pPr>
                    <w:r>
                      <w:rPr>
                        <w:rFonts w:hint="eastAsia"/>
                      </w:rPr>
                      <w:fldChar w:fldCharType="begin"/>
                    </w:r>
                    <w:r>
                      <w:rPr>
                        <w:rFonts w:hint="eastAsia"/>
                      </w:rPr>
                      <w:instrText xml:space="preserve"> PAGE  \* MERGEFORMAT </w:instrText>
                    </w:r>
                    <w:r>
                      <w:rPr>
                        <w:rFonts w:hint="eastAsia"/>
                      </w:rPr>
                      <w:fldChar w:fldCharType="separate"/>
                    </w:r>
                    <w:r>
                      <w:t>- 41 -</w:t>
                    </w:r>
                    <w:r>
                      <w:rPr>
                        <w:rFonts w:hint="eastAsia"/>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rPr>
                              <w:rFonts w:hint="eastAsia"/>
                            </w:rPr>
                            <w:fldChar w:fldCharType="begin"/>
                          </w:r>
                          <w:r>
                            <w:rPr>
                              <w:rFonts w:hint="eastAsia"/>
                            </w:rPr>
                            <w:instrText xml:space="preserve"> PAGE  \* MERGEFORMAT </w:instrText>
                          </w:r>
                          <w:r>
                            <w:rPr>
                              <w:rFonts w:hint="eastAsia"/>
                            </w:rPr>
                            <w:fldChar w:fldCharType="separate"/>
                          </w:r>
                          <w:r>
                            <w:t>- 57 -</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NJWO7QAAAABQEAAA8AAAAAAAAAAQAgAAAAIgAA&#10;AGRycy9kb3ducmV2LnhtbFBLAQIUABQAAAAIAIdO4kD76l0VEAIAAAkEAAAOAAAAAAAAAAEAIAAA&#10;AB8BAABkcnMvZTJvRG9jLnhtbFBLBQYAAAAABgAGAFkBAAChBQAAAAA=&#10;">
              <v:fill on="f" focussize="0,0"/>
              <v:stroke on="f" weight="0.5pt"/>
              <v:imagedata o:title=""/>
              <o:lock v:ext="edit" aspectratio="f"/>
              <v:textbox inset="0mm,0mm,0mm,0mm" style="mso-fit-shape-to-text:t;">
                <w:txbxContent>
                  <w:p>
                    <w:pPr>
                      <w:pStyle w:val="20"/>
                    </w:pPr>
                    <w:r>
                      <w:rPr>
                        <w:rFonts w:hint="eastAsia"/>
                      </w:rPr>
                      <w:fldChar w:fldCharType="begin"/>
                    </w:r>
                    <w:r>
                      <w:rPr>
                        <w:rFonts w:hint="eastAsia"/>
                      </w:rPr>
                      <w:instrText xml:space="preserve"> PAGE  \* MERGEFORMAT </w:instrText>
                    </w:r>
                    <w:r>
                      <w:rPr>
                        <w:rFonts w:hint="eastAsia"/>
                      </w:rPr>
                      <w:fldChar w:fldCharType="separate"/>
                    </w:r>
                    <w:r>
                      <w:t>- 57 -</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422"/>
        <w:tab w:val="right" w:pos="8306"/>
      </w:tabs>
      <w:ind w:firstLine="480"/>
    </w:pPr>
    <w:r>
      <w:rPr>
        <w:sz w:val="21"/>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fldChar w:fldCharType="begin"/>
                          </w:r>
                          <w:r>
                            <w:instrText xml:space="preserve"> PAGE  \* MERGEFORMAT </w:instrText>
                          </w:r>
                          <w:r>
                            <w:fldChar w:fldCharType="separate"/>
                          </w:r>
                          <w:r>
                            <w:t>- 103 -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KhkOcVAgAAFQQAAA4AAABkcnMvZTJvRG9jLnhtbK1Ty47TMBTdI/EP&#10;lvc0aWFGVd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MKhkOcVAgAAFQQAAA4AAAAAAAAA&#10;AQAgAAAAHwEAAGRycy9lMm9Eb2MueG1sUEsFBgAAAAAGAAYAWQEAAKYFA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- 103 -</w:t>
                    </w:r>
                    <w:r>
                      <w:fldChar w:fldCharType="end"/>
                    </w:r>
                  </w:p>
                </w:txbxContent>
              </v:textbox>
            </v:shape>
          </w:pict>
        </mc:Fallback>
      </mc:AlternateContent>
    </w:r>
    <w:r>
      <w:rPr>
        <w:rFonts w:hint="eastAsia"/>
        <w:lang w:eastAsia="zh-CN"/>
      </w:rPr>
      <w:tab/>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83EFAD0"/>
    <w:multiLevelType w:val="multilevel"/>
    <w:tmpl w:val="883EFAD0"/>
    <w:lvl w:ilvl="0" w:tentative="0">
      <w:start w:val="1"/>
      <w:numFmt w:val="chineseCounting"/>
      <w:suff w:val="nothing"/>
      <w:lvlText w:val="%1、"/>
      <w:lvlJc w:val="left"/>
      <w:pPr>
        <w:tabs>
          <w:tab w:val="left" w:pos="420"/>
        </w:tabs>
        <w:ind w:left="358" w:firstLine="0"/>
      </w:pPr>
      <w:rPr>
        <w:rFonts w:hint="eastAsia" w:ascii="宋体" w:hAnsi="宋体" w:eastAsia="宋体" w:cs="宋体"/>
      </w:rPr>
    </w:lvl>
    <w:lvl w:ilvl="1" w:tentative="0">
      <w:start w:val="1"/>
      <w:numFmt w:val="decimal"/>
      <w:isLgl/>
      <w:suff w:val="space"/>
      <w:lvlText w:val="%1.%2"/>
      <w:lvlJc w:val="left"/>
      <w:pPr>
        <w:tabs>
          <w:tab w:val="left" w:pos="420"/>
        </w:tabs>
        <w:ind w:left="358" w:firstLine="0"/>
      </w:pPr>
      <w:rPr>
        <w:rFonts w:hint="default" w:ascii="Times New Roman" w:hAnsi="Times New Roman" w:eastAsia="宋体" w:cs="Times New Roman"/>
      </w:rPr>
    </w:lvl>
    <w:lvl w:ilvl="2" w:tentative="0">
      <w:start w:val="1"/>
      <w:numFmt w:val="decimal"/>
      <w:isLgl/>
      <w:suff w:val="space"/>
      <w:lvlText w:val="%1.%2.%3"/>
      <w:lvlJc w:val="left"/>
      <w:pPr>
        <w:tabs>
          <w:tab w:val="left" w:pos="420"/>
        </w:tabs>
        <w:ind w:left="358" w:firstLine="0"/>
      </w:pPr>
      <w:rPr>
        <w:rFonts w:hint="default" w:ascii="Times New Roman" w:hAnsi="Times New Roman" w:eastAsia="宋体" w:cs="Times New Roman"/>
        <w:sz w:val="24"/>
        <w:szCs w:val="24"/>
      </w:rPr>
    </w:lvl>
    <w:lvl w:ilvl="3" w:tentative="0">
      <w:start w:val="1"/>
      <w:numFmt w:val="decimal"/>
      <w:isLgl/>
      <w:suff w:val="space"/>
      <w:lvlText w:val="%1.%2.%3.%4"/>
      <w:lvlJc w:val="left"/>
      <w:pPr>
        <w:tabs>
          <w:tab w:val="left" w:pos="420"/>
        </w:tabs>
        <w:ind w:left="358" w:firstLine="0"/>
      </w:pPr>
      <w:rPr>
        <w:rFonts w:hint="eastAsia" w:ascii="Times New Roman" w:hAnsi="Times New Roman" w:eastAsia="宋体" w:cs="宋体"/>
        <w:sz w:val="24"/>
      </w:rPr>
    </w:lvl>
    <w:lvl w:ilvl="4" w:tentative="0">
      <w:start w:val="1"/>
      <w:numFmt w:val="decimal"/>
      <w:lvlText w:val="%1.%2.%3.%4.%5."/>
      <w:lvlJc w:val="left"/>
      <w:pPr>
        <w:ind w:left="1366" w:hanging="1008"/>
      </w:pPr>
      <w:rPr>
        <w:rFonts w:hint="eastAsia"/>
      </w:rPr>
    </w:lvl>
    <w:lvl w:ilvl="5" w:tentative="0">
      <w:start w:val="1"/>
      <w:numFmt w:val="decimal"/>
      <w:lvlText w:val="%1.%2.%3.%4.%5.%6."/>
      <w:lvlJc w:val="left"/>
      <w:pPr>
        <w:ind w:left="1509" w:hanging="1151"/>
      </w:pPr>
      <w:rPr>
        <w:rFonts w:hint="eastAsia"/>
      </w:rPr>
    </w:lvl>
    <w:lvl w:ilvl="6" w:tentative="0">
      <w:start w:val="1"/>
      <w:numFmt w:val="decimal"/>
      <w:lvlText w:val="%1.%2.%3.%4.%5.%6.%7."/>
      <w:lvlJc w:val="left"/>
      <w:pPr>
        <w:ind w:left="1654" w:hanging="1296"/>
      </w:pPr>
      <w:rPr>
        <w:rFonts w:hint="eastAsia"/>
      </w:rPr>
    </w:lvl>
    <w:lvl w:ilvl="7" w:tentative="0">
      <w:start w:val="1"/>
      <w:numFmt w:val="decimal"/>
      <w:pStyle w:val="9"/>
      <w:lvlText w:val="%1.%2.%3.%4.%5.%6.%7.%8."/>
      <w:lvlJc w:val="left"/>
      <w:pPr>
        <w:ind w:left="1798" w:hanging="1440"/>
      </w:pPr>
      <w:rPr>
        <w:rFonts w:hint="eastAsia"/>
      </w:rPr>
    </w:lvl>
    <w:lvl w:ilvl="8" w:tentative="0">
      <w:start w:val="1"/>
      <w:numFmt w:val="decimal"/>
      <w:lvlText w:val="%1.%2.%3.%4.%5.%6.%7.%8.%9."/>
      <w:lvlJc w:val="left"/>
      <w:pPr>
        <w:ind w:left="1941" w:hanging="1583"/>
      </w:pPr>
      <w:rPr>
        <w:rFonts w:hint="eastAsia"/>
      </w:rPr>
    </w:lvl>
  </w:abstractNum>
  <w:abstractNum w:abstractNumId="1">
    <w:nsid w:val="26F55DDD"/>
    <w:multiLevelType w:val="multilevel"/>
    <w:tmpl w:val="26F55DDD"/>
    <w:lvl w:ilvl="0" w:tentative="0">
      <w:start w:val="1"/>
      <w:numFmt w:val="chineseCounting"/>
      <w:suff w:val="nothing"/>
      <w:lvlText w:val="%1、"/>
      <w:lvlJc w:val="left"/>
      <w:pPr>
        <w:tabs>
          <w:tab w:val="left" w:pos="420"/>
        </w:tabs>
        <w:ind w:left="358" w:firstLine="0"/>
      </w:pPr>
      <w:rPr>
        <w:rFonts w:hint="eastAsia" w:ascii="宋体" w:hAnsi="宋体" w:eastAsia="宋体" w:cs="宋体"/>
      </w:rPr>
    </w:lvl>
    <w:lvl w:ilvl="1" w:tentative="0">
      <w:start w:val="1"/>
      <w:numFmt w:val="decimal"/>
      <w:isLgl/>
      <w:suff w:val="space"/>
      <w:lvlText w:val="%1.%2"/>
      <w:lvlJc w:val="left"/>
      <w:pPr>
        <w:tabs>
          <w:tab w:val="left" w:pos="0"/>
        </w:tabs>
        <w:ind w:left="358" w:firstLine="0"/>
      </w:pPr>
      <w:rPr>
        <w:rFonts w:hint="eastAsia" w:ascii="Times New Roman" w:hAnsi="Times New Roman" w:eastAsia="宋体" w:cs="Times New Roman"/>
      </w:rPr>
    </w:lvl>
    <w:lvl w:ilvl="2" w:tentative="0">
      <w:start w:val="1"/>
      <w:numFmt w:val="decimal"/>
      <w:isLgl/>
      <w:suff w:val="space"/>
      <w:lvlText w:val="%1.%2.%3"/>
      <w:lvlJc w:val="left"/>
      <w:pPr>
        <w:tabs>
          <w:tab w:val="left" w:pos="420"/>
        </w:tabs>
        <w:ind w:left="358" w:firstLine="0"/>
      </w:pPr>
      <w:rPr>
        <w:rFonts w:hint="eastAsia" w:ascii="Times New Roman" w:hAnsi="Times New Roman" w:eastAsia="宋体" w:cs="Times New Roman"/>
        <w:sz w:val="24"/>
        <w:szCs w:val="24"/>
      </w:rPr>
    </w:lvl>
    <w:lvl w:ilvl="3" w:tentative="0">
      <w:start w:val="1"/>
      <w:numFmt w:val="decimal"/>
      <w:isLgl/>
      <w:suff w:val="space"/>
      <w:lvlText w:val="%1.%2.%3.%4"/>
      <w:lvlJc w:val="left"/>
      <w:pPr>
        <w:tabs>
          <w:tab w:val="left" w:pos="420"/>
        </w:tabs>
        <w:ind w:left="358" w:firstLine="0"/>
      </w:pPr>
      <w:rPr>
        <w:rFonts w:hint="eastAsia" w:ascii="Times New Roman" w:hAnsi="Times New Roman" w:eastAsia="宋体" w:cs="宋体"/>
        <w:sz w:val="24"/>
      </w:rPr>
    </w:lvl>
    <w:lvl w:ilvl="4" w:tentative="0">
      <w:start w:val="1"/>
      <w:numFmt w:val="decimal"/>
      <w:lvlText w:val="%1.%2.%3.%4.%5."/>
      <w:lvlJc w:val="left"/>
      <w:pPr>
        <w:ind w:left="1366" w:hanging="1008"/>
      </w:pPr>
      <w:rPr>
        <w:rFonts w:hint="eastAsia"/>
      </w:rPr>
    </w:lvl>
    <w:lvl w:ilvl="5" w:tentative="0">
      <w:start w:val="1"/>
      <w:numFmt w:val="decimal"/>
      <w:lvlText w:val="%1.%2.%3.%4.%5.%6."/>
      <w:lvlJc w:val="left"/>
      <w:pPr>
        <w:ind w:left="1509" w:hanging="1151"/>
      </w:pPr>
      <w:rPr>
        <w:rFonts w:hint="eastAsia"/>
      </w:rPr>
    </w:lvl>
    <w:lvl w:ilvl="6" w:tentative="0">
      <w:start w:val="1"/>
      <w:numFmt w:val="decimal"/>
      <w:lvlText w:val="%1.%2.%3.%4.%5.%6.%7."/>
      <w:lvlJc w:val="left"/>
      <w:pPr>
        <w:ind w:left="1654" w:hanging="1296"/>
      </w:pPr>
      <w:rPr>
        <w:rFonts w:hint="eastAsia"/>
      </w:rPr>
    </w:lvl>
    <w:lvl w:ilvl="7" w:tentative="0">
      <w:start w:val="1"/>
      <w:numFmt w:val="decimal"/>
      <w:suff w:val="space"/>
      <w:lvlText w:val="表 %1.%2-%8."/>
      <w:lvlJc w:val="left"/>
      <w:pPr>
        <w:tabs>
          <w:tab w:val="left" w:pos="420"/>
        </w:tabs>
        <w:ind w:left="1798" w:hanging="1440"/>
      </w:pPr>
      <w:rPr>
        <w:rFonts w:hint="eastAsia" w:ascii="宋体" w:hAnsi="宋体" w:eastAsia="宋体" w:cs="宋体"/>
      </w:rPr>
    </w:lvl>
    <w:lvl w:ilvl="8" w:tentative="0">
      <w:start w:val="1"/>
      <w:numFmt w:val="decimal"/>
      <w:pStyle w:val="10"/>
      <w:lvlText w:val="%1.%2.%3.%4.%5.%6.%7.%8.%9."/>
      <w:lvlJc w:val="left"/>
      <w:pPr>
        <w:ind w:left="1941" w:hanging="1583"/>
      </w:pPr>
      <w:rPr>
        <w:rFonts w:hint="eastAsia"/>
      </w:rPr>
    </w:lvl>
  </w:abstractNum>
  <w:abstractNum w:abstractNumId="2">
    <w:nsid w:val="2AA33BED"/>
    <w:multiLevelType w:val="multilevel"/>
    <w:tmpl w:val="2AA33BED"/>
    <w:lvl w:ilvl="0" w:tentative="0">
      <w:start w:val="1"/>
      <w:numFmt w:val="chineseCounting"/>
      <w:suff w:val="nothing"/>
      <w:lvlText w:val="%1、"/>
      <w:lvlJc w:val="left"/>
      <w:pPr>
        <w:tabs>
          <w:tab w:val="left" w:pos="420"/>
        </w:tabs>
        <w:ind w:left="2730" w:leftChars="0" w:firstLine="0" w:firstLineChars="0"/>
      </w:pPr>
      <w:rPr>
        <w:rFonts w:hint="eastAsia" w:ascii="宋体" w:hAnsi="宋体" w:eastAsia="宋体" w:cs="宋体"/>
      </w:rPr>
    </w:lvl>
    <w:lvl w:ilvl="1" w:tentative="0">
      <w:start w:val="1"/>
      <w:numFmt w:val="decimal"/>
      <w:isLgl/>
      <w:suff w:val="space"/>
      <w:lvlText w:val="%1.%2"/>
      <w:lvlJc w:val="left"/>
      <w:pPr>
        <w:tabs>
          <w:tab w:val="left" w:pos="420"/>
        </w:tabs>
        <w:ind w:left="0" w:leftChars="0" w:firstLine="0" w:firstLineChars="0"/>
      </w:pPr>
      <w:rPr>
        <w:rFonts w:hint="eastAsia" w:ascii="Times New Roman" w:hAnsi="Times New Roman" w:eastAsia="宋体" w:cs="Times New Roman"/>
      </w:rPr>
    </w:lvl>
    <w:lvl w:ilvl="2" w:tentative="0">
      <w:start w:val="1"/>
      <w:numFmt w:val="decimal"/>
      <w:isLgl/>
      <w:suff w:val="space"/>
      <w:lvlText w:val="%1.%2.%3"/>
      <w:lvlJc w:val="left"/>
      <w:pPr>
        <w:tabs>
          <w:tab w:val="left" w:pos="420"/>
        </w:tabs>
        <w:ind w:left="0" w:leftChars="0" w:firstLine="0" w:firstLineChars="0"/>
      </w:pPr>
      <w:rPr>
        <w:rFonts w:hint="eastAsia" w:ascii="Times New Roman" w:hAnsi="Times New Roman" w:eastAsia="宋体" w:cs="Times New Roman"/>
        <w:sz w:val="24"/>
        <w:szCs w:val="24"/>
      </w:rPr>
    </w:lvl>
    <w:lvl w:ilvl="3" w:tentative="0">
      <w:start w:val="1"/>
      <w:numFmt w:val="decimal"/>
      <w:isLgl/>
      <w:suff w:val="space"/>
      <w:lvlText w:val="%1.%2.%3.%4"/>
      <w:lvlJc w:val="left"/>
      <w:pPr>
        <w:tabs>
          <w:tab w:val="left" w:pos="420"/>
        </w:tabs>
        <w:ind w:left="0" w:leftChars="0" w:firstLine="0" w:firstLineChars="0"/>
      </w:pPr>
      <w:rPr>
        <w:rFonts w:hint="eastAsia" w:ascii="宋体" w:hAnsi="宋体" w:eastAsia="宋体" w:cs="宋体"/>
        <w:sz w:val="24"/>
      </w:rPr>
    </w:lvl>
    <w:lvl w:ilvl="4" w:tentative="0">
      <w:start w:val="1"/>
      <w:numFmt w:val="decimal"/>
      <w:pStyle w:val="6"/>
      <w:lvlText w:val="%1.%2.%3.%4.%5."/>
      <w:lvlJc w:val="left"/>
      <w:pPr>
        <w:ind w:left="1366" w:hanging="1008"/>
      </w:pPr>
      <w:rPr>
        <w:rFonts w:hint="eastAsia" w:ascii="宋体" w:hAnsi="宋体" w:eastAsia="宋体" w:cs="宋体"/>
      </w:rPr>
    </w:lvl>
    <w:lvl w:ilvl="5" w:tentative="0">
      <w:start w:val="1"/>
      <w:numFmt w:val="decimal"/>
      <w:pStyle w:val="7"/>
      <w:lvlText w:val="%1.%2.%3.%4.%5.%6."/>
      <w:lvlJc w:val="left"/>
      <w:pPr>
        <w:ind w:left="1509" w:hanging="1151"/>
      </w:pPr>
      <w:rPr>
        <w:rFonts w:hint="eastAsia" w:ascii="宋体" w:hAnsi="宋体" w:eastAsia="宋体" w:cs="宋体"/>
      </w:rPr>
    </w:lvl>
    <w:lvl w:ilvl="6" w:tentative="0">
      <w:start w:val="1"/>
      <w:numFmt w:val="decimal"/>
      <w:pStyle w:val="8"/>
      <w:lvlText w:val="%1.%2.%3.%4.%5.%6.%7."/>
      <w:lvlJc w:val="left"/>
      <w:pPr>
        <w:tabs>
          <w:tab w:val="left" w:pos="420"/>
        </w:tabs>
        <w:ind w:left="1654" w:hanging="1296"/>
      </w:pPr>
      <w:rPr>
        <w:rFonts w:hint="eastAsia" w:ascii="宋体" w:hAnsi="宋体" w:eastAsia="宋体" w:cs="宋体"/>
      </w:rPr>
    </w:lvl>
    <w:lvl w:ilvl="7" w:tentative="0">
      <w:start w:val="1"/>
      <w:numFmt w:val="decimal"/>
      <w:isLgl/>
      <w:suff w:val="space"/>
      <w:lvlText w:val="表 %1.%2-%8"/>
      <w:lvlJc w:val="left"/>
      <w:pPr>
        <w:tabs>
          <w:tab w:val="left" w:pos="0"/>
        </w:tabs>
        <w:ind w:left="0" w:leftChars="0" w:firstLine="0" w:firstLineChars="0"/>
      </w:pPr>
      <w:rPr>
        <w:rFonts w:hint="default" w:ascii="Times New Roman" w:hAnsi="Times New Roman" w:eastAsia="宋体" w:cs="Times New Roman"/>
        <w:sz w:val="24"/>
        <w:szCs w:val="24"/>
      </w:rPr>
    </w:lvl>
    <w:lvl w:ilvl="8" w:tentative="0">
      <w:start w:val="1"/>
      <w:numFmt w:val="decimal"/>
      <w:isLgl/>
      <w:suff w:val="space"/>
      <w:lvlText w:val="图 %1.%2-%9"/>
      <w:lvlJc w:val="left"/>
      <w:pPr>
        <w:tabs>
          <w:tab w:val="left" w:pos="420"/>
        </w:tabs>
        <w:ind w:left="0" w:leftChars="0" w:firstLine="0" w:firstLineChars="0"/>
      </w:pPr>
      <w:rPr>
        <w:rFonts w:hint="default" w:ascii="Times New Roman" w:hAnsi="Times New Roman" w:eastAsia="宋体" w:cs="Times New Roman"/>
      </w:rPr>
    </w:lvl>
  </w:abstractNum>
  <w:abstractNum w:abstractNumId="3">
    <w:nsid w:val="590138B4"/>
    <w:multiLevelType w:val="singleLevel"/>
    <w:tmpl w:val="590138B4"/>
    <w:lvl w:ilvl="0" w:tentative="0">
      <w:start w:val="2"/>
      <w:numFmt w:val="decimal"/>
      <w:suff w:val="nothing"/>
      <w:lvlText w:val="（%1）"/>
      <w:lvlJc w:val="left"/>
    </w:lvl>
  </w:abstractNum>
  <w:abstractNum w:abstractNumId="4">
    <w:nsid w:val="5BE7DFC8"/>
    <w:multiLevelType w:val="singleLevel"/>
    <w:tmpl w:val="5BE7DFC8"/>
    <w:lvl w:ilvl="0" w:tentative="0">
      <w:start w:val="1"/>
      <w:numFmt w:val="decimal"/>
      <w:suff w:val="nothing"/>
      <w:lvlText w:val="（%1）"/>
      <w:lvlJc w:val="left"/>
    </w:lvl>
  </w:abstractNum>
  <w:abstractNum w:abstractNumId="5">
    <w:nsid w:val="6D196F0D"/>
    <w:multiLevelType w:val="multilevel"/>
    <w:tmpl w:val="6D196F0D"/>
    <w:lvl w:ilvl="0" w:tentative="0">
      <w:start w:val="1"/>
      <w:numFmt w:val="chineseCounting"/>
      <w:pStyle w:val="2"/>
      <w:suff w:val="nothing"/>
      <w:lvlText w:val="%1、"/>
      <w:lvlJc w:val="left"/>
      <w:pPr>
        <w:tabs>
          <w:tab w:val="left" w:pos="0"/>
        </w:tabs>
        <w:ind w:left="432" w:hanging="432"/>
      </w:pPr>
      <w:rPr>
        <w:rFonts w:hint="eastAsia" w:ascii="宋体" w:hAnsi="宋体" w:eastAsia="宋体" w:cs="宋体"/>
        <w:b/>
        <w:bCs/>
        <w:color w:val="auto"/>
        <w:sz w:val="32"/>
        <w:szCs w:val="32"/>
      </w:rPr>
    </w:lvl>
    <w:lvl w:ilvl="1" w:tentative="0">
      <w:start w:val="1"/>
      <w:numFmt w:val="decimal"/>
      <w:pStyle w:val="3"/>
      <w:isLgl/>
      <w:suff w:val="space"/>
      <w:lvlText w:val="%1.%2"/>
      <w:lvlJc w:val="left"/>
      <w:pPr>
        <w:tabs>
          <w:tab w:val="left" w:pos="420"/>
        </w:tabs>
        <w:ind w:left="0" w:firstLine="0"/>
      </w:pPr>
      <w:rPr>
        <w:rFonts w:hint="default" w:ascii="Times New Roman" w:hAnsi="Times New Roman" w:eastAsia="宋体" w:cs="Times New Roman"/>
        <w:b/>
        <w:bCs/>
        <w:sz w:val="30"/>
        <w:szCs w:val="30"/>
      </w:rPr>
    </w:lvl>
    <w:lvl w:ilvl="2" w:tentative="0">
      <w:start w:val="1"/>
      <w:numFmt w:val="decimal"/>
      <w:pStyle w:val="4"/>
      <w:isLgl/>
      <w:suff w:val="space"/>
      <w:lvlText w:val="%1.%2.%3"/>
      <w:lvlJc w:val="left"/>
      <w:pPr>
        <w:tabs>
          <w:tab w:val="left" w:pos="0"/>
        </w:tabs>
        <w:ind w:left="720" w:hanging="720"/>
      </w:pPr>
      <w:rPr>
        <w:rFonts w:hint="default" w:ascii="Times New Roman" w:hAnsi="Times New Roman" w:eastAsia="宋体" w:cs="Times New Roman"/>
        <w:b/>
        <w:bCs/>
        <w:sz w:val="24"/>
        <w:szCs w:val="28"/>
      </w:rPr>
    </w:lvl>
    <w:lvl w:ilvl="3" w:tentative="0">
      <w:start w:val="1"/>
      <w:numFmt w:val="decimal"/>
      <w:pStyle w:val="5"/>
      <w:isLgl/>
      <w:suff w:val="space"/>
      <w:lvlText w:val="%1.%2.%3.%4"/>
      <w:lvlJc w:val="left"/>
      <w:pPr>
        <w:tabs>
          <w:tab w:val="left" w:pos="0"/>
        </w:tabs>
        <w:ind w:left="864" w:hanging="864"/>
      </w:pPr>
      <w:rPr>
        <w:rFonts w:hint="default" w:ascii="Times New Roman" w:hAnsi="Times New Roman" w:eastAsia="宋体" w:cs="Times New Roman"/>
        <w:sz w:val="24"/>
        <w:szCs w:val="24"/>
      </w:rPr>
    </w:lvl>
    <w:lvl w:ilvl="4" w:tentative="0">
      <w:start w:val="1"/>
      <w:numFmt w:val="decimal"/>
      <w:isLgl/>
      <w:suff w:val="nothing"/>
      <w:lvlText w:val="   （%5）"/>
      <w:lvlJc w:val="left"/>
      <w:pPr>
        <w:tabs>
          <w:tab w:val="left" w:pos="420"/>
        </w:tabs>
        <w:ind w:left="0" w:firstLine="0"/>
      </w:pPr>
      <w:rPr>
        <w:rFonts w:hint="eastAsia" w:ascii="宋体" w:hAnsi="宋体" w:eastAsia="宋体" w:cs="宋体"/>
        <w:sz w:val="24"/>
        <w:szCs w:val="24"/>
      </w:rPr>
    </w:lvl>
    <w:lvl w:ilvl="5" w:tentative="0">
      <w:start w:val="1"/>
      <w:numFmt w:val="decimalEnclosedCircleChinese"/>
      <w:suff w:val="nothing"/>
      <w:lvlText w:val="%6"/>
      <w:lvlJc w:val="left"/>
      <w:pPr>
        <w:tabs>
          <w:tab w:val="left" w:pos="420"/>
        </w:tabs>
        <w:ind w:left="1151" w:hanging="1151"/>
      </w:pPr>
      <w:rPr>
        <w:rFonts w:hint="eastAsia" w:ascii="宋体" w:hAnsi="宋体" w:eastAsia="宋体" w:cs="宋体"/>
      </w:rPr>
    </w:lvl>
    <w:lvl w:ilvl="6" w:tentative="0">
      <w:start w:val="1"/>
      <w:numFmt w:val="upperLetter"/>
      <w:lvlText w:val="%7."/>
      <w:lvlJc w:val="center"/>
      <w:pPr>
        <w:tabs>
          <w:tab w:val="left" w:pos="0"/>
        </w:tabs>
        <w:ind w:left="0" w:leftChars="0" w:firstLine="0" w:firstLineChars="0"/>
      </w:pPr>
      <w:rPr>
        <w:rFonts w:hint="eastAsia" w:ascii="宋体" w:hAnsi="宋体" w:eastAsia="宋体" w:cs="宋体"/>
      </w:rPr>
    </w:lvl>
    <w:lvl w:ilvl="7" w:tentative="0">
      <w:start w:val="1"/>
      <w:numFmt w:val="decimal"/>
      <w:lvlRestart w:val="2"/>
      <w:pStyle w:val="35"/>
      <w:isLgl/>
      <w:suff w:val="space"/>
      <w:lvlText w:val="表%1.%2-%8"/>
      <w:lvlJc w:val="center"/>
      <w:pPr>
        <w:tabs>
          <w:tab w:val="left" w:pos="0"/>
        </w:tabs>
        <w:ind w:left="0" w:leftChars="0" w:firstLine="0" w:firstLineChars="0"/>
      </w:pPr>
      <w:rPr>
        <w:rFonts w:hint="default" w:ascii="Times New Roman" w:hAnsi="Times New Roman" w:eastAsia="宋体" w:cs="宋体"/>
        <w:color w:val="auto"/>
      </w:rPr>
    </w:lvl>
    <w:lvl w:ilvl="8" w:tentative="0">
      <w:start w:val="1"/>
      <w:numFmt w:val="decimal"/>
      <w:lvlRestart w:val="2"/>
      <w:pStyle w:val="38"/>
      <w:isLgl/>
      <w:suff w:val="space"/>
      <w:lvlText w:val="图%1.%2-%9"/>
      <w:lvlJc w:val="left"/>
      <w:pPr>
        <w:tabs>
          <w:tab w:val="left" w:pos="420"/>
        </w:tabs>
        <w:ind w:left="1583" w:hanging="1583"/>
      </w:pPr>
      <w:rPr>
        <w:rFonts w:hint="default" w:ascii="Times New Roman" w:hAnsi="Times New Roman" w:eastAsia="宋体" w:cs="宋体"/>
        <w:color w:val="auto"/>
      </w:rPr>
    </w:lvl>
  </w:abstractNum>
  <w:num w:numId="1">
    <w:abstractNumId w:val="5"/>
  </w:num>
  <w:num w:numId="2">
    <w:abstractNumId w:val="2"/>
  </w:num>
  <w:num w:numId="3">
    <w:abstractNumId w:val="0"/>
  </w:num>
  <w:num w:numId="4">
    <w:abstractNumId w:val="1"/>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val="0"/>
  <w:bordersDoNotSurroundFooter w:val="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QzMGU0MTUzOGViODMwMTI1ZTlkOTRkMjgwN2M3NzgifQ=="/>
  </w:docVars>
  <w:rsids>
    <w:rsidRoot w:val="00172A27"/>
    <w:rsid w:val="000060B3"/>
    <w:rsid w:val="0004364B"/>
    <w:rsid w:val="00061B1F"/>
    <w:rsid w:val="0006522C"/>
    <w:rsid w:val="000733C4"/>
    <w:rsid w:val="00074783"/>
    <w:rsid w:val="0008070B"/>
    <w:rsid w:val="000810AC"/>
    <w:rsid w:val="00081A02"/>
    <w:rsid w:val="00082231"/>
    <w:rsid w:val="00092D38"/>
    <w:rsid w:val="0009377B"/>
    <w:rsid w:val="00097EBF"/>
    <w:rsid w:val="000A20C9"/>
    <w:rsid w:val="000B058F"/>
    <w:rsid w:val="000B4467"/>
    <w:rsid w:val="000B4DB9"/>
    <w:rsid w:val="000C09AC"/>
    <w:rsid w:val="000C767F"/>
    <w:rsid w:val="000D5A44"/>
    <w:rsid w:val="000E3ED2"/>
    <w:rsid w:val="000E7B05"/>
    <w:rsid w:val="000F7803"/>
    <w:rsid w:val="00106168"/>
    <w:rsid w:val="00125DDB"/>
    <w:rsid w:val="00126BA0"/>
    <w:rsid w:val="001310AB"/>
    <w:rsid w:val="00131F42"/>
    <w:rsid w:val="001357F1"/>
    <w:rsid w:val="00140FA8"/>
    <w:rsid w:val="00142FEB"/>
    <w:rsid w:val="00143A2D"/>
    <w:rsid w:val="00145A41"/>
    <w:rsid w:val="00151675"/>
    <w:rsid w:val="001556F5"/>
    <w:rsid w:val="00157435"/>
    <w:rsid w:val="0017504D"/>
    <w:rsid w:val="0017671A"/>
    <w:rsid w:val="00177422"/>
    <w:rsid w:val="00184590"/>
    <w:rsid w:val="001870D1"/>
    <w:rsid w:val="0018781E"/>
    <w:rsid w:val="0019262D"/>
    <w:rsid w:val="001A1B35"/>
    <w:rsid w:val="001A4245"/>
    <w:rsid w:val="001A48A2"/>
    <w:rsid w:val="001A6F61"/>
    <w:rsid w:val="001B72B8"/>
    <w:rsid w:val="001C37F0"/>
    <w:rsid w:val="001C69B3"/>
    <w:rsid w:val="001D5595"/>
    <w:rsid w:val="001D7874"/>
    <w:rsid w:val="001D7F22"/>
    <w:rsid w:val="001F0F17"/>
    <w:rsid w:val="001F3347"/>
    <w:rsid w:val="001F69E4"/>
    <w:rsid w:val="00207C4C"/>
    <w:rsid w:val="002125B4"/>
    <w:rsid w:val="002155B8"/>
    <w:rsid w:val="0021789E"/>
    <w:rsid w:val="00221CE6"/>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A790B"/>
    <w:rsid w:val="002B49E2"/>
    <w:rsid w:val="002B7B00"/>
    <w:rsid w:val="002B7C44"/>
    <w:rsid w:val="002C2B17"/>
    <w:rsid w:val="002D3DD0"/>
    <w:rsid w:val="002E1171"/>
    <w:rsid w:val="002E1F3A"/>
    <w:rsid w:val="002E298A"/>
    <w:rsid w:val="00301978"/>
    <w:rsid w:val="0030332C"/>
    <w:rsid w:val="003051C2"/>
    <w:rsid w:val="00312296"/>
    <w:rsid w:val="00314F0E"/>
    <w:rsid w:val="00316587"/>
    <w:rsid w:val="00317AB0"/>
    <w:rsid w:val="00321D8E"/>
    <w:rsid w:val="00325928"/>
    <w:rsid w:val="00332863"/>
    <w:rsid w:val="00333720"/>
    <w:rsid w:val="0033684D"/>
    <w:rsid w:val="00337B42"/>
    <w:rsid w:val="00341B42"/>
    <w:rsid w:val="0034348F"/>
    <w:rsid w:val="00356653"/>
    <w:rsid w:val="0035743F"/>
    <w:rsid w:val="00357BE2"/>
    <w:rsid w:val="0036170C"/>
    <w:rsid w:val="00366E0F"/>
    <w:rsid w:val="00381A72"/>
    <w:rsid w:val="00382C34"/>
    <w:rsid w:val="00384676"/>
    <w:rsid w:val="00390857"/>
    <w:rsid w:val="00397119"/>
    <w:rsid w:val="003A2708"/>
    <w:rsid w:val="003A4BF3"/>
    <w:rsid w:val="003B420D"/>
    <w:rsid w:val="003C291C"/>
    <w:rsid w:val="003C6C16"/>
    <w:rsid w:val="003C77F9"/>
    <w:rsid w:val="003D794D"/>
    <w:rsid w:val="003E2146"/>
    <w:rsid w:val="003E3058"/>
    <w:rsid w:val="003E76A9"/>
    <w:rsid w:val="003F0809"/>
    <w:rsid w:val="003F6A8C"/>
    <w:rsid w:val="003F755C"/>
    <w:rsid w:val="004040B0"/>
    <w:rsid w:val="00406F01"/>
    <w:rsid w:val="00416D50"/>
    <w:rsid w:val="00416FD5"/>
    <w:rsid w:val="00417772"/>
    <w:rsid w:val="00420E6A"/>
    <w:rsid w:val="00425A9E"/>
    <w:rsid w:val="00426D6B"/>
    <w:rsid w:val="00431E6C"/>
    <w:rsid w:val="00433CE7"/>
    <w:rsid w:val="00445311"/>
    <w:rsid w:val="00452738"/>
    <w:rsid w:val="00456091"/>
    <w:rsid w:val="00456F4B"/>
    <w:rsid w:val="00466321"/>
    <w:rsid w:val="00484B9B"/>
    <w:rsid w:val="004855F6"/>
    <w:rsid w:val="0048661E"/>
    <w:rsid w:val="00494670"/>
    <w:rsid w:val="004A3823"/>
    <w:rsid w:val="004A7E40"/>
    <w:rsid w:val="004B3B20"/>
    <w:rsid w:val="004C2A06"/>
    <w:rsid w:val="004E6946"/>
    <w:rsid w:val="004F1AD8"/>
    <w:rsid w:val="005039CB"/>
    <w:rsid w:val="0050558F"/>
    <w:rsid w:val="00506286"/>
    <w:rsid w:val="00510813"/>
    <w:rsid w:val="00511990"/>
    <w:rsid w:val="00511DE0"/>
    <w:rsid w:val="00514870"/>
    <w:rsid w:val="00514B9B"/>
    <w:rsid w:val="00517F02"/>
    <w:rsid w:val="00524303"/>
    <w:rsid w:val="005258A2"/>
    <w:rsid w:val="00535CE5"/>
    <w:rsid w:val="005370A2"/>
    <w:rsid w:val="005401AE"/>
    <w:rsid w:val="00542E07"/>
    <w:rsid w:val="00545424"/>
    <w:rsid w:val="00554A7B"/>
    <w:rsid w:val="0055572C"/>
    <w:rsid w:val="0056106A"/>
    <w:rsid w:val="00563065"/>
    <w:rsid w:val="005720AE"/>
    <w:rsid w:val="00576F26"/>
    <w:rsid w:val="00580973"/>
    <w:rsid w:val="00594D77"/>
    <w:rsid w:val="005969E4"/>
    <w:rsid w:val="005A06B7"/>
    <w:rsid w:val="005A1759"/>
    <w:rsid w:val="005A68A7"/>
    <w:rsid w:val="005B4758"/>
    <w:rsid w:val="005D0C8E"/>
    <w:rsid w:val="005D1031"/>
    <w:rsid w:val="005D36AB"/>
    <w:rsid w:val="005F48A7"/>
    <w:rsid w:val="00617CC3"/>
    <w:rsid w:val="006364FC"/>
    <w:rsid w:val="006377A6"/>
    <w:rsid w:val="00637A3D"/>
    <w:rsid w:val="006411EF"/>
    <w:rsid w:val="00647594"/>
    <w:rsid w:val="00672E48"/>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06A6"/>
    <w:rsid w:val="00732922"/>
    <w:rsid w:val="0075162E"/>
    <w:rsid w:val="00754034"/>
    <w:rsid w:val="00756556"/>
    <w:rsid w:val="007618C4"/>
    <w:rsid w:val="00761BC6"/>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7F3496"/>
    <w:rsid w:val="00801393"/>
    <w:rsid w:val="00802F88"/>
    <w:rsid w:val="00806504"/>
    <w:rsid w:val="0081293E"/>
    <w:rsid w:val="00815465"/>
    <w:rsid w:val="00817E9A"/>
    <w:rsid w:val="008306BD"/>
    <w:rsid w:val="00831A80"/>
    <w:rsid w:val="00833743"/>
    <w:rsid w:val="008340A4"/>
    <w:rsid w:val="008413AF"/>
    <w:rsid w:val="0087135F"/>
    <w:rsid w:val="00872D94"/>
    <w:rsid w:val="00880364"/>
    <w:rsid w:val="00891592"/>
    <w:rsid w:val="00891E9E"/>
    <w:rsid w:val="008A2F68"/>
    <w:rsid w:val="008B4C8E"/>
    <w:rsid w:val="008B4FA6"/>
    <w:rsid w:val="008B5282"/>
    <w:rsid w:val="008B7814"/>
    <w:rsid w:val="008B7C17"/>
    <w:rsid w:val="008C2D01"/>
    <w:rsid w:val="008C40E6"/>
    <w:rsid w:val="008D0F7A"/>
    <w:rsid w:val="008D1971"/>
    <w:rsid w:val="008D68E4"/>
    <w:rsid w:val="008E0506"/>
    <w:rsid w:val="008E0CFF"/>
    <w:rsid w:val="008E5D6B"/>
    <w:rsid w:val="008E76F0"/>
    <w:rsid w:val="008F15FE"/>
    <w:rsid w:val="008F2D29"/>
    <w:rsid w:val="008F5187"/>
    <w:rsid w:val="008F60D8"/>
    <w:rsid w:val="00902727"/>
    <w:rsid w:val="0090312B"/>
    <w:rsid w:val="0091736D"/>
    <w:rsid w:val="0092041F"/>
    <w:rsid w:val="0093037A"/>
    <w:rsid w:val="00937DB0"/>
    <w:rsid w:val="0094154D"/>
    <w:rsid w:val="0095155F"/>
    <w:rsid w:val="00954429"/>
    <w:rsid w:val="009563CE"/>
    <w:rsid w:val="00976328"/>
    <w:rsid w:val="0097680D"/>
    <w:rsid w:val="00982438"/>
    <w:rsid w:val="0098404C"/>
    <w:rsid w:val="00985283"/>
    <w:rsid w:val="00986502"/>
    <w:rsid w:val="00995992"/>
    <w:rsid w:val="009A03E5"/>
    <w:rsid w:val="009A0F3B"/>
    <w:rsid w:val="009A1BB4"/>
    <w:rsid w:val="009A2628"/>
    <w:rsid w:val="009A3200"/>
    <w:rsid w:val="009B0897"/>
    <w:rsid w:val="009B2E1C"/>
    <w:rsid w:val="009B7BD9"/>
    <w:rsid w:val="009C7DD5"/>
    <w:rsid w:val="009E227D"/>
    <w:rsid w:val="009E5019"/>
    <w:rsid w:val="00A0026F"/>
    <w:rsid w:val="00A04F1B"/>
    <w:rsid w:val="00A0501B"/>
    <w:rsid w:val="00A14947"/>
    <w:rsid w:val="00A32A83"/>
    <w:rsid w:val="00A368DB"/>
    <w:rsid w:val="00A423AA"/>
    <w:rsid w:val="00A53EC6"/>
    <w:rsid w:val="00A55C0F"/>
    <w:rsid w:val="00A66445"/>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00E43"/>
    <w:rsid w:val="00B1295A"/>
    <w:rsid w:val="00B1778A"/>
    <w:rsid w:val="00B20A45"/>
    <w:rsid w:val="00B22C5C"/>
    <w:rsid w:val="00B24F30"/>
    <w:rsid w:val="00B31ABF"/>
    <w:rsid w:val="00B33BE3"/>
    <w:rsid w:val="00B53B5D"/>
    <w:rsid w:val="00B55DD2"/>
    <w:rsid w:val="00B601CD"/>
    <w:rsid w:val="00B6055E"/>
    <w:rsid w:val="00B6317D"/>
    <w:rsid w:val="00B6441D"/>
    <w:rsid w:val="00B7723F"/>
    <w:rsid w:val="00B80534"/>
    <w:rsid w:val="00B83852"/>
    <w:rsid w:val="00B8433C"/>
    <w:rsid w:val="00B87491"/>
    <w:rsid w:val="00BA29E9"/>
    <w:rsid w:val="00BA7142"/>
    <w:rsid w:val="00BB237C"/>
    <w:rsid w:val="00BB41A3"/>
    <w:rsid w:val="00BB6956"/>
    <w:rsid w:val="00BC32DC"/>
    <w:rsid w:val="00BC35B6"/>
    <w:rsid w:val="00BD1B51"/>
    <w:rsid w:val="00BD4596"/>
    <w:rsid w:val="00BE1405"/>
    <w:rsid w:val="00BE312D"/>
    <w:rsid w:val="00BF1C20"/>
    <w:rsid w:val="00BF5A7B"/>
    <w:rsid w:val="00C039C7"/>
    <w:rsid w:val="00C10578"/>
    <w:rsid w:val="00C135BC"/>
    <w:rsid w:val="00C15C95"/>
    <w:rsid w:val="00C2596A"/>
    <w:rsid w:val="00C27537"/>
    <w:rsid w:val="00C328FE"/>
    <w:rsid w:val="00C33507"/>
    <w:rsid w:val="00C4409D"/>
    <w:rsid w:val="00C44E72"/>
    <w:rsid w:val="00C45A06"/>
    <w:rsid w:val="00C47E5B"/>
    <w:rsid w:val="00C50A87"/>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45E9"/>
    <w:rsid w:val="00D3480E"/>
    <w:rsid w:val="00D36D86"/>
    <w:rsid w:val="00D428AA"/>
    <w:rsid w:val="00D469D3"/>
    <w:rsid w:val="00D50A34"/>
    <w:rsid w:val="00D53EFA"/>
    <w:rsid w:val="00D637EF"/>
    <w:rsid w:val="00D65213"/>
    <w:rsid w:val="00D8753C"/>
    <w:rsid w:val="00D94A7C"/>
    <w:rsid w:val="00D95896"/>
    <w:rsid w:val="00D965A4"/>
    <w:rsid w:val="00DB2983"/>
    <w:rsid w:val="00DC1257"/>
    <w:rsid w:val="00DC3DC0"/>
    <w:rsid w:val="00DC5B2B"/>
    <w:rsid w:val="00DD318D"/>
    <w:rsid w:val="00DF2E12"/>
    <w:rsid w:val="00DF4B76"/>
    <w:rsid w:val="00DF514A"/>
    <w:rsid w:val="00DF6690"/>
    <w:rsid w:val="00DF6804"/>
    <w:rsid w:val="00E0358D"/>
    <w:rsid w:val="00E04323"/>
    <w:rsid w:val="00E068D1"/>
    <w:rsid w:val="00E070A2"/>
    <w:rsid w:val="00E2656A"/>
    <w:rsid w:val="00E34A10"/>
    <w:rsid w:val="00E412D0"/>
    <w:rsid w:val="00E56322"/>
    <w:rsid w:val="00E60982"/>
    <w:rsid w:val="00E62C62"/>
    <w:rsid w:val="00E654C1"/>
    <w:rsid w:val="00E65D97"/>
    <w:rsid w:val="00E72A5A"/>
    <w:rsid w:val="00E73354"/>
    <w:rsid w:val="00E84DEB"/>
    <w:rsid w:val="00E9242D"/>
    <w:rsid w:val="00EB5255"/>
    <w:rsid w:val="00EB5C47"/>
    <w:rsid w:val="00EC40D0"/>
    <w:rsid w:val="00ED0639"/>
    <w:rsid w:val="00EE5A7B"/>
    <w:rsid w:val="00EF4755"/>
    <w:rsid w:val="00EF7135"/>
    <w:rsid w:val="00F027DB"/>
    <w:rsid w:val="00F14A7A"/>
    <w:rsid w:val="00F22985"/>
    <w:rsid w:val="00F3383E"/>
    <w:rsid w:val="00F3484B"/>
    <w:rsid w:val="00F44F30"/>
    <w:rsid w:val="00F465A7"/>
    <w:rsid w:val="00F50B7C"/>
    <w:rsid w:val="00F511F7"/>
    <w:rsid w:val="00F550E6"/>
    <w:rsid w:val="00F71AE5"/>
    <w:rsid w:val="00F71C33"/>
    <w:rsid w:val="00F74345"/>
    <w:rsid w:val="00F80A0A"/>
    <w:rsid w:val="00F82B19"/>
    <w:rsid w:val="00F9212D"/>
    <w:rsid w:val="00F965DA"/>
    <w:rsid w:val="00FA0DDB"/>
    <w:rsid w:val="00FA406A"/>
    <w:rsid w:val="00FB3526"/>
    <w:rsid w:val="00FB503A"/>
    <w:rsid w:val="00FB516C"/>
    <w:rsid w:val="00FD0236"/>
    <w:rsid w:val="00FD18F4"/>
    <w:rsid w:val="00FD3634"/>
    <w:rsid w:val="00FD54DB"/>
    <w:rsid w:val="00FD619F"/>
    <w:rsid w:val="01290F7E"/>
    <w:rsid w:val="015D1E09"/>
    <w:rsid w:val="0166158D"/>
    <w:rsid w:val="016E1F8C"/>
    <w:rsid w:val="01DE010B"/>
    <w:rsid w:val="01E86154"/>
    <w:rsid w:val="02134FF2"/>
    <w:rsid w:val="022644D4"/>
    <w:rsid w:val="0230687F"/>
    <w:rsid w:val="025D38B0"/>
    <w:rsid w:val="02697903"/>
    <w:rsid w:val="026C6B78"/>
    <w:rsid w:val="02F96569"/>
    <w:rsid w:val="03363FD7"/>
    <w:rsid w:val="034A3845"/>
    <w:rsid w:val="03793F5A"/>
    <w:rsid w:val="03871030"/>
    <w:rsid w:val="03AB7A27"/>
    <w:rsid w:val="03EA7B21"/>
    <w:rsid w:val="040305E5"/>
    <w:rsid w:val="04040DA2"/>
    <w:rsid w:val="04096282"/>
    <w:rsid w:val="046E05BA"/>
    <w:rsid w:val="047F723D"/>
    <w:rsid w:val="04987BCD"/>
    <w:rsid w:val="049C545F"/>
    <w:rsid w:val="05014EAF"/>
    <w:rsid w:val="052F14D7"/>
    <w:rsid w:val="053C0D46"/>
    <w:rsid w:val="05415071"/>
    <w:rsid w:val="056D7F8C"/>
    <w:rsid w:val="05E337FC"/>
    <w:rsid w:val="05E60FE2"/>
    <w:rsid w:val="05E81FCA"/>
    <w:rsid w:val="05F83EAE"/>
    <w:rsid w:val="063E7D85"/>
    <w:rsid w:val="0690451F"/>
    <w:rsid w:val="06EB5A67"/>
    <w:rsid w:val="07293586"/>
    <w:rsid w:val="07295285"/>
    <w:rsid w:val="07636392"/>
    <w:rsid w:val="07770C56"/>
    <w:rsid w:val="07982452"/>
    <w:rsid w:val="07BA4190"/>
    <w:rsid w:val="07BB4513"/>
    <w:rsid w:val="07C10101"/>
    <w:rsid w:val="07D96711"/>
    <w:rsid w:val="07E03F1B"/>
    <w:rsid w:val="08117291"/>
    <w:rsid w:val="08756A05"/>
    <w:rsid w:val="08A94906"/>
    <w:rsid w:val="08D10B5E"/>
    <w:rsid w:val="08E7094C"/>
    <w:rsid w:val="08FC6E3E"/>
    <w:rsid w:val="08FD2AE2"/>
    <w:rsid w:val="092217DD"/>
    <w:rsid w:val="093A0049"/>
    <w:rsid w:val="093A7294"/>
    <w:rsid w:val="09AA0BA3"/>
    <w:rsid w:val="0A124D06"/>
    <w:rsid w:val="0A263993"/>
    <w:rsid w:val="0A2D3AC2"/>
    <w:rsid w:val="0A4754A4"/>
    <w:rsid w:val="0AA2252B"/>
    <w:rsid w:val="0AA755DF"/>
    <w:rsid w:val="0AA77CCA"/>
    <w:rsid w:val="0AA8771B"/>
    <w:rsid w:val="0AD1311B"/>
    <w:rsid w:val="0AFA1765"/>
    <w:rsid w:val="0B120D44"/>
    <w:rsid w:val="0B321943"/>
    <w:rsid w:val="0B5C264E"/>
    <w:rsid w:val="0B6C1151"/>
    <w:rsid w:val="0B7218AA"/>
    <w:rsid w:val="0BD27BF6"/>
    <w:rsid w:val="0C347D9F"/>
    <w:rsid w:val="0C370697"/>
    <w:rsid w:val="0C3B3C7D"/>
    <w:rsid w:val="0C465A73"/>
    <w:rsid w:val="0C6E31D3"/>
    <w:rsid w:val="0C6E370B"/>
    <w:rsid w:val="0C7D033C"/>
    <w:rsid w:val="0CAB2EAE"/>
    <w:rsid w:val="0CE07038"/>
    <w:rsid w:val="0D621C7D"/>
    <w:rsid w:val="0D7579F8"/>
    <w:rsid w:val="0D8257DE"/>
    <w:rsid w:val="0E3D1D40"/>
    <w:rsid w:val="0E540384"/>
    <w:rsid w:val="0E73034D"/>
    <w:rsid w:val="0E781456"/>
    <w:rsid w:val="0E931FD4"/>
    <w:rsid w:val="0E962BBD"/>
    <w:rsid w:val="0EBA57AF"/>
    <w:rsid w:val="0EE2442E"/>
    <w:rsid w:val="0EEB4208"/>
    <w:rsid w:val="0F13775A"/>
    <w:rsid w:val="0F1F23E8"/>
    <w:rsid w:val="0F215EBA"/>
    <w:rsid w:val="0F52491F"/>
    <w:rsid w:val="0F5F45FE"/>
    <w:rsid w:val="0F6349C9"/>
    <w:rsid w:val="0F9A112B"/>
    <w:rsid w:val="0FA02F99"/>
    <w:rsid w:val="0FC43178"/>
    <w:rsid w:val="0FD02849"/>
    <w:rsid w:val="102A1EA4"/>
    <w:rsid w:val="106D2F64"/>
    <w:rsid w:val="108E7658"/>
    <w:rsid w:val="10943175"/>
    <w:rsid w:val="10A40643"/>
    <w:rsid w:val="10B63710"/>
    <w:rsid w:val="10C771ED"/>
    <w:rsid w:val="10D34C5C"/>
    <w:rsid w:val="10DD1B89"/>
    <w:rsid w:val="10EA74A4"/>
    <w:rsid w:val="10EB591F"/>
    <w:rsid w:val="10F10820"/>
    <w:rsid w:val="10FF7941"/>
    <w:rsid w:val="111C2F7A"/>
    <w:rsid w:val="115630D4"/>
    <w:rsid w:val="11573208"/>
    <w:rsid w:val="11665CA1"/>
    <w:rsid w:val="118A4764"/>
    <w:rsid w:val="11A7090D"/>
    <w:rsid w:val="11D33581"/>
    <w:rsid w:val="11E43261"/>
    <w:rsid w:val="121C62B6"/>
    <w:rsid w:val="123969CC"/>
    <w:rsid w:val="12EB27F9"/>
    <w:rsid w:val="13557655"/>
    <w:rsid w:val="135B70C7"/>
    <w:rsid w:val="13721650"/>
    <w:rsid w:val="13951726"/>
    <w:rsid w:val="13AB37B4"/>
    <w:rsid w:val="13B86E94"/>
    <w:rsid w:val="14396509"/>
    <w:rsid w:val="14463CEB"/>
    <w:rsid w:val="145D703C"/>
    <w:rsid w:val="145F48BF"/>
    <w:rsid w:val="14834729"/>
    <w:rsid w:val="14DD2C3C"/>
    <w:rsid w:val="150E5298"/>
    <w:rsid w:val="15145F8A"/>
    <w:rsid w:val="152063A5"/>
    <w:rsid w:val="15307995"/>
    <w:rsid w:val="158E6FF2"/>
    <w:rsid w:val="15AB7E21"/>
    <w:rsid w:val="15E11B06"/>
    <w:rsid w:val="15E22FE1"/>
    <w:rsid w:val="15EE7622"/>
    <w:rsid w:val="16087E1D"/>
    <w:rsid w:val="163D4598"/>
    <w:rsid w:val="16467580"/>
    <w:rsid w:val="165C118C"/>
    <w:rsid w:val="165D58A9"/>
    <w:rsid w:val="16805002"/>
    <w:rsid w:val="168D7E8C"/>
    <w:rsid w:val="16B15B8F"/>
    <w:rsid w:val="16B52705"/>
    <w:rsid w:val="16D33724"/>
    <w:rsid w:val="173369B9"/>
    <w:rsid w:val="176E561B"/>
    <w:rsid w:val="17701D14"/>
    <w:rsid w:val="17726B6D"/>
    <w:rsid w:val="17735226"/>
    <w:rsid w:val="17C04657"/>
    <w:rsid w:val="17E16AA7"/>
    <w:rsid w:val="182614DC"/>
    <w:rsid w:val="189F624C"/>
    <w:rsid w:val="18AB137B"/>
    <w:rsid w:val="1909120F"/>
    <w:rsid w:val="192D611D"/>
    <w:rsid w:val="19346481"/>
    <w:rsid w:val="19445E70"/>
    <w:rsid w:val="194C5648"/>
    <w:rsid w:val="19AC6952"/>
    <w:rsid w:val="19FC0B5A"/>
    <w:rsid w:val="1A1C66C0"/>
    <w:rsid w:val="1A42393B"/>
    <w:rsid w:val="1AAD45DE"/>
    <w:rsid w:val="1AC30F79"/>
    <w:rsid w:val="1AEF59D5"/>
    <w:rsid w:val="1B046F80"/>
    <w:rsid w:val="1B3267B5"/>
    <w:rsid w:val="1B3C50FB"/>
    <w:rsid w:val="1B40161D"/>
    <w:rsid w:val="1B441859"/>
    <w:rsid w:val="1B5A4A1E"/>
    <w:rsid w:val="1B6606B1"/>
    <w:rsid w:val="1BA65D55"/>
    <w:rsid w:val="1BE962BA"/>
    <w:rsid w:val="1BF445C6"/>
    <w:rsid w:val="1BF96BFB"/>
    <w:rsid w:val="1C1F117C"/>
    <w:rsid w:val="1C41637D"/>
    <w:rsid w:val="1C592CFF"/>
    <w:rsid w:val="1C5E7925"/>
    <w:rsid w:val="1C71533D"/>
    <w:rsid w:val="1CC932F4"/>
    <w:rsid w:val="1CE42B6E"/>
    <w:rsid w:val="1CFD070F"/>
    <w:rsid w:val="1D312FD9"/>
    <w:rsid w:val="1D326C0F"/>
    <w:rsid w:val="1D5A14D3"/>
    <w:rsid w:val="1D5F6196"/>
    <w:rsid w:val="1D6132A5"/>
    <w:rsid w:val="1D821737"/>
    <w:rsid w:val="1D8E56D5"/>
    <w:rsid w:val="1D9B00F2"/>
    <w:rsid w:val="1DA01B5C"/>
    <w:rsid w:val="1DCB7CD3"/>
    <w:rsid w:val="1DED4FD5"/>
    <w:rsid w:val="1E042BCD"/>
    <w:rsid w:val="1E650E42"/>
    <w:rsid w:val="1E7A43DA"/>
    <w:rsid w:val="1E8438B3"/>
    <w:rsid w:val="1E873E8D"/>
    <w:rsid w:val="1E92440A"/>
    <w:rsid w:val="1F525370"/>
    <w:rsid w:val="1F7C464D"/>
    <w:rsid w:val="1FE7539E"/>
    <w:rsid w:val="1FEC0C4E"/>
    <w:rsid w:val="204953F8"/>
    <w:rsid w:val="20671BE0"/>
    <w:rsid w:val="20732BD7"/>
    <w:rsid w:val="20800CCA"/>
    <w:rsid w:val="20963CB8"/>
    <w:rsid w:val="20A81A1B"/>
    <w:rsid w:val="20B07FB6"/>
    <w:rsid w:val="20B646FB"/>
    <w:rsid w:val="20BB7218"/>
    <w:rsid w:val="20C640EA"/>
    <w:rsid w:val="20D44015"/>
    <w:rsid w:val="213B74B1"/>
    <w:rsid w:val="215A2310"/>
    <w:rsid w:val="21926DB7"/>
    <w:rsid w:val="21DE318A"/>
    <w:rsid w:val="21EF5B80"/>
    <w:rsid w:val="22576990"/>
    <w:rsid w:val="228D0C62"/>
    <w:rsid w:val="22F47480"/>
    <w:rsid w:val="23002A13"/>
    <w:rsid w:val="232037E7"/>
    <w:rsid w:val="2326029C"/>
    <w:rsid w:val="232A3240"/>
    <w:rsid w:val="23334310"/>
    <w:rsid w:val="235D3286"/>
    <w:rsid w:val="23773C58"/>
    <w:rsid w:val="23DE1C48"/>
    <w:rsid w:val="23FD637A"/>
    <w:rsid w:val="240210CD"/>
    <w:rsid w:val="24025657"/>
    <w:rsid w:val="243B5370"/>
    <w:rsid w:val="24491EE4"/>
    <w:rsid w:val="24970908"/>
    <w:rsid w:val="24BF09F7"/>
    <w:rsid w:val="24E72CE6"/>
    <w:rsid w:val="250F6E99"/>
    <w:rsid w:val="252D53FE"/>
    <w:rsid w:val="25422A8A"/>
    <w:rsid w:val="25655953"/>
    <w:rsid w:val="258A0D66"/>
    <w:rsid w:val="25C30C44"/>
    <w:rsid w:val="25D414BB"/>
    <w:rsid w:val="25D857E8"/>
    <w:rsid w:val="25EC2D81"/>
    <w:rsid w:val="260B73DA"/>
    <w:rsid w:val="26605632"/>
    <w:rsid w:val="266C654B"/>
    <w:rsid w:val="2691110E"/>
    <w:rsid w:val="26B53344"/>
    <w:rsid w:val="26C17A18"/>
    <w:rsid w:val="26D72D6F"/>
    <w:rsid w:val="27670866"/>
    <w:rsid w:val="277057A2"/>
    <w:rsid w:val="277F3EBD"/>
    <w:rsid w:val="27F679C7"/>
    <w:rsid w:val="280C6788"/>
    <w:rsid w:val="281E476A"/>
    <w:rsid w:val="282D57F7"/>
    <w:rsid w:val="283720F8"/>
    <w:rsid w:val="283D5CD3"/>
    <w:rsid w:val="28452CC0"/>
    <w:rsid w:val="2859162D"/>
    <w:rsid w:val="286F48B6"/>
    <w:rsid w:val="28E77027"/>
    <w:rsid w:val="28E873B9"/>
    <w:rsid w:val="29206EB8"/>
    <w:rsid w:val="29552B8F"/>
    <w:rsid w:val="29595666"/>
    <w:rsid w:val="296249CA"/>
    <w:rsid w:val="29874881"/>
    <w:rsid w:val="298A7608"/>
    <w:rsid w:val="29B72C26"/>
    <w:rsid w:val="29B75E87"/>
    <w:rsid w:val="29D03623"/>
    <w:rsid w:val="29E325E0"/>
    <w:rsid w:val="2A0102D7"/>
    <w:rsid w:val="2A3824C7"/>
    <w:rsid w:val="2A405791"/>
    <w:rsid w:val="2A452503"/>
    <w:rsid w:val="2A826DD5"/>
    <w:rsid w:val="2A9711E3"/>
    <w:rsid w:val="2AAA76C0"/>
    <w:rsid w:val="2B8B2FF2"/>
    <w:rsid w:val="2B943845"/>
    <w:rsid w:val="2BA936A8"/>
    <w:rsid w:val="2C315A5A"/>
    <w:rsid w:val="2C364EF6"/>
    <w:rsid w:val="2C4754C1"/>
    <w:rsid w:val="2C4B1C25"/>
    <w:rsid w:val="2C80730E"/>
    <w:rsid w:val="2C867E15"/>
    <w:rsid w:val="2CC17C4B"/>
    <w:rsid w:val="2CC75A9B"/>
    <w:rsid w:val="2CEA623F"/>
    <w:rsid w:val="2D1F0790"/>
    <w:rsid w:val="2D32627C"/>
    <w:rsid w:val="2D661679"/>
    <w:rsid w:val="2D6C0D7C"/>
    <w:rsid w:val="2D784C18"/>
    <w:rsid w:val="2D9E56F5"/>
    <w:rsid w:val="2DDC52FC"/>
    <w:rsid w:val="2DEC0A57"/>
    <w:rsid w:val="2E2965DD"/>
    <w:rsid w:val="2E667F96"/>
    <w:rsid w:val="2E69421A"/>
    <w:rsid w:val="2E8226AB"/>
    <w:rsid w:val="2EB91EB6"/>
    <w:rsid w:val="2EDD5083"/>
    <w:rsid w:val="2EF76A64"/>
    <w:rsid w:val="2F050FB6"/>
    <w:rsid w:val="2F413EBE"/>
    <w:rsid w:val="2F950B5C"/>
    <w:rsid w:val="2FD065E6"/>
    <w:rsid w:val="2FD73C79"/>
    <w:rsid w:val="2FD96870"/>
    <w:rsid w:val="2FE33292"/>
    <w:rsid w:val="30246D65"/>
    <w:rsid w:val="30567DCD"/>
    <w:rsid w:val="30580BC9"/>
    <w:rsid w:val="31177DF5"/>
    <w:rsid w:val="311E2ED7"/>
    <w:rsid w:val="31442AF1"/>
    <w:rsid w:val="315619EE"/>
    <w:rsid w:val="315C449C"/>
    <w:rsid w:val="31722947"/>
    <w:rsid w:val="319B6BB5"/>
    <w:rsid w:val="31B11BE3"/>
    <w:rsid w:val="31B82709"/>
    <w:rsid w:val="31BC288B"/>
    <w:rsid w:val="31C3610C"/>
    <w:rsid w:val="31D05482"/>
    <w:rsid w:val="31D21ED3"/>
    <w:rsid w:val="32400B34"/>
    <w:rsid w:val="325507EA"/>
    <w:rsid w:val="329E6876"/>
    <w:rsid w:val="32B32B85"/>
    <w:rsid w:val="333015F2"/>
    <w:rsid w:val="333B55CC"/>
    <w:rsid w:val="3340497E"/>
    <w:rsid w:val="334B6320"/>
    <w:rsid w:val="336D3602"/>
    <w:rsid w:val="33D8257C"/>
    <w:rsid w:val="33D934D4"/>
    <w:rsid w:val="33FE2F6A"/>
    <w:rsid w:val="340E07E5"/>
    <w:rsid w:val="34235BF7"/>
    <w:rsid w:val="34522141"/>
    <w:rsid w:val="34772FF0"/>
    <w:rsid w:val="34B768E3"/>
    <w:rsid w:val="34F24439"/>
    <w:rsid w:val="3547579D"/>
    <w:rsid w:val="356754D2"/>
    <w:rsid w:val="358C5FA8"/>
    <w:rsid w:val="35905C79"/>
    <w:rsid w:val="35C15DF1"/>
    <w:rsid w:val="36074A7F"/>
    <w:rsid w:val="364414B7"/>
    <w:rsid w:val="36452627"/>
    <w:rsid w:val="3675572C"/>
    <w:rsid w:val="36923549"/>
    <w:rsid w:val="36B75FBF"/>
    <w:rsid w:val="36BD0C45"/>
    <w:rsid w:val="36EF2223"/>
    <w:rsid w:val="36FE3F28"/>
    <w:rsid w:val="370A1CBE"/>
    <w:rsid w:val="3748151D"/>
    <w:rsid w:val="37545F08"/>
    <w:rsid w:val="37576578"/>
    <w:rsid w:val="37890A3B"/>
    <w:rsid w:val="37E00298"/>
    <w:rsid w:val="38B302F9"/>
    <w:rsid w:val="38F12CD3"/>
    <w:rsid w:val="38F94775"/>
    <w:rsid w:val="39136309"/>
    <w:rsid w:val="392971ED"/>
    <w:rsid w:val="39325651"/>
    <w:rsid w:val="3939368B"/>
    <w:rsid w:val="39BA6923"/>
    <w:rsid w:val="3A1C0AAF"/>
    <w:rsid w:val="3A230D38"/>
    <w:rsid w:val="3A3E5E83"/>
    <w:rsid w:val="3A7D58E7"/>
    <w:rsid w:val="3A872856"/>
    <w:rsid w:val="3A983332"/>
    <w:rsid w:val="3AF34B59"/>
    <w:rsid w:val="3B236212"/>
    <w:rsid w:val="3B2F2B2A"/>
    <w:rsid w:val="3B3763D1"/>
    <w:rsid w:val="3BA50C2F"/>
    <w:rsid w:val="3BC039E9"/>
    <w:rsid w:val="3BEA57AA"/>
    <w:rsid w:val="3C0850C7"/>
    <w:rsid w:val="3C2562FF"/>
    <w:rsid w:val="3C2F6E1E"/>
    <w:rsid w:val="3C387784"/>
    <w:rsid w:val="3C4F64BA"/>
    <w:rsid w:val="3C5D4560"/>
    <w:rsid w:val="3C6856AF"/>
    <w:rsid w:val="3C89753B"/>
    <w:rsid w:val="3CB03286"/>
    <w:rsid w:val="3CBD0375"/>
    <w:rsid w:val="3CDA245A"/>
    <w:rsid w:val="3D0B1EB9"/>
    <w:rsid w:val="3D1E06B7"/>
    <w:rsid w:val="3D353A62"/>
    <w:rsid w:val="3E4A09EA"/>
    <w:rsid w:val="3E5A5D0D"/>
    <w:rsid w:val="3E732457"/>
    <w:rsid w:val="3E831EFD"/>
    <w:rsid w:val="3E970E9E"/>
    <w:rsid w:val="3ED951C1"/>
    <w:rsid w:val="3EDA0523"/>
    <w:rsid w:val="3F32048F"/>
    <w:rsid w:val="3FD314D0"/>
    <w:rsid w:val="3FD87C0D"/>
    <w:rsid w:val="3FE2235D"/>
    <w:rsid w:val="3FEA3552"/>
    <w:rsid w:val="40531957"/>
    <w:rsid w:val="407A6407"/>
    <w:rsid w:val="40F26B4C"/>
    <w:rsid w:val="41127D69"/>
    <w:rsid w:val="41156F45"/>
    <w:rsid w:val="414D59F2"/>
    <w:rsid w:val="41A606D2"/>
    <w:rsid w:val="4200449D"/>
    <w:rsid w:val="422A6B5E"/>
    <w:rsid w:val="423A3BCC"/>
    <w:rsid w:val="424E57D2"/>
    <w:rsid w:val="428E1783"/>
    <w:rsid w:val="429213AA"/>
    <w:rsid w:val="42B26C49"/>
    <w:rsid w:val="42D31EB4"/>
    <w:rsid w:val="42E41371"/>
    <w:rsid w:val="42E631BF"/>
    <w:rsid w:val="43136AC3"/>
    <w:rsid w:val="432D2FED"/>
    <w:rsid w:val="433A6FE6"/>
    <w:rsid w:val="43480868"/>
    <w:rsid w:val="4350713C"/>
    <w:rsid w:val="436653E0"/>
    <w:rsid w:val="436737DC"/>
    <w:rsid w:val="438300DA"/>
    <w:rsid w:val="43A93723"/>
    <w:rsid w:val="43C4431A"/>
    <w:rsid w:val="44025FBF"/>
    <w:rsid w:val="44181AD6"/>
    <w:rsid w:val="442771C9"/>
    <w:rsid w:val="44AD1910"/>
    <w:rsid w:val="44B951CC"/>
    <w:rsid w:val="44CD14E0"/>
    <w:rsid w:val="44EF6C22"/>
    <w:rsid w:val="44F20B0B"/>
    <w:rsid w:val="452E5F4C"/>
    <w:rsid w:val="45612018"/>
    <w:rsid w:val="458946E9"/>
    <w:rsid w:val="45A47C0E"/>
    <w:rsid w:val="45D07EEB"/>
    <w:rsid w:val="45FF375F"/>
    <w:rsid w:val="46577FD6"/>
    <w:rsid w:val="467E55C6"/>
    <w:rsid w:val="46D955A7"/>
    <w:rsid w:val="46F63E43"/>
    <w:rsid w:val="471066D2"/>
    <w:rsid w:val="47115A1F"/>
    <w:rsid w:val="47133957"/>
    <w:rsid w:val="4756750A"/>
    <w:rsid w:val="4796000A"/>
    <w:rsid w:val="47A07E0C"/>
    <w:rsid w:val="47B70E1A"/>
    <w:rsid w:val="47B755C4"/>
    <w:rsid w:val="480A5C35"/>
    <w:rsid w:val="48194864"/>
    <w:rsid w:val="48235458"/>
    <w:rsid w:val="48366143"/>
    <w:rsid w:val="484A624D"/>
    <w:rsid w:val="485D476D"/>
    <w:rsid w:val="4870272E"/>
    <w:rsid w:val="48852A05"/>
    <w:rsid w:val="48C671ED"/>
    <w:rsid w:val="49690103"/>
    <w:rsid w:val="4987382F"/>
    <w:rsid w:val="499E2681"/>
    <w:rsid w:val="49DC7715"/>
    <w:rsid w:val="49DF014D"/>
    <w:rsid w:val="49FB4F6D"/>
    <w:rsid w:val="4A023139"/>
    <w:rsid w:val="4A307D96"/>
    <w:rsid w:val="4A7B576F"/>
    <w:rsid w:val="4A8A3A47"/>
    <w:rsid w:val="4A8C76AA"/>
    <w:rsid w:val="4A8D0027"/>
    <w:rsid w:val="4AF561A9"/>
    <w:rsid w:val="4B1C3154"/>
    <w:rsid w:val="4B600592"/>
    <w:rsid w:val="4BBF4767"/>
    <w:rsid w:val="4C051584"/>
    <w:rsid w:val="4C124058"/>
    <w:rsid w:val="4C1E6A52"/>
    <w:rsid w:val="4C216974"/>
    <w:rsid w:val="4C387C18"/>
    <w:rsid w:val="4C4A0649"/>
    <w:rsid w:val="4C566770"/>
    <w:rsid w:val="4C7E5ECA"/>
    <w:rsid w:val="4C876AA5"/>
    <w:rsid w:val="4C987427"/>
    <w:rsid w:val="4CB422EA"/>
    <w:rsid w:val="4CF629A5"/>
    <w:rsid w:val="4D045777"/>
    <w:rsid w:val="4D0E00FB"/>
    <w:rsid w:val="4D176606"/>
    <w:rsid w:val="4D3C5586"/>
    <w:rsid w:val="4DDE65AB"/>
    <w:rsid w:val="4DEC4FB0"/>
    <w:rsid w:val="4E075D8A"/>
    <w:rsid w:val="4E1D056D"/>
    <w:rsid w:val="4E3E7B84"/>
    <w:rsid w:val="4E4E3FE9"/>
    <w:rsid w:val="4E5D4982"/>
    <w:rsid w:val="4EA0321B"/>
    <w:rsid w:val="4EC00FAD"/>
    <w:rsid w:val="4EC12FD1"/>
    <w:rsid w:val="4EDF40E4"/>
    <w:rsid w:val="4F2D6C3C"/>
    <w:rsid w:val="4F47038D"/>
    <w:rsid w:val="4F49045E"/>
    <w:rsid w:val="4F5D4CF6"/>
    <w:rsid w:val="4F9843DC"/>
    <w:rsid w:val="4FB45E7E"/>
    <w:rsid w:val="4FC62A8C"/>
    <w:rsid w:val="4FE20F0D"/>
    <w:rsid w:val="4FE51552"/>
    <w:rsid w:val="504B7133"/>
    <w:rsid w:val="50504C4B"/>
    <w:rsid w:val="5061031C"/>
    <w:rsid w:val="509C6E7C"/>
    <w:rsid w:val="50B0449F"/>
    <w:rsid w:val="50D35C0B"/>
    <w:rsid w:val="512B6933"/>
    <w:rsid w:val="5130344E"/>
    <w:rsid w:val="5162104E"/>
    <w:rsid w:val="5175316D"/>
    <w:rsid w:val="5196484B"/>
    <w:rsid w:val="52157FD7"/>
    <w:rsid w:val="523F7217"/>
    <w:rsid w:val="528A2F29"/>
    <w:rsid w:val="52F14126"/>
    <w:rsid w:val="534B1DEA"/>
    <w:rsid w:val="5362643E"/>
    <w:rsid w:val="538223A1"/>
    <w:rsid w:val="53A039CC"/>
    <w:rsid w:val="53A1505A"/>
    <w:rsid w:val="53E540AF"/>
    <w:rsid w:val="54063E08"/>
    <w:rsid w:val="540D48A4"/>
    <w:rsid w:val="543437E8"/>
    <w:rsid w:val="546C3D9F"/>
    <w:rsid w:val="5495207D"/>
    <w:rsid w:val="54AE4379"/>
    <w:rsid w:val="54D146A5"/>
    <w:rsid w:val="54DB6585"/>
    <w:rsid w:val="54F73313"/>
    <w:rsid w:val="54F80955"/>
    <w:rsid w:val="552836BF"/>
    <w:rsid w:val="552A69D9"/>
    <w:rsid w:val="554A342C"/>
    <w:rsid w:val="555170A7"/>
    <w:rsid w:val="5587536D"/>
    <w:rsid w:val="559B174B"/>
    <w:rsid w:val="55B449E0"/>
    <w:rsid w:val="55CE0CF4"/>
    <w:rsid w:val="55E91A01"/>
    <w:rsid w:val="56151DE2"/>
    <w:rsid w:val="5618745F"/>
    <w:rsid w:val="56340E1F"/>
    <w:rsid w:val="5642551E"/>
    <w:rsid w:val="56676F3E"/>
    <w:rsid w:val="5669447F"/>
    <w:rsid w:val="56985952"/>
    <w:rsid w:val="56B22A9C"/>
    <w:rsid w:val="56B66FFC"/>
    <w:rsid w:val="56BF6A57"/>
    <w:rsid w:val="56C4102D"/>
    <w:rsid w:val="56DB1486"/>
    <w:rsid w:val="572100B5"/>
    <w:rsid w:val="5735699D"/>
    <w:rsid w:val="574447F3"/>
    <w:rsid w:val="57484341"/>
    <w:rsid w:val="5796670D"/>
    <w:rsid w:val="579830BB"/>
    <w:rsid w:val="57B72A76"/>
    <w:rsid w:val="57C3426C"/>
    <w:rsid w:val="57CD3150"/>
    <w:rsid w:val="57CE1F93"/>
    <w:rsid w:val="5816733E"/>
    <w:rsid w:val="584E1E12"/>
    <w:rsid w:val="588743D1"/>
    <w:rsid w:val="5887701A"/>
    <w:rsid w:val="58BD64F7"/>
    <w:rsid w:val="595709F6"/>
    <w:rsid w:val="59861649"/>
    <w:rsid w:val="59C0439F"/>
    <w:rsid w:val="5A5C5BE8"/>
    <w:rsid w:val="5A6B7DC0"/>
    <w:rsid w:val="5ABE2233"/>
    <w:rsid w:val="5ACE1DBA"/>
    <w:rsid w:val="5AEB38B4"/>
    <w:rsid w:val="5B0F2246"/>
    <w:rsid w:val="5B0F4F89"/>
    <w:rsid w:val="5B2B1538"/>
    <w:rsid w:val="5B527A35"/>
    <w:rsid w:val="5B692F26"/>
    <w:rsid w:val="5BC22956"/>
    <w:rsid w:val="5BC45A6E"/>
    <w:rsid w:val="5BC96B61"/>
    <w:rsid w:val="5BDF5D95"/>
    <w:rsid w:val="5BE5408B"/>
    <w:rsid w:val="5BFE7528"/>
    <w:rsid w:val="5C68730C"/>
    <w:rsid w:val="5CDA63B3"/>
    <w:rsid w:val="5CE60EBD"/>
    <w:rsid w:val="5D0869AB"/>
    <w:rsid w:val="5DB812F3"/>
    <w:rsid w:val="5DBF736B"/>
    <w:rsid w:val="5DDE2BCC"/>
    <w:rsid w:val="5E035F0F"/>
    <w:rsid w:val="5E2467F1"/>
    <w:rsid w:val="5E2F0DE8"/>
    <w:rsid w:val="5E646FD0"/>
    <w:rsid w:val="5E9C2595"/>
    <w:rsid w:val="5EA81065"/>
    <w:rsid w:val="5ECC46CF"/>
    <w:rsid w:val="5F1804F9"/>
    <w:rsid w:val="5F1A2B43"/>
    <w:rsid w:val="5F245B8C"/>
    <w:rsid w:val="5F4146B1"/>
    <w:rsid w:val="5FB837BB"/>
    <w:rsid w:val="5FC409D1"/>
    <w:rsid w:val="5FEF1D21"/>
    <w:rsid w:val="5FFB5117"/>
    <w:rsid w:val="602427B4"/>
    <w:rsid w:val="602F47E9"/>
    <w:rsid w:val="602F59CF"/>
    <w:rsid w:val="60354FDB"/>
    <w:rsid w:val="603711B4"/>
    <w:rsid w:val="603F0624"/>
    <w:rsid w:val="605204D7"/>
    <w:rsid w:val="60C42578"/>
    <w:rsid w:val="60CC405A"/>
    <w:rsid w:val="61110C10"/>
    <w:rsid w:val="61560B99"/>
    <w:rsid w:val="61870602"/>
    <w:rsid w:val="61E215D8"/>
    <w:rsid w:val="61E672D0"/>
    <w:rsid w:val="61EA73A6"/>
    <w:rsid w:val="61EC033F"/>
    <w:rsid w:val="621B3775"/>
    <w:rsid w:val="62364782"/>
    <w:rsid w:val="62473335"/>
    <w:rsid w:val="62CD28A7"/>
    <w:rsid w:val="62EE2F77"/>
    <w:rsid w:val="62F84840"/>
    <w:rsid w:val="62FB5113"/>
    <w:rsid w:val="633421CB"/>
    <w:rsid w:val="635C0964"/>
    <w:rsid w:val="635D05E9"/>
    <w:rsid w:val="637C00C3"/>
    <w:rsid w:val="63867D00"/>
    <w:rsid w:val="6394356A"/>
    <w:rsid w:val="63C61B2C"/>
    <w:rsid w:val="63D40BE9"/>
    <w:rsid w:val="63D81C64"/>
    <w:rsid w:val="63F04475"/>
    <w:rsid w:val="64102431"/>
    <w:rsid w:val="6415662B"/>
    <w:rsid w:val="64156F36"/>
    <w:rsid w:val="64371A0E"/>
    <w:rsid w:val="643915E8"/>
    <w:rsid w:val="645B37EF"/>
    <w:rsid w:val="6469104C"/>
    <w:rsid w:val="64947310"/>
    <w:rsid w:val="649A318E"/>
    <w:rsid w:val="64A5243A"/>
    <w:rsid w:val="64A564CA"/>
    <w:rsid w:val="64C46584"/>
    <w:rsid w:val="64CC54CF"/>
    <w:rsid w:val="64F531DE"/>
    <w:rsid w:val="65010EB1"/>
    <w:rsid w:val="65047169"/>
    <w:rsid w:val="652D1675"/>
    <w:rsid w:val="65373578"/>
    <w:rsid w:val="653814C2"/>
    <w:rsid w:val="656A5787"/>
    <w:rsid w:val="657C7D13"/>
    <w:rsid w:val="65BD536A"/>
    <w:rsid w:val="65E12554"/>
    <w:rsid w:val="65ED6210"/>
    <w:rsid w:val="6665785F"/>
    <w:rsid w:val="66B23249"/>
    <w:rsid w:val="66BF65CC"/>
    <w:rsid w:val="66CB796F"/>
    <w:rsid w:val="66DC7A69"/>
    <w:rsid w:val="66E71B30"/>
    <w:rsid w:val="671F124A"/>
    <w:rsid w:val="67581AC8"/>
    <w:rsid w:val="675B6269"/>
    <w:rsid w:val="677328F5"/>
    <w:rsid w:val="677A33C6"/>
    <w:rsid w:val="677C005D"/>
    <w:rsid w:val="678F7052"/>
    <w:rsid w:val="67C71DA7"/>
    <w:rsid w:val="681F6961"/>
    <w:rsid w:val="68610A2F"/>
    <w:rsid w:val="68805514"/>
    <w:rsid w:val="6885769C"/>
    <w:rsid w:val="68D33F35"/>
    <w:rsid w:val="68DE2553"/>
    <w:rsid w:val="68F7426D"/>
    <w:rsid w:val="69203539"/>
    <w:rsid w:val="692500D4"/>
    <w:rsid w:val="69316E2F"/>
    <w:rsid w:val="694E2071"/>
    <w:rsid w:val="695D049F"/>
    <w:rsid w:val="695D2E61"/>
    <w:rsid w:val="69766163"/>
    <w:rsid w:val="697A3B33"/>
    <w:rsid w:val="69BB20B7"/>
    <w:rsid w:val="69D44760"/>
    <w:rsid w:val="6A365779"/>
    <w:rsid w:val="6A520EC7"/>
    <w:rsid w:val="6A5D4642"/>
    <w:rsid w:val="6AB42E45"/>
    <w:rsid w:val="6ABE5CA8"/>
    <w:rsid w:val="6ADF6FE5"/>
    <w:rsid w:val="6AEB65F5"/>
    <w:rsid w:val="6AF87E20"/>
    <w:rsid w:val="6B322639"/>
    <w:rsid w:val="6B4A059F"/>
    <w:rsid w:val="6B56531F"/>
    <w:rsid w:val="6B8A321B"/>
    <w:rsid w:val="6B8E030F"/>
    <w:rsid w:val="6B99520C"/>
    <w:rsid w:val="6B9A4802"/>
    <w:rsid w:val="6BFE7948"/>
    <w:rsid w:val="6C253D87"/>
    <w:rsid w:val="6C561005"/>
    <w:rsid w:val="6C636C38"/>
    <w:rsid w:val="6C6E41C8"/>
    <w:rsid w:val="6C9C7102"/>
    <w:rsid w:val="6CE2152E"/>
    <w:rsid w:val="6CFE4664"/>
    <w:rsid w:val="6D027F1B"/>
    <w:rsid w:val="6D056073"/>
    <w:rsid w:val="6D1747DB"/>
    <w:rsid w:val="6D1C49C2"/>
    <w:rsid w:val="6D242106"/>
    <w:rsid w:val="6D3D72DC"/>
    <w:rsid w:val="6D7D18C2"/>
    <w:rsid w:val="6DB34098"/>
    <w:rsid w:val="6DB545B6"/>
    <w:rsid w:val="6DDD0843"/>
    <w:rsid w:val="6DDE5F54"/>
    <w:rsid w:val="6DE02FB4"/>
    <w:rsid w:val="6DE741CC"/>
    <w:rsid w:val="6DFF75FB"/>
    <w:rsid w:val="6E035A6D"/>
    <w:rsid w:val="6E514CED"/>
    <w:rsid w:val="6EA851ED"/>
    <w:rsid w:val="6EB445AF"/>
    <w:rsid w:val="6EB563D5"/>
    <w:rsid w:val="6ED92677"/>
    <w:rsid w:val="6EDB43EB"/>
    <w:rsid w:val="6EEB3F26"/>
    <w:rsid w:val="6EF25843"/>
    <w:rsid w:val="6EF77316"/>
    <w:rsid w:val="6F0911A6"/>
    <w:rsid w:val="6F2249A2"/>
    <w:rsid w:val="6F225983"/>
    <w:rsid w:val="6F4B2CC1"/>
    <w:rsid w:val="6F8A3237"/>
    <w:rsid w:val="6FB81FC7"/>
    <w:rsid w:val="6FEA072C"/>
    <w:rsid w:val="6FEF46E5"/>
    <w:rsid w:val="6FFC5590"/>
    <w:rsid w:val="6FFE3530"/>
    <w:rsid w:val="706D1DD0"/>
    <w:rsid w:val="70856B87"/>
    <w:rsid w:val="709C6FFD"/>
    <w:rsid w:val="709D1212"/>
    <w:rsid w:val="70A34D64"/>
    <w:rsid w:val="70B00196"/>
    <w:rsid w:val="70D527EE"/>
    <w:rsid w:val="70E003DD"/>
    <w:rsid w:val="71194D77"/>
    <w:rsid w:val="711F6B07"/>
    <w:rsid w:val="714A2A0F"/>
    <w:rsid w:val="715B5300"/>
    <w:rsid w:val="718E6BDD"/>
    <w:rsid w:val="71CA575D"/>
    <w:rsid w:val="71D27F8A"/>
    <w:rsid w:val="71D63CF8"/>
    <w:rsid w:val="7240162F"/>
    <w:rsid w:val="724A6301"/>
    <w:rsid w:val="72553024"/>
    <w:rsid w:val="72AA7C53"/>
    <w:rsid w:val="73122968"/>
    <w:rsid w:val="731D2A90"/>
    <w:rsid w:val="731F5D5E"/>
    <w:rsid w:val="738B5376"/>
    <w:rsid w:val="73C51AD5"/>
    <w:rsid w:val="73CE0682"/>
    <w:rsid w:val="73D90F2E"/>
    <w:rsid w:val="73E8779A"/>
    <w:rsid w:val="73EC6C8E"/>
    <w:rsid w:val="741E793C"/>
    <w:rsid w:val="742E59AC"/>
    <w:rsid w:val="74407F2A"/>
    <w:rsid w:val="745B7D7D"/>
    <w:rsid w:val="745E3944"/>
    <w:rsid w:val="74623EF6"/>
    <w:rsid w:val="748C3B60"/>
    <w:rsid w:val="749A38A6"/>
    <w:rsid w:val="750620B7"/>
    <w:rsid w:val="752B093A"/>
    <w:rsid w:val="75416055"/>
    <w:rsid w:val="754447F4"/>
    <w:rsid w:val="7545748A"/>
    <w:rsid w:val="75561A9A"/>
    <w:rsid w:val="75A04F47"/>
    <w:rsid w:val="75DA199C"/>
    <w:rsid w:val="75DD210C"/>
    <w:rsid w:val="75E91744"/>
    <w:rsid w:val="7635099D"/>
    <w:rsid w:val="764356D9"/>
    <w:rsid w:val="766316B8"/>
    <w:rsid w:val="77263188"/>
    <w:rsid w:val="772B6B59"/>
    <w:rsid w:val="77383A25"/>
    <w:rsid w:val="77422C1F"/>
    <w:rsid w:val="775E03AB"/>
    <w:rsid w:val="77762421"/>
    <w:rsid w:val="777C7A49"/>
    <w:rsid w:val="778A397F"/>
    <w:rsid w:val="778E176B"/>
    <w:rsid w:val="77B56B1F"/>
    <w:rsid w:val="780F09F4"/>
    <w:rsid w:val="78364837"/>
    <w:rsid w:val="783734DD"/>
    <w:rsid w:val="7848280D"/>
    <w:rsid w:val="785D300F"/>
    <w:rsid w:val="787E049E"/>
    <w:rsid w:val="78986B50"/>
    <w:rsid w:val="78A7540C"/>
    <w:rsid w:val="78A90480"/>
    <w:rsid w:val="78D51D24"/>
    <w:rsid w:val="78E81E1A"/>
    <w:rsid w:val="78EE4372"/>
    <w:rsid w:val="79160454"/>
    <w:rsid w:val="7939354E"/>
    <w:rsid w:val="797E33F3"/>
    <w:rsid w:val="79A82877"/>
    <w:rsid w:val="79CC6986"/>
    <w:rsid w:val="79D81EBF"/>
    <w:rsid w:val="79DE65C5"/>
    <w:rsid w:val="7A0D7A7E"/>
    <w:rsid w:val="7A223879"/>
    <w:rsid w:val="7A364017"/>
    <w:rsid w:val="7A3E00FB"/>
    <w:rsid w:val="7A3E0579"/>
    <w:rsid w:val="7A547400"/>
    <w:rsid w:val="7A781626"/>
    <w:rsid w:val="7A8265E1"/>
    <w:rsid w:val="7A8F7D01"/>
    <w:rsid w:val="7AB66252"/>
    <w:rsid w:val="7AEB5F60"/>
    <w:rsid w:val="7B03163F"/>
    <w:rsid w:val="7B686D42"/>
    <w:rsid w:val="7B841746"/>
    <w:rsid w:val="7BC82F05"/>
    <w:rsid w:val="7BDF5A57"/>
    <w:rsid w:val="7C6C5AC7"/>
    <w:rsid w:val="7CA0313B"/>
    <w:rsid w:val="7CAF6246"/>
    <w:rsid w:val="7CC272E3"/>
    <w:rsid w:val="7CC6544B"/>
    <w:rsid w:val="7CD12A78"/>
    <w:rsid w:val="7CD9227E"/>
    <w:rsid w:val="7CF8114B"/>
    <w:rsid w:val="7D0239FF"/>
    <w:rsid w:val="7D146DE8"/>
    <w:rsid w:val="7D405E05"/>
    <w:rsid w:val="7D5E40CD"/>
    <w:rsid w:val="7D7B6454"/>
    <w:rsid w:val="7DA57A41"/>
    <w:rsid w:val="7DB732B9"/>
    <w:rsid w:val="7DC618ED"/>
    <w:rsid w:val="7DCD56F2"/>
    <w:rsid w:val="7E250782"/>
    <w:rsid w:val="7E7B73BA"/>
    <w:rsid w:val="7EBE525E"/>
    <w:rsid w:val="7EF5354E"/>
    <w:rsid w:val="7F001CE7"/>
    <w:rsid w:val="7F852E05"/>
    <w:rsid w:val="7FE47E50"/>
    <w:rsid w:val="7FFB458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9" w:semiHidden="0" w:name="heading 2" w:locked="1"/>
    <w:lsdException w:qFormat="1" w:unhideWhenUsed="0" w:uiPriority="0" w:semiHidden="0" w:name="heading 3" w:locked="1"/>
    <w:lsdException w:qFormat="1" w:unhideWhenUsed="0" w:uiPriority="0" w:semiHidden="0" w:name="heading 4" w:locked="1"/>
    <w:lsdException w:qFormat="1" w:unhideWhenUsed="0" w:uiPriority="0" w:semiHidden="0" w:name="heading 5" w:locked="1"/>
    <w:lsdException w:qFormat="1" w:uiPriority="0" w:semiHidden="0" w:name="heading 6" w:locked="1"/>
    <w:lsdException w:qFormat="1" w:uiPriority="0" w:semiHidden="0" w:name="heading 7" w:locked="1"/>
    <w:lsdException w:qFormat="1" w:uiPriority="0" w:semiHidden="0" w:name="heading 8" w:locked="1"/>
    <w:lsdException w:qFormat="1" w:uiPriority="0" w:semiHidden="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iPriority="99" w:semiHidden="0" w:name="List"/>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qFormat="1" w:uiPriority="99" w:semiHidden="0" w:name="Salutation" w:locked="1"/>
    <w:lsdException w:unhideWhenUsed="0" w:uiPriority="0" w:semiHidden="0" w:name="Date"/>
    <w:lsdException w:qFormat="1" w:unhideWhenUsed="0" w:uiPriority="0" w:semiHidden="0" w:name="Body Text First Indent"/>
    <w:lsdException w:qFormat="1" w:uiPriority="0" w:semiHidden="0" w:name="Body Text First Indent 2" w:locked="1"/>
    <w:lsdException w:qFormat="1"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qFormat="1" w:unhideWhenUsed="0" w:uiPriority="0" w:semiHidden="0" w:name="FollowedHyperlink" w:locked="1"/>
    <w:lsdException w:qFormat="1" w:unhideWhenUsed="0" w:uiPriority="0" w:semiHidden="0" w:name="Strong" w:locked="1"/>
    <w:lsdException w:qFormat="1" w:unhideWhenUsed="0" w:uiPriority="0" w:semiHidden="0" w:name="Emphasis"/>
    <w:lsdException w:unhideWhenUsed="0" w:uiPriority="0" w:semiHidden="0" w:name="Document Map" w:locked="1"/>
    <w:lsdException w:qFormat="1" w:unhideWhenUsed="0" w:uiPriority="0" w:semiHidden="0" w:name="Plain Text"/>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unhideWhenUsed="0" w:uiPriority="0" w:semiHidden="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50"/>
    <w:qFormat/>
    <w:locked/>
    <w:uiPriority w:val="99"/>
    <w:pPr>
      <w:keepNext/>
      <w:numPr>
        <w:ilvl w:val="0"/>
        <w:numId w:val="1"/>
      </w:numPr>
      <w:tabs>
        <w:tab w:val="left" w:pos="420"/>
        <w:tab w:val="clear" w:pos="0"/>
      </w:tabs>
      <w:overflowPunct w:val="0"/>
      <w:snapToGrid w:val="0"/>
      <w:spacing w:line="360" w:lineRule="auto"/>
      <w:ind w:left="432" w:hanging="432"/>
      <w:jc w:val="center"/>
      <w:outlineLvl w:val="0"/>
    </w:pPr>
    <w:rPr>
      <w:rFonts w:ascii="Times New Roman" w:hAnsi="Times New Roman" w:eastAsia="宋体"/>
      <w:b/>
      <w:bCs/>
      <w:color w:val="000000"/>
      <w:kern w:val="44"/>
      <w:sz w:val="30"/>
      <w:szCs w:val="30"/>
    </w:rPr>
  </w:style>
  <w:style w:type="paragraph" w:styleId="3">
    <w:name w:val="heading 2"/>
    <w:basedOn w:val="1"/>
    <w:next w:val="1"/>
    <w:link w:val="61"/>
    <w:qFormat/>
    <w:locked/>
    <w:uiPriority w:val="9"/>
    <w:pPr>
      <w:keepNext/>
      <w:keepLines/>
      <w:numPr>
        <w:ilvl w:val="1"/>
        <w:numId w:val="1"/>
      </w:numPr>
      <w:spacing w:before="120" w:after="120" w:line="360" w:lineRule="auto"/>
      <w:ind w:left="0"/>
      <w:outlineLvl w:val="1"/>
    </w:pPr>
    <w:rPr>
      <w:rFonts w:ascii="Times New Roman" w:hAnsi="Times New Roman" w:eastAsia="宋体"/>
      <w:b/>
      <w:bCs/>
      <w:sz w:val="28"/>
      <w:szCs w:val="32"/>
    </w:rPr>
  </w:style>
  <w:style w:type="paragraph" w:styleId="4">
    <w:name w:val="heading 3"/>
    <w:basedOn w:val="1"/>
    <w:next w:val="1"/>
    <w:link w:val="63"/>
    <w:qFormat/>
    <w:locked/>
    <w:uiPriority w:val="0"/>
    <w:pPr>
      <w:keepNext/>
      <w:keepLines/>
      <w:numPr>
        <w:ilvl w:val="2"/>
        <w:numId w:val="1"/>
      </w:numPr>
      <w:tabs>
        <w:tab w:val="left" w:pos="420"/>
        <w:tab w:val="clear" w:pos="0"/>
      </w:tabs>
      <w:spacing w:before="120" w:after="120" w:line="360" w:lineRule="auto"/>
      <w:ind w:left="720" w:hanging="720"/>
      <w:outlineLvl w:val="2"/>
    </w:pPr>
    <w:rPr>
      <w:rFonts w:ascii="Times New Roman" w:hAnsi="Times New Roman" w:eastAsia="宋体"/>
      <w:b/>
      <w:bCs/>
      <w:sz w:val="24"/>
      <w:szCs w:val="32"/>
    </w:rPr>
  </w:style>
  <w:style w:type="paragraph" w:styleId="5">
    <w:name w:val="heading 4"/>
    <w:basedOn w:val="1"/>
    <w:next w:val="1"/>
    <w:link w:val="64"/>
    <w:qFormat/>
    <w:locked/>
    <w:uiPriority w:val="0"/>
    <w:pPr>
      <w:keepNext/>
      <w:keepLines/>
      <w:numPr>
        <w:ilvl w:val="3"/>
        <w:numId w:val="1"/>
      </w:numPr>
      <w:tabs>
        <w:tab w:val="left" w:pos="420"/>
        <w:tab w:val="clear" w:pos="0"/>
      </w:tabs>
      <w:spacing w:line="360" w:lineRule="auto"/>
      <w:ind w:left="864" w:hanging="864"/>
      <w:jc w:val="left"/>
      <w:outlineLvl w:val="3"/>
    </w:pPr>
    <w:rPr>
      <w:rFonts w:ascii="Times New Roman" w:hAnsi="Times New Roman" w:eastAsia="宋体"/>
      <w:b/>
      <w:bCs/>
      <w:sz w:val="24"/>
      <w:szCs w:val="28"/>
    </w:rPr>
  </w:style>
  <w:style w:type="paragraph" w:styleId="6">
    <w:name w:val="heading 5"/>
    <w:basedOn w:val="1"/>
    <w:next w:val="1"/>
    <w:link w:val="65"/>
    <w:qFormat/>
    <w:locked/>
    <w:uiPriority w:val="0"/>
    <w:pPr>
      <w:keepNext/>
      <w:keepLines/>
      <w:numPr>
        <w:ilvl w:val="4"/>
        <w:numId w:val="2"/>
      </w:numPr>
      <w:spacing w:before="280" w:after="290" w:line="376" w:lineRule="auto"/>
      <w:ind w:left="1366"/>
      <w:outlineLvl w:val="4"/>
    </w:pPr>
    <w:rPr>
      <w:b/>
      <w:bCs/>
      <w:sz w:val="28"/>
      <w:szCs w:val="28"/>
    </w:rPr>
  </w:style>
  <w:style w:type="paragraph" w:styleId="7">
    <w:name w:val="heading 6"/>
    <w:basedOn w:val="1"/>
    <w:next w:val="1"/>
    <w:unhideWhenUsed/>
    <w:qFormat/>
    <w:locked/>
    <w:uiPriority w:val="0"/>
    <w:pPr>
      <w:keepNext/>
      <w:keepLines/>
      <w:numPr>
        <w:ilvl w:val="5"/>
        <w:numId w:val="2"/>
      </w:numPr>
      <w:spacing w:before="240" w:after="64" w:line="317" w:lineRule="auto"/>
      <w:ind w:left="1509"/>
      <w:outlineLvl w:val="5"/>
    </w:pPr>
    <w:rPr>
      <w:rFonts w:ascii="Arial" w:hAnsi="Arial" w:eastAsia="黑体"/>
      <w:b/>
      <w:sz w:val="24"/>
    </w:rPr>
  </w:style>
  <w:style w:type="paragraph" w:styleId="8">
    <w:name w:val="heading 7"/>
    <w:basedOn w:val="1"/>
    <w:next w:val="1"/>
    <w:unhideWhenUsed/>
    <w:qFormat/>
    <w:locked/>
    <w:uiPriority w:val="0"/>
    <w:pPr>
      <w:keepNext/>
      <w:keepLines/>
      <w:numPr>
        <w:ilvl w:val="6"/>
        <w:numId w:val="2"/>
      </w:numPr>
      <w:spacing w:before="240" w:after="64" w:line="317" w:lineRule="auto"/>
      <w:ind w:left="1654"/>
      <w:outlineLvl w:val="6"/>
    </w:pPr>
    <w:rPr>
      <w:b/>
      <w:sz w:val="24"/>
    </w:rPr>
  </w:style>
  <w:style w:type="paragraph" w:styleId="9">
    <w:name w:val="heading 8"/>
    <w:basedOn w:val="1"/>
    <w:next w:val="1"/>
    <w:unhideWhenUsed/>
    <w:qFormat/>
    <w:locked/>
    <w:uiPriority w:val="0"/>
    <w:pPr>
      <w:keepNext/>
      <w:keepLines/>
      <w:numPr>
        <w:ilvl w:val="7"/>
        <w:numId w:val="3"/>
      </w:numPr>
      <w:spacing w:before="240" w:after="64" w:line="317" w:lineRule="auto"/>
      <w:ind w:left="1440"/>
      <w:outlineLvl w:val="7"/>
    </w:pPr>
    <w:rPr>
      <w:rFonts w:ascii="Arial" w:hAnsi="Arial" w:eastAsia="黑体"/>
      <w:sz w:val="24"/>
    </w:rPr>
  </w:style>
  <w:style w:type="paragraph" w:styleId="10">
    <w:name w:val="heading 9"/>
    <w:basedOn w:val="1"/>
    <w:next w:val="1"/>
    <w:unhideWhenUsed/>
    <w:qFormat/>
    <w:locked/>
    <w:uiPriority w:val="0"/>
    <w:pPr>
      <w:keepNext/>
      <w:keepLines/>
      <w:numPr>
        <w:ilvl w:val="8"/>
        <w:numId w:val="4"/>
      </w:numPr>
      <w:spacing w:before="240" w:after="64" w:line="317" w:lineRule="auto"/>
      <w:ind w:left="1941"/>
      <w:outlineLvl w:val="8"/>
    </w:pPr>
    <w:rPr>
      <w:rFonts w:ascii="Arial" w:hAnsi="Arial" w:eastAsia="黑体"/>
    </w:rPr>
  </w:style>
  <w:style w:type="character" w:default="1" w:styleId="28">
    <w:name w:val="Default Paragraph Font"/>
    <w:unhideWhenUsed/>
    <w:qFormat/>
    <w:uiPriority w:val="1"/>
  </w:style>
  <w:style w:type="table" w:default="1" w:styleId="32">
    <w:name w:val="Normal Table"/>
    <w:unhideWhenUsed/>
    <w:qFormat/>
    <w:uiPriority w:val="99"/>
    <w:pPr>
      <w:keepNext w:val="0"/>
      <w:keepLines w:val="0"/>
      <w:widowControl/>
      <w:suppressLineNumbers w:val="0"/>
      <w:spacing w:before="0" w:beforeAutospacing="0" w:after="0" w:afterAutospacing="0"/>
      <w:ind w:left="0" w:right="0"/>
    </w:pPr>
    <w:rPr>
      <w:rFonts w:hint="default" w:ascii="Calibri" w:hAnsi="Calibri" w:cs="Times New Roman"/>
      <w:sz w:val="20"/>
      <w:szCs w:val="20"/>
    </w:rPr>
    <w:tblPr>
      <w:tblLayout w:type="fixed"/>
      <w:tblCellMar>
        <w:top w:w="0" w:type="dxa"/>
        <w:left w:w="108" w:type="dxa"/>
        <w:bottom w:w="0" w:type="dxa"/>
        <w:right w:w="108" w:type="dxa"/>
      </w:tblCellMar>
    </w:tblPr>
  </w:style>
  <w:style w:type="paragraph" w:styleId="11">
    <w:name w:val="Body Text First Indent"/>
    <w:basedOn w:val="12"/>
    <w:next w:val="1"/>
    <w:qFormat/>
    <w:uiPriority w:val="0"/>
    <w:pPr>
      <w:ind w:firstLine="420" w:firstLineChars="100"/>
    </w:pPr>
  </w:style>
  <w:style w:type="paragraph" w:styleId="12">
    <w:name w:val="Body Text"/>
    <w:basedOn w:val="1"/>
    <w:next w:val="1"/>
    <w:link w:val="55"/>
    <w:qFormat/>
    <w:uiPriority w:val="0"/>
    <w:pPr>
      <w:spacing w:after="120" w:afterLines="0" w:afterAutospacing="0"/>
    </w:pPr>
  </w:style>
  <w:style w:type="paragraph" w:styleId="13">
    <w:name w:val="Note Heading"/>
    <w:basedOn w:val="1"/>
    <w:next w:val="1"/>
    <w:qFormat/>
    <w:locked/>
    <w:uiPriority w:val="0"/>
    <w:pPr>
      <w:jc w:val="center"/>
    </w:pPr>
  </w:style>
  <w:style w:type="paragraph" w:styleId="14">
    <w:name w:val="Normal Indent"/>
    <w:basedOn w:val="1"/>
    <w:qFormat/>
    <w:uiPriority w:val="0"/>
    <w:pPr>
      <w:ind w:firstLine="420"/>
    </w:pPr>
  </w:style>
  <w:style w:type="paragraph" w:styleId="15">
    <w:name w:val="annotation text"/>
    <w:basedOn w:val="1"/>
    <w:qFormat/>
    <w:uiPriority w:val="0"/>
  </w:style>
  <w:style w:type="paragraph" w:styleId="16">
    <w:name w:val="Salutation"/>
    <w:next w:val="1"/>
    <w:unhideWhenUsed/>
    <w:qFormat/>
    <w:locked/>
    <w:uiPriority w:val="99"/>
    <w:pPr>
      <w:widowControl w:val="0"/>
      <w:spacing w:line="307" w:lineRule="auto"/>
      <w:jc w:val="both"/>
    </w:pPr>
    <w:rPr>
      <w:rFonts w:ascii="Times New Roman" w:hAnsi="Times New Roman" w:eastAsia="宋体" w:cs="Times New Roman"/>
      <w:kern w:val="2"/>
      <w:sz w:val="21"/>
      <w:szCs w:val="24"/>
      <w:lang w:val="en-US" w:eastAsia="zh-CN" w:bidi="ar-SA"/>
    </w:rPr>
  </w:style>
  <w:style w:type="paragraph" w:styleId="17">
    <w:name w:val="Body Text Indent"/>
    <w:basedOn w:val="1"/>
    <w:qFormat/>
    <w:uiPriority w:val="0"/>
    <w:pPr>
      <w:spacing w:after="120"/>
      <w:ind w:left="420" w:leftChars="200"/>
    </w:pPr>
    <w:rPr>
      <w:kern w:val="0"/>
      <w:sz w:val="24"/>
      <w:szCs w:val="20"/>
    </w:rPr>
  </w:style>
  <w:style w:type="paragraph" w:styleId="18">
    <w:name w:val="Plain Text"/>
    <w:basedOn w:val="1"/>
    <w:next w:val="1"/>
    <w:qFormat/>
    <w:uiPriority w:val="0"/>
    <w:pPr>
      <w:spacing w:line="360" w:lineRule="auto"/>
      <w:jc w:val="both"/>
    </w:pPr>
    <w:rPr>
      <w:rFonts w:ascii="Times New Roman" w:hAnsi="Times New Roman" w:eastAsia="宋体"/>
      <w:color w:val="000000"/>
      <w:sz w:val="24"/>
      <w:szCs w:val="20"/>
    </w:rPr>
  </w:style>
  <w:style w:type="paragraph" w:styleId="19">
    <w:name w:val="Balloon Text"/>
    <w:basedOn w:val="1"/>
    <w:next w:val="12"/>
    <w:semiHidden/>
    <w:qFormat/>
    <w:uiPriority w:val="0"/>
    <w:rPr>
      <w:kern w:val="0"/>
      <w:sz w:val="18"/>
      <w:szCs w:val="20"/>
    </w:rPr>
  </w:style>
  <w:style w:type="paragraph" w:styleId="20">
    <w:name w:val="footer"/>
    <w:basedOn w:val="1"/>
    <w:link w:val="54"/>
    <w:qFormat/>
    <w:uiPriority w:val="0"/>
    <w:pPr>
      <w:tabs>
        <w:tab w:val="center" w:pos="4153"/>
        <w:tab w:val="right" w:pos="8306"/>
      </w:tabs>
      <w:snapToGrid w:val="0"/>
    </w:pPr>
    <w:rPr>
      <w:sz w:val="18"/>
    </w:rPr>
  </w:style>
  <w:style w:type="paragraph" w:styleId="21">
    <w:name w:val="Body Text First Indent 2"/>
    <w:basedOn w:val="17"/>
    <w:next w:val="1"/>
    <w:unhideWhenUsed/>
    <w:qFormat/>
    <w:locked/>
    <w:uiPriority w:val="0"/>
    <w:pPr>
      <w:ind w:firstLine="420"/>
    </w:pPr>
    <w:rPr>
      <w:rFonts w:cs="Times New Roman"/>
    </w:rPr>
  </w:style>
  <w:style w:type="paragraph" w:styleId="22">
    <w:name w:val="header"/>
    <w:basedOn w:val="1"/>
    <w:link w:val="57"/>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pPr>
    <w:rPr>
      <w:sz w:val="18"/>
    </w:rPr>
  </w:style>
  <w:style w:type="paragraph" w:styleId="23">
    <w:name w:val="toc 1"/>
    <w:basedOn w:val="1"/>
    <w:next w:val="1"/>
    <w:qFormat/>
    <w:locked/>
    <w:uiPriority w:val="0"/>
    <w:pPr>
      <w:spacing w:line="360" w:lineRule="auto"/>
    </w:pPr>
    <w:rPr>
      <w:rFonts w:ascii="Times New Roman" w:hAnsi="Times New Roman" w:eastAsia="宋体"/>
      <w:sz w:val="24"/>
    </w:rPr>
  </w:style>
  <w:style w:type="paragraph" w:styleId="24">
    <w:name w:val="List"/>
    <w:basedOn w:val="1"/>
    <w:unhideWhenUsed/>
    <w:qFormat/>
    <w:uiPriority w:val="99"/>
    <w:pPr>
      <w:ind w:left="200" w:hanging="200" w:hangingChars="200"/>
      <w:contextualSpacing/>
    </w:pPr>
  </w:style>
  <w:style w:type="paragraph" w:styleId="25">
    <w:name w:val="toc 2"/>
    <w:basedOn w:val="1"/>
    <w:next w:val="1"/>
    <w:qFormat/>
    <w:locked/>
    <w:uiPriority w:val="0"/>
    <w:pPr>
      <w:spacing w:line="360" w:lineRule="auto"/>
      <w:ind w:left="420" w:leftChars="200"/>
    </w:pPr>
    <w:rPr>
      <w:rFonts w:ascii="Times New Roman" w:hAnsi="Times New Roman" w:eastAsia="宋体"/>
      <w:sz w:val="24"/>
    </w:rPr>
  </w:style>
  <w:style w:type="paragraph" w:styleId="26">
    <w:name w:val="Normal (Web)"/>
    <w:basedOn w:val="1"/>
    <w:qFormat/>
    <w:uiPriority w:val="0"/>
    <w:pPr>
      <w:spacing w:before="0" w:beforeAutospacing="1" w:after="0" w:afterAutospacing="1"/>
      <w:ind w:left="0" w:right="0"/>
      <w:jc w:val="left"/>
    </w:pPr>
    <w:rPr>
      <w:kern w:val="0"/>
      <w:sz w:val="24"/>
      <w:lang w:val="en-US" w:eastAsia="zh-CN" w:bidi="ar"/>
    </w:rPr>
  </w:style>
  <w:style w:type="paragraph" w:styleId="27">
    <w:name w:val="Title"/>
    <w:basedOn w:val="1"/>
    <w:next w:val="1"/>
    <w:link w:val="34"/>
    <w:qFormat/>
    <w:locked/>
    <w:uiPriority w:val="0"/>
    <w:pPr>
      <w:spacing w:before="240" w:after="60"/>
      <w:jc w:val="center"/>
      <w:outlineLvl w:val="0"/>
    </w:pPr>
    <w:rPr>
      <w:rFonts w:ascii="Cambria" w:hAnsi="Cambria"/>
      <w:b/>
      <w:bCs/>
      <w:sz w:val="32"/>
      <w:szCs w:val="32"/>
    </w:rPr>
  </w:style>
  <w:style w:type="character" w:styleId="29">
    <w:name w:val="page number"/>
    <w:basedOn w:val="28"/>
    <w:qFormat/>
    <w:locked/>
    <w:uiPriority w:val="0"/>
  </w:style>
  <w:style w:type="character" w:styleId="30">
    <w:name w:val="FollowedHyperlink"/>
    <w:basedOn w:val="28"/>
    <w:qFormat/>
    <w:locked/>
    <w:uiPriority w:val="0"/>
    <w:rPr>
      <w:color w:val="800080"/>
      <w:u w:val="single"/>
    </w:rPr>
  </w:style>
  <w:style w:type="character" w:styleId="31">
    <w:name w:val="Hyperlink"/>
    <w:basedOn w:val="28"/>
    <w:qFormat/>
    <w:locked/>
    <w:uiPriority w:val="0"/>
    <w:rPr>
      <w:color w:val="0000FF"/>
      <w:u w:val="single"/>
    </w:rPr>
  </w:style>
  <w:style w:type="table" w:styleId="33">
    <w:name w:val="Table Grid"/>
    <w:basedOn w:val="3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34">
    <w:name w:val="标题 Char"/>
    <w:link w:val="27"/>
    <w:qFormat/>
    <w:uiPriority w:val="0"/>
    <w:rPr>
      <w:rFonts w:ascii="Cambria" w:hAnsi="Cambria"/>
      <w:b/>
      <w:bCs/>
      <w:sz w:val="32"/>
      <w:szCs w:val="32"/>
    </w:rPr>
  </w:style>
  <w:style w:type="paragraph" w:customStyle="1" w:styleId="35">
    <w:name w:val="表格标题"/>
    <w:basedOn w:val="36"/>
    <w:next w:val="37"/>
    <w:link w:val="46"/>
    <w:qFormat/>
    <w:uiPriority w:val="0"/>
    <w:pPr>
      <w:numPr>
        <w:ilvl w:val="7"/>
        <w:numId w:val="1"/>
      </w:numPr>
      <w:tabs>
        <w:tab w:val="left" w:pos="420"/>
        <w:tab w:val="clear" w:pos="0"/>
      </w:tabs>
      <w:spacing w:before="50" w:beforeLines="50" w:line="240" w:lineRule="auto"/>
      <w:ind w:left="0" w:firstLine="0" w:firstLineChars="0"/>
      <w:jc w:val="center"/>
    </w:pPr>
    <w:rPr>
      <w:rFonts w:ascii="Times New Roman" w:hAnsi="Times New Roman" w:eastAsia="宋体"/>
      <w:b/>
      <w:bCs/>
      <w:color w:val="auto"/>
      <w:szCs w:val="21"/>
    </w:rPr>
  </w:style>
  <w:style w:type="paragraph" w:customStyle="1" w:styleId="36">
    <w:name w:val="闽创报告正文"/>
    <w:link w:val="66"/>
    <w:qFormat/>
    <w:uiPriority w:val="0"/>
    <w:pPr>
      <w:widowControl w:val="0"/>
      <w:tabs>
        <w:tab w:val="left" w:pos="0"/>
      </w:tabs>
      <w:autoSpaceDE w:val="0"/>
      <w:autoSpaceDN w:val="0"/>
      <w:spacing w:line="360" w:lineRule="auto"/>
      <w:ind w:firstLine="200" w:firstLineChars="200"/>
      <w:jc w:val="both"/>
    </w:pPr>
    <w:rPr>
      <w:rFonts w:ascii="Times New Roman" w:hAnsi="Times New Roman" w:eastAsia="宋体" w:cs="宋体"/>
      <w:color w:val="FF0000"/>
      <w:kern w:val="0"/>
      <w:sz w:val="24"/>
      <w:szCs w:val="20"/>
      <w:lang w:val="zh-CN" w:eastAsia="zh-CN" w:bidi="ar-SA"/>
    </w:rPr>
  </w:style>
  <w:style w:type="paragraph" w:customStyle="1" w:styleId="37">
    <w:name w:val="表格内容"/>
    <w:basedOn w:val="24"/>
    <w:next w:val="1"/>
    <w:link w:val="52"/>
    <w:qFormat/>
    <w:uiPriority w:val="0"/>
    <w:pPr>
      <w:numPr>
        <w:ilvl w:val="0"/>
        <w:numId w:val="0"/>
      </w:numPr>
      <w:spacing w:line="240" w:lineRule="auto"/>
      <w:ind w:left="0" w:firstLine="0" w:firstLineChars="0"/>
      <w:jc w:val="center"/>
    </w:pPr>
    <w:rPr>
      <w:rFonts w:ascii="Times New Roman" w:hAnsi="Times New Roman" w:eastAsia="宋体" w:cs="Times New Roman"/>
      <w:sz w:val="21"/>
    </w:rPr>
  </w:style>
  <w:style w:type="paragraph" w:customStyle="1" w:styleId="38">
    <w:name w:val="图文标题"/>
    <w:basedOn w:val="1"/>
    <w:next w:val="1"/>
    <w:link w:val="67"/>
    <w:qFormat/>
    <w:uiPriority w:val="0"/>
    <w:pPr>
      <w:numPr>
        <w:ilvl w:val="8"/>
        <w:numId w:val="1"/>
      </w:numPr>
      <w:spacing w:line="360" w:lineRule="auto"/>
      <w:ind w:left="1583" w:hanging="1583" w:firstLineChars="0"/>
      <w:jc w:val="center"/>
    </w:pPr>
    <w:rPr>
      <w:rFonts w:ascii="Times New Roman" w:hAnsi="Times New Roman" w:eastAsia="宋体"/>
      <w:b/>
      <w:bCs/>
      <w:color w:val="auto"/>
      <w:sz w:val="24"/>
      <w:szCs w:val="21"/>
    </w:rPr>
  </w:style>
  <w:style w:type="character" w:customStyle="1" w:styleId="39">
    <w:name w:val="表格标题 Char2"/>
    <w:link w:val="35"/>
    <w:qFormat/>
    <w:uiPriority w:val="0"/>
    <w:rPr>
      <w:rFonts w:ascii="Times New Roman" w:hAnsi="Times New Roman" w:eastAsia="宋体"/>
      <w:b/>
      <w:bCs/>
      <w:color w:val="auto"/>
      <w:szCs w:val="21"/>
    </w:rPr>
  </w:style>
  <w:style w:type="character" w:customStyle="1" w:styleId="40">
    <w:name w:val="报告正文 Char"/>
    <w:link w:val="36"/>
    <w:qFormat/>
    <w:uiPriority w:val="0"/>
    <w:rPr>
      <w:rFonts w:ascii="Times New Roman" w:hAnsi="Times New Roman" w:eastAsia="宋体" w:cs="宋体"/>
      <w:color w:val="FF0000"/>
      <w:kern w:val="0"/>
      <w:sz w:val="24"/>
      <w:szCs w:val="20"/>
      <w:lang w:val="zh-CN" w:eastAsia="zh-CN" w:bidi="ar-SA"/>
    </w:rPr>
  </w:style>
  <w:style w:type="character" w:customStyle="1" w:styleId="41">
    <w:name w:val="标题 1 字符"/>
    <w:link w:val="2"/>
    <w:qFormat/>
    <w:uiPriority w:val="0"/>
    <w:rPr>
      <w:rFonts w:ascii="Times New Roman" w:hAnsi="Times New Roman" w:eastAsia="宋体"/>
      <w:b/>
      <w:bCs/>
      <w:color w:val="000000"/>
      <w:kern w:val="44"/>
      <w:sz w:val="30"/>
      <w:szCs w:val="30"/>
    </w:rPr>
  </w:style>
  <w:style w:type="character" w:customStyle="1" w:styleId="42">
    <w:name w:val="标题 2 字符"/>
    <w:link w:val="3"/>
    <w:qFormat/>
    <w:uiPriority w:val="0"/>
    <w:rPr>
      <w:rFonts w:ascii="Times New Roman" w:hAnsi="Times New Roman" w:eastAsia="宋体"/>
      <w:b/>
      <w:bCs/>
      <w:sz w:val="28"/>
      <w:szCs w:val="32"/>
    </w:rPr>
  </w:style>
  <w:style w:type="character" w:customStyle="1" w:styleId="43">
    <w:name w:val="标题 3 字符"/>
    <w:link w:val="4"/>
    <w:qFormat/>
    <w:uiPriority w:val="0"/>
    <w:rPr>
      <w:rFonts w:ascii="Times New Roman" w:hAnsi="Times New Roman" w:eastAsia="宋体"/>
      <w:b/>
      <w:bCs/>
      <w:sz w:val="24"/>
      <w:szCs w:val="32"/>
    </w:rPr>
  </w:style>
  <w:style w:type="character" w:customStyle="1" w:styleId="44">
    <w:name w:val="标题 4 字符"/>
    <w:link w:val="5"/>
    <w:qFormat/>
    <w:uiPriority w:val="9"/>
    <w:rPr>
      <w:rFonts w:ascii="Times New Roman" w:hAnsi="Times New Roman" w:eastAsia="宋体"/>
      <w:b/>
      <w:bCs/>
      <w:sz w:val="24"/>
      <w:szCs w:val="28"/>
    </w:rPr>
  </w:style>
  <w:style w:type="character" w:customStyle="1" w:styleId="45">
    <w:name w:val="标题 5 字符"/>
    <w:link w:val="6"/>
    <w:qFormat/>
    <w:uiPriority w:val="9"/>
    <w:rPr>
      <w:b/>
      <w:bCs/>
      <w:sz w:val="28"/>
      <w:szCs w:val="28"/>
    </w:rPr>
  </w:style>
  <w:style w:type="character" w:customStyle="1" w:styleId="46">
    <w:name w:val="表格标题 Char1"/>
    <w:link w:val="35"/>
    <w:qFormat/>
    <w:uiPriority w:val="0"/>
    <w:rPr>
      <w:rFonts w:ascii="Times New Roman" w:hAnsi="Times New Roman" w:eastAsia="宋体"/>
      <w:b/>
      <w:bCs/>
      <w:color w:val="auto"/>
      <w:szCs w:val="21"/>
    </w:rPr>
  </w:style>
  <w:style w:type="character" w:customStyle="1" w:styleId="47">
    <w:name w:val="图文标题 Char"/>
    <w:link w:val="38"/>
    <w:qFormat/>
    <w:uiPriority w:val="0"/>
    <w:rPr>
      <w:rFonts w:ascii="Times New Roman" w:hAnsi="Times New Roman" w:eastAsia="宋体"/>
      <w:b/>
      <w:bCs/>
      <w:color w:val="auto"/>
      <w:sz w:val="24"/>
      <w:szCs w:val="21"/>
    </w:rPr>
  </w:style>
  <w:style w:type="character" w:customStyle="1" w:styleId="48">
    <w:name w:val="表格内容 Char1"/>
    <w:link w:val="37"/>
    <w:qFormat/>
    <w:uiPriority w:val="0"/>
    <w:rPr>
      <w:rFonts w:ascii="Times New Roman" w:hAnsi="Times New Roman" w:eastAsia="宋体" w:cs="Times New Roman"/>
      <w:sz w:val="21"/>
    </w:rPr>
  </w:style>
  <w:style w:type="paragraph" w:customStyle="1" w:styleId="49">
    <w:name w:val="表格标题无编号"/>
    <w:qFormat/>
    <w:uiPriority w:val="0"/>
    <w:pPr>
      <w:widowControl w:val="0"/>
      <w:numPr>
        <w:ilvl w:val="7"/>
        <w:numId w:val="0"/>
      </w:numPr>
      <w:autoSpaceDE w:val="0"/>
      <w:autoSpaceDN w:val="0"/>
      <w:spacing w:line="360" w:lineRule="auto"/>
      <w:ind w:left="1440" w:hanging="1440" w:firstLineChars="0"/>
      <w:jc w:val="center"/>
      <w:outlineLvl w:val="9"/>
    </w:pPr>
    <w:rPr>
      <w:rFonts w:ascii="Times New Roman" w:hAnsi="Times New Roman" w:eastAsia="宋体" w:cs="宋体"/>
      <w:b/>
      <w:kern w:val="0"/>
      <w:sz w:val="24"/>
      <w:szCs w:val="22"/>
      <w:lang w:val="zh-CN" w:eastAsia="zh-CN" w:bidi="ar-SA"/>
    </w:rPr>
  </w:style>
  <w:style w:type="character" w:customStyle="1" w:styleId="50">
    <w:name w:val="标题 1 Char"/>
    <w:link w:val="2"/>
    <w:qFormat/>
    <w:uiPriority w:val="99"/>
    <w:rPr>
      <w:rFonts w:ascii="Times New Roman" w:hAnsi="Times New Roman" w:eastAsia="宋体"/>
      <w:b/>
      <w:bCs/>
      <w:color w:val="000000"/>
      <w:kern w:val="44"/>
      <w:sz w:val="30"/>
      <w:szCs w:val="30"/>
    </w:rPr>
  </w:style>
  <w:style w:type="paragraph" w:customStyle="1" w:styleId="51">
    <w:name w:val="正文(首行缩进)"/>
    <w:qFormat/>
    <w:uiPriority w:val="0"/>
    <w:pPr>
      <w:widowControl w:val="0"/>
      <w:adjustRightInd w:val="0"/>
      <w:snapToGrid w:val="0"/>
      <w:spacing w:line="360" w:lineRule="auto"/>
      <w:ind w:firstLine="200" w:firstLineChars="200"/>
      <w:jc w:val="both"/>
    </w:pPr>
    <w:rPr>
      <w:rFonts w:ascii="Calibri" w:hAnsi="Calibri" w:eastAsia="宋体" w:cs="Times New Roman"/>
      <w:snapToGrid w:val="0"/>
      <w:kern w:val="2"/>
      <w:sz w:val="24"/>
      <w:szCs w:val="24"/>
      <w:lang w:val="en-US" w:eastAsia="zh-CN" w:bidi="ar-SA"/>
    </w:rPr>
  </w:style>
  <w:style w:type="character" w:customStyle="1" w:styleId="52">
    <w:name w:val="表格内容 Char"/>
    <w:link w:val="37"/>
    <w:qFormat/>
    <w:uiPriority w:val="0"/>
    <w:rPr>
      <w:rFonts w:ascii="Times New Roman" w:hAnsi="Times New Roman" w:eastAsia="宋体" w:cs="Times New Roman"/>
      <w:sz w:val="21"/>
    </w:rPr>
  </w:style>
  <w:style w:type="paragraph" w:customStyle="1" w:styleId="53">
    <w:name w:val="表格"/>
    <w:basedOn w:val="1"/>
    <w:next w:val="1"/>
    <w:link w:val="56"/>
    <w:qFormat/>
    <w:uiPriority w:val="0"/>
    <w:pPr>
      <w:adjustRightInd w:val="0"/>
      <w:snapToGrid w:val="0"/>
      <w:spacing w:beforeLines="10" w:afterLines="10" w:line="259" w:lineRule="auto"/>
      <w:jc w:val="center"/>
    </w:pPr>
    <w:rPr>
      <w:rFonts w:ascii="宋体"/>
      <w:kern w:val="0"/>
      <w:szCs w:val="20"/>
    </w:rPr>
  </w:style>
  <w:style w:type="character" w:customStyle="1" w:styleId="54">
    <w:name w:val="页脚 Char"/>
    <w:link w:val="20"/>
    <w:qFormat/>
    <w:locked/>
    <w:uiPriority w:val="99"/>
    <w:rPr>
      <w:sz w:val="18"/>
    </w:rPr>
  </w:style>
  <w:style w:type="character" w:customStyle="1" w:styleId="55">
    <w:name w:val="正文文本 Char"/>
    <w:link w:val="12"/>
    <w:qFormat/>
    <w:locked/>
    <w:uiPriority w:val="0"/>
  </w:style>
  <w:style w:type="character" w:customStyle="1" w:styleId="56">
    <w:name w:val="表格 Char"/>
    <w:link w:val="53"/>
    <w:qFormat/>
    <w:locked/>
    <w:uiPriority w:val="0"/>
    <w:rPr>
      <w:rFonts w:ascii="宋体"/>
      <w:sz w:val="21"/>
    </w:rPr>
  </w:style>
  <w:style w:type="character" w:customStyle="1" w:styleId="57">
    <w:name w:val="页眉 Char"/>
    <w:link w:val="22"/>
    <w:qFormat/>
    <w:locked/>
    <w:uiPriority w:val="0"/>
    <w:rPr>
      <w:sz w:val="18"/>
    </w:rPr>
  </w:style>
  <w:style w:type="paragraph" w:customStyle="1" w:styleId="58">
    <w:name w:val="标题3"/>
    <w:basedOn w:val="1"/>
    <w:qFormat/>
    <w:uiPriority w:val="0"/>
    <w:pPr>
      <w:spacing w:line="360" w:lineRule="auto"/>
      <w:outlineLvl w:val="2"/>
    </w:pPr>
    <w:rPr>
      <w:b/>
      <w:sz w:val="24"/>
    </w:rPr>
  </w:style>
  <w:style w:type="paragraph" w:customStyle="1" w:styleId="59">
    <w:name w:val="Table Paragraph"/>
    <w:basedOn w:val="1"/>
    <w:link w:val="60"/>
    <w:qFormat/>
    <w:uiPriority w:val="1"/>
    <w:rPr>
      <w:rFonts w:ascii="宋体" w:hAnsi="宋体" w:eastAsia="宋体" w:cs="宋体"/>
      <w:lang w:val="zh-CN" w:eastAsia="zh-CN" w:bidi="zh-CN"/>
    </w:rPr>
  </w:style>
  <w:style w:type="character" w:customStyle="1" w:styleId="60">
    <w:name w:val="Table Paragraph Char"/>
    <w:link w:val="59"/>
    <w:qFormat/>
    <w:uiPriority w:val="1"/>
    <w:rPr>
      <w:rFonts w:ascii="宋体" w:hAnsi="宋体" w:eastAsia="宋体" w:cs="宋体"/>
      <w:lang w:val="zh-CN" w:eastAsia="zh-CN" w:bidi="zh-CN"/>
    </w:rPr>
  </w:style>
  <w:style w:type="character" w:customStyle="1" w:styleId="61">
    <w:name w:val="标题 2 Char"/>
    <w:link w:val="3"/>
    <w:qFormat/>
    <w:uiPriority w:val="9"/>
    <w:rPr>
      <w:rFonts w:ascii="Times New Roman" w:hAnsi="Times New Roman" w:eastAsia="宋体"/>
      <w:b/>
      <w:bCs/>
      <w:sz w:val="28"/>
      <w:szCs w:val="32"/>
    </w:rPr>
  </w:style>
  <w:style w:type="paragraph" w:customStyle="1" w:styleId="62">
    <w:name w:val="WPSOffice手动目录 1"/>
    <w:qFormat/>
    <w:uiPriority w:val="0"/>
    <w:pPr>
      <w:ind w:leftChars="0"/>
    </w:pPr>
    <w:rPr>
      <w:rFonts w:ascii="Times New Roman" w:hAnsi="Times New Roman" w:eastAsia="宋体" w:cs="Times New Roman"/>
      <w:sz w:val="20"/>
      <w:szCs w:val="20"/>
    </w:rPr>
  </w:style>
  <w:style w:type="character" w:customStyle="1" w:styleId="63">
    <w:name w:val="标题 3 Char"/>
    <w:link w:val="4"/>
    <w:semiHidden/>
    <w:qFormat/>
    <w:uiPriority w:val="0"/>
    <w:rPr>
      <w:rFonts w:ascii="Times New Roman" w:hAnsi="Times New Roman" w:eastAsia="宋体"/>
      <w:b/>
      <w:bCs/>
      <w:sz w:val="24"/>
      <w:szCs w:val="32"/>
    </w:rPr>
  </w:style>
  <w:style w:type="character" w:customStyle="1" w:styleId="64">
    <w:name w:val="标题 4 Char"/>
    <w:link w:val="5"/>
    <w:semiHidden/>
    <w:qFormat/>
    <w:uiPriority w:val="0"/>
    <w:rPr>
      <w:rFonts w:ascii="Times New Roman" w:hAnsi="Times New Roman" w:eastAsia="宋体"/>
      <w:b/>
      <w:bCs/>
      <w:sz w:val="24"/>
      <w:szCs w:val="28"/>
    </w:rPr>
  </w:style>
  <w:style w:type="character" w:customStyle="1" w:styleId="65">
    <w:name w:val="标题 5 Char"/>
    <w:link w:val="6"/>
    <w:semiHidden/>
    <w:qFormat/>
    <w:uiPriority w:val="0"/>
    <w:rPr>
      <w:b/>
      <w:bCs/>
      <w:sz w:val="28"/>
      <w:szCs w:val="28"/>
    </w:rPr>
  </w:style>
  <w:style w:type="character" w:customStyle="1" w:styleId="66">
    <w:name w:val="闽创报告正文 Char"/>
    <w:link w:val="36"/>
    <w:qFormat/>
    <w:uiPriority w:val="0"/>
    <w:rPr>
      <w:rFonts w:ascii="Times New Roman" w:hAnsi="Times New Roman" w:eastAsia="宋体" w:cs="宋体"/>
      <w:color w:val="FF0000"/>
      <w:kern w:val="0"/>
      <w:sz w:val="24"/>
      <w:szCs w:val="20"/>
      <w:lang w:val="zh-CN" w:eastAsia="zh-CN" w:bidi="ar-SA"/>
    </w:rPr>
  </w:style>
  <w:style w:type="character" w:customStyle="1" w:styleId="67">
    <w:name w:val="图文标题 Char1"/>
    <w:link w:val="38"/>
    <w:qFormat/>
    <w:uiPriority w:val="0"/>
    <w:rPr>
      <w:rFonts w:ascii="Times New Roman" w:hAnsi="Times New Roman" w:eastAsia="宋体"/>
      <w:b/>
      <w:bCs/>
      <w:color w:val="auto"/>
      <w:sz w:val="24"/>
      <w:szCs w:val="21"/>
    </w:rPr>
  </w:style>
  <w:style w:type="paragraph" w:customStyle="1" w:styleId="68">
    <w:name w:val="注释"/>
    <w:qFormat/>
    <w:uiPriority w:val="0"/>
    <w:pPr>
      <w:widowControl w:val="0"/>
      <w:adjustRightInd w:val="0"/>
      <w:snapToGrid w:val="0"/>
      <w:spacing w:line="360" w:lineRule="auto"/>
      <w:jc w:val="both"/>
      <w:textAlignment w:val="baseline"/>
    </w:pPr>
    <w:rPr>
      <w:rFonts w:ascii="Calibri" w:hAnsi="Calibri" w:eastAsia="宋体" w:cs="宋体"/>
      <w:snapToGrid w:val="0"/>
      <w:spacing w:val="4"/>
      <w:sz w:val="24"/>
      <w:szCs w:val="21"/>
      <w:lang w:val="en-US" w:eastAsia="zh-CN" w:bidi="ar-SA"/>
    </w:rPr>
  </w:style>
  <w:style w:type="paragraph" w:customStyle="1" w:styleId="69">
    <w:name w:val="闽创报告正文（段前0.5行）"/>
    <w:basedOn w:val="36"/>
    <w:next w:val="36"/>
    <w:qFormat/>
    <w:uiPriority w:val="0"/>
    <w:pPr>
      <w:spacing w:before="50" w:beforeLines="50"/>
    </w:pPr>
    <w:rPr>
      <w:rFonts w:hint="eastAsia" w:ascii="Times New Roman" w:hAnsi="Times New Roman"/>
      <w:color w:val="auto"/>
    </w:rPr>
  </w:style>
  <w:style w:type="paragraph" w:customStyle="1" w:styleId="70">
    <w:name w:val="环评 表格"/>
    <w:qFormat/>
    <w:uiPriority w:val="0"/>
    <w:pPr>
      <w:widowControl w:val="0"/>
      <w:pBdr>
        <w:top w:val="none" w:color="auto" w:sz="0" w:space="1"/>
        <w:left w:val="dashed" w:color="FFFFFF" w:sz="4" w:space="4"/>
        <w:bottom w:val="none" w:color="auto" w:sz="0" w:space="1"/>
        <w:right w:val="dashed" w:color="FFFFFF" w:sz="4" w:space="4"/>
      </w:pBdr>
      <w:jc w:val="center"/>
    </w:pPr>
    <w:rPr>
      <w:rFonts w:ascii="Calibri" w:hAnsi="Calibri" w:eastAsia="宋体" w:cs="Calibri"/>
      <w:kern w:val="2"/>
      <w:sz w:val="21"/>
      <w:szCs w:val="21"/>
      <w:lang w:val="en-US" w:eastAsia="en-US" w:bidi="ar-SA"/>
    </w:rPr>
  </w:style>
  <w:style w:type="character" w:customStyle="1" w:styleId="71">
    <w:name w:val="font11"/>
    <w:basedOn w:val="28"/>
    <w:qFormat/>
    <w:uiPriority w:val="0"/>
    <w:rPr>
      <w:rFonts w:hint="default" w:ascii="Times New Roman" w:hAnsi="Times New Roman" w:cs="Times New Roman"/>
      <w:color w:val="0000FF"/>
      <w:sz w:val="21"/>
      <w:szCs w:val="21"/>
      <w:u w:val="none"/>
    </w:rPr>
  </w:style>
  <w:style w:type="paragraph" w:customStyle="1" w:styleId="72">
    <w:name w:val="16正文"/>
    <w:basedOn w:val="1"/>
    <w:qFormat/>
    <w:uiPriority w:val="0"/>
    <w:pPr>
      <w:widowControl/>
      <w:shd w:val="clear" w:color="auto" w:fill="FFFFFF"/>
      <w:spacing w:after="50" w:afterLines="50" w:line="360" w:lineRule="auto"/>
      <w:ind w:firstLine="880" w:firstLineChars="200"/>
      <w:jc w:val="left"/>
    </w:pPr>
    <w:rPr>
      <w:rFonts w:hint="eastAsia" w:ascii="Times New Roman" w:hAnsi="Times New Roman" w:eastAsia="宋体" w:cs="黑体"/>
      <w:bCs/>
      <w:color w:val="000000" w:themeColor="text1"/>
      <w:kern w:val="0"/>
      <w:sz w:val="24"/>
      <w:szCs w:val="24"/>
      <w14:textFill>
        <w14:solidFill>
          <w14:schemeClr w14:val="tx1"/>
        </w14:solidFill>
      </w14:textFill>
    </w:rPr>
  </w:style>
  <w:style w:type="paragraph" w:customStyle="1" w:styleId="73">
    <w:name w:val="6表文（锐）"/>
    <w:basedOn w:val="74"/>
    <w:qFormat/>
    <w:uiPriority w:val="0"/>
    <w:pPr>
      <w:topLinePunct/>
      <w:spacing w:line="240" w:lineRule="auto"/>
      <w:ind w:firstLine="0" w:firstLineChars="0"/>
      <w:jc w:val="center"/>
    </w:pPr>
    <w:rPr>
      <w:rFonts w:ascii="Times New Roman" w:hAnsi="Times New Roman" w:eastAsia="宋体" w:cs="Times New Roman"/>
      <w:color w:val="FF0000"/>
      <w:sz w:val="21"/>
      <w:szCs w:val="21"/>
    </w:rPr>
  </w:style>
  <w:style w:type="paragraph" w:customStyle="1" w:styleId="74">
    <w:name w:val="7正文（锐）"/>
    <w:basedOn w:val="1"/>
    <w:qFormat/>
    <w:uiPriority w:val="0"/>
    <w:pPr>
      <w:topLinePunct/>
      <w:spacing w:line="360" w:lineRule="auto"/>
      <w:ind w:firstLine="480" w:firstLineChars="200"/>
    </w:pPr>
    <w:rPr>
      <w:rFonts w:ascii="Times New Roman" w:hAnsi="Times New Roman" w:eastAsia="宋体" w:cs="Times New Roman"/>
      <w:sz w:val="24"/>
      <w:szCs w:val="24"/>
    </w:rPr>
  </w:style>
  <w:style w:type="paragraph" w:customStyle="1" w:styleId="75">
    <w:name w:val="章1正文样式"/>
    <w:basedOn w:val="1"/>
    <w:qFormat/>
    <w:uiPriority w:val="0"/>
    <w:pPr>
      <w:adjustRightInd w:val="0"/>
      <w:snapToGrid w:val="0"/>
      <w:spacing w:line="360" w:lineRule="auto"/>
      <w:ind w:firstLine="720" w:firstLineChars="200"/>
    </w:pPr>
    <w:rPr>
      <w:rFonts w:hint="eastAsia" w:ascii="Times New Roman" w:hAnsi="Times New Roman" w:eastAsia="宋体" w:cs="Times New Roman"/>
      <w:sz w:val="24"/>
      <w:szCs w:val="21"/>
    </w:rPr>
  </w:style>
  <w:style w:type="paragraph" w:customStyle="1" w:styleId="76">
    <w:name w:val="表格名称"/>
    <w:basedOn w:val="1"/>
    <w:next w:val="77"/>
    <w:qFormat/>
    <w:uiPriority w:val="0"/>
    <w:pPr>
      <w:widowControl/>
      <w:snapToGrid w:val="0"/>
      <w:jc w:val="center"/>
    </w:pPr>
    <w:rPr>
      <w:rFonts w:hint="default" w:ascii="Times New Roman" w:hAnsi="Times New Roman"/>
      <w:b/>
      <w:kern w:val="0"/>
      <w:sz w:val="24"/>
      <w:szCs w:val="20"/>
    </w:rPr>
  </w:style>
  <w:style w:type="paragraph" w:customStyle="1" w:styleId="77">
    <w:name w:val="表格内文字"/>
    <w:basedOn w:val="76"/>
    <w:next w:val="1"/>
    <w:qFormat/>
    <w:uiPriority w:val="99"/>
    <w:pPr>
      <w:widowControl w:val="0"/>
      <w:adjustRightInd w:val="0"/>
      <w:snapToGrid w:val="0"/>
    </w:pPr>
    <w:rPr>
      <w:rFonts w:ascii="Times New Roman" w:hAnsi="Times New Roman" w:eastAsia="宋体" w:cs="Times New Roman"/>
      <w:spacing w:val="6"/>
      <w:sz w:val="21"/>
      <w:szCs w:val="24"/>
      <w:lang w:val="en-US" w:eastAsia="zh-CN" w:bidi="ar-SA"/>
    </w:rPr>
  </w:style>
  <w:style w:type="paragraph" w:customStyle="1" w:styleId="78">
    <w:name w:val="表格文本"/>
    <w:basedOn w:val="1"/>
    <w:qFormat/>
    <w:uiPriority w:val="0"/>
    <w:pPr>
      <w:autoSpaceDE w:val="0"/>
      <w:autoSpaceDN w:val="0"/>
      <w:spacing w:line="320" w:lineRule="exact"/>
      <w:jc w:val="center"/>
      <w:textAlignment w:val="baseline"/>
    </w:pPr>
    <w:rPr>
      <w:rFonts w:ascii="Times New Roman" w:hAnsi="Times New Roman" w:eastAsia="宋体"/>
      <w:kern w:val="0"/>
      <w:sz w:val="21"/>
      <w:szCs w:val="20"/>
    </w:rPr>
  </w:style>
  <w:style w:type="paragraph" w:customStyle="1" w:styleId="79">
    <w:name w:val="6表格"/>
    <w:basedOn w:val="1"/>
    <w:qFormat/>
    <w:uiPriority w:val="0"/>
    <w:pPr>
      <w:jc w:val="center"/>
    </w:pPr>
  </w:style>
  <w:style w:type="character" w:customStyle="1" w:styleId="80">
    <w:name w:val="font91"/>
    <w:basedOn w:val="28"/>
    <w:qFormat/>
    <w:uiPriority w:val="0"/>
    <w:rPr>
      <w:rFonts w:hint="eastAsia" w:ascii="宋体" w:hAnsi="宋体" w:eastAsia="宋体" w:cs="宋体"/>
      <w:color w:val="000000"/>
      <w:sz w:val="20"/>
      <w:szCs w:val="20"/>
      <w:u w:val="none"/>
    </w:rPr>
  </w:style>
  <w:style w:type="character" w:customStyle="1" w:styleId="81">
    <w:name w:val="font31"/>
    <w:basedOn w:val="28"/>
    <w:qFormat/>
    <w:uiPriority w:val="0"/>
    <w:rPr>
      <w:rFonts w:hint="default" w:ascii="Times New Roman" w:hAnsi="Times New Roman" w:cs="Times New Roman"/>
      <w:color w:val="000000"/>
      <w:sz w:val="20"/>
      <w:szCs w:val="20"/>
      <w:u w:val="none"/>
    </w:rPr>
  </w:style>
  <w:style w:type="character" w:customStyle="1" w:styleId="82">
    <w:name w:val="font51"/>
    <w:basedOn w:val="28"/>
    <w:qFormat/>
    <w:uiPriority w:val="0"/>
    <w:rPr>
      <w:rFonts w:hint="eastAsia" w:ascii="宋体" w:hAnsi="宋体" w:eastAsia="宋体" w:cs="宋体"/>
      <w:color w:val="000000"/>
      <w:sz w:val="20"/>
      <w:szCs w:val="20"/>
      <w:u w:val="none"/>
      <w:vertAlign w:val="subscript"/>
    </w:rPr>
  </w:style>
  <w:style w:type="character" w:customStyle="1" w:styleId="83">
    <w:name w:val="font01"/>
    <w:basedOn w:val="28"/>
    <w:qFormat/>
    <w:uiPriority w:val="0"/>
    <w:rPr>
      <w:rFonts w:hint="eastAsia" w:ascii="宋体" w:hAnsi="宋体" w:eastAsia="宋体" w:cs="宋体"/>
      <w:color w:val="000000"/>
      <w:sz w:val="22"/>
      <w:szCs w:val="22"/>
      <w:u w:val="none"/>
    </w:rPr>
  </w:style>
  <w:style w:type="character" w:customStyle="1" w:styleId="84">
    <w:name w:val="font41"/>
    <w:basedOn w:val="28"/>
    <w:qFormat/>
    <w:uiPriority w:val="0"/>
    <w:rPr>
      <w:rFonts w:hint="eastAsia" w:ascii="宋体" w:hAnsi="宋体" w:eastAsia="宋体" w:cs="宋体"/>
      <w:color w:val="000000"/>
      <w:sz w:val="21"/>
      <w:szCs w:val="21"/>
      <w:u w:val="none"/>
    </w:rPr>
  </w:style>
  <w:style w:type="paragraph" w:customStyle="1" w:styleId="85">
    <w:name w:val="默认段落字体 Para Char Char Char Char"/>
    <w:basedOn w:val="1"/>
    <w:qFormat/>
    <w:uiPriority w:val="0"/>
    <w:pPr>
      <w:ind w:firstLine="0"/>
    </w:pPr>
    <w:rPr>
      <w:rFonts w:eastAsia="宋体"/>
      <w:sz w:val="24"/>
      <w:szCs w:val="24"/>
    </w:rPr>
  </w:style>
  <w:style w:type="paragraph" w:customStyle="1" w:styleId="86">
    <w:name w:val="Normal (Web)"/>
    <w:basedOn w:val="1"/>
    <w:qFormat/>
    <w:uiPriority w:val="0"/>
    <w:pPr>
      <w:spacing w:before="100" w:beforeAutospacing="1" w:after="100" w:afterAutospacing="1"/>
      <w:ind w:left="0" w:right="0"/>
      <w:jc w:val="left"/>
    </w:pPr>
    <w:rPr>
      <w:kern w:val="0"/>
      <w:sz w:val="24"/>
      <w:lang w:val="en-US" w:eastAsia="zh-CN"/>
    </w:rPr>
  </w:style>
  <w:style w:type="paragraph" w:customStyle="1" w:styleId="87">
    <w:name w:val="小标题"/>
    <w:basedOn w:val="1"/>
    <w:next w:val="1"/>
    <w:qFormat/>
    <w:uiPriority w:val="0"/>
    <w:pPr>
      <w:keepNext/>
      <w:keepLines/>
      <w:spacing w:before="260" w:beforeLines="0" w:after="260" w:afterLines="0" w:line="240" w:lineRule="auto"/>
      <w:outlineLvl w:val="1"/>
    </w:pPr>
    <w:rPr>
      <w:rFonts w:ascii="Times New Roman" w:hAnsi="Times New Roman" w:eastAsia="宋体"/>
      <w:b/>
      <w:bCs/>
      <w:color w:val="000000"/>
      <w:spacing w:val="6"/>
      <w:sz w:val="24"/>
    </w:rPr>
  </w:style>
  <w:style w:type="paragraph" w:customStyle="1" w:styleId="88">
    <w:name w:val="表格标题（）"/>
    <w:basedOn w:val="1"/>
    <w:qFormat/>
    <w:uiPriority w:val="0"/>
    <w:pPr>
      <w:widowControl w:val="0"/>
      <w:adjustRightInd/>
      <w:snapToGrid/>
      <w:spacing w:line="240" w:lineRule="auto"/>
      <w:ind w:firstLine="0" w:firstLineChars="0"/>
      <w:jc w:val="center"/>
    </w:pPr>
    <w:rPr>
      <w:rFonts w:eastAsia="黑体"/>
      <w:color w:val="000000"/>
      <w:lang w:val="zh-CN" w:bidi="he-IL"/>
    </w:rPr>
  </w:style>
  <w:style w:type="paragraph" w:customStyle="1" w:styleId="89">
    <w:name w:val="表格固定文字"/>
    <w:basedOn w:val="1"/>
    <w:qFormat/>
    <w:uiPriority w:val="0"/>
    <w:pPr>
      <w:ind w:firstLine="0"/>
    </w:pPr>
    <w:rPr>
      <w:rFonts w:eastAsia="宋体"/>
      <w:sz w:val="21"/>
      <w:szCs w:val="24"/>
    </w:rPr>
  </w:style>
  <w:style w:type="paragraph" w:customStyle="1" w:styleId="90">
    <w:name w:val="表正文"/>
    <w:basedOn w:val="1"/>
    <w:qFormat/>
    <w:uiPriority w:val="99"/>
    <w:pPr>
      <w:widowControl/>
      <w:spacing w:line="360" w:lineRule="auto"/>
      <w:ind w:firstLine="200" w:firstLineChars="200"/>
      <w:jc w:val="left"/>
    </w:pPr>
    <w:rPr>
      <w:sz w:val="24"/>
    </w:rPr>
  </w:style>
  <w:style w:type="paragraph" w:customStyle="1" w:styleId="91">
    <w:name w:val="表格字体"/>
    <w:qFormat/>
    <w:uiPriority w:val="0"/>
    <w:pPr>
      <w:snapToGrid w:val="0"/>
      <w:jc w:val="center"/>
    </w:pPr>
    <w:rPr>
      <w:rFonts w:ascii="Times New Roman" w:hAnsi="Times New Roman" w:eastAsia="宋体" w:cs="Times New Roman"/>
      <w:kern w:val="2"/>
      <w:sz w:val="21"/>
      <w:lang w:val="en-US" w:eastAsia="zh-CN" w:bidi="ar-SA"/>
    </w:rPr>
  </w:style>
  <w:style w:type="paragraph" w:customStyle="1" w:styleId="92">
    <w:name w:val="zhang正文"/>
    <w:basedOn w:val="17"/>
    <w:next w:val="1"/>
    <w:qFormat/>
    <w:uiPriority w:val="0"/>
    <w:pPr>
      <w:autoSpaceDE w:val="0"/>
      <w:autoSpaceDN w:val="0"/>
      <w:adjustRightInd w:val="0"/>
      <w:snapToGrid w:val="0"/>
      <w:spacing w:line="500" w:lineRule="exact"/>
      <w:ind w:firstLine="539"/>
      <w:textAlignment w:val="baseline"/>
    </w:pPr>
    <w:rPr>
      <w:rFonts w:eastAsia="楷体_GB2312"/>
      <w:kern w:val="0"/>
    </w:rPr>
  </w:style>
  <w:style w:type="paragraph" w:customStyle="1" w:styleId="93">
    <w:name w:val="5文章(治)"/>
    <w:basedOn w:val="1"/>
    <w:qFormat/>
    <w:uiPriority w:val="0"/>
    <w:pPr>
      <w:keepNext w:val="0"/>
      <w:keepLines w:val="0"/>
      <w:widowControl w:val="0"/>
      <w:suppressLineNumbers w:val="0"/>
      <w:spacing w:before="0" w:beforeAutospacing="0" w:after="0" w:afterAutospacing="0" w:line="360" w:lineRule="auto"/>
      <w:ind w:left="0" w:right="0" w:firstLine="560" w:firstLineChars="200"/>
      <w:jc w:val="both"/>
    </w:pPr>
    <w:rPr>
      <w:rFonts w:hint="default" w:ascii="Times New Roman" w:hAnsi="Times New Roman" w:eastAsia="宋体" w:cs="Times New Roman"/>
      <w:kern w:val="2"/>
      <w:sz w:val="24"/>
      <w:szCs w:val="20"/>
      <w:lang w:val="en-US" w:eastAsia="zh-CN" w:bidi="ar-SA"/>
    </w:rPr>
  </w:style>
  <w:style w:type="paragraph" w:customStyle="1" w:styleId="94">
    <w:name w:val="样式 首行缩进:  2 字符1"/>
    <w:basedOn w:val="1"/>
    <w:qFormat/>
    <w:uiPriority w:val="0"/>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pPr>
    <w:rPr>
      <w:rFonts w:hint="eastAsia" w:ascii="宋体" w:hAnsi="宋体" w:eastAsia="宋体" w:cs="Times New Roman"/>
      <w:kern w:val="2"/>
      <w:sz w:val="24"/>
      <w:szCs w:val="20"/>
      <w:lang w:val="en-US" w:eastAsia="zh-CN" w:bidi="ar-SA"/>
    </w:rPr>
  </w:style>
  <w:style w:type="paragraph" w:customStyle="1" w:styleId="95">
    <w:name w:val="正文（无网格）"/>
    <w:basedOn w:val="1"/>
    <w:qFormat/>
    <w:uiPriority w:val="0"/>
    <w:pPr>
      <w:adjustRightInd w:val="0"/>
      <w:snapToGrid w:val="0"/>
      <w:spacing w:line="360" w:lineRule="auto"/>
      <w:ind w:firstLine="480" w:firstLineChars="200"/>
    </w:pPr>
    <w:rPr>
      <w:rFonts w:cs="宋体"/>
      <w:sz w:val="24"/>
      <w:szCs w:val="20"/>
    </w:rPr>
  </w:style>
  <w:style w:type="paragraph" w:customStyle="1" w:styleId="96">
    <w:name w:val="0正文"/>
    <w:basedOn w:val="17"/>
    <w:unhideWhenUsed/>
    <w:qFormat/>
    <w:uiPriority w:val="0"/>
    <w:pPr>
      <w:widowControl w:val="0"/>
      <w:spacing w:line="360" w:lineRule="auto"/>
      <w:ind w:firstLine="720" w:firstLineChars="200"/>
    </w:pPr>
    <w:rPr>
      <w:rFonts w:ascii="Times New Roman" w:hAnsi="Times New Roman" w:eastAsia="宋体" w:cs="Times New Roman"/>
      <w:sz w:val="24"/>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6" Type="http://schemas.openxmlformats.org/officeDocument/2006/relationships/fontTable" Target="fontTable.xml"/><Relationship Id="rId85" Type="http://schemas.microsoft.com/office/2006/relationships/keyMapCustomizations" Target="customizations.xml"/><Relationship Id="rId84" Type="http://schemas.openxmlformats.org/officeDocument/2006/relationships/numbering" Target="numbering.xml"/><Relationship Id="rId83" Type="http://schemas.openxmlformats.org/officeDocument/2006/relationships/customXml" Target="../customXml/item1.xml"/><Relationship Id="rId82" Type="http://schemas.openxmlformats.org/officeDocument/2006/relationships/image" Target="media/image64.jpeg"/><Relationship Id="rId81" Type="http://schemas.openxmlformats.org/officeDocument/2006/relationships/image" Target="media/image63.jpeg"/><Relationship Id="rId80" Type="http://schemas.openxmlformats.org/officeDocument/2006/relationships/image" Target="media/image62.jpeg"/><Relationship Id="rId8" Type="http://schemas.openxmlformats.org/officeDocument/2006/relationships/footer" Target="footer4.xml"/><Relationship Id="rId79" Type="http://schemas.openxmlformats.org/officeDocument/2006/relationships/image" Target="media/image61.png"/><Relationship Id="rId78" Type="http://schemas.openxmlformats.org/officeDocument/2006/relationships/image" Target="media/image60.png"/><Relationship Id="rId77" Type="http://schemas.openxmlformats.org/officeDocument/2006/relationships/image" Target="media/image59.png"/><Relationship Id="rId76" Type="http://schemas.openxmlformats.org/officeDocument/2006/relationships/image" Target="media/image58.png"/><Relationship Id="rId75" Type="http://schemas.openxmlformats.org/officeDocument/2006/relationships/image" Target="media/image57.png"/><Relationship Id="rId74" Type="http://schemas.openxmlformats.org/officeDocument/2006/relationships/image" Target="media/image56.jpeg"/><Relationship Id="rId73" Type="http://schemas.openxmlformats.org/officeDocument/2006/relationships/image" Target="media/image55.jpeg"/><Relationship Id="rId72" Type="http://schemas.openxmlformats.org/officeDocument/2006/relationships/image" Target="media/image54.jpeg"/><Relationship Id="rId71" Type="http://schemas.openxmlformats.org/officeDocument/2006/relationships/image" Target="media/image53.jpeg"/><Relationship Id="rId70" Type="http://schemas.openxmlformats.org/officeDocument/2006/relationships/image" Target="media/image52.jpeg"/><Relationship Id="rId7" Type="http://schemas.openxmlformats.org/officeDocument/2006/relationships/footer" Target="footer3.xml"/><Relationship Id="rId69" Type="http://schemas.openxmlformats.org/officeDocument/2006/relationships/image" Target="media/image51.jpeg"/><Relationship Id="rId68" Type="http://schemas.openxmlformats.org/officeDocument/2006/relationships/image" Target="media/image50.jpeg"/><Relationship Id="rId67" Type="http://schemas.openxmlformats.org/officeDocument/2006/relationships/image" Target="media/image49.jpeg"/><Relationship Id="rId66" Type="http://schemas.openxmlformats.org/officeDocument/2006/relationships/image" Target="media/image48.jpeg"/><Relationship Id="rId65" Type="http://schemas.openxmlformats.org/officeDocument/2006/relationships/image" Target="media/image47.jpeg"/><Relationship Id="rId64" Type="http://schemas.openxmlformats.org/officeDocument/2006/relationships/image" Target="media/image46.jpeg"/><Relationship Id="rId63" Type="http://schemas.openxmlformats.org/officeDocument/2006/relationships/image" Target="media/image45.jpeg"/><Relationship Id="rId62" Type="http://schemas.openxmlformats.org/officeDocument/2006/relationships/image" Target="media/image44.jpeg"/><Relationship Id="rId61" Type="http://schemas.openxmlformats.org/officeDocument/2006/relationships/image" Target="media/image43.jpeg"/><Relationship Id="rId60" Type="http://schemas.openxmlformats.org/officeDocument/2006/relationships/image" Target="media/image42.jpeg"/><Relationship Id="rId6" Type="http://schemas.openxmlformats.org/officeDocument/2006/relationships/footer" Target="footer2.xml"/><Relationship Id="rId59" Type="http://schemas.openxmlformats.org/officeDocument/2006/relationships/image" Target="media/image41.jpeg"/><Relationship Id="rId58" Type="http://schemas.openxmlformats.org/officeDocument/2006/relationships/image" Target="media/image40.jpeg"/><Relationship Id="rId57" Type="http://schemas.openxmlformats.org/officeDocument/2006/relationships/image" Target="media/image39.jpeg"/><Relationship Id="rId56" Type="http://schemas.openxmlformats.org/officeDocument/2006/relationships/image" Target="media/image38.jpeg"/><Relationship Id="rId55" Type="http://schemas.openxmlformats.org/officeDocument/2006/relationships/image" Target="media/image37.jpeg"/><Relationship Id="rId54" Type="http://schemas.openxmlformats.org/officeDocument/2006/relationships/image" Target="media/image36.jpeg"/><Relationship Id="rId53" Type="http://schemas.openxmlformats.org/officeDocument/2006/relationships/image" Target="media/image35.png"/><Relationship Id="rId52" Type="http://schemas.openxmlformats.org/officeDocument/2006/relationships/image" Target="media/image34.png"/><Relationship Id="rId51" Type="http://schemas.openxmlformats.org/officeDocument/2006/relationships/image" Target="media/image33.jpeg"/><Relationship Id="rId50" Type="http://schemas.openxmlformats.org/officeDocument/2006/relationships/image" Target="media/image32.png"/><Relationship Id="rId5" Type="http://schemas.openxmlformats.org/officeDocument/2006/relationships/header" Target="header2.xml"/><Relationship Id="rId49" Type="http://schemas.openxmlformats.org/officeDocument/2006/relationships/image" Target="media/image31.png"/><Relationship Id="rId48" Type="http://schemas.openxmlformats.org/officeDocument/2006/relationships/image" Target="media/image30.png"/><Relationship Id="rId47" Type="http://schemas.openxmlformats.org/officeDocument/2006/relationships/image" Target="media/image29.jpeg"/><Relationship Id="rId46" Type="http://schemas.openxmlformats.org/officeDocument/2006/relationships/image" Target="media/image28.jpeg"/><Relationship Id="rId45" Type="http://schemas.openxmlformats.org/officeDocument/2006/relationships/image" Target="media/image27.jpeg"/><Relationship Id="rId44" Type="http://schemas.openxmlformats.org/officeDocument/2006/relationships/image" Target="media/image26.jpeg"/><Relationship Id="rId43" Type="http://schemas.openxmlformats.org/officeDocument/2006/relationships/image" Target="media/image25.jpeg"/><Relationship Id="rId42" Type="http://schemas.openxmlformats.org/officeDocument/2006/relationships/image" Target="media/image24.jpeg"/><Relationship Id="rId41" Type="http://schemas.openxmlformats.org/officeDocument/2006/relationships/image" Target="media/image23.png"/><Relationship Id="rId40" Type="http://schemas.openxmlformats.org/officeDocument/2006/relationships/image" Target="media/image22.png"/><Relationship Id="rId4" Type="http://schemas.openxmlformats.org/officeDocument/2006/relationships/footer" Target="footer1.xml"/><Relationship Id="rId39" Type="http://schemas.openxmlformats.org/officeDocument/2006/relationships/image" Target="media/image21.png"/><Relationship Id="rId38" Type="http://schemas.openxmlformats.org/officeDocument/2006/relationships/image" Target="media/image20.jpeg"/><Relationship Id="rId37" Type="http://schemas.openxmlformats.org/officeDocument/2006/relationships/image" Target="media/image19.wmf"/><Relationship Id="rId36" Type="http://schemas.openxmlformats.org/officeDocument/2006/relationships/oleObject" Target="embeddings/oleObject8.bin"/><Relationship Id="rId35" Type="http://schemas.openxmlformats.org/officeDocument/2006/relationships/image" Target="media/image18.wmf"/><Relationship Id="rId34" Type="http://schemas.openxmlformats.org/officeDocument/2006/relationships/oleObject" Target="embeddings/oleObject7.bin"/><Relationship Id="rId33" Type="http://schemas.openxmlformats.org/officeDocument/2006/relationships/image" Target="media/image17.wmf"/><Relationship Id="rId32" Type="http://schemas.openxmlformats.org/officeDocument/2006/relationships/oleObject" Target="embeddings/oleObject6.bin"/><Relationship Id="rId31" Type="http://schemas.openxmlformats.org/officeDocument/2006/relationships/image" Target="media/image16.wmf"/><Relationship Id="rId30" Type="http://schemas.openxmlformats.org/officeDocument/2006/relationships/oleObject" Target="embeddings/oleObject5.bin"/><Relationship Id="rId3" Type="http://schemas.openxmlformats.org/officeDocument/2006/relationships/header" Target="header1.xml"/><Relationship Id="rId29" Type="http://schemas.openxmlformats.org/officeDocument/2006/relationships/image" Target="media/image15.wmf"/><Relationship Id="rId28" Type="http://schemas.openxmlformats.org/officeDocument/2006/relationships/oleObject" Target="embeddings/oleObject4.bin"/><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jpeg"/><Relationship Id="rId22" Type="http://schemas.openxmlformats.org/officeDocument/2006/relationships/image" Target="media/image9.png"/><Relationship Id="rId21" Type="http://schemas.openxmlformats.org/officeDocument/2006/relationships/image" Target="media/image8.emf"/><Relationship Id="rId20" Type="http://schemas.openxmlformats.org/officeDocument/2006/relationships/oleObject" Target="embeddings/oleObject3.bin"/><Relationship Id="rId2" Type="http://schemas.openxmlformats.org/officeDocument/2006/relationships/settings" Target="settings.xml"/><Relationship Id="rId19" Type="http://schemas.openxmlformats.org/officeDocument/2006/relationships/image" Target="media/image7.emf"/><Relationship Id="rId18" Type="http://schemas.openxmlformats.org/officeDocument/2006/relationships/oleObject" Target="embeddings/oleObject2.bin"/><Relationship Id="rId17" Type="http://schemas.openxmlformats.org/officeDocument/2006/relationships/image" Target="media/image6.emf"/><Relationship Id="rId16" Type="http://schemas.openxmlformats.org/officeDocument/2006/relationships/oleObject" Target="embeddings/oleObject1.bin"/><Relationship Id="rId15" Type="http://schemas.openxmlformats.org/officeDocument/2006/relationships/image" Target="media/image5.pn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159</Pages>
  <Words>79909</Words>
  <Characters>92100</Characters>
  <Lines>187</Lines>
  <Paragraphs>52</Paragraphs>
  <TotalTime>0</TotalTime>
  <ScaleCrop>false</ScaleCrop>
  <LinksUpToDate>false</LinksUpToDate>
  <CharactersWithSpaces>92815</CharactersWithSpaces>
  <Application>WPS Office_10.1.0.6930_F1E327BC-269C-435d-A152-05C5408002CA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amdin</cp:lastModifiedBy>
  <cp:lastPrinted>2025-02-12T06:27:00Z</cp:lastPrinted>
  <dcterms:modified xsi:type="dcterms:W3CDTF">2025-04-28T06:35:47Z</dcterms:modified>
  <dc:title>附件2</dc:title>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2052-10.1.0.6930</vt:lpwstr>
  </property>
  <property fmtid="{D5CDD505-2E9C-101B-9397-08002B2CF9AE}" pid="3" name="ICV">
    <vt:lpwstr>303F2A0924E342E58FC5482169EB7226_13</vt:lpwstr>
  </property>
  <property fmtid="{D5CDD505-2E9C-101B-9397-08002B2CF9AE}" pid="4" name="KSOTemplateDocerSaveRecord">
    <vt:lpwstr>eyJoZGlkIjoiN2M5NjYzMWM3MGVmNjRjNGNjYTgwMDhhZjVmM2IwZWEiLCJ1c2VySWQiOiIxOTg2MTUwOTUifQ==</vt:lpwstr>
  </property>
</Properties>
</file>