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30B95E">
      <w:pPr>
        <w:pStyle w:val="2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anchor distT="0" distB="0" distL="114300" distR="114300" simplePos="0" relativeHeight="251674624" behindDoc="0" locked="0" layoutInCell="1" allowOverlap="1">
            <wp:simplePos x="0" y="0"/>
            <wp:positionH relativeFrom="column">
              <wp:posOffset>-1114425</wp:posOffset>
            </wp:positionH>
            <wp:positionV relativeFrom="paragraph">
              <wp:posOffset>-923925</wp:posOffset>
            </wp:positionV>
            <wp:extent cx="7533640" cy="10693400"/>
            <wp:effectExtent l="0" t="0" r="10160" b="12700"/>
            <wp:wrapNone/>
            <wp:docPr id="78" name="图片 78" descr="建设项目环境影响报告表(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建设项目环境影响报告表(2)_00"/>
                    <pic:cNvPicPr>
                      <a:picLocks noChangeAspect="1"/>
                    </pic:cNvPicPr>
                  </pic:nvPicPr>
                  <pic:blipFill>
                    <a:blip r:embed="rId10"/>
                    <a:stretch>
                      <a:fillRect/>
                    </a:stretch>
                  </pic:blipFill>
                  <pic:spPr>
                    <a:xfrm>
                      <a:off x="0" y="0"/>
                      <a:ext cx="7533640" cy="10693400"/>
                    </a:xfrm>
                    <a:prstGeom prst="rect">
                      <a:avLst/>
                    </a:prstGeom>
                  </pic:spPr>
                </pic:pic>
              </a:graphicData>
            </a:graphic>
          </wp:anchor>
        </w:drawing>
      </w:r>
    </w:p>
    <w:p w14:paraId="57B586F3">
      <w:pPr>
        <w:pStyle w:val="27"/>
        <w:bidi w:val="0"/>
        <w:rPr>
          <w:rFonts w:hint="default" w:ascii="Times New Roman" w:hAnsi="Times New Roman" w:cs="Times New Roman"/>
          <w:color w:val="auto"/>
          <w:lang w:eastAsia="zh-CN"/>
        </w:rPr>
      </w:pPr>
    </w:p>
    <w:p w14:paraId="3AB91ED4">
      <w:pPr>
        <w:pStyle w:val="27"/>
        <w:bidi w:val="0"/>
        <w:rPr>
          <w:rFonts w:hint="default" w:ascii="Times New Roman" w:hAnsi="Times New Roman" w:cs="Times New Roman"/>
          <w:color w:val="auto"/>
          <w:lang w:eastAsia="zh-CN"/>
        </w:rPr>
      </w:pPr>
    </w:p>
    <w:p w14:paraId="4118DC8C">
      <w:pPr>
        <w:pStyle w:val="27"/>
        <w:bidi w:val="0"/>
        <w:rPr>
          <w:rFonts w:hint="default" w:ascii="Times New Roman" w:hAnsi="Times New Roman" w:cs="Times New Roman"/>
          <w:color w:val="auto"/>
          <w:lang w:eastAsia="zh-CN"/>
        </w:rPr>
      </w:pPr>
    </w:p>
    <w:p w14:paraId="176D38CD">
      <w:pPr>
        <w:pStyle w:val="27"/>
        <w:bidi w:val="0"/>
        <w:rPr>
          <w:rFonts w:hint="default" w:ascii="Times New Roman" w:hAnsi="Times New Roman" w:cs="Times New Roman"/>
          <w:color w:val="auto"/>
          <w:lang w:eastAsia="zh-CN"/>
        </w:rPr>
      </w:pPr>
    </w:p>
    <w:p w14:paraId="078E120B">
      <w:pPr>
        <w:pStyle w:val="27"/>
        <w:bidi w:val="0"/>
        <w:rPr>
          <w:rFonts w:hint="default" w:ascii="Times New Roman" w:hAnsi="Times New Roman" w:cs="Times New Roman"/>
          <w:color w:val="auto"/>
          <w:lang w:eastAsia="zh-CN"/>
        </w:rPr>
      </w:pPr>
    </w:p>
    <w:p w14:paraId="6816F90C">
      <w:pPr>
        <w:rPr>
          <w:rFonts w:hint="default" w:ascii="Times New Roman" w:hAnsi="Times New Roman" w:eastAsia="仿宋_GB2312" w:cs="Times New Roman"/>
          <w:color w:val="auto"/>
          <w:sz w:val="36"/>
          <w:szCs w:val="36"/>
        </w:rPr>
      </w:pPr>
    </w:p>
    <w:p w14:paraId="22C6A4A3">
      <w:pPr>
        <w:rPr>
          <w:rFonts w:hint="default" w:ascii="Times New Roman" w:hAnsi="Times New Roman" w:eastAsia="仿宋_GB2312" w:cs="Times New Roman"/>
          <w:color w:val="auto"/>
          <w:sz w:val="36"/>
          <w:szCs w:val="36"/>
        </w:rPr>
      </w:pPr>
    </w:p>
    <w:p w14:paraId="3EF364B8">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3214"/>
      <w:bookmarkStart w:id="1" w:name="_Toc803"/>
      <w:bookmarkStart w:id="2" w:name="_Toc27613"/>
      <w:bookmarkStart w:id="3" w:name="_Toc15676"/>
      <w:bookmarkStart w:id="4" w:name="_Toc1974"/>
      <w:bookmarkStart w:id="5" w:name="_Toc30154"/>
      <w:bookmarkStart w:id="6" w:name="_Toc32324"/>
      <w:bookmarkStart w:id="7" w:name="_Toc14362"/>
      <w:bookmarkStart w:id="8" w:name="_Toc27804"/>
      <w:bookmarkStart w:id="9" w:name="_Toc4640"/>
      <w:bookmarkStart w:id="10" w:name="_Toc24579"/>
      <w:bookmarkStart w:id="11" w:name="_Toc6307"/>
      <w:bookmarkStart w:id="12" w:name="_Toc15774"/>
      <w:bookmarkStart w:id="13" w:name="_Toc10718"/>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bookmarkEnd w:id="13"/>
    </w:p>
    <w:p w14:paraId="63F97F8A">
      <w:pPr>
        <w:adjustRightInd w:val="0"/>
        <w:snapToGrid w:val="0"/>
        <w:spacing w:before="192" w:beforeLines="80"/>
        <w:jc w:val="center"/>
        <w:rPr>
          <w:rFonts w:hint="default" w:ascii="Times New Roman" w:hAnsi="Times New Roman" w:eastAsia="黑体" w:cs="Times New Roman"/>
          <w:bCs/>
          <w:color w:val="auto"/>
          <w:sz w:val="48"/>
          <w:szCs w:val="48"/>
          <w:lang w:eastAsia="zh-CN"/>
        </w:rPr>
      </w:pPr>
      <w:r>
        <w:rPr>
          <w:rFonts w:hint="eastAsia" w:eastAsia="黑体" w:cs="Times New Roman"/>
          <w:bCs/>
          <w:color w:val="auto"/>
          <w:sz w:val="48"/>
          <w:szCs w:val="48"/>
          <w:shd w:val="clear" w:fill="FFFFFF"/>
          <w:lang w:eastAsia="zh-CN"/>
        </w:rPr>
        <w:t>(</w:t>
      </w:r>
      <w:r>
        <w:rPr>
          <w:rFonts w:hint="default" w:ascii="Times New Roman" w:hAnsi="Times New Roman" w:eastAsia="黑体" w:cs="Times New Roman"/>
          <w:bCs/>
          <w:color w:val="auto"/>
          <w:sz w:val="48"/>
          <w:szCs w:val="48"/>
        </w:rPr>
        <w:t>污染影响类</w:t>
      </w:r>
      <w:r>
        <w:rPr>
          <w:rFonts w:hint="eastAsia" w:eastAsia="黑体" w:cs="Times New Roman"/>
          <w:bCs/>
          <w:color w:val="auto"/>
          <w:sz w:val="48"/>
          <w:szCs w:val="48"/>
          <w:shd w:val="clear" w:fill="FFFFFF"/>
          <w:lang w:eastAsia="zh-CN"/>
        </w:rPr>
        <w:t>)</w:t>
      </w:r>
    </w:p>
    <w:p w14:paraId="575B8F98">
      <w:pPr>
        <w:rPr>
          <w:rFonts w:hint="default" w:ascii="Times New Roman" w:hAnsi="Times New Roman" w:cs="Times New Roman"/>
          <w:color w:val="auto"/>
        </w:rPr>
      </w:pPr>
    </w:p>
    <w:p w14:paraId="0D597914">
      <w:pPr>
        <w:pStyle w:val="157"/>
        <w:ind w:firstLine="480"/>
        <w:rPr>
          <w:rFonts w:hint="default" w:ascii="Times New Roman" w:hAnsi="Times New Roman" w:cs="Times New Roman"/>
          <w:color w:val="auto"/>
        </w:rPr>
      </w:pPr>
    </w:p>
    <w:p w14:paraId="7E97E435">
      <w:pPr>
        <w:pStyle w:val="157"/>
        <w:ind w:firstLine="480"/>
        <w:rPr>
          <w:rFonts w:hint="default" w:ascii="Times New Roman" w:hAnsi="Times New Roman" w:cs="Times New Roman"/>
          <w:color w:val="auto"/>
        </w:rPr>
      </w:pPr>
    </w:p>
    <w:p w14:paraId="3B710B9A">
      <w:pPr>
        <w:ind w:firstLine="1040"/>
        <w:rPr>
          <w:rFonts w:hint="default" w:ascii="Times New Roman" w:hAnsi="Times New Roman" w:eastAsia="仿宋" w:cs="Times New Roman"/>
          <w:color w:val="auto"/>
          <w:sz w:val="44"/>
          <w:szCs w:val="44"/>
        </w:rPr>
      </w:pPr>
    </w:p>
    <w:p w14:paraId="471E14A2">
      <w:pPr>
        <w:ind w:firstLine="1040"/>
        <w:rPr>
          <w:rFonts w:hint="default" w:ascii="Times New Roman" w:hAnsi="Times New Roman" w:eastAsia="仿宋" w:cs="Times New Roman"/>
          <w:color w:val="auto"/>
          <w:sz w:val="44"/>
          <w:szCs w:val="44"/>
        </w:rPr>
      </w:pPr>
    </w:p>
    <w:p w14:paraId="291C0DFF">
      <w:pPr>
        <w:ind w:firstLine="1040"/>
        <w:rPr>
          <w:rFonts w:hint="default" w:ascii="Times New Roman" w:hAnsi="Times New Roman" w:eastAsia="仿宋" w:cs="Times New Roman"/>
          <w:color w:val="auto"/>
          <w:sz w:val="44"/>
          <w:szCs w:val="44"/>
        </w:rPr>
      </w:pPr>
    </w:p>
    <w:p w14:paraId="188FAF39">
      <w:pPr>
        <w:ind w:firstLine="1040"/>
        <w:rPr>
          <w:rFonts w:hint="default" w:ascii="Times New Roman" w:hAnsi="Times New Roman" w:eastAsia="仿宋" w:cs="Times New Roman"/>
          <w:color w:val="auto"/>
          <w:sz w:val="44"/>
          <w:szCs w:val="44"/>
        </w:rPr>
      </w:pPr>
    </w:p>
    <w:p w14:paraId="6436A368">
      <w:pPr>
        <w:ind w:firstLine="1040"/>
        <w:rPr>
          <w:rFonts w:hint="default" w:ascii="Times New Roman" w:hAnsi="Times New Roman" w:eastAsia="仿宋" w:cs="Times New Roman"/>
          <w:color w:val="auto"/>
          <w:sz w:val="44"/>
          <w:szCs w:val="44"/>
        </w:rPr>
      </w:pPr>
    </w:p>
    <w:p w14:paraId="3C28F65C">
      <w:pPr>
        <w:adjustRightInd w:val="0"/>
        <w:snapToGrid w:val="0"/>
        <w:spacing w:line="288" w:lineRule="auto"/>
        <w:ind w:firstLine="567"/>
        <w:rPr>
          <w:rFonts w:hint="default" w:ascii="Times New Roman" w:hAnsi="Times New Roman" w:cs="Times New Roman"/>
          <w:color w:val="auto"/>
          <w:sz w:val="36"/>
          <w:szCs w:val="36"/>
        </w:rPr>
      </w:pPr>
    </w:p>
    <w:p w14:paraId="63DA86B0">
      <w:pPr>
        <w:adjustRightInd w:val="0"/>
        <w:snapToGrid w:val="0"/>
        <w:spacing w:line="288" w:lineRule="auto"/>
        <w:ind w:firstLine="567"/>
        <w:rPr>
          <w:rFonts w:hint="default" w:ascii="Times New Roman" w:hAnsi="Times New Roman" w:cs="Times New Roman"/>
          <w:color w:val="auto"/>
          <w:sz w:val="36"/>
          <w:szCs w:val="36"/>
        </w:rPr>
      </w:pPr>
    </w:p>
    <w:p w14:paraId="0332341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32"/>
          <w:szCs w:val="32"/>
          <w:u w:val="single"/>
        </w:rPr>
      </w:pPr>
      <w:r>
        <w:rPr>
          <w:rFonts w:hint="default" w:ascii="Times New Roman" w:hAnsi="Times New Roman" w:cs="Times New Roman"/>
          <w:color w:val="auto"/>
          <w:sz w:val="32"/>
          <w:szCs w:val="32"/>
        </w:rPr>
        <w:t>项目名称：</w:t>
      </w:r>
      <w:r>
        <w:rPr>
          <w:rFonts w:hint="default" w:ascii="Times New Roman" w:hAnsi="Times New Roman" w:cs="Times New Roman"/>
          <w:color w:val="auto"/>
          <w:sz w:val="32"/>
          <w:szCs w:val="32"/>
          <w:u w:val="single"/>
        </w:rPr>
        <w:t>福清市融大水泥制品有限公司年产30万米水泥</w:t>
      </w:r>
    </w:p>
    <w:p w14:paraId="2157B3CD">
      <w:pPr>
        <w:keepNext w:val="0"/>
        <w:keepLines w:val="0"/>
        <w:pageBreakBefore w:val="0"/>
        <w:widowControl w:val="0"/>
        <w:kinsoku/>
        <w:wordWrap/>
        <w:overflowPunct/>
        <w:topLinePunct w:val="0"/>
        <w:autoSpaceDE/>
        <w:autoSpaceDN/>
        <w:bidi w:val="0"/>
        <w:adjustRightInd w:val="0"/>
        <w:snapToGrid w:val="0"/>
        <w:spacing w:line="360" w:lineRule="auto"/>
        <w:ind w:firstLine="1600" w:firstLineChars="500"/>
        <w:textAlignment w:val="auto"/>
        <w:rPr>
          <w:rFonts w:hint="default" w:ascii="Times New Roman" w:hAnsi="Times New Roman" w:eastAsia="宋体" w:cs="Times New Roman"/>
          <w:color w:val="auto"/>
          <w:sz w:val="32"/>
          <w:szCs w:val="32"/>
          <w:lang w:val="en-US" w:eastAsia="zh-CN"/>
        </w:rPr>
      </w:pPr>
      <w:r>
        <w:rPr>
          <w:rFonts w:hint="default" w:ascii="Times New Roman" w:hAnsi="Times New Roman" w:cs="Times New Roman"/>
          <w:color w:val="auto"/>
          <w:sz w:val="32"/>
          <w:szCs w:val="32"/>
          <w:u w:val="single"/>
        </w:rPr>
        <w:t>预制管</w:t>
      </w:r>
      <w:r>
        <w:rPr>
          <w:rFonts w:hint="default" w:ascii="Times New Roman" w:hAnsi="Times New Roman" w:cs="Times New Roman"/>
          <w:color w:val="auto"/>
          <w:sz w:val="32"/>
          <w:szCs w:val="32"/>
          <w:u w:val="single"/>
          <w:lang w:val="en-US" w:eastAsia="zh-CN"/>
        </w:rPr>
        <w:t xml:space="preserve">                     </w:t>
      </w:r>
    </w:p>
    <w:p w14:paraId="6B4FFA3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32"/>
          <w:szCs w:val="32"/>
          <w:u w:val="single"/>
          <w:lang w:val="en-US" w:eastAsia="zh-CN"/>
        </w:rPr>
      </w:pPr>
      <w:r>
        <w:rPr>
          <w:rFonts w:hint="default" w:ascii="Times New Roman" w:hAnsi="Times New Roman" w:cs="Times New Roman"/>
          <w:color w:val="auto"/>
          <w:sz w:val="32"/>
          <w:szCs w:val="32"/>
        </w:rPr>
        <w:t>建设单位</w:t>
      </w:r>
      <w:r>
        <w:rPr>
          <w:rFonts w:hint="eastAsia" w:cs="Times New Roman"/>
          <w:color w:val="auto"/>
          <w:sz w:val="32"/>
          <w:szCs w:val="32"/>
          <w:shd w:val="clear" w:fill="FFFFFF"/>
          <w:lang w:eastAsia="zh-CN"/>
        </w:rPr>
        <w:t>(</w:t>
      </w:r>
      <w:r>
        <w:rPr>
          <w:rFonts w:hint="default" w:ascii="Times New Roman" w:hAnsi="Times New Roman" w:cs="Times New Roman"/>
          <w:color w:val="auto"/>
          <w:sz w:val="32"/>
          <w:szCs w:val="32"/>
        </w:rPr>
        <w:t>盖章</w:t>
      </w:r>
      <w:r>
        <w:rPr>
          <w:rFonts w:hint="eastAsia" w:cs="Times New Roman"/>
          <w:color w:val="auto"/>
          <w:sz w:val="32"/>
          <w:szCs w:val="32"/>
          <w:shd w:val="clear" w:fill="FFFFFF"/>
          <w:lang w:eastAsia="zh-CN"/>
        </w:rPr>
        <w:t>)</w:t>
      </w:r>
      <w:r>
        <w:rPr>
          <w:rFonts w:hint="default" w:ascii="Times New Roman" w:hAnsi="Times New Roman" w:cs="Times New Roman"/>
          <w:color w:val="auto"/>
          <w:sz w:val="32"/>
          <w:szCs w:val="32"/>
        </w:rPr>
        <w:t>：</w:t>
      </w:r>
      <w:r>
        <w:rPr>
          <w:rFonts w:hint="default" w:ascii="Times New Roman" w:hAnsi="Times New Roman" w:cs="Times New Roman"/>
          <w:color w:val="auto"/>
          <w:sz w:val="32"/>
          <w:szCs w:val="32"/>
          <w:u w:val="single"/>
        </w:rPr>
        <w:t xml:space="preserve"> </w:t>
      </w:r>
      <w:r>
        <w:rPr>
          <w:rFonts w:hint="default" w:ascii="Times New Roman" w:hAnsi="Times New Roman"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eastAsia" w:cs="Times New Roman"/>
          <w:color w:val="auto"/>
          <w:sz w:val="32"/>
          <w:szCs w:val="32"/>
          <w:u w:val="single"/>
          <w:lang w:eastAsia="zh-CN"/>
        </w:rPr>
        <w:t>福清市融大水泥制品有限公司</w:t>
      </w:r>
      <w:r>
        <w:rPr>
          <w:rFonts w:hint="default" w:ascii="Times New Roman" w:hAnsi="Times New Roman"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default" w:ascii="Times New Roman" w:hAnsi="Times New Roman" w:cs="Times New Roman"/>
          <w:color w:val="auto"/>
          <w:sz w:val="32"/>
          <w:szCs w:val="32"/>
          <w:u w:val="single"/>
          <w:lang w:val="en-US" w:eastAsia="zh-CN"/>
        </w:rPr>
        <w:t xml:space="preserve">   </w:t>
      </w:r>
    </w:p>
    <w:p w14:paraId="1233573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32"/>
          <w:szCs w:val="32"/>
          <w:u w:val="single"/>
        </w:rPr>
      </w:pPr>
      <w:r>
        <w:rPr>
          <w:rFonts w:hint="default" w:ascii="Times New Roman" w:hAnsi="Times New Roman" w:cs="Times New Roman"/>
          <w:color w:val="auto"/>
          <w:sz w:val="32"/>
          <w:szCs w:val="32"/>
        </w:rPr>
        <w:t>编制日期：</w:t>
      </w:r>
      <w:r>
        <w:rPr>
          <w:rFonts w:hint="default" w:ascii="Times New Roman" w:hAnsi="Times New Roman" w:cs="Times New Roman"/>
          <w:color w:val="auto"/>
          <w:sz w:val="32"/>
          <w:szCs w:val="32"/>
          <w:u w:val="single"/>
        </w:rPr>
        <w:t xml:space="preserve">    </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cs="Times New Roman"/>
          <w:color w:val="auto"/>
          <w:sz w:val="32"/>
          <w:szCs w:val="32"/>
          <w:u w:val="single"/>
        </w:rPr>
        <w:t xml:space="preserve"> </w:t>
      </w:r>
      <w:r>
        <w:rPr>
          <w:rFonts w:hint="eastAsia" w:cs="Times New Roman"/>
          <w:color w:val="auto"/>
          <w:sz w:val="32"/>
          <w:szCs w:val="32"/>
          <w:u w:val="single"/>
          <w:lang w:val="en-US" w:eastAsia="zh-CN"/>
        </w:rPr>
        <w:t xml:space="preserve">   </w:t>
      </w:r>
      <w:r>
        <w:rPr>
          <w:rFonts w:hint="default" w:ascii="Times New Roman" w:hAnsi="Times New Roman" w:cs="Times New Roman"/>
          <w:color w:val="auto"/>
          <w:sz w:val="32"/>
          <w:szCs w:val="32"/>
          <w:u w:val="single"/>
        </w:rPr>
        <w:t xml:space="preserve">   202</w:t>
      </w:r>
      <w:r>
        <w:rPr>
          <w:rFonts w:hint="default" w:ascii="Times New Roman" w:hAnsi="Times New Roman" w:cs="Times New Roman"/>
          <w:color w:val="auto"/>
          <w:sz w:val="32"/>
          <w:szCs w:val="32"/>
          <w:u w:val="single"/>
          <w:lang w:val="en-US" w:eastAsia="zh-CN"/>
        </w:rPr>
        <w:t>5</w:t>
      </w:r>
      <w:r>
        <w:rPr>
          <w:rFonts w:hint="default" w:ascii="Times New Roman" w:hAnsi="Times New Roman" w:cs="Times New Roman"/>
          <w:color w:val="auto"/>
          <w:sz w:val="32"/>
          <w:szCs w:val="32"/>
          <w:u w:val="single"/>
        </w:rPr>
        <w:t>年</w:t>
      </w:r>
      <w:r>
        <w:rPr>
          <w:rFonts w:hint="eastAsia" w:cs="Times New Roman"/>
          <w:color w:val="auto"/>
          <w:sz w:val="32"/>
          <w:szCs w:val="32"/>
          <w:u w:val="single"/>
          <w:lang w:val="en-US" w:eastAsia="zh-CN"/>
        </w:rPr>
        <w:t>4</w:t>
      </w:r>
      <w:r>
        <w:rPr>
          <w:rFonts w:hint="default" w:ascii="Times New Roman" w:hAnsi="Times New Roman" w:cs="Times New Roman"/>
          <w:color w:val="auto"/>
          <w:sz w:val="32"/>
          <w:szCs w:val="32"/>
          <w:u w:val="single"/>
        </w:rPr>
        <w:t xml:space="preserve">月     </w:t>
      </w:r>
      <w:r>
        <w:rPr>
          <w:rFonts w:hint="eastAsia" w:cs="Times New Roman"/>
          <w:color w:val="auto"/>
          <w:sz w:val="32"/>
          <w:szCs w:val="32"/>
          <w:u w:val="single"/>
          <w:lang w:val="en-US" w:eastAsia="zh-CN"/>
        </w:rPr>
        <w:t xml:space="preserve">        </w:t>
      </w:r>
      <w:r>
        <w:rPr>
          <w:rFonts w:hint="default" w:ascii="Times New Roman" w:hAnsi="Times New Roman" w:cs="Times New Roman"/>
          <w:color w:val="auto"/>
          <w:sz w:val="32"/>
          <w:szCs w:val="32"/>
          <w:u w:val="single"/>
        </w:rPr>
        <w:t xml:space="preserve">   </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cs="Times New Roman"/>
          <w:color w:val="auto"/>
          <w:sz w:val="32"/>
          <w:szCs w:val="32"/>
          <w:u w:val="single"/>
        </w:rPr>
        <w:t xml:space="preserve">  </w:t>
      </w:r>
    </w:p>
    <w:p w14:paraId="465746B9">
      <w:pPr>
        <w:adjustRightInd w:val="0"/>
        <w:snapToGrid w:val="0"/>
        <w:spacing w:line="288" w:lineRule="auto"/>
        <w:ind w:firstLine="1040"/>
        <w:rPr>
          <w:rFonts w:hint="default" w:ascii="Times New Roman" w:hAnsi="Times New Roman" w:eastAsia="仿宋_GB2312" w:cs="Times New Roman"/>
          <w:color w:val="auto"/>
          <w:sz w:val="36"/>
          <w:szCs w:val="36"/>
          <w:u w:val="single"/>
        </w:rPr>
      </w:pPr>
    </w:p>
    <w:p w14:paraId="60C30F89">
      <w:pPr>
        <w:adjustRightInd w:val="0"/>
        <w:snapToGrid w:val="0"/>
        <w:spacing w:line="288" w:lineRule="auto"/>
        <w:ind w:firstLine="1040"/>
        <w:rPr>
          <w:rFonts w:hint="default" w:ascii="Times New Roman" w:hAnsi="Times New Roman" w:eastAsia="仿宋_GB2312" w:cs="Times New Roman"/>
          <w:color w:val="auto"/>
          <w:sz w:val="36"/>
          <w:szCs w:val="36"/>
        </w:rPr>
      </w:pPr>
    </w:p>
    <w:p w14:paraId="66091A32">
      <w:pPr>
        <w:adjustRightInd w:val="0"/>
        <w:snapToGrid w:val="0"/>
        <w:spacing w:line="288" w:lineRule="auto"/>
        <w:ind w:firstLine="1040"/>
        <w:rPr>
          <w:rFonts w:hint="default" w:ascii="Times New Roman" w:hAnsi="Times New Roman" w:eastAsia="仿宋_GB2312" w:cs="Times New Roman"/>
          <w:color w:val="auto"/>
          <w:sz w:val="36"/>
          <w:szCs w:val="36"/>
        </w:rPr>
      </w:pPr>
    </w:p>
    <w:p w14:paraId="246CC4BB">
      <w:pPr>
        <w:bidi w:val="0"/>
        <w:jc w:val="center"/>
        <w:rPr>
          <w:rFonts w:hint="default" w:ascii="Times New Roman" w:hAnsi="Times New Roman" w:eastAsia="楷体" w:cs="Times New Roman"/>
          <w:color w:val="auto"/>
          <w:sz w:val="36"/>
          <w:szCs w:val="36"/>
        </w:rPr>
      </w:pPr>
      <w:bookmarkStart w:id="14" w:name="_Toc10369"/>
      <w:bookmarkStart w:id="15" w:name="_Toc5436"/>
      <w:r>
        <w:rPr>
          <w:rFonts w:hint="default" w:ascii="Times New Roman" w:hAnsi="Times New Roman" w:eastAsia="楷体" w:cs="Times New Roman"/>
          <w:color w:val="auto"/>
          <w:sz w:val="36"/>
          <w:szCs w:val="36"/>
        </w:rPr>
        <w:t>中华人民共和国生态环境部制</w:t>
      </w:r>
      <w:bookmarkEnd w:id="14"/>
      <w:bookmarkEnd w:id="15"/>
    </w:p>
    <w:p w14:paraId="66718DBB">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lang w:val="en-US" w:eastAsia="zh-CN" w:bidi="ar-SA"/>
        </w:rPr>
      </w:pPr>
    </w:p>
    <w:p w14:paraId="2F4F2397">
      <w:pPr>
        <w:rPr>
          <w:rFonts w:ascii="宋体" w:hAnsi="宋体" w:eastAsia="宋体" w:cs="Times New Roman"/>
          <w:color w:val="auto"/>
          <w:kern w:val="2"/>
          <w:sz w:val="21"/>
          <w:szCs w:val="24"/>
          <w:lang w:val="en-US" w:eastAsia="zh-CN" w:bidi="ar-SA"/>
        </w:rPr>
      </w:pPr>
      <w:r>
        <w:rPr>
          <w:rFonts w:ascii="宋体" w:hAnsi="宋体" w:eastAsia="宋体" w:cs="Times New Roman"/>
          <w:color w:val="auto"/>
          <w:kern w:val="2"/>
          <w:sz w:val="21"/>
          <w:szCs w:val="24"/>
          <w:lang w:val="en-US" w:eastAsia="zh-CN" w:bidi="ar-SA"/>
        </w:rPr>
        <w:br w:type="page"/>
      </w:r>
    </w:p>
    <w:p w14:paraId="7B1B8366">
      <w:pPr>
        <w:rPr>
          <w:rFonts w:ascii="宋体" w:hAnsi="宋体" w:eastAsia="宋体" w:cs="Times New Roman"/>
          <w:color w:val="auto"/>
          <w:kern w:val="2"/>
          <w:sz w:val="21"/>
          <w:szCs w:val="24"/>
          <w:lang w:val="en-US" w:eastAsia="zh-CN" w:bidi="ar-SA"/>
        </w:rPr>
      </w:pPr>
      <w:r>
        <w:rPr>
          <w:rFonts w:ascii="宋体" w:hAnsi="宋体" w:eastAsia="宋体" w:cs="Times New Roman"/>
          <w:color w:val="auto"/>
          <w:kern w:val="2"/>
          <w:sz w:val="21"/>
          <w:szCs w:val="24"/>
          <w:lang w:val="en-US" w:eastAsia="zh-CN" w:bidi="ar-SA"/>
        </w:rPr>
        <w:drawing>
          <wp:anchor distT="0" distB="0" distL="114300" distR="114300" simplePos="0" relativeHeight="251672576" behindDoc="0" locked="0" layoutInCell="1" allowOverlap="1">
            <wp:simplePos x="0" y="0"/>
            <wp:positionH relativeFrom="column">
              <wp:posOffset>-1095375</wp:posOffset>
            </wp:positionH>
            <wp:positionV relativeFrom="paragraph">
              <wp:posOffset>-904875</wp:posOffset>
            </wp:positionV>
            <wp:extent cx="7458075" cy="10580370"/>
            <wp:effectExtent l="0" t="0" r="9525" b="11430"/>
            <wp:wrapNone/>
            <wp:docPr id="22" name="图片 22" descr="d44b3a551b1d46181628fc6946dd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44b3a551b1d46181628fc6946dd09f"/>
                    <pic:cNvPicPr>
                      <a:picLocks noChangeAspect="1"/>
                    </pic:cNvPicPr>
                  </pic:nvPicPr>
                  <pic:blipFill>
                    <a:blip r:embed="rId11"/>
                    <a:stretch>
                      <a:fillRect/>
                    </a:stretch>
                  </pic:blipFill>
                  <pic:spPr>
                    <a:xfrm>
                      <a:off x="0" y="0"/>
                      <a:ext cx="7458075" cy="10580370"/>
                    </a:xfrm>
                    <a:prstGeom prst="rect">
                      <a:avLst/>
                    </a:prstGeom>
                  </pic:spPr>
                </pic:pic>
              </a:graphicData>
            </a:graphic>
          </wp:anchor>
        </w:drawing>
      </w:r>
      <w:r>
        <w:rPr>
          <w:rFonts w:ascii="宋体" w:hAnsi="宋体" w:eastAsia="宋体" w:cs="Times New Roman"/>
          <w:color w:val="auto"/>
          <w:kern w:val="2"/>
          <w:sz w:val="21"/>
          <w:szCs w:val="24"/>
          <w:lang w:val="en-US" w:eastAsia="zh-CN" w:bidi="ar-SA"/>
        </w:rPr>
        <w:br w:type="page"/>
      </w:r>
    </w:p>
    <w:p w14:paraId="2817E878">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lang w:val="en-US" w:eastAsia="zh-CN" w:bidi="ar-SA"/>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627F5D0D">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0" w:firstLineChars="0"/>
        <w:jc w:val="center"/>
        <w:textAlignment w:val="auto"/>
        <w:rPr>
          <w:b/>
          <w:bCs/>
          <w:color w:val="auto"/>
          <w:sz w:val="28"/>
          <w:szCs w:val="36"/>
        </w:rPr>
      </w:pPr>
      <w:r>
        <w:rPr>
          <w:rFonts w:ascii="宋体" w:hAnsi="宋体" w:eastAsia="宋体"/>
          <w:b/>
          <w:bCs/>
          <w:color w:val="auto"/>
          <w:sz w:val="28"/>
          <w:szCs w:val="36"/>
        </w:rPr>
        <w:t>目录</w:t>
      </w:r>
    </w:p>
    <w:p w14:paraId="2A5806EA">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"1-3"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_Toc29397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kern w:val="21"/>
          <w:sz w:val="24"/>
          <w:szCs w:val="24"/>
        </w:rPr>
        <w:t>一、建设项目基本情况</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_Toc29397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- 1 -</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14:paraId="07F8E7AD">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_Toc22845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kern w:val="21"/>
          <w:sz w:val="24"/>
          <w:szCs w:val="24"/>
        </w:rPr>
        <w:t>二、建设项目工程分析</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_Toc22845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- 22 -</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14:paraId="47AB45FA">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_Toc11093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kern w:val="21"/>
          <w:sz w:val="24"/>
          <w:szCs w:val="24"/>
        </w:rPr>
        <w:t>三、区域环境质量现状、环境保护目标及评价标准</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_Toc11093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- 38 -</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14:paraId="095A1CC7">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_Toc29821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kern w:val="21"/>
          <w:sz w:val="24"/>
          <w:szCs w:val="24"/>
        </w:rPr>
        <w:t>四、主要环境影响和保护措施</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_Toc29821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- 47 -</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14:paraId="65431836">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_Toc2803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kern w:val="21"/>
          <w:sz w:val="24"/>
          <w:szCs w:val="24"/>
        </w:rPr>
        <w:t>五、环境保护措施监督检查清单</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_Toc2803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- 80 -</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14:paraId="266A83BB">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_Toc19496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六、结论</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_Toc19496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- 84 -</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14:paraId="0DBEBE2D">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_Toc22199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kern w:val="21"/>
          <w:sz w:val="24"/>
          <w:szCs w:val="24"/>
        </w:rPr>
        <w:t>建设项目污染物排放量汇总表</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_Toc22199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- 85 -</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14:paraId="49AF07EF">
      <w:pPr>
        <w:pStyle w:val="29"/>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900" w:leftChars="200" w:hanging="480" w:hanging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_Toc9425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 xml:space="preserve"> 关于环评文件公开文本删除的涉及国家秘密、商业秘密等内容的删除依据和理由说明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- 86 -</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4E77EED">
      <w:pPr>
        <w:pStyle w:val="34"/>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rPr>
          <w:rFonts w:eastAsia="楷体_GB2312"/>
          <w:color w:val="auto"/>
          <w:sz w:val="36"/>
          <w:szCs w:val="36"/>
        </w:rPr>
        <w:sectPr>
          <w:footerReference r:id="rId4" w:type="default"/>
          <w:pgSz w:w="11906" w:h="16838"/>
          <w:pgMar w:top="1440" w:right="1800" w:bottom="1440" w:left="1800" w:header="851" w:footer="1077" w:gutter="0"/>
          <w:pgBorders>
            <w:top w:val="none" w:sz="0" w:space="0"/>
            <w:left w:val="none" w:sz="0" w:space="0"/>
            <w:bottom w:val="none" w:sz="0" w:space="0"/>
            <w:right w:val="none" w:sz="0" w:space="0"/>
          </w:pgBorders>
          <w:pgNumType w:fmt="upperRoman" w:start="1"/>
          <w:cols w:space="720" w:num="1"/>
          <w:docGrid w:linePitch="312" w:charSpace="0"/>
        </w:sectPr>
      </w:pPr>
      <w:r>
        <w:rPr>
          <w:rFonts w:hint="default" w:ascii="Times New Roman" w:hAnsi="Times New Roman" w:eastAsia="宋体" w:cs="Times New Roman"/>
          <w:color w:val="auto"/>
          <w:sz w:val="24"/>
          <w:szCs w:val="24"/>
        </w:rPr>
        <w:fldChar w:fldCharType="end"/>
      </w:r>
    </w:p>
    <w:p w14:paraId="114D85BE">
      <w:pPr>
        <w:pStyle w:val="31"/>
        <w:jc w:val="center"/>
        <w:outlineLvl w:val="0"/>
        <w:rPr>
          <w:rFonts w:ascii="黑体" w:hAnsi="黑体" w:eastAsia="黑体"/>
          <w:snapToGrid w:val="0"/>
          <w:color w:val="auto"/>
          <w:kern w:val="21"/>
          <w:sz w:val="30"/>
          <w:szCs w:val="30"/>
        </w:rPr>
      </w:pPr>
      <w:bookmarkStart w:id="16" w:name="_Toc29397"/>
      <w:r>
        <w:rPr>
          <w:rFonts w:hint="eastAsia" w:ascii="黑体" w:hAnsi="黑体" w:eastAsia="黑体"/>
          <w:snapToGrid w:val="0"/>
          <w:color w:val="auto"/>
          <w:kern w:val="21"/>
          <w:sz w:val="30"/>
          <w:szCs w:val="30"/>
        </w:rPr>
        <w:t>一、建设项目基本情况</w:t>
      </w:r>
      <w:bookmarkEnd w:id="16"/>
    </w:p>
    <w:tbl>
      <w:tblPr>
        <w:tblStyle w:val="36"/>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37"/>
        <w:gridCol w:w="2030"/>
        <w:gridCol w:w="1981"/>
        <w:gridCol w:w="2856"/>
      </w:tblGrid>
      <w:tr w14:paraId="006D2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515DBB9F">
            <w:pPr>
              <w:jc w:val="center"/>
              <w:rPr>
                <w:color w:val="auto"/>
                <w:kern w:val="21"/>
                <w:sz w:val="24"/>
              </w:rPr>
            </w:pPr>
            <w:r>
              <w:rPr>
                <w:color w:val="auto"/>
                <w:kern w:val="21"/>
                <w:sz w:val="24"/>
              </w:rPr>
              <w:t>建设项目名称</w:t>
            </w:r>
          </w:p>
        </w:tc>
        <w:tc>
          <w:tcPr>
            <w:tcW w:w="6867" w:type="dxa"/>
            <w:gridSpan w:val="3"/>
            <w:vAlign w:val="center"/>
          </w:tcPr>
          <w:p w14:paraId="5F13BAA9">
            <w:pPr>
              <w:jc w:val="center"/>
              <w:rPr>
                <w:rFonts w:hint="eastAsia" w:eastAsia="宋体"/>
                <w:color w:val="auto"/>
                <w:sz w:val="24"/>
                <w:lang w:eastAsia="zh-CN"/>
              </w:rPr>
            </w:pPr>
            <w:r>
              <w:rPr>
                <w:rFonts w:hint="eastAsia"/>
                <w:color w:val="auto"/>
                <w:sz w:val="24"/>
                <w:lang w:eastAsia="zh-CN"/>
              </w:rPr>
              <w:t>福清市融大水泥制品有限公司年产30万米水泥预制管</w:t>
            </w:r>
          </w:p>
        </w:tc>
      </w:tr>
      <w:tr w14:paraId="71B35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0A84B803">
            <w:pPr>
              <w:jc w:val="center"/>
              <w:rPr>
                <w:color w:val="auto"/>
                <w:kern w:val="21"/>
                <w:sz w:val="24"/>
              </w:rPr>
            </w:pPr>
            <w:r>
              <w:rPr>
                <w:color w:val="auto"/>
                <w:kern w:val="21"/>
                <w:sz w:val="24"/>
              </w:rPr>
              <w:t>项目代码</w:t>
            </w:r>
          </w:p>
        </w:tc>
        <w:tc>
          <w:tcPr>
            <w:tcW w:w="6867" w:type="dxa"/>
            <w:gridSpan w:val="3"/>
            <w:vAlign w:val="center"/>
          </w:tcPr>
          <w:p w14:paraId="4190D0FA">
            <w:pPr>
              <w:jc w:val="center"/>
              <w:rPr>
                <w:color w:val="auto"/>
                <w:sz w:val="24"/>
              </w:rPr>
            </w:pPr>
            <w:r>
              <w:rPr>
                <w:rFonts w:hint="eastAsia"/>
                <w:color w:val="auto"/>
                <w:sz w:val="24"/>
              </w:rPr>
              <w:t>2209-350181-04-01-222735</w:t>
            </w:r>
          </w:p>
        </w:tc>
      </w:tr>
      <w:tr w14:paraId="00808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3B2530B3">
            <w:pPr>
              <w:jc w:val="center"/>
              <w:rPr>
                <w:color w:val="auto"/>
                <w:kern w:val="21"/>
                <w:sz w:val="24"/>
              </w:rPr>
            </w:pPr>
            <w:r>
              <w:rPr>
                <w:color w:val="auto"/>
                <w:kern w:val="21"/>
                <w:sz w:val="24"/>
              </w:rPr>
              <w:t>建设单位</w:t>
            </w:r>
          </w:p>
          <w:p w14:paraId="4F4F1521">
            <w:pPr>
              <w:jc w:val="center"/>
              <w:rPr>
                <w:color w:val="auto"/>
                <w:kern w:val="21"/>
                <w:sz w:val="24"/>
              </w:rPr>
            </w:pPr>
            <w:r>
              <w:rPr>
                <w:color w:val="auto"/>
                <w:kern w:val="21"/>
                <w:sz w:val="24"/>
              </w:rPr>
              <w:t>联系人</w:t>
            </w:r>
          </w:p>
        </w:tc>
        <w:tc>
          <w:tcPr>
            <w:tcW w:w="2030" w:type="dxa"/>
            <w:vAlign w:val="center"/>
          </w:tcPr>
          <w:p w14:paraId="466BE508">
            <w:pPr>
              <w:jc w:val="center"/>
              <w:rPr>
                <w:rFonts w:hint="eastAsia" w:eastAsia="宋体"/>
                <w:color w:val="auto"/>
                <w:sz w:val="24"/>
                <w:lang w:eastAsia="zh-CN"/>
              </w:rPr>
            </w:pPr>
            <w:r>
              <w:rPr>
                <w:rFonts w:hint="eastAsia"/>
                <w:color w:val="auto"/>
                <w:sz w:val="24"/>
              </w:rPr>
              <w:t>何</w:t>
            </w:r>
            <w:r>
              <w:rPr>
                <w:rFonts w:hint="eastAsia"/>
                <w:color w:val="auto"/>
                <w:sz w:val="24"/>
                <w:lang w:val="en-US" w:eastAsia="zh-CN"/>
              </w:rPr>
              <w:t>*</w:t>
            </w:r>
          </w:p>
        </w:tc>
        <w:tc>
          <w:tcPr>
            <w:tcW w:w="1981" w:type="dxa"/>
            <w:vAlign w:val="center"/>
          </w:tcPr>
          <w:p w14:paraId="56F7FCFC">
            <w:pPr>
              <w:jc w:val="center"/>
              <w:rPr>
                <w:color w:val="auto"/>
                <w:kern w:val="21"/>
                <w:sz w:val="24"/>
              </w:rPr>
            </w:pPr>
            <w:r>
              <w:rPr>
                <w:color w:val="auto"/>
                <w:kern w:val="21"/>
                <w:sz w:val="24"/>
              </w:rPr>
              <w:t>联系方式</w:t>
            </w:r>
          </w:p>
        </w:tc>
        <w:tc>
          <w:tcPr>
            <w:tcW w:w="2856" w:type="dxa"/>
            <w:vAlign w:val="center"/>
          </w:tcPr>
          <w:p w14:paraId="67F50DCB">
            <w:pPr>
              <w:jc w:val="center"/>
              <w:rPr>
                <w:rFonts w:hint="eastAsia" w:eastAsia="宋体"/>
                <w:color w:val="auto"/>
                <w:sz w:val="24"/>
                <w:lang w:eastAsia="zh-CN"/>
              </w:rPr>
            </w:pPr>
            <w:r>
              <w:rPr>
                <w:rFonts w:hint="eastAsia"/>
                <w:color w:val="auto"/>
                <w:sz w:val="24"/>
                <w:lang w:eastAsia="zh-CN"/>
              </w:rPr>
              <w:t>139</w:t>
            </w:r>
            <w:r>
              <w:rPr>
                <w:rFonts w:hint="eastAsia"/>
                <w:color w:val="auto"/>
                <w:sz w:val="24"/>
                <w:lang w:val="en-US" w:eastAsia="zh-CN"/>
              </w:rPr>
              <w:t>****</w:t>
            </w:r>
            <w:r>
              <w:rPr>
                <w:rFonts w:hint="eastAsia"/>
                <w:color w:val="auto"/>
                <w:sz w:val="24"/>
                <w:lang w:eastAsia="zh-CN"/>
              </w:rPr>
              <w:t>3029</w:t>
            </w:r>
          </w:p>
        </w:tc>
      </w:tr>
      <w:tr w14:paraId="674C5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2EEAE904">
            <w:pPr>
              <w:jc w:val="center"/>
              <w:rPr>
                <w:color w:val="auto"/>
                <w:kern w:val="21"/>
                <w:sz w:val="24"/>
              </w:rPr>
            </w:pPr>
            <w:r>
              <w:rPr>
                <w:color w:val="auto"/>
                <w:kern w:val="21"/>
                <w:sz w:val="24"/>
              </w:rPr>
              <w:t>建设地点</w:t>
            </w:r>
          </w:p>
        </w:tc>
        <w:tc>
          <w:tcPr>
            <w:tcW w:w="6867" w:type="dxa"/>
            <w:gridSpan w:val="3"/>
            <w:vAlign w:val="center"/>
          </w:tcPr>
          <w:p w14:paraId="6761F354">
            <w:pPr>
              <w:jc w:val="center"/>
              <w:rPr>
                <w:color w:val="auto"/>
                <w:kern w:val="21"/>
                <w:sz w:val="24"/>
              </w:rPr>
            </w:pPr>
            <w:r>
              <w:rPr>
                <w:rFonts w:hint="eastAsia"/>
                <w:color w:val="auto"/>
                <w:sz w:val="24"/>
              </w:rPr>
              <w:t>福建省福州市福清市江阴镇江阴港城经济区三峡路与兴林路交叉口东南侧</w:t>
            </w:r>
          </w:p>
        </w:tc>
      </w:tr>
      <w:tr w14:paraId="12933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7A770B3E">
            <w:pPr>
              <w:jc w:val="center"/>
              <w:rPr>
                <w:color w:val="auto"/>
                <w:kern w:val="21"/>
                <w:sz w:val="24"/>
              </w:rPr>
            </w:pPr>
            <w:r>
              <w:rPr>
                <w:color w:val="auto"/>
                <w:kern w:val="21"/>
                <w:sz w:val="24"/>
              </w:rPr>
              <w:t>地理坐标</w:t>
            </w:r>
          </w:p>
        </w:tc>
        <w:tc>
          <w:tcPr>
            <w:tcW w:w="6867" w:type="dxa"/>
            <w:gridSpan w:val="3"/>
            <w:vAlign w:val="center"/>
          </w:tcPr>
          <w:p w14:paraId="76900ADD">
            <w:pPr>
              <w:jc w:val="center"/>
              <w:rPr>
                <w:rFonts w:hint="eastAsia" w:eastAsia="宋体"/>
                <w:color w:val="auto"/>
                <w:kern w:val="21"/>
                <w:sz w:val="24"/>
                <w:lang w:eastAsia="zh-CN"/>
              </w:rPr>
            </w:pPr>
            <w:r>
              <w:rPr>
                <w:rFonts w:hint="eastAsia"/>
                <w:color w:val="auto"/>
                <w:kern w:val="21"/>
                <w:sz w:val="24"/>
                <w:lang w:eastAsia="zh-CN"/>
              </w:rPr>
              <w:t>(</w:t>
            </w:r>
            <w:r>
              <w:rPr>
                <w:color w:val="auto"/>
                <w:kern w:val="21"/>
                <w:sz w:val="24"/>
                <w:u w:val="single"/>
              </w:rPr>
              <w:t>119</w:t>
            </w:r>
            <w:r>
              <w:rPr>
                <w:color w:val="auto"/>
                <w:kern w:val="21"/>
                <w:sz w:val="24"/>
              </w:rPr>
              <w:t>度</w:t>
            </w:r>
            <w:r>
              <w:rPr>
                <w:rFonts w:hint="eastAsia"/>
                <w:color w:val="auto"/>
                <w:kern w:val="21"/>
                <w:sz w:val="24"/>
                <w:u w:val="single"/>
              </w:rPr>
              <w:t>19</w:t>
            </w:r>
            <w:r>
              <w:rPr>
                <w:color w:val="auto"/>
                <w:kern w:val="21"/>
                <w:sz w:val="24"/>
              </w:rPr>
              <w:t>分</w:t>
            </w:r>
            <w:r>
              <w:rPr>
                <w:rFonts w:hint="eastAsia"/>
                <w:color w:val="auto"/>
                <w:kern w:val="21"/>
                <w:sz w:val="24"/>
                <w:u w:val="single"/>
              </w:rPr>
              <w:t>22.390</w:t>
            </w:r>
            <w:r>
              <w:rPr>
                <w:color w:val="auto"/>
                <w:kern w:val="21"/>
                <w:sz w:val="24"/>
              </w:rPr>
              <w:t>秒，</w:t>
            </w:r>
            <w:r>
              <w:rPr>
                <w:rFonts w:hint="eastAsia"/>
                <w:color w:val="auto"/>
                <w:kern w:val="21"/>
                <w:sz w:val="24"/>
                <w:u w:val="single"/>
              </w:rPr>
              <w:t>25</w:t>
            </w:r>
            <w:r>
              <w:rPr>
                <w:color w:val="auto"/>
                <w:kern w:val="21"/>
                <w:sz w:val="24"/>
              </w:rPr>
              <w:t>度</w:t>
            </w:r>
            <w:r>
              <w:rPr>
                <w:rFonts w:hint="eastAsia"/>
                <w:color w:val="auto"/>
                <w:kern w:val="21"/>
                <w:sz w:val="24"/>
                <w:u w:val="single"/>
              </w:rPr>
              <w:t>26</w:t>
            </w:r>
            <w:r>
              <w:rPr>
                <w:color w:val="auto"/>
                <w:kern w:val="21"/>
                <w:sz w:val="24"/>
              </w:rPr>
              <w:t>分</w:t>
            </w:r>
            <w:r>
              <w:rPr>
                <w:rFonts w:hint="eastAsia"/>
                <w:color w:val="auto"/>
                <w:kern w:val="21"/>
                <w:sz w:val="24"/>
                <w:u w:val="single"/>
              </w:rPr>
              <w:t>14.503</w:t>
            </w:r>
            <w:r>
              <w:rPr>
                <w:color w:val="auto"/>
                <w:kern w:val="21"/>
                <w:sz w:val="24"/>
              </w:rPr>
              <w:t>秒</w:t>
            </w:r>
            <w:r>
              <w:rPr>
                <w:rFonts w:hint="eastAsia"/>
                <w:color w:val="auto"/>
                <w:kern w:val="21"/>
                <w:sz w:val="24"/>
                <w:shd w:val="clear" w:fill="FFFFFF"/>
                <w:lang w:eastAsia="zh-CN"/>
              </w:rPr>
              <w:t>)</w:t>
            </w:r>
          </w:p>
        </w:tc>
      </w:tr>
      <w:tr w14:paraId="029EB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29185D8C">
            <w:pPr>
              <w:jc w:val="center"/>
              <w:rPr>
                <w:color w:val="auto"/>
                <w:kern w:val="21"/>
                <w:sz w:val="24"/>
              </w:rPr>
            </w:pPr>
            <w:r>
              <w:rPr>
                <w:color w:val="auto"/>
                <w:kern w:val="21"/>
                <w:sz w:val="24"/>
              </w:rPr>
              <w:t>国民经济</w:t>
            </w:r>
          </w:p>
          <w:p w14:paraId="55E452D9">
            <w:pPr>
              <w:jc w:val="center"/>
              <w:rPr>
                <w:color w:val="auto"/>
                <w:kern w:val="21"/>
                <w:sz w:val="24"/>
              </w:rPr>
            </w:pPr>
            <w:r>
              <w:rPr>
                <w:color w:val="auto"/>
                <w:kern w:val="21"/>
                <w:sz w:val="24"/>
              </w:rPr>
              <w:t>行业类别</w:t>
            </w:r>
          </w:p>
        </w:tc>
        <w:tc>
          <w:tcPr>
            <w:tcW w:w="2030" w:type="dxa"/>
            <w:vAlign w:val="center"/>
          </w:tcPr>
          <w:p w14:paraId="49216B8F">
            <w:pPr>
              <w:jc w:val="center"/>
              <w:rPr>
                <w:color w:val="auto"/>
                <w:sz w:val="24"/>
              </w:rPr>
            </w:pPr>
            <w:r>
              <w:rPr>
                <w:rFonts w:hint="eastAsia"/>
                <w:color w:val="auto"/>
                <w:sz w:val="24"/>
              </w:rPr>
              <w:t>C3021 水泥制品</w:t>
            </w:r>
          </w:p>
          <w:p w14:paraId="300CE608">
            <w:pPr>
              <w:jc w:val="center"/>
              <w:rPr>
                <w:color w:val="auto"/>
                <w:sz w:val="24"/>
              </w:rPr>
            </w:pPr>
            <w:r>
              <w:rPr>
                <w:rFonts w:hint="eastAsia"/>
                <w:color w:val="auto"/>
                <w:sz w:val="24"/>
              </w:rPr>
              <w:t>制造</w:t>
            </w:r>
          </w:p>
        </w:tc>
        <w:tc>
          <w:tcPr>
            <w:tcW w:w="1981" w:type="dxa"/>
            <w:vAlign w:val="center"/>
          </w:tcPr>
          <w:p w14:paraId="081C7382">
            <w:pPr>
              <w:jc w:val="center"/>
              <w:rPr>
                <w:color w:val="auto"/>
                <w:kern w:val="21"/>
                <w:sz w:val="24"/>
              </w:rPr>
            </w:pPr>
            <w:bookmarkStart w:id="17" w:name="_Hlk49843745"/>
            <w:r>
              <w:rPr>
                <w:color w:val="auto"/>
                <w:kern w:val="21"/>
                <w:sz w:val="24"/>
              </w:rPr>
              <w:t>建设项目</w:t>
            </w:r>
          </w:p>
          <w:p w14:paraId="59A39507">
            <w:pPr>
              <w:jc w:val="center"/>
              <w:rPr>
                <w:color w:val="auto"/>
                <w:kern w:val="21"/>
                <w:sz w:val="24"/>
              </w:rPr>
            </w:pPr>
            <w:r>
              <w:rPr>
                <w:color w:val="auto"/>
                <w:kern w:val="21"/>
                <w:sz w:val="24"/>
              </w:rPr>
              <w:t>行业类别</w:t>
            </w:r>
            <w:bookmarkEnd w:id="17"/>
          </w:p>
        </w:tc>
        <w:tc>
          <w:tcPr>
            <w:tcW w:w="2856" w:type="dxa"/>
            <w:vAlign w:val="center"/>
          </w:tcPr>
          <w:p w14:paraId="2818EF5E">
            <w:pPr>
              <w:jc w:val="center"/>
              <w:rPr>
                <w:color w:val="auto"/>
                <w:sz w:val="24"/>
              </w:rPr>
            </w:pPr>
            <w:r>
              <w:rPr>
                <w:rFonts w:hint="eastAsia"/>
                <w:color w:val="auto"/>
                <w:sz w:val="24"/>
              </w:rPr>
              <w:t>二十七、非金属矿物制品业30—55石膏、水泥制品及类似制品制造302—商品混凝土；砼结构构件制造；水泥制品制造</w:t>
            </w:r>
          </w:p>
        </w:tc>
      </w:tr>
      <w:tr w14:paraId="63B81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3273B096">
            <w:pPr>
              <w:jc w:val="center"/>
              <w:rPr>
                <w:rFonts w:eastAsia="Calibri"/>
                <w:color w:val="auto"/>
                <w:kern w:val="21"/>
                <w:sz w:val="24"/>
              </w:rPr>
            </w:pPr>
            <w:r>
              <w:rPr>
                <w:color w:val="auto"/>
                <w:kern w:val="21"/>
                <w:sz w:val="24"/>
              </w:rPr>
              <w:t>建设性质</w:t>
            </w:r>
          </w:p>
        </w:tc>
        <w:tc>
          <w:tcPr>
            <w:tcW w:w="2030" w:type="dxa"/>
            <w:vAlign w:val="center"/>
          </w:tcPr>
          <w:p w14:paraId="711E33EA">
            <w:pPr>
              <w:jc w:val="left"/>
              <w:rPr>
                <w:rFonts w:hint="eastAsia" w:eastAsia="宋体"/>
                <w:color w:val="auto"/>
                <w:kern w:val="21"/>
                <w:sz w:val="24"/>
                <w:lang w:eastAsia="zh-CN"/>
              </w:rPr>
            </w:pPr>
            <w:r>
              <w:rPr>
                <w:rFonts w:hint="eastAsia"/>
                <w:color w:val="auto"/>
                <w:kern w:val="21"/>
                <w:sz w:val="24"/>
              </w:rPr>
              <w:t>☑</w:t>
            </w:r>
            <w:r>
              <w:rPr>
                <w:color w:val="auto"/>
                <w:kern w:val="21"/>
                <w:sz w:val="24"/>
              </w:rPr>
              <w:t>新建</w:t>
            </w:r>
            <w:r>
              <w:rPr>
                <w:rFonts w:hint="eastAsia"/>
                <w:color w:val="auto"/>
                <w:kern w:val="21"/>
                <w:sz w:val="24"/>
                <w:shd w:val="clear" w:fill="FFFFFF"/>
                <w:lang w:eastAsia="zh-CN"/>
              </w:rPr>
              <w:t>(</w:t>
            </w:r>
            <w:r>
              <w:rPr>
                <w:color w:val="auto"/>
                <w:kern w:val="21"/>
                <w:sz w:val="24"/>
              </w:rPr>
              <w:t>迁建</w:t>
            </w:r>
            <w:r>
              <w:rPr>
                <w:rFonts w:hint="eastAsia"/>
                <w:color w:val="auto"/>
                <w:kern w:val="21"/>
                <w:sz w:val="24"/>
                <w:shd w:val="clear" w:fill="FFFFFF"/>
                <w:lang w:eastAsia="zh-CN"/>
              </w:rPr>
              <w:t>)</w:t>
            </w:r>
          </w:p>
          <w:p w14:paraId="4D96D4BE">
            <w:pPr>
              <w:jc w:val="left"/>
              <w:rPr>
                <w:color w:val="auto"/>
                <w:kern w:val="21"/>
                <w:sz w:val="24"/>
              </w:rPr>
            </w:pPr>
            <w:r>
              <w:rPr>
                <w:color w:val="auto"/>
                <w:kern w:val="21"/>
                <w:sz w:val="24"/>
              </w:rPr>
              <w:t>□改建</w:t>
            </w:r>
          </w:p>
          <w:p w14:paraId="1AC359A1">
            <w:pPr>
              <w:jc w:val="left"/>
              <w:rPr>
                <w:color w:val="auto"/>
                <w:kern w:val="21"/>
                <w:sz w:val="24"/>
              </w:rPr>
            </w:pPr>
            <w:r>
              <w:rPr>
                <w:color w:val="auto"/>
                <w:kern w:val="21"/>
                <w:sz w:val="24"/>
              </w:rPr>
              <w:t>□扩建</w:t>
            </w:r>
          </w:p>
          <w:p w14:paraId="284633EE">
            <w:pPr>
              <w:jc w:val="left"/>
              <w:rPr>
                <w:color w:val="auto"/>
                <w:kern w:val="21"/>
                <w:sz w:val="24"/>
              </w:rPr>
            </w:pPr>
            <w:r>
              <w:rPr>
                <w:color w:val="auto"/>
                <w:kern w:val="21"/>
                <w:sz w:val="24"/>
              </w:rPr>
              <w:t>□技术改造</w:t>
            </w:r>
          </w:p>
        </w:tc>
        <w:tc>
          <w:tcPr>
            <w:tcW w:w="1981" w:type="dxa"/>
            <w:vAlign w:val="center"/>
          </w:tcPr>
          <w:p w14:paraId="7A3ADBA4">
            <w:pPr>
              <w:jc w:val="center"/>
              <w:rPr>
                <w:color w:val="auto"/>
                <w:kern w:val="21"/>
                <w:sz w:val="24"/>
              </w:rPr>
            </w:pPr>
            <w:r>
              <w:rPr>
                <w:color w:val="auto"/>
                <w:kern w:val="21"/>
                <w:sz w:val="24"/>
              </w:rPr>
              <w:t>建设项目申报情形</w:t>
            </w:r>
          </w:p>
        </w:tc>
        <w:tc>
          <w:tcPr>
            <w:tcW w:w="2856" w:type="dxa"/>
            <w:vAlign w:val="center"/>
          </w:tcPr>
          <w:p w14:paraId="5DFF399F">
            <w:pPr>
              <w:jc w:val="left"/>
              <w:rPr>
                <w:color w:val="auto"/>
                <w:kern w:val="21"/>
                <w:sz w:val="24"/>
              </w:rPr>
            </w:pPr>
            <w:r>
              <w:rPr>
                <w:rFonts w:hint="eastAsia"/>
                <w:color w:val="auto"/>
                <w:kern w:val="21"/>
                <w:sz w:val="24"/>
              </w:rPr>
              <w:t>☑</w:t>
            </w:r>
            <w:r>
              <w:rPr>
                <w:color w:val="auto"/>
                <w:kern w:val="21"/>
                <w:sz w:val="24"/>
              </w:rPr>
              <w:t>首次申报项目</w:t>
            </w:r>
          </w:p>
          <w:p w14:paraId="47675ED1">
            <w:pPr>
              <w:jc w:val="left"/>
              <w:rPr>
                <w:color w:val="auto"/>
                <w:kern w:val="21"/>
                <w:sz w:val="24"/>
              </w:rPr>
            </w:pPr>
            <w:r>
              <w:rPr>
                <w:color w:val="auto"/>
                <w:kern w:val="21"/>
                <w:sz w:val="24"/>
              </w:rPr>
              <w:t>□不予批准后再次申报项目</w:t>
            </w:r>
          </w:p>
          <w:p w14:paraId="1387463B">
            <w:pPr>
              <w:jc w:val="left"/>
              <w:rPr>
                <w:color w:val="auto"/>
                <w:kern w:val="21"/>
                <w:sz w:val="24"/>
              </w:rPr>
            </w:pPr>
            <w:r>
              <w:rPr>
                <w:color w:val="auto"/>
                <w:kern w:val="21"/>
                <w:sz w:val="24"/>
              </w:rPr>
              <w:t>□超五年重新审核项目</w:t>
            </w:r>
          </w:p>
          <w:p w14:paraId="143D8AF6">
            <w:pPr>
              <w:jc w:val="left"/>
              <w:rPr>
                <w:color w:val="auto"/>
                <w:kern w:val="21"/>
                <w:sz w:val="24"/>
              </w:rPr>
            </w:pPr>
            <w:r>
              <w:rPr>
                <w:color w:val="auto"/>
                <w:kern w:val="21"/>
                <w:sz w:val="24"/>
              </w:rPr>
              <w:t>□重大变动重新报批项目</w:t>
            </w:r>
          </w:p>
        </w:tc>
      </w:tr>
      <w:tr w14:paraId="41433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68A361E0">
            <w:pPr>
              <w:jc w:val="center"/>
              <w:rPr>
                <w:color w:val="auto"/>
                <w:kern w:val="21"/>
                <w:sz w:val="24"/>
              </w:rPr>
            </w:pPr>
            <w:r>
              <w:rPr>
                <w:color w:val="auto"/>
                <w:kern w:val="21"/>
                <w:sz w:val="24"/>
              </w:rPr>
              <w:t>项目审批</w:t>
            </w:r>
            <w:r>
              <w:rPr>
                <w:rFonts w:hint="eastAsia"/>
                <w:color w:val="auto"/>
                <w:kern w:val="21"/>
                <w:sz w:val="24"/>
                <w:shd w:val="clear" w:fill="FFFFFF"/>
                <w:lang w:eastAsia="zh-CN"/>
              </w:rPr>
              <w:t>(</w:t>
            </w:r>
            <w:r>
              <w:rPr>
                <w:color w:val="auto"/>
                <w:kern w:val="21"/>
                <w:sz w:val="24"/>
              </w:rPr>
              <w:t>核准/备案</w:t>
            </w:r>
            <w:r>
              <w:rPr>
                <w:rFonts w:hint="eastAsia"/>
                <w:color w:val="auto"/>
                <w:kern w:val="21"/>
                <w:sz w:val="24"/>
                <w:shd w:val="clear" w:fill="FFFFFF"/>
                <w:lang w:eastAsia="zh-CN"/>
              </w:rPr>
              <w:t>)</w:t>
            </w:r>
            <w:r>
              <w:rPr>
                <w:color w:val="auto"/>
                <w:kern w:val="21"/>
                <w:sz w:val="24"/>
              </w:rPr>
              <w:t>部门</w:t>
            </w:r>
          </w:p>
          <w:p w14:paraId="3A917B18">
            <w:pPr>
              <w:jc w:val="center"/>
              <w:rPr>
                <w:rFonts w:hint="eastAsia" w:eastAsia="宋体"/>
                <w:color w:val="auto"/>
                <w:kern w:val="21"/>
                <w:sz w:val="24"/>
                <w:lang w:eastAsia="zh-CN"/>
              </w:rPr>
            </w:pPr>
            <w:r>
              <w:rPr>
                <w:rFonts w:hint="eastAsia"/>
                <w:color w:val="auto"/>
                <w:kern w:val="21"/>
                <w:sz w:val="24"/>
                <w:shd w:val="clear" w:fill="FFFFFF"/>
                <w:lang w:eastAsia="zh-CN"/>
              </w:rPr>
              <w:t>(</w:t>
            </w:r>
            <w:r>
              <w:rPr>
                <w:color w:val="auto"/>
                <w:kern w:val="21"/>
                <w:sz w:val="24"/>
              </w:rPr>
              <w:t>选填</w:t>
            </w:r>
            <w:r>
              <w:rPr>
                <w:rFonts w:hint="eastAsia"/>
                <w:color w:val="auto"/>
                <w:kern w:val="21"/>
                <w:sz w:val="24"/>
                <w:shd w:val="clear" w:fill="FFFFFF"/>
                <w:lang w:eastAsia="zh-CN"/>
              </w:rPr>
              <w:t>)</w:t>
            </w:r>
          </w:p>
        </w:tc>
        <w:tc>
          <w:tcPr>
            <w:tcW w:w="2030" w:type="dxa"/>
            <w:vAlign w:val="center"/>
          </w:tcPr>
          <w:p w14:paraId="4BB7D7DE">
            <w:pPr>
              <w:jc w:val="center"/>
              <w:rPr>
                <w:color w:val="auto"/>
                <w:kern w:val="21"/>
                <w:sz w:val="24"/>
              </w:rPr>
            </w:pPr>
            <w:r>
              <w:rPr>
                <w:rFonts w:hint="eastAsia"/>
                <w:color w:val="auto"/>
                <w:kern w:val="21"/>
                <w:sz w:val="24"/>
              </w:rPr>
              <w:t>福清市发展和</w:t>
            </w:r>
          </w:p>
          <w:p w14:paraId="63B34B7C">
            <w:pPr>
              <w:jc w:val="center"/>
              <w:rPr>
                <w:color w:val="auto"/>
                <w:kern w:val="21"/>
                <w:sz w:val="24"/>
              </w:rPr>
            </w:pPr>
            <w:r>
              <w:rPr>
                <w:rFonts w:hint="eastAsia"/>
                <w:color w:val="auto"/>
                <w:kern w:val="21"/>
                <w:sz w:val="24"/>
              </w:rPr>
              <w:t>改革局</w:t>
            </w:r>
          </w:p>
        </w:tc>
        <w:tc>
          <w:tcPr>
            <w:tcW w:w="1981" w:type="dxa"/>
            <w:vAlign w:val="center"/>
          </w:tcPr>
          <w:p w14:paraId="1E4D7E4E">
            <w:pPr>
              <w:jc w:val="center"/>
              <w:rPr>
                <w:color w:val="auto"/>
                <w:kern w:val="21"/>
                <w:sz w:val="24"/>
              </w:rPr>
            </w:pPr>
            <w:r>
              <w:rPr>
                <w:color w:val="auto"/>
                <w:kern w:val="21"/>
                <w:sz w:val="24"/>
              </w:rPr>
              <w:t>项目审批</w:t>
            </w:r>
            <w:r>
              <w:rPr>
                <w:rFonts w:hint="eastAsia"/>
                <w:color w:val="auto"/>
                <w:kern w:val="21"/>
                <w:sz w:val="24"/>
                <w:shd w:val="clear" w:fill="FFFFFF"/>
                <w:lang w:eastAsia="zh-CN"/>
              </w:rPr>
              <w:t>(</w:t>
            </w:r>
            <w:r>
              <w:rPr>
                <w:color w:val="auto"/>
                <w:kern w:val="21"/>
                <w:sz w:val="24"/>
              </w:rPr>
              <w:t>核准/</w:t>
            </w:r>
          </w:p>
          <w:p w14:paraId="75308E99">
            <w:pPr>
              <w:jc w:val="center"/>
              <w:rPr>
                <w:rFonts w:hint="eastAsia" w:eastAsia="宋体"/>
                <w:color w:val="auto"/>
                <w:kern w:val="21"/>
                <w:sz w:val="24"/>
                <w:lang w:eastAsia="zh-CN"/>
              </w:rPr>
            </w:pPr>
            <w:r>
              <w:rPr>
                <w:color w:val="auto"/>
                <w:kern w:val="21"/>
                <w:sz w:val="24"/>
              </w:rPr>
              <w:t>备案</w:t>
            </w:r>
            <w:r>
              <w:rPr>
                <w:rFonts w:hint="eastAsia"/>
                <w:color w:val="auto"/>
                <w:kern w:val="21"/>
                <w:sz w:val="24"/>
                <w:shd w:val="clear" w:fill="FFFFFF"/>
                <w:lang w:eastAsia="zh-CN"/>
              </w:rPr>
              <w:t>)</w:t>
            </w:r>
            <w:r>
              <w:rPr>
                <w:color w:val="auto"/>
                <w:kern w:val="21"/>
                <w:sz w:val="24"/>
              </w:rPr>
              <w:t>文号</w:t>
            </w:r>
            <w:r>
              <w:rPr>
                <w:rFonts w:hint="eastAsia"/>
                <w:color w:val="auto"/>
                <w:kern w:val="21"/>
                <w:sz w:val="24"/>
                <w:shd w:val="clear" w:fill="FFFFFF"/>
                <w:lang w:eastAsia="zh-CN"/>
              </w:rPr>
              <w:t>(</w:t>
            </w:r>
            <w:r>
              <w:rPr>
                <w:color w:val="auto"/>
                <w:kern w:val="21"/>
                <w:sz w:val="24"/>
              </w:rPr>
              <w:t>选填</w:t>
            </w:r>
            <w:r>
              <w:rPr>
                <w:rFonts w:hint="eastAsia"/>
                <w:color w:val="auto"/>
                <w:kern w:val="21"/>
                <w:sz w:val="24"/>
                <w:shd w:val="clear" w:fill="FFFFFF"/>
                <w:lang w:eastAsia="zh-CN"/>
              </w:rPr>
              <w:t>)</w:t>
            </w:r>
          </w:p>
        </w:tc>
        <w:tc>
          <w:tcPr>
            <w:tcW w:w="2856" w:type="dxa"/>
            <w:vAlign w:val="center"/>
          </w:tcPr>
          <w:p w14:paraId="45D393D8">
            <w:pPr>
              <w:jc w:val="center"/>
              <w:rPr>
                <w:color w:val="auto"/>
                <w:kern w:val="21"/>
                <w:sz w:val="24"/>
              </w:rPr>
            </w:pPr>
            <w:r>
              <w:rPr>
                <w:rFonts w:hint="eastAsia"/>
                <w:color w:val="auto"/>
                <w:kern w:val="21"/>
                <w:sz w:val="24"/>
              </w:rPr>
              <w:t>闽发改备</w:t>
            </w:r>
            <w:r>
              <w:rPr>
                <w:rFonts w:hint="eastAsia"/>
                <w:color w:val="auto"/>
                <w:kern w:val="21"/>
                <w:sz w:val="24"/>
                <w:shd w:val="clear" w:fill="FFFFFF"/>
              </w:rPr>
              <w:t>[2022]</w:t>
            </w:r>
            <w:r>
              <w:rPr>
                <w:rFonts w:hint="eastAsia"/>
                <w:color w:val="auto"/>
                <w:kern w:val="21"/>
                <w:sz w:val="24"/>
              </w:rPr>
              <w:t>A060248号</w:t>
            </w:r>
          </w:p>
        </w:tc>
      </w:tr>
      <w:tr w14:paraId="53F40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637" w:type="dxa"/>
            <w:tcMar>
              <w:top w:w="16" w:type="dxa"/>
              <w:left w:w="16" w:type="dxa"/>
              <w:right w:w="16" w:type="dxa"/>
            </w:tcMar>
            <w:vAlign w:val="center"/>
          </w:tcPr>
          <w:p w14:paraId="04B4321C">
            <w:pPr>
              <w:jc w:val="center"/>
              <w:rPr>
                <w:rFonts w:hint="eastAsia" w:eastAsia="宋体"/>
                <w:color w:val="auto"/>
                <w:kern w:val="21"/>
                <w:sz w:val="24"/>
                <w:lang w:eastAsia="zh-CN"/>
              </w:rPr>
            </w:pPr>
            <w:r>
              <w:rPr>
                <w:color w:val="auto"/>
                <w:kern w:val="21"/>
                <w:sz w:val="24"/>
              </w:rPr>
              <w:t>总投资</w:t>
            </w:r>
            <w:r>
              <w:rPr>
                <w:rFonts w:hint="eastAsia"/>
                <w:color w:val="auto"/>
                <w:kern w:val="21"/>
                <w:sz w:val="24"/>
                <w:shd w:val="clear" w:fill="FFFFFF"/>
                <w:lang w:eastAsia="zh-CN"/>
              </w:rPr>
              <w:t>(</w:t>
            </w:r>
            <w:r>
              <w:rPr>
                <w:color w:val="auto"/>
                <w:kern w:val="21"/>
                <w:sz w:val="24"/>
              </w:rPr>
              <w:t>万元</w:t>
            </w:r>
            <w:r>
              <w:rPr>
                <w:rFonts w:hint="eastAsia"/>
                <w:color w:val="auto"/>
                <w:kern w:val="21"/>
                <w:sz w:val="24"/>
                <w:shd w:val="clear" w:fill="FFFFFF"/>
                <w:lang w:eastAsia="zh-CN"/>
              </w:rPr>
              <w:t>)</w:t>
            </w:r>
          </w:p>
        </w:tc>
        <w:tc>
          <w:tcPr>
            <w:tcW w:w="2030" w:type="dxa"/>
            <w:vAlign w:val="center"/>
          </w:tcPr>
          <w:p w14:paraId="04E90311">
            <w:pPr>
              <w:jc w:val="center"/>
              <w:rPr>
                <w:color w:val="auto"/>
                <w:kern w:val="21"/>
                <w:sz w:val="24"/>
              </w:rPr>
            </w:pPr>
            <w:r>
              <w:rPr>
                <w:rFonts w:hint="eastAsia"/>
                <w:color w:val="auto"/>
                <w:kern w:val="21"/>
                <w:sz w:val="24"/>
              </w:rPr>
              <w:t>30200</w:t>
            </w:r>
          </w:p>
        </w:tc>
        <w:tc>
          <w:tcPr>
            <w:tcW w:w="1981" w:type="dxa"/>
            <w:tcMar>
              <w:top w:w="16" w:type="dxa"/>
              <w:left w:w="16" w:type="dxa"/>
              <w:right w:w="16" w:type="dxa"/>
            </w:tcMar>
            <w:vAlign w:val="center"/>
          </w:tcPr>
          <w:p w14:paraId="08507FAC">
            <w:pPr>
              <w:jc w:val="center"/>
              <w:rPr>
                <w:rFonts w:hint="eastAsia" w:eastAsia="宋体"/>
                <w:color w:val="auto"/>
                <w:kern w:val="21"/>
                <w:sz w:val="24"/>
                <w:lang w:eastAsia="zh-CN"/>
              </w:rPr>
            </w:pPr>
            <w:r>
              <w:rPr>
                <w:color w:val="auto"/>
                <w:kern w:val="21"/>
                <w:sz w:val="24"/>
              </w:rPr>
              <w:t>环保投资</w:t>
            </w:r>
            <w:r>
              <w:rPr>
                <w:rFonts w:hint="eastAsia"/>
                <w:color w:val="auto"/>
                <w:kern w:val="21"/>
                <w:sz w:val="24"/>
                <w:shd w:val="clear" w:fill="FFFFFF"/>
                <w:lang w:eastAsia="zh-CN"/>
              </w:rPr>
              <w:t>(</w:t>
            </w:r>
            <w:r>
              <w:rPr>
                <w:color w:val="auto"/>
                <w:kern w:val="21"/>
                <w:sz w:val="24"/>
              </w:rPr>
              <w:t>万元</w:t>
            </w:r>
            <w:r>
              <w:rPr>
                <w:rFonts w:hint="eastAsia"/>
                <w:color w:val="auto"/>
                <w:kern w:val="21"/>
                <w:sz w:val="24"/>
                <w:shd w:val="clear" w:fill="FFFFFF"/>
                <w:lang w:eastAsia="zh-CN"/>
              </w:rPr>
              <w:t>)</w:t>
            </w:r>
          </w:p>
        </w:tc>
        <w:tc>
          <w:tcPr>
            <w:tcW w:w="2856" w:type="dxa"/>
            <w:vAlign w:val="center"/>
          </w:tcPr>
          <w:p w14:paraId="3FD0C333">
            <w:pPr>
              <w:jc w:val="center"/>
              <w:rPr>
                <w:color w:val="auto"/>
                <w:kern w:val="21"/>
                <w:sz w:val="24"/>
              </w:rPr>
            </w:pPr>
            <w:r>
              <w:rPr>
                <w:rFonts w:hint="eastAsia"/>
                <w:color w:val="auto"/>
                <w:kern w:val="21"/>
                <w:sz w:val="24"/>
              </w:rPr>
              <w:t>100</w:t>
            </w:r>
          </w:p>
        </w:tc>
      </w:tr>
      <w:tr w14:paraId="11AC7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6" w:hRule="atLeast"/>
          <w:jc w:val="center"/>
        </w:trPr>
        <w:tc>
          <w:tcPr>
            <w:tcW w:w="1637" w:type="dxa"/>
            <w:tcMar>
              <w:top w:w="16" w:type="dxa"/>
              <w:left w:w="16" w:type="dxa"/>
              <w:right w:w="16" w:type="dxa"/>
            </w:tcMar>
            <w:vAlign w:val="center"/>
          </w:tcPr>
          <w:p w14:paraId="51E5A29E">
            <w:pPr>
              <w:jc w:val="center"/>
              <w:rPr>
                <w:rFonts w:hint="eastAsia" w:eastAsia="宋体"/>
                <w:color w:val="auto"/>
                <w:kern w:val="21"/>
                <w:sz w:val="24"/>
                <w:lang w:eastAsia="zh-CN"/>
              </w:rPr>
            </w:pPr>
            <w:r>
              <w:rPr>
                <w:color w:val="auto"/>
                <w:kern w:val="21"/>
                <w:sz w:val="24"/>
              </w:rPr>
              <w:t>环保投资占比</w:t>
            </w:r>
            <w:r>
              <w:rPr>
                <w:rFonts w:hint="eastAsia"/>
                <w:color w:val="auto"/>
                <w:kern w:val="21"/>
                <w:sz w:val="24"/>
                <w:shd w:val="clear" w:fill="FFFFFF"/>
                <w:lang w:eastAsia="zh-CN"/>
              </w:rPr>
              <w:t>(</w:t>
            </w:r>
            <w:r>
              <w:rPr>
                <w:color w:val="auto"/>
                <w:kern w:val="21"/>
                <w:sz w:val="24"/>
              </w:rPr>
              <w:t>%</w:t>
            </w:r>
            <w:r>
              <w:rPr>
                <w:rFonts w:hint="eastAsia"/>
                <w:color w:val="auto"/>
                <w:kern w:val="21"/>
                <w:sz w:val="24"/>
                <w:shd w:val="clear" w:fill="FFFFFF"/>
                <w:lang w:eastAsia="zh-CN"/>
              </w:rPr>
              <w:t>)</w:t>
            </w:r>
          </w:p>
        </w:tc>
        <w:tc>
          <w:tcPr>
            <w:tcW w:w="2030" w:type="dxa"/>
            <w:vAlign w:val="center"/>
          </w:tcPr>
          <w:p w14:paraId="33291D4A">
            <w:pPr>
              <w:jc w:val="center"/>
              <w:rPr>
                <w:color w:val="auto"/>
                <w:kern w:val="21"/>
                <w:sz w:val="24"/>
              </w:rPr>
            </w:pPr>
            <w:r>
              <w:rPr>
                <w:rFonts w:hint="eastAsia"/>
                <w:color w:val="auto"/>
                <w:kern w:val="21"/>
                <w:sz w:val="24"/>
              </w:rPr>
              <w:t>0.33</w:t>
            </w:r>
          </w:p>
        </w:tc>
        <w:tc>
          <w:tcPr>
            <w:tcW w:w="1981" w:type="dxa"/>
            <w:tcMar>
              <w:top w:w="16" w:type="dxa"/>
              <w:left w:w="16" w:type="dxa"/>
              <w:right w:w="16" w:type="dxa"/>
            </w:tcMar>
            <w:vAlign w:val="center"/>
          </w:tcPr>
          <w:p w14:paraId="0F1F145F">
            <w:pPr>
              <w:jc w:val="center"/>
              <w:rPr>
                <w:color w:val="auto"/>
                <w:kern w:val="21"/>
                <w:sz w:val="24"/>
              </w:rPr>
            </w:pPr>
            <w:r>
              <w:rPr>
                <w:color w:val="auto"/>
                <w:kern w:val="21"/>
                <w:sz w:val="24"/>
              </w:rPr>
              <w:t>施工工期</w:t>
            </w:r>
          </w:p>
        </w:tc>
        <w:tc>
          <w:tcPr>
            <w:tcW w:w="2856" w:type="dxa"/>
            <w:vAlign w:val="center"/>
          </w:tcPr>
          <w:p w14:paraId="060F6EA9">
            <w:pPr>
              <w:jc w:val="center"/>
              <w:rPr>
                <w:color w:val="auto"/>
                <w:kern w:val="21"/>
                <w:sz w:val="24"/>
              </w:rPr>
            </w:pPr>
            <w:r>
              <w:rPr>
                <w:rFonts w:hint="eastAsia"/>
                <w:color w:val="auto"/>
                <w:sz w:val="24"/>
              </w:rPr>
              <w:t>6个月</w:t>
            </w:r>
          </w:p>
        </w:tc>
      </w:tr>
      <w:tr w14:paraId="60825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18" w:hRule="atLeast"/>
          <w:jc w:val="center"/>
        </w:trPr>
        <w:tc>
          <w:tcPr>
            <w:tcW w:w="1637" w:type="dxa"/>
            <w:tcMar>
              <w:top w:w="16" w:type="dxa"/>
              <w:left w:w="16" w:type="dxa"/>
              <w:right w:w="16" w:type="dxa"/>
            </w:tcMar>
            <w:vAlign w:val="center"/>
          </w:tcPr>
          <w:p w14:paraId="383752A9">
            <w:pPr>
              <w:jc w:val="center"/>
              <w:rPr>
                <w:color w:val="auto"/>
                <w:kern w:val="21"/>
                <w:sz w:val="24"/>
              </w:rPr>
            </w:pPr>
            <w:r>
              <w:rPr>
                <w:color w:val="auto"/>
                <w:kern w:val="21"/>
                <w:sz w:val="24"/>
              </w:rPr>
              <w:t>是否开工建设</w:t>
            </w:r>
          </w:p>
        </w:tc>
        <w:tc>
          <w:tcPr>
            <w:tcW w:w="2030" w:type="dxa"/>
            <w:vAlign w:val="center"/>
          </w:tcPr>
          <w:p w14:paraId="746A991D">
            <w:pPr>
              <w:rPr>
                <w:color w:val="auto"/>
                <w:kern w:val="21"/>
                <w:sz w:val="24"/>
              </w:rPr>
            </w:pPr>
            <w:r>
              <w:rPr>
                <w:rFonts w:hint="eastAsia"/>
                <w:color w:val="auto"/>
                <w:kern w:val="21"/>
                <w:sz w:val="24"/>
              </w:rPr>
              <w:t>√</w:t>
            </w:r>
            <w:r>
              <w:rPr>
                <w:color w:val="auto"/>
                <w:kern w:val="21"/>
                <w:sz w:val="24"/>
              </w:rPr>
              <w:t>否</w:t>
            </w:r>
          </w:p>
          <w:p w14:paraId="4BC42205">
            <w:pPr>
              <w:rPr>
                <w:rFonts w:eastAsia="Calibri"/>
                <w:color w:val="auto"/>
                <w:kern w:val="21"/>
                <w:sz w:val="24"/>
              </w:rPr>
            </w:pPr>
            <w:r>
              <w:rPr>
                <w:color w:val="auto"/>
                <w:kern w:val="21"/>
                <w:sz w:val="24"/>
              </w:rPr>
              <w:t>□是：</w:t>
            </w:r>
            <w:r>
              <w:rPr>
                <w:rFonts w:hint="eastAsia"/>
                <w:color w:val="auto"/>
                <w:kern w:val="21"/>
                <w:sz w:val="24"/>
                <w:u w:val="single"/>
              </w:rPr>
              <w:t xml:space="preserve"> </w:t>
            </w:r>
            <w:r>
              <w:rPr>
                <w:color w:val="auto"/>
                <w:kern w:val="21"/>
                <w:sz w:val="24"/>
                <w:u w:val="single"/>
              </w:rPr>
              <w:t xml:space="preserve">        </w:t>
            </w:r>
          </w:p>
        </w:tc>
        <w:tc>
          <w:tcPr>
            <w:tcW w:w="1981" w:type="dxa"/>
            <w:tcMar>
              <w:top w:w="16" w:type="dxa"/>
              <w:left w:w="16" w:type="dxa"/>
              <w:right w:w="16" w:type="dxa"/>
            </w:tcMar>
            <w:vAlign w:val="center"/>
          </w:tcPr>
          <w:p w14:paraId="66F98168">
            <w:pPr>
              <w:jc w:val="center"/>
              <w:rPr>
                <w:rFonts w:hint="eastAsia" w:eastAsia="宋体"/>
                <w:color w:val="auto"/>
                <w:kern w:val="21"/>
                <w:sz w:val="24"/>
                <w:lang w:eastAsia="zh-CN"/>
              </w:rPr>
            </w:pPr>
            <w:r>
              <w:rPr>
                <w:color w:val="auto"/>
                <w:kern w:val="21"/>
                <w:sz w:val="24"/>
              </w:rPr>
              <w:t>用地</w:t>
            </w:r>
            <w:r>
              <w:rPr>
                <w:rFonts w:hint="eastAsia"/>
                <w:color w:val="auto"/>
                <w:kern w:val="21"/>
                <w:sz w:val="24"/>
                <w:shd w:val="clear" w:fill="FFFFFF"/>
                <w:lang w:eastAsia="zh-CN"/>
              </w:rPr>
              <w:t>(</w:t>
            </w:r>
            <w:r>
              <w:rPr>
                <w:color w:val="auto"/>
                <w:kern w:val="21"/>
                <w:sz w:val="24"/>
              </w:rPr>
              <w:t>用海</w:t>
            </w:r>
            <w:r>
              <w:rPr>
                <w:rFonts w:hint="eastAsia"/>
                <w:color w:val="auto"/>
                <w:kern w:val="21"/>
                <w:sz w:val="24"/>
                <w:shd w:val="clear" w:fill="FFFFFF"/>
                <w:lang w:eastAsia="zh-CN"/>
              </w:rPr>
              <w:t>)</w:t>
            </w:r>
          </w:p>
          <w:p w14:paraId="19862639">
            <w:pPr>
              <w:jc w:val="center"/>
              <w:rPr>
                <w:rFonts w:hint="eastAsia" w:eastAsia="宋体"/>
                <w:color w:val="auto"/>
                <w:kern w:val="21"/>
                <w:sz w:val="24"/>
                <w:lang w:eastAsia="zh-CN"/>
              </w:rPr>
            </w:pPr>
            <w:r>
              <w:rPr>
                <w:color w:val="auto"/>
                <w:kern w:val="21"/>
                <w:sz w:val="24"/>
              </w:rPr>
              <w:t>面积</w:t>
            </w:r>
            <w:r>
              <w:rPr>
                <w:rFonts w:hint="eastAsia"/>
                <w:color w:val="auto"/>
                <w:kern w:val="21"/>
                <w:sz w:val="24"/>
                <w:shd w:val="clear" w:fill="FFFFFF"/>
                <w:lang w:eastAsia="zh-CN"/>
              </w:rPr>
              <w:t>(</w:t>
            </w:r>
            <w:r>
              <w:rPr>
                <w:color w:val="auto"/>
                <w:kern w:val="21"/>
                <w:sz w:val="24"/>
              </w:rPr>
              <w:t>m</w:t>
            </w:r>
            <w:r>
              <w:rPr>
                <w:color w:val="auto"/>
                <w:kern w:val="21"/>
                <w:sz w:val="24"/>
                <w:vertAlign w:val="superscript"/>
              </w:rPr>
              <w:t>2</w:t>
            </w:r>
            <w:r>
              <w:rPr>
                <w:rFonts w:hint="eastAsia"/>
                <w:color w:val="auto"/>
                <w:kern w:val="21"/>
                <w:sz w:val="24"/>
                <w:shd w:val="clear" w:fill="FFFFFF"/>
                <w:lang w:eastAsia="zh-CN"/>
              </w:rPr>
              <w:t>)</w:t>
            </w:r>
          </w:p>
        </w:tc>
        <w:tc>
          <w:tcPr>
            <w:tcW w:w="2856" w:type="dxa"/>
            <w:vAlign w:val="center"/>
          </w:tcPr>
          <w:p w14:paraId="56CEA8E3">
            <w:pPr>
              <w:jc w:val="center"/>
              <w:rPr>
                <w:color w:val="auto"/>
                <w:sz w:val="24"/>
              </w:rPr>
            </w:pPr>
            <w:r>
              <w:rPr>
                <w:rFonts w:hint="eastAsia"/>
                <w:color w:val="auto"/>
                <w:sz w:val="24"/>
              </w:rPr>
              <w:t>占地面积40000m</w:t>
            </w:r>
            <w:r>
              <w:rPr>
                <w:rFonts w:hint="eastAsia"/>
                <w:color w:val="auto"/>
                <w:sz w:val="24"/>
                <w:vertAlign w:val="superscript"/>
              </w:rPr>
              <w:t>2</w:t>
            </w:r>
            <w:r>
              <w:rPr>
                <w:rFonts w:hint="eastAsia"/>
                <w:color w:val="auto"/>
                <w:sz w:val="24"/>
              </w:rPr>
              <w:t>，建筑</w:t>
            </w:r>
          </w:p>
          <w:p w14:paraId="6F5E79DD">
            <w:pPr>
              <w:jc w:val="center"/>
              <w:rPr>
                <w:color w:val="auto"/>
                <w:kern w:val="21"/>
                <w:sz w:val="24"/>
              </w:rPr>
            </w:pPr>
            <w:r>
              <w:rPr>
                <w:rFonts w:hint="eastAsia"/>
                <w:color w:val="auto"/>
                <w:sz w:val="24"/>
              </w:rPr>
              <w:t>面积21098.55m</w:t>
            </w:r>
            <w:r>
              <w:rPr>
                <w:rFonts w:hint="eastAsia"/>
                <w:color w:val="auto"/>
                <w:sz w:val="24"/>
                <w:vertAlign w:val="superscript"/>
              </w:rPr>
              <w:t>2</w:t>
            </w:r>
          </w:p>
        </w:tc>
      </w:tr>
      <w:tr w14:paraId="5AB34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7" w:type="dxa"/>
            <w:vAlign w:val="center"/>
          </w:tcPr>
          <w:p w14:paraId="3F9802B3">
            <w:pPr>
              <w:autoSpaceDE w:val="0"/>
              <w:autoSpaceDN w:val="0"/>
              <w:jc w:val="center"/>
              <w:rPr>
                <w:color w:val="auto"/>
                <w:kern w:val="21"/>
                <w:sz w:val="24"/>
              </w:rPr>
            </w:pPr>
            <w:r>
              <w:rPr>
                <w:color w:val="auto"/>
                <w:kern w:val="21"/>
                <w:sz w:val="24"/>
              </w:rPr>
              <w:t>专项评价</w:t>
            </w:r>
          </w:p>
          <w:p w14:paraId="6EB56E48">
            <w:pPr>
              <w:autoSpaceDE w:val="0"/>
              <w:autoSpaceDN w:val="0"/>
              <w:jc w:val="center"/>
              <w:rPr>
                <w:color w:val="auto"/>
                <w:kern w:val="21"/>
                <w:szCs w:val="21"/>
              </w:rPr>
            </w:pPr>
            <w:r>
              <w:rPr>
                <w:color w:val="auto"/>
                <w:kern w:val="21"/>
                <w:sz w:val="24"/>
              </w:rPr>
              <w:t>设置情况</w:t>
            </w:r>
          </w:p>
        </w:tc>
        <w:tc>
          <w:tcPr>
            <w:tcW w:w="6867" w:type="dxa"/>
            <w:gridSpan w:val="3"/>
            <w:vAlign w:val="center"/>
          </w:tcPr>
          <w:p w14:paraId="49C68FA4">
            <w:pPr>
              <w:autoSpaceDE w:val="0"/>
              <w:autoSpaceDN w:val="0"/>
              <w:spacing w:line="360" w:lineRule="auto"/>
              <w:ind w:firstLine="480" w:firstLineChars="200"/>
              <w:jc w:val="left"/>
              <w:rPr>
                <w:color w:val="auto"/>
                <w:kern w:val="0"/>
                <w:sz w:val="24"/>
              </w:rPr>
            </w:pPr>
            <w:r>
              <w:rPr>
                <w:rFonts w:hint="eastAsia"/>
                <w:color w:val="auto"/>
                <w:kern w:val="0"/>
                <w:sz w:val="24"/>
              </w:rPr>
              <w:t>根据《建设项目环境影响报告表编制技术指南</w:t>
            </w:r>
            <w:r>
              <w:rPr>
                <w:rFonts w:hint="eastAsia"/>
                <w:color w:val="auto"/>
                <w:kern w:val="0"/>
                <w:sz w:val="24"/>
                <w:shd w:val="clear" w:fill="FFFFFF"/>
              </w:rPr>
              <w:t>(</w:t>
            </w:r>
            <w:r>
              <w:rPr>
                <w:rFonts w:hint="eastAsia"/>
                <w:color w:val="auto"/>
                <w:kern w:val="0"/>
                <w:sz w:val="24"/>
              </w:rPr>
              <w:t>污染影响类</w:t>
            </w:r>
            <w:r>
              <w:rPr>
                <w:rFonts w:hint="eastAsia"/>
                <w:color w:val="auto"/>
                <w:kern w:val="0"/>
                <w:sz w:val="24"/>
                <w:shd w:val="clear" w:fill="FFFFFF"/>
              </w:rPr>
              <w:t>)(</w:t>
            </w:r>
            <w:r>
              <w:rPr>
                <w:rFonts w:hint="eastAsia"/>
                <w:color w:val="auto"/>
                <w:kern w:val="0"/>
                <w:sz w:val="24"/>
              </w:rPr>
              <w:t>试行</w:t>
            </w:r>
            <w:r>
              <w:rPr>
                <w:rFonts w:hint="eastAsia"/>
                <w:color w:val="auto"/>
                <w:kern w:val="0"/>
                <w:sz w:val="24"/>
                <w:shd w:val="clear" w:fill="FFFFFF"/>
              </w:rPr>
              <w:t>)</w:t>
            </w:r>
            <w:r>
              <w:rPr>
                <w:rFonts w:hint="eastAsia"/>
                <w:color w:val="auto"/>
                <w:kern w:val="0"/>
                <w:sz w:val="24"/>
              </w:rPr>
              <w:t>》，土壤、声环境不开展专项评价，地下水原则上不开展专项评价。项目工程专项设置情况参照项目评价设置原则表，具体详见表1.1-1。根据下表分析可知，项目无需开展专项评价工作。</w:t>
            </w:r>
          </w:p>
          <w:p w14:paraId="1F07C9FC">
            <w:pPr>
              <w:spacing w:beforeLines="50"/>
              <w:jc w:val="center"/>
              <w:rPr>
                <w:b/>
                <w:bCs/>
                <w:color w:val="auto"/>
                <w:sz w:val="24"/>
              </w:rPr>
            </w:pPr>
            <w:r>
              <w:rPr>
                <w:b/>
                <w:bCs/>
                <w:color w:val="auto"/>
                <w:sz w:val="24"/>
              </w:rPr>
              <w:t>表1</w:t>
            </w:r>
            <w:r>
              <w:rPr>
                <w:rFonts w:hint="eastAsia"/>
                <w:b/>
                <w:bCs/>
                <w:color w:val="auto"/>
                <w:sz w:val="24"/>
              </w:rPr>
              <w:t>.1-1</w:t>
            </w:r>
            <w:r>
              <w:rPr>
                <w:b/>
                <w:bCs/>
                <w:color w:val="auto"/>
                <w:sz w:val="24"/>
              </w:rPr>
              <w:t xml:space="preserve">  项目专项评价设置表</w:t>
            </w:r>
          </w:p>
          <w:tbl>
            <w:tblPr>
              <w:tblStyle w:val="36"/>
              <w:tblW w:w="680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03"/>
              <w:gridCol w:w="3093"/>
              <w:gridCol w:w="2160"/>
              <w:gridCol w:w="747"/>
            </w:tblGrid>
            <w:tr w14:paraId="6B7D8E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58" w:hRule="atLeast"/>
                <w:jc w:val="center"/>
              </w:trPr>
              <w:tc>
                <w:tcPr>
                  <w:tcW w:w="803" w:type="dxa"/>
                  <w:vAlign w:val="center"/>
                </w:tcPr>
                <w:p w14:paraId="6276829E">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专项评价类别</w:t>
                  </w:r>
                </w:p>
              </w:tc>
              <w:tc>
                <w:tcPr>
                  <w:tcW w:w="3093" w:type="dxa"/>
                  <w:vAlign w:val="center"/>
                </w:tcPr>
                <w:p w14:paraId="66E5DA5C">
                  <w:pPr>
                    <w:pBdr>
                      <w:top w:val="none" w:color="auto" w:sz="0" w:space="1"/>
                      <w:left w:val="none" w:color="auto" w:sz="0" w:space="4"/>
                      <w:bottom w:val="none" w:color="auto" w:sz="0" w:space="1"/>
                      <w:right w:val="none" w:color="auto" w:sz="0" w:space="4"/>
                    </w:pBdr>
                    <w:jc w:val="center"/>
                    <w:rPr>
                      <w:color w:val="auto"/>
                      <w:szCs w:val="21"/>
                    </w:rPr>
                  </w:pPr>
                  <w:r>
                    <w:rPr>
                      <w:color w:val="auto"/>
                      <w:szCs w:val="21"/>
                    </w:rPr>
                    <w:t>涉及项目类别</w:t>
                  </w:r>
                </w:p>
              </w:tc>
              <w:tc>
                <w:tcPr>
                  <w:tcW w:w="2160" w:type="dxa"/>
                  <w:vAlign w:val="center"/>
                </w:tcPr>
                <w:p w14:paraId="11FE3AAF">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lang w:eastAsia="zh-CN"/>
                    </w:rPr>
                    <w:t>迁建项目</w:t>
                  </w:r>
                  <w:r>
                    <w:rPr>
                      <w:rFonts w:hint="eastAsia"/>
                      <w:color w:val="auto"/>
                      <w:szCs w:val="21"/>
                    </w:rPr>
                    <w:t>评价</w:t>
                  </w:r>
                </w:p>
              </w:tc>
              <w:tc>
                <w:tcPr>
                  <w:tcW w:w="747" w:type="dxa"/>
                  <w:vAlign w:val="center"/>
                </w:tcPr>
                <w:p w14:paraId="2C05F240">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是否设置专项</w:t>
                  </w:r>
                </w:p>
              </w:tc>
            </w:tr>
            <w:tr w14:paraId="6DB88C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5F2C6009">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大气</w:t>
                  </w:r>
                </w:p>
              </w:tc>
              <w:tc>
                <w:tcPr>
                  <w:tcW w:w="3093" w:type="dxa"/>
                  <w:vAlign w:val="center"/>
                </w:tcPr>
                <w:p w14:paraId="6F08C6C7">
                  <w:pPr>
                    <w:jc w:val="center"/>
                    <w:rPr>
                      <w:color w:val="auto"/>
                      <w:szCs w:val="21"/>
                    </w:rPr>
                  </w:pPr>
                  <w:r>
                    <w:rPr>
                      <w:rFonts w:hint="eastAsia"/>
                      <w:color w:val="auto"/>
                      <w:szCs w:val="21"/>
                    </w:rPr>
                    <w:t>排放废气含有毒有害污染物、二噁英、苯并[a]芘、氰化物、氯气且厂界外500米范围内有环境空气保护目标的建设项目</w:t>
                  </w:r>
                </w:p>
              </w:tc>
              <w:tc>
                <w:tcPr>
                  <w:tcW w:w="2160" w:type="dxa"/>
                  <w:vAlign w:val="center"/>
                </w:tcPr>
                <w:p w14:paraId="7E9470FA">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lang w:eastAsia="zh-CN"/>
                    </w:rPr>
                    <w:t>迁建项目</w:t>
                  </w:r>
                  <w:r>
                    <w:rPr>
                      <w:rFonts w:hint="eastAsia"/>
                      <w:color w:val="auto"/>
                      <w:szCs w:val="21"/>
                    </w:rPr>
                    <w:t>产生的废气污染物主要为颗粒物，不涉及含有毒有害污染物、二噁英、苯并[a]芘、氰化物、氯气</w:t>
                  </w:r>
                </w:p>
              </w:tc>
              <w:tc>
                <w:tcPr>
                  <w:tcW w:w="747" w:type="dxa"/>
                  <w:vAlign w:val="center"/>
                </w:tcPr>
                <w:p w14:paraId="45CB86EF">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否</w:t>
                  </w:r>
                </w:p>
              </w:tc>
            </w:tr>
            <w:tr w14:paraId="330B7B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6BD06753">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地表水</w:t>
                  </w:r>
                </w:p>
              </w:tc>
              <w:tc>
                <w:tcPr>
                  <w:tcW w:w="3093" w:type="dxa"/>
                  <w:vAlign w:val="center"/>
                </w:tcPr>
                <w:p w14:paraId="68E4F4DF">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新增工业废水直排建设项目</w:t>
                  </w:r>
                  <w:r>
                    <w:rPr>
                      <w:rFonts w:hint="eastAsia"/>
                      <w:color w:val="auto"/>
                      <w:szCs w:val="21"/>
                      <w:shd w:val="clear" w:fill="FFFFFF"/>
                    </w:rPr>
                    <w:t>(</w:t>
                  </w:r>
                  <w:r>
                    <w:rPr>
                      <w:rFonts w:hint="eastAsia"/>
                      <w:color w:val="auto"/>
                      <w:szCs w:val="21"/>
                    </w:rPr>
                    <w:t>槽罐车外送污水处理厂的除外</w:t>
                  </w:r>
                  <w:r>
                    <w:rPr>
                      <w:rFonts w:hint="eastAsia"/>
                      <w:color w:val="auto"/>
                      <w:szCs w:val="21"/>
                      <w:shd w:val="clear" w:fill="FFFFFF"/>
                    </w:rPr>
                    <w:t>)</w:t>
                  </w:r>
                  <w:r>
                    <w:rPr>
                      <w:rFonts w:hint="eastAsia"/>
                      <w:color w:val="auto"/>
                      <w:szCs w:val="21"/>
                    </w:rPr>
                    <w:t>；新增废水直排的污水集中处理厂</w:t>
                  </w:r>
                </w:p>
              </w:tc>
              <w:tc>
                <w:tcPr>
                  <w:tcW w:w="2160" w:type="dxa"/>
                  <w:vAlign w:val="center"/>
                </w:tcPr>
                <w:p w14:paraId="36AAF849">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lang w:eastAsia="zh-CN"/>
                    </w:rPr>
                    <w:t>迁建项目</w:t>
                  </w:r>
                  <w:r>
                    <w:rPr>
                      <w:rFonts w:hint="eastAsia"/>
                      <w:color w:val="auto"/>
                      <w:szCs w:val="21"/>
                    </w:rPr>
                    <w:t>不排放生产废水；生活污水经厂区内化粪池预处理后接入市政污水管网排入江阴污水处理厂处理</w:t>
                  </w:r>
                </w:p>
              </w:tc>
              <w:tc>
                <w:tcPr>
                  <w:tcW w:w="747" w:type="dxa"/>
                  <w:vAlign w:val="center"/>
                </w:tcPr>
                <w:p w14:paraId="1C5EAB50">
                  <w:pPr>
                    <w:pBdr>
                      <w:top w:val="none" w:color="auto" w:sz="0" w:space="1"/>
                      <w:left w:val="none" w:color="auto" w:sz="0" w:space="4"/>
                      <w:bottom w:val="none" w:color="auto" w:sz="0" w:space="1"/>
                      <w:right w:val="none" w:color="auto" w:sz="0" w:space="4"/>
                    </w:pBdr>
                    <w:jc w:val="center"/>
                    <w:rPr>
                      <w:color w:val="auto"/>
                      <w:szCs w:val="21"/>
                    </w:rPr>
                  </w:pPr>
                  <w:r>
                    <w:rPr>
                      <w:color w:val="auto"/>
                      <w:szCs w:val="21"/>
                    </w:rPr>
                    <w:t>否</w:t>
                  </w:r>
                </w:p>
              </w:tc>
            </w:tr>
            <w:tr w14:paraId="07967F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33BBB95E">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环境</w:t>
                  </w:r>
                </w:p>
                <w:p w14:paraId="5022C152">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风险</w:t>
                  </w:r>
                </w:p>
              </w:tc>
              <w:tc>
                <w:tcPr>
                  <w:tcW w:w="3093" w:type="dxa"/>
                  <w:vAlign w:val="center"/>
                </w:tcPr>
                <w:p w14:paraId="21050EF3">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有毒有害和易燃易爆危险物质存储量超过临界量的建设项目</w:t>
                  </w:r>
                </w:p>
              </w:tc>
              <w:tc>
                <w:tcPr>
                  <w:tcW w:w="2160" w:type="dxa"/>
                  <w:vAlign w:val="center"/>
                </w:tcPr>
                <w:p w14:paraId="6F56F285">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lang w:eastAsia="zh-CN"/>
                    </w:rPr>
                    <w:t>迁建项目</w:t>
                  </w:r>
                  <w:r>
                    <w:rPr>
                      <w:rFonts w:hint="eastAsia"/>
                      <w:color w:val="auto"/>
                      <w:szCs w:val="21"/>
                    </w:rPr>
                    <w:t>不涉及有毒有害和易燃易爆危险物质</w:t>
                  </w:r>
                </w:p>
              </w:tc>
              <w:tc>
                <w:tcPr>
                  <w:tcW w:w="747" w:type="dxa"/>
                  <w:vAlign w:val="center"/>
                </w:tcPr>
                <w:p w14:paraId="21B18138">
                  <w:pPr>
                    <w:pBdr>
                      <w:top w:val="none" w:color="auto" w:sz="0" w:space="1"/>
                      <w:left w:val="none" w:color="auto" w:sz="0" w:space="4"/>
                      <w:bottom w:val="none" w:color="auto" w:sz="0" w:space="1"/>
                      <w:right w:val="none" w:color="auto" w:sz="0" w:space="4"/>
                    </w:pBdr>
                    <w:jc w:val="center"/>
                    <w:rPr>
                      <w:color w:val="auto"/>
                      <w:szCs w:val="21"/>
                    </w:rPr>
                  </w:pPr>
                  <w:r>
                    <w:rPr>
                      <w:color w:val="auto"/>
                      <w:szCs w:val="21"/>
                    </w:rPr>
                    <w:t>否</w:t>
                  </w:r>
                </w:p>
              </w:tc>
            </w:tr>
            <w:tr w14:paraId="1F13D0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7C12EB19">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生态</w:t>
                  </w:r>
                </w:p>
              </w:tc>
              <w:tc>
                <w:tcPr>
                  <w:tcW w:w="3093" w:type="dxa"/>
                  <w:vAlign w:val="center"/>
                </w:tcPr>
                <w:p w14:paraId="00D209AB">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取水口下游500米范围内有重要水生生物的自然产卵场、索饵场、越冬场和洄游通道的新增河道取水的污染类建设项目</w:t>
                  </w:r>
                </w:p>
              </w:tc>
              <w:tc>
                <w:tcPr>
                  <w:tcW w:w="2160" w:type="dxa"/>
                  <w:vAlign w:val="center"/>
                </w:tcPr>
                <w:p w14:paraId="2C9614F0">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lang w:eastAsia="zh-CN"/>
                    </w:rPr>
                    <w:t>迁建项目</w:t>
                  </w:r>
                  <w:r>
                    <w:rPr>
                      <w:rFonts w:hint="eastAsia"/>
                      <w:color w:val="auto"/>
                      <w:szCs w:val="21"/>
                    </w:rPr>
                    <w:t>使用自来水，不涉及取水口</w:t>
                  </w:r>
                </w:p>
              </w:tc>
              <w:tc>
                <w:tcPr>
                  <w:tcW w:w="747" w:type="dxa"/>
                  <w:vAlign w:val="center"/>
                </w:tcPr>
                <w:p w14:paraId="0F1E3F85">
                  <w:pPr>
                    <w:pBdr>
                      <w:top w:val="none" w:color="auto" w:sz="0" w:space="1"/>
                      <w:left w:val="none" w:color="auto" w:sz="0" w:space="4"/>
                      <w:bottom w:val="none" w:color="auto" w:sz="0" w:space="1"/>
                      <w:right w:val="none" w:color="auto" w:sz="0" w:space="4"/>
                    </w:pBdr>
                    <w:jc w:val="center"/>
                    <w:rPr>
                      <w:color w:val="auto"/>
                      <w:szCs w:val="21"/>
                    </w:rPr>
                  </w:pPr>
                  <w:r>
                    <w:rPr>
                      <w:color w:val="auto"/>
                      <w:szCs w:val="21"/>
                    </w:rPr>
                    <w:t>否</w:t>
                  </w:r>
                </w:p>
              </w:tc>
            </w:tr>
            <w:tr w14:paraId="544BFF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64C5394D">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海洋</w:t>
                  </w:r>
                </w:p>
              </w:tc>
              <w:tc>
                <w:tcPr>
                  <w:tcW w:w="3093" w:type="dxa"/>
                  <w:vAlign w:val="center"/>
                </w:tcPr>
                <w:p w14:paraId="3868A688">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rPr>
                    <w:t>直接向海排放污染物的海洋工程建设项目</w:t>
                  </w:r>
                </w:p>
              </w:tc>
              <w:tc>
                <w:tcPr>
                  <w:tcW w:w="2160" w:type="dxa"/>
                  <w:vAlign w:val="center"/>
                </w:tcPr>
                <w:p w14:paraId="421A6EFF">
                  <w:pPr>
                    <w:pBdr>
                      <w:top w:val="none" w:color="auto" w:sz="0" w:space="1"/>
                      <w:left w:val="none" w:color="auto" w:sz="0" w:space="4"/>
                      <w:bottom w:val="none" w:color="auto" w:sz="0" w:space="1"/>
                      <w:right w:val="none" w:color="auto" w:sz="0" w:space="4"/>
                    </w:pBdr>
                    <w:jc w:val="center"/>
                    <w:rPr>
                      <w:color w:val="auto"/>
                      <w:szCs w:val="21"/>
                    </w:rPr>
                  </w:pPr>
                  <w:r>
                    <w:rPr>
                      <w:rFonts w:hint="eastAsia"/>
                      <w:color w:val="auto"/>
                      <w:szCs w:val="21"/>
                      <w:lang w:eastAsia="zh-CN"/>
                    </w:rPr>
                    <w:t>迁建项目</w:t>
                  </w:r>
                  <w:r>
                    <w:rPr>
                      <w:rFonts w:hint="eastAsia"/>
                      <w:color w:val="auto"/>
                      <w:szCs w:val="21"/>
                    </w:rPr>
                    <w:t>不属于</w:t>
                  </w:r>
                  <w:r>
                    <w:rPr>
                      <w:color w:val="auto"/>
                      <w:szCs w:val="21"/>
                    </w:rPr>
                    <w:t>向海洋排放污染物的海洋工程项目</w:t>
                  </w:r>
                </w:p>
              </w:tc>
              <w:tc>
                <w:tcPr>
                  <w:tcW w:w="747" w:type="dxa"/>
                  <w:vAlign w:val="center"/>
                </w:tcPr>
                <w:p w14:paraId="5D330361">
                  <w:pPr>
                    <w:pBdr>
                      <w:top w:val="none" w:color="auto" w:sz="0" w:space="1"/>
                      <w:left w:val="none" w:color="auto" w:sz="0" w:space="4"/>
                      <w:bottom w:val="none" w:color="auto" w:sz="0" w:space="1"/>
                      <w:right w:val="none" w:color="auto" w:sz="0" w:space="4"/>
                    </w:pBdr>
                    <w:jc w:val="center"/>
                    <w:rPr>
                      <w:color w:val="auto"/>
                      <w:szCs w:val="21"/>
                    </w:rPr>
                  </w:pPr>
                  <w:r>
                    <w:rPr>
                      <w:color w:val="auto"/>
                      <w:szCs w:val="21"/>
                    </w:rPr>
                    <w:t>否</w:t>
                  </w:r>
                </w:p>
              </w:tc>
            </w:tr>
            <w:tr w14:paraId="4E8312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803" w:type="dxa"/>
                  <w:gridSpan w:val="4"/>
                  <w:vAlign w:val="center"/>
                </w:tcPr>
                <w:p w14:paraId="38D95E1E">
                  <w:pPr>
                    <w:pStyle w:val="140"/>
                    <w:spacing w:line="240" w:lineRule="auto"/>
                    <w:ind w:firstLine="420"/>
                    <w:rPr>
                      <w:color w:val="auto"/>
                      <w:kern w:val="28"/>
                      <w:sz w:val="21"/>
                      <w:szCs w:val="21"/>
                    </w:rPr>
                  </w:pPr>
                  <w:r>
                    <w:rPr>
                      <w:color w:val="auto"/>
                      <w:kern w:val="28"/>
                      <w:sz w:val="21"/>
                      <w:szCs w:val="21"/>
                    </w:rPr>
                    <w:t>注：</w:t>
                  </w:r>
                  <w:r>
                    <w:rPr>
                      <w:rFonts w:hAnsi="宋体"/>
                      <w:color w:val="auto"/>
                      <w:kern w:val="28"/>
                      <w:sz w:val="21"/>
                      <w:szCs w:val="21"/>
                    </w:rPr>
                    <w:t>①</w:t>
                  </w:r>
                  <w:r>
                    <w:rPr>
                      <w:color w:val="auto"/>
                      <w:kern w:val="28"/>
                      <w:sz w:val="21"/>
                      <w:szCs w:val="21"/>
                    </w:rPr>
                    <w:t>废气中有毒有害污染物指纳入《有毒有害大气污染物名录》的污染物</w:t>
                  </w:r>
                  <w:r>
                    <w:rPr>
                      <w:rFonts w:hint="eastAsia"/>
                      <w:color w:val="auto"/>
                      <w:kern w:val="28"/>
                      <w:sz w:val="21"/>
                      <w:szCs w:val="21"/>
                      <w:shd w:val="clear" w:fill="FFFFFF"/>
                      <w:lang w:eastAsia="zh-CN"/>
                    </w:rPr>
                    <w:t>(</w:t>
                  </w:r>
                  <w:r>
                    <w:rPr>
                      <w:color w:val="auto"/>
                      <w:kern w:val="28"/>
                      <w:sz w:val="21"/>
                      <w:szCs w:val="21"/>
                    </w:rPr>
                    <w:t>不包括无排放标准的污染物</w:t>
                  </w:r>
                  <w:r>
                    <w:rPr>
                      <w:rFonts w:hint="eastAsia"/>
                      <w:color w:val="auto"/>
                      <w:kern w:val="28"/>
                      <w:sz w:val="21"/>
                      <w:szCs w:val="21"/>
                      <w:shd w:val="clear" w:fill="FFFFFF"/>
                      <w:lang w:eastAsia="zh-CN"/>
                    </w:rPr>
                    <w:t>)</w:t>
                  </w:r>
                  <w:r>
                    <w:rPr>
                      <w:color w:val="auto"/>
                      <w:kern w:val="28"/>
                      <w:sz w:val="21"/>
                      <w:szCs w:val="21"/>
                    </w:rPr>
                    <w:t>。</w:t>
                  </w:r>
                </w:p>
                <w:p w14:paraId="7F440C65">
                  <w:pPr>
                    <w:pStyle w:val="140"/>
                    <w:spacing w:line="240" w:lineRule="auto"/>
                    <w:ind w:firstLine="420"/>
                    <w:rPr>
                      <w:color w:val="auto"/>
                      <w:kern w:val="28"/>
                      <w:sz w:val="21"/>
                      <w:szCs w:val="21"/>
                    </w:rPr>
                  </w:pPr>
                  <w:r>
                    <w:rPr>
                      <w:rFonts w:hAnsi="宋体"/>
                      <w:color w:val="auto"/>
                      <w:kern w:val="28"/>
                      <w:sz w:val="21"/>
                      <w:szCs w:val="21"/>
                    </w:rPr>
                    <w:t>②</w:t>
                  </w:r>
                  <w:r>
                    <w:rPr>
                      <w:color w:val="auto"/>
                      <w:kern w:val="28"/>
                      <w:sz w:val="21"/>
                      <w:szCs w:val="21"/>
                    </w:rPr>
                    <w:t>环境空气保护目标指自然保护区、风景名胜区、居住区、文化区和农村地区中人群较集中的区域。</w:t>
                  </w:r>
                </w:p>
                <w:p w14:paraId="45370594">
                  <w:pPr>
                    <w:pStyle w:val="140"/>
                    <w:spacing w:line="240" w:lineRule="auto"/>
                    <w:ind w:firstLine="420"/>
                    <w:rPr>
                      <w:color w:val="auto"/>
                      <w:sz w:val="21"/>
                      <w:szCs w:val="21"/>
                    </w:rPr>
                  </w:pPr>
                  <w:r>
                    <w:rPr>
                      <w:rFonts w:hAnsi="宋体"/>
                      <w:color w:val="auto"/>
                      <w:kern w:val="28"/>
                      <w:sz w:val="21"/>
                      <w:szCs w:val="21"/>
                    </w:rPr>
                    <w:t>③</w:t>
                  </w:r>
                  <w:r>
                    <w:rPr>
                      <w:color w:val="auto"/>
                      <w:kern w:val="28"/>
                      <w:sz w:val="21"/>
                      <w:szCs w:val="21"/>
                    </w:rPr>
                    <w:t>临界量及其计算方法参考《建设项目环境风险评价技术导则》</w:t>
                  </w:r>
                  <w:r>
                    <w:rPr>
                      <w:rFonts w:hint="eastAsia"/>
                      <w:color w:val="auto"/>
                      <w:kern w:val="28"/>
                      <w:sz w:val="21"/>
                      <w:szCs w:val="21"/>
                      <w:lang w:eastAsia="zh-CN"/>
                    </w:rPr>
                    <w:t>(</w:t>
                  </w:r>
                  <w:r>
                    <w:rPr>
                      <w:color w:val="auto"/>
                      <w:kern w:val="28"/>
                      <w:sz w:val="21"/>
                      <w:szCs w:val="21"/>
                    </w:rPr>
                    <w:t>HJ169</w:t>
                  </w:r>
                  <w:r>
                    <w:rPr>
                      <w:rFonts w:hint="eastAsia"/>
                      <w:color w:val="auto"/>
                      <w:kern w:val="28"/>
                      <w:sz w:val="21"/>
                      <w:szCs w:val="21"/>
                      <w:shd w:val="clear" w:fill="FFFFFF"/>
                      <w:lang w:eastAsia="zh-CN"/>
                    </w:rPr>
                    <w:t>)</w:t>
                  </w:r>
                  <w:r>
                    <w:rPr>
                      <w:color w:val="auto"/>
                      <w:kern w:val="28"/>
                      <w:sz w:val="21"/>
                      <w:szCs w:val="21"/>
                    </w:rPr>
                    <w:t>附录B、附录C。</w:t>
                  </w:r>
                </w:p>
              </w:tc>
            </w:tr>
          </w:tbl>
          <w:p w14:paraId="41AE5A75">
            <w:pPr>
              <w:autoSpaceDE w:val="0"/>
              <w:autoSpaceDN w:val="0"/>
              <w:jc w:val="center"/>
              <w:rPr>
                <w:color w:val="auto"/>
                <w:kern w:val="0"/>
                <w:szCs w:val="21"/>
              </w:rPr>
            </w:pPr>
          </w:p>
        </w:tc>
      </w:tr>
      <w:tr w14:paraId="1FA1A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4EEE7A25">
            <w:pPr>
              <w:autoSpaceDE w:val="0"/>
              <w:autoSpaceDN w:val="0"/>
              <w:jc w:val="center"/>
              <w:rPr>
                <w:color w:val="auto"/>
                <w:kern w:val="21"/>
                <w:sz w:val="24"/>
              </w:rPr>
            </w:pPr>
            <w:r>
              <w:rPr>
                <w:color w:val="auto"/>
                <w:kern w:val="21"/>
                <w:sz w:val="24"/>
              </w:rPr>
              <w:t>规划情况</w:t>
            </w:r>
          </w:p>
        </w:tc>
        <w:tc>
          <w:tcPr>
            <w:tcW w:w="6867" w:type="dxa"/>
            <w:gridSpan w:val="3"/>
            <w:shd w:val="clear" w:color="auto" w:fill="auto"/>
            <w:vAlign w:val="center"/>
          </w:tcPr>
          <w:p w14:paraId="3DDB145A">
            <w:pPr>
              <w:autoSpaceDE w:val="0"/>
              <w:autoSpaceDN w:val="0"/>
              <w:spacing w:line="360" w:lineRule="auto"/>
              <w:ind w:firstLine="480" w:firstLineChars="200"/>
              <w:jc w:val="left"/>
              <w:rPr>
                <w:rFonts w:ascii="Times New Roman" w:hAnsi="宋体" w:eastAsia="宋体" w:cs="Times New Roman"/>
                <w:bCs/>
                <w:color w:val="auto"/>
                <w:kern w:val="2"/>
                <w:sz w:val="24"/>
                <w:szCs w:val="24"/>
                <w:lang w:val="en-US" w:eastAsia="zh-CN" w:bidi="ar-SA"/>
              </w:rPr>
            </w:pPr>
            <w:r>
              <w:rPr>
                <w:color w:val="auto"/>
                <w:kern w:val="0"/>
                <w:sz w:val="24"/>
              </w:rPr>
              <w:t>规划</w:t>
            </w:r>
            <w:r>
              <w:rPr>
                <w:rFonts w:hint="eastAsia"/>
                <w:color w:val="auto"/>
                <w:kern w:val="0"/>
                <w:sz w:val="24"/>
              </w:rPr>
              <w:t>文件</w:t>
            </w:r>
            <w:r>
              <w:rPr>
                <w:color w:val="auto"/>
                <w:kern w:val="0"/>
                <w:sz w:val="24"/>
              </w:rPr>
              <w:t>名称：</w:t>
            </w:r>
            <w:r>
              <w:rPr>
                <w:rFonts w:hint="eastAsia" w:hAnsi="宋体"/>
                <w:bCs/>
                <w:color w:val="auto"/>
                <w:sz w:val="24"/>
              </w:rPr>
              <w:t>《福州江阴港城经济区产业发展规划（2022-2035）》</w:t>
            </w:r>
          </w:p>
        </w:tc>
      </w:tr>
      <w:tr w14:paraId="585A6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502B1C0C">
            <w:pPr>
              <w:jc w:val="center"/>
              <w:rPr>
                <w:color w:val="auto"/>
                <w:kern w:val="21"/>
                <w:sz w:val="24"/>
              </w:rPr>
            </w:pPr>
            <w:r>
              <w:rPr>
                <w:color w:val="auto"/>
                <w:kern w:val="21"/>
                <w:sz w:val="24"/>
              </w:rPr>
              <w:t>规划环境影响评价情况</w:t>
            </w:r>
          </w:p>
        </w:tc>
        <w:tc>
          <w:tcPr>
            <w:tcW w:w="6867" w:type="dxa"/>
            <w:gridSpan w:val="3"/>
            <w:shd w:val="clear" w:color="auto" w:fill="auto"/>
            <w:vAlign w:val="center"/>
          </w:tcPr>
          <w:p w14:paraId="6B982F14">
            <w:pPr>
              <w:pStyle w:val="29"/>
              <w:spacing w:line="360" w:lineRule="auto"/>
              <w:ind w:firstLine="480" w:firstLineChars="200"/>
              <w:rPr>
                <w:rFonts w:hAnsi="宋体"/>
                <w:bCs/>
                <w:color w:val="auto"/>
                <w:sz w:val="24"/>
              </w:rPr>
            </w:pPr>
            <w:r>
              <w:rPr>
                <w:color w:val="auto"/>
                <w:kern w:val="0"/>
                <w:sz w:val="24"/>
              </w:rPr>
              <w:t>规划</w:t>
            </w:r>
            <w:r>
              <w:rPr>
                <w:rFonts w:hint="eastAsia"/>
                <w:color w:val="auto"/>
                <w:kern w:val="0"/>
                <w:sz w:val="24"/>
              </w:rPr>
              <w:t>环境影响评价文件</w:t>
            </w:r>
            <w:r>
              <w:rPr>
                <w:color w:val="auto"/>
                <w:kern w:val="0"/>
                <w:sz w:val="24"/>
              </w:rPr>
              <w:t>名称：</w:t>
            </w:r>
            <w:r>
              <w:rPr>
                <w:rFonts w:hAnsi="宋体"/>
                <w:bCs/>
                <w:color w:val="auto"/>
                <w:sz w:val="24"/>
              </w:rPr>
              <w:t>《</w:t>
            </w:r>
            <w:r>
              <w:rPr>
                <w:rFonts w:hint="eastAsia" w:hAnsi="宋体"/>
                <w:bCs/>
                <w:color w:val="auto"/>
                <w:sz w:val="24"/>
              </w:rPr>
              <w:t>福州江阴港城经济区产业发展规划环境影响报告书</w:t>
            </w:r>
            <w:r>
              <w:rPr>
                <w:rFonts w:hAnsi="宋体"/>
                <w:bCs/>
                <w:color w:val="auto"/>
                <w:sz w:val="24"/>
              </w:rPr>
              <w:t>》</w:t>
            </w:r>
          </w:p>
          <w:p w14:paraId="681D7CC1">
            <w:pPr>
              <w:autoSpaceDE w:val="0"/>
              <w:autoSpaceDN w:val="0"/>
              <w:spacing w:line="360" w:lineRule="auto"/>
              <w:ind w:firstLine="480" w:firstLineChars="200"/>
              <w:jc w:val="left"/>
              <w:rPr>
                <w:color w:val="auto"/>
                <w:kern w:val="0"/>
                <w:sz w:val="24"/>
              </w:rPr>
            </w:pPr>
            <w:r>
              <w:rPr>
                <w:color w:val="auto"/>
                <w:kern w:val="0"/>
                <w:sz w:val="24"/>
              </w:rPr>
              <w:t>审</w:t>
            </w:r>
            <w:r>
              <w:rPr>
                <w:rFonts w:hint="eastAsia"/>
                <w:color w:val="auto"/>
                <w:kern w:val="0"/>
                <w:sz w:val="24"/>
              </w:rPr>
              <w:t>查</w:t>
            </w:r>
            <w:r>
              <w:rPr>
                <w:color w:val="auto"/>
                <w:kern w:val="0"/>
                <w:sz w:val="24"/>
              </w:rPr>
              <w:t>机关：</w:t>
            </w:r>
            <w:r>
              <w:rPr>
                <w:rFonts w:hint="eastAsia"/>
                <w:color w:val="auto"/>
                <w:kern w:val="0"/>
                <w:sz w:val="24"/>
              </w:rPr>
              <w:t>福州市生态环境局</w:t>
            </w:r>
          </w:p>
          <w:p w14:paraId="4FB655F8">
            <w:pPr>
              <w:autoSpaceDE w:val="0"/>
              <w:autoSpaceDN w:val="0"/>
              <w:spacing w:line="360" w:lineRule="auto"/>
              <w:ind w:firstLine="480" w:firstLineChars="200"/>
              <w:jc w:val="left"/>
              <w:rPr>
                <w:rFonts w:hint="eastAsia" w:ascii="Times New Roman" w:hAnsi="Times New Roman" w:eastAsia="宋体" w:cs="Times New Roman"/>
                <w:color w:val="auto"/>
                <w:kern w:val="2"/>
                <w:sz w:val="21"/>
                <w:szCs w:val="24"/>
                <w:lang w:val="en-US" w:eastAsia="zh-CN" w:bidi="ar-SA"/>
              </w:rPr>
            </w:pPr>
            <w:r>
              <w:rPr>
                <w:color w:val="auto"/>
                <w:kern w:val="0"/>
                <w:sz w:val="24"/>
              </w:rPr>
              <w:t>审</w:t>
            </w:r>
            <w:r>
              <w:rPr>
                <w:rFonts w:hint="eastAsia"/>
                <w:color w:val="auto"/>
                <w:kern w:val="0"/>
                <w:sz w:val="24"/>
              </w:rPr>
              <w:t>查</w:t>
            </w:r>
            <w:r>
              <w:rPr>
                <w:color w:val="auto"/>
                <w:kern w:val="0"/>
                <w:sz w:val="24"/>
              </w:rPr>
              <w:t>文件名称及文号：</w:t>
            </w:r>
            <w:r>
              <w:rPr>
                <w:color w:val="auto"/>
                <w:kern w:val="28"/>
                <w:sz w:val="24"/>
              </w:rPr>
              <w:t>福州市</w:t>
            </w:r>
            <w:r>
              <w:rPr>
                <w:rFonts w:hint="eastAsia"/>
                <w:color w:val="auto"/>
                <w:kern w:val="28"/>
                <w:sz w:val="24"/>
              </w:rPr>
              <w:t>生态环境局</w:t>
            </w:r>
            <w:r>
              <w:rPr>
                <w:color w:val="auto"/>
                <w:kern w:val="28"/>
                <w:sz w:val="24"/>
              </w:rPr>
              <w:t>关于印发《福州江阴港城</w:t>
            </w:r>
            <w:r>
              <w:rPr>
                <w:rFonts w:hint="eastAsia"/>
                <w:color w:val="auto"/>
                <w:kern w:val="28"/>
                <w:sz w:val="24"/>
              </w:rPr>
              <w:t>经济区产业发展规划环境</w:t>
            </w:r>
            <w:r>
              <w:rPr>
                <w:color w:val="auto"/>
                <w:kern w:val="28"/>
                <w:sz w:val="24"/>
              </w:rPr>
              <w:t>影响评价报告书</w:t>
            </w:r>
            <w:r>
              <w:rPr>
                <w:rFonts w:hint="eastAsia"/>
                <w:color w:val="auto"/>
                <w:kern w:val="28"/>
                <w:sz w:val="24"/>
              </w:rPr>
              <w:t>》</w:t>
            </w:r>
            <w:r>
              <w:rPr>
                <w:color w:val="auto"/>
                <w:kern w:val="28"/>
                <w:sz w:val="24"/>
              </w:rPr>
              <w:t>审查小组意见的</w:t>
            </w:r>
            <w:r>
              <w:rPr>
                <w:rFonts w:hint="eastAsia"/>
                <w:color w:val="auto"/>
                <w:kern w:val="28"/>
                <w:sz w:val="24"/>
              </w:rPr>
              <w:t>通知</w:t>
            </w:r>
            <w:r>
              <w:rPr>
                <w:color w:val="auto"/>
                <w:kern w:val="28"/>
                <w:sz w:val="24"/>
              </w:rPr>
              <w:t>（榕环评</w:t>
            </w:r>
            <w:r>
              <w:rPr>
                <w:color w:val="auto"/>
                <w:kern w:val="28"/>
                <w:sz w:val="24"/>
                <w:shd w:val="clear" w:fill="FFFFFF"/>
              </w:rPr>
              <w:t>[20</w:t>
            </w:r>
            <w:r>
              <w:rPr>
                <w:rFonts w:hint="eastAsia"/>
                <w:color w:val="auto"/>
                <w:kern w:val="28"/>
                <w:sz w:val="24"/>
                <w:shd w:val="clear" w:fill="FFFFFF"/>
              </w:rPr>
              <w:t>24</w:t>
            </w:r>
            <w:r>
              <w:rPr>
                <w:color w:val="auto"/>
                <w:kern w:val="28"/>
                <w:sz w:val="24"/>
                <w:shd w:val="clear" w:fill="FFFFFF"/>
              </w:rPr>
              <w:t>]</w:t>
            </w:r>
            <w:r>
              <w:rPr>
                <w:rFonts w:hint="eastAsia"/>
                <w:color w:val="auto"/>
                <w:kern w:val="28"/>
                <w:sz w:val="24"/>
                <w:shd w:val="clear" w:fill="FFFFFF"/>
              </w:rPr>
              <w:t>33</w:t>
            </w:r>
            <w:r>
              <w:rPr>
                <w:color w:val="auto"/>
                <w:kern w:val="28"/>
                <w:sz w:val="24"/>
                <w:shd w:val="clear" w:fill="FFFFFF"/>
              </w:rPr>
              <w:t>号</w:t>
            </w:r>
            <w:r>
              <w:rPr>
                <w:color w:val="auto"/>
                <w:kern w:val="28"/>
                <w:sz w:val="24"/>
              </w:rPr>
              <w:t>）</w:t>
            </w:r>
          </w:p>
        </w:tc>
      </w:tr>
      <w:tr w14:paraId="28E2C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2D85B3BC">
            <w:pPr>
              <w:autoSpaceDE w:val="0"/>
              <w:autoSpaceDN w:val="0"/>
              <w:jc w:val="center"/>
              <w:rPr>
                <w:color w:val="auto"/>
                <w:kern w:val="21"/>
                <w:sz w:val="24"/>
              </w:rPr>
            </w:pPr>
            <w:r>
              <w:rPr>
                <w:color w:val="auto"/>
                <w:kern w:val="21"/>
                <w:sz w:val="24"/>
              </w:rPr>
              <w:t>规划及规划环境影响</w:t>
            </w:r>
          </w:p>
          <w:p w14:paraId="6C529F7E">
            <w:pPr>
              <w:autoSpaceDE w:val="0"/>
              <w:autoSpaceDN w:val="0"/>
              <w:jc w:val="center"/>
              <w:rPr>
                <w:color w:val="auto"/>
                <w:kern w:val="21"/>
                <w:szCs w:val="21"/>
              </w:rPr>
            </w:pPr>
            <w:r>
              <w:rPr>
                <w:color w:val="auto"/>
                <w:kern w:val="21"/>
                <w:sz w:val="24"/>
              </w:rPr>
              <w:t>评价符合性分析</w:t>
            </w:r>
          </w:p>
        </w:tc>
        <w:tc>
          <w:tcPr>
            <w:tcW w:w="6867" w:type="dxa"/>
            <w:gridSpan w:val="3"/>
            <w:shd w:val="clear" w:color="auto" w:fill="auto"/>
            <w:vAlign w:val="center"/>
          </w:tcPr>
          <w:p w14:paraId="7C0B3CB7">
            <w:pPr>
              <w:pStyle w:val="141"/>
              <w:spacing w:beforeLines="0" w:afterLines="0"/>
              <w:ind w:firstLine="482"/>
              <w:rPr>
                <w:rFonts w:hAnsi="宋体"/>
                <w:b/>
                <w:bCs/>
                <w:color w:val="auto"/>
              </w:rPr>
            </w:pPr>
            <w:r>
              <w:rPr>
                <w:rFonts w:hint="eastAsia"/>
                <w:b/>
                <w:bCs/>
                <w:color w:val="auto"/>
                <w:kern w:val="0"/>
                <w:lang w:val="en-US" w:eastAsia="zh-CN"/>
              </w:rPr>
              <w:t>(1</w:t>
            </w:r>
            <w:r>
              <w:rPr>
                <w:rFonts w:hint="eastAsia"/>
                <w:b/>
                <w:bCs/>
                <w:color w:val="auto"/>
                <w:kern w:val="0"/>
                <w:shd w:val="clear" w:fill="FFFFFF"/>
              </w:rPr>
              <w:t>)</w:t>
            </w:r>
            <w:r>
              <w:rPr>
                <w:b/>
                <w:bCs/>
                <w:color w:val="auto"/>
                <w:kern w:val="0"/>
              </w:rPr>
              <w:t>规划</w:t>
            </w:r>
            <w:r>
              <w:rPr>
                <w:rFonts w:hint="eastAsia"/>
                <w:b/>
                <w:bCs/>
                <w:color w:val="auto"/>
                <w:kern w:val="0"/>
              </w:rPr>
              <w:t>文件</w:t>
            </w:r>
            <w:r>
              <w:rPr>
                <w:b/>
                <w:bCs/>
                <w:color w:val="auto"/>
                <w:kern w:val="0"/>
              </w:rPr>
              <w:t>名称：</w:t>
            </w:r>
            <w:r>
              <w:rPr>
                <w:rFonts w:hint="eastAsia"/>
                <w:b/>
                <w:bCs/>
                <w:color w:val="auto"/>
                <w:kern w:val="0"/>
              </w:rPr>
              <w:t>与</w:t>
            </w:r>
            <w:r>
              <w:rPr>
                <w:rFonts w:hint="eastAsia" w:hAnsi="宋体"/>
                <w:b/>
                <w:bCs/>
                <w:color w:val="auto"/>
              </w:rPr>
              <w:t>《福州江阴港城经济区产业发展规划（2022-2035）》符合性分析</w:t>
            </w:r>
          </w:p>
          <w:p w14:paraId="7EDCFCAE">
            <w:pPr>
              <w:pStyle w:val="141"/>
              <w:spacing w:beforeLines="0" w:afterLines="0"/>
              <w:ind w:firstLine="480"/>
              <w:rPr>
                <w:rFonts w:hAnsi="宋体"/>
                <w:color w:val="auto"/>
              </w:rPr>
            </w:pPr>
            <w:r>
              <w:rPr>
                <w:rFonts w:hint="eastAsia"/>
                <w:color w:val="auto"/>
                <w:kern w:val="28"/>
              </w:rPr>
              <w:t>一、</w:t>
            </w:r>
            <w:r>
              <w:rPr>
                <w:color w:val="auto"/>
                <w:kern w:val="28"/>
              </w:rPr>
              <w:t>规划的</w:t>
            </w:r>
            <w:r>
              <w:rPr>
                <w:rFonts w:hint="eastAsia" w:hAnsi="宋体"/>
                <w:color w:val="auto"/>
              </w:rPr>
              <w:t>产业方案</w:t>
            </w:r>
          </w:p>
          <w:p w14:paraId="430D51E6">
            <w:pPr>
              <w:pStyle w:val="141"/>
              <w:spacing w:beforeLines="0" w:afterLines="0"/>
              <w:ind w:firstLine="480"/>
              <w:rPr>
                <w:rFonts w:hAnsi="宋体"/>
                <w:bCs/>
                <w:color w:val="auto"/>
              </w:rPr>
            </w:pPr>
            <w:r>
              <w:rPr>
                <w:rFonts w:hint="eastAsia" w:hAnsi="宋体"/>
                <w:bCs/>
                <w:color w:val="auto"/>
              </w:rPr>
              <w:t>1、主导产业</w:t>
            </w:r>
          </w:p>
          <w:p w14:paraId="132611C4">
            <w:pPr>
              <w:pStyle w:val="141"/>
              <w:spacing w:beforeLines="0" w:afterLines="0"/>
              <w:ind w:firstLine="480"/>
              <w:rPr>
                <w:rFonts w:hAnsi="宋体"/>
                <w:bCs/>
                <w:color w:val="auto"/>
              </w:rPr>
            </w:pPr>
            <w:r>
              <w:rPr>
                <w:rFonts w:hint="eastAsia" w:hAnsi="宋体"/>
                <w:bCs/>
                <w:color w:val="auto"/>
              </w:rPr>
              <w:t>1</w:t>
            </w:r>
            <w:r>
              <w:rPr>
                <w:rFonts w:hint="eastAsia" w:hAnsi="宋体"/>
                <w:bCs/>
                <w:color w:val="auto"/>
                <w:shd w:val="clear" w:fill="FFFFFF"/>
              </w:rPr>
              <w:t>)</w:t>
            </w:r>
            <w:r>
              <w:rPr>
                <w:rFonts w:hint="eastAsia" w:hAnsi="宋体"/>
                <w:bCs/>
                <w:color w:val="auto"/>
              </w:rPr>
              <w:t>新材料</w:t>
            </w:r>
          </w:p>
          <w:p w14:paraId="44A81CBE">
            <w:pPr>
              <w:pStyle w:val="141"/>
              <w:spacing w:beforeLines="0" w:afterLines="0"/>
              <w:ind w:firstLine="480"/>
              <w:rPr>
                <w:rFonts w:hAnsi="宋体"/>
                <w:bCs/>
                <w:color w:val="auto"/>
              </w:rPr>
            </w:pPr>
            <w:r>
              <w:rPr>
                <w:rFonts w:hint="eastAsia" w:hAnsi="宋体"/>
                <w:bCs/>
                <w:color w:val="auto"/>
              </w:rPr>
              <w:t>福州江阴港城经济区化工产业发展规划将结合现有产业基础，充分依托现有主力生产企业，顺利推进在建、拟建项目，延伸发展产业链，拓展发展产业板块，同时完善基础原料供应体系的配套能力。结合园区现有产业基础、原料条件、市场环境等因素，重点发展五大产业板块。</w:t>
            </w:r>
          </w:p>
          <w:p w14:paraId="6F150D5E">
            <w:pPr>
              <w:pStyle w:val="141"/>
              <w:spacing w:beforeLines="0" w:afterLines="0"/>
              <w:ind w:firstLine="480"/>
              <w:rPr>
                <w:rFonts w:hAnsi="宋体"/>
                <w:bCs/>
                <w:color w:val="auto"/>
              </w:rPr>
            </w:pPr>
            <w:r>
              <w:rPr>
                <w:rFonts w:hint="eastAsia" w:hAnsi="宋体"/>
                <w:bCs/>
                <w:color w:val="auto"/>
              </w:rPr>
              <w:t>通过发展五大产业板块，注重产业板块间的融合发展，同时结合发展与五大板块存在关联关系的高水平化工项目，使福州江阴港城经济区化工产业形成高端发展格局，最终，将福州江阴港城经济区建设成国内顶级、世界知名的化工生产基地，并有效支撑福州江阴港城经济区全产业发展。</w:t>
            </w:r>
          </w:p>
          <w:p w14:paraId="5D9FD43C">
            <w:pPr>
              <w:pStyle w:val="141"/>
              <w:spacing w:beforeLines="0" w:afterLines="0"/>
              <w:ind w:firstLine="480"/>
              <w:rPr>
                <w:rFonts w:hAnsi="宋体"/>
                <w:bCs/>
                <w:color w:val="auto"/>
              </w:rPr>
            </w:pPr>
            <w:r>
              <w:rPr>
                <w:rFonts w:hint="eastAsia" w:hAnsi="宋体"/>
                <w:bCs/>
                <w:color w:val="auto"/>
              </w:rPr>
              <w:t>2</w:t>
            </w:r>
            <w:r>
              <w:rPr>
                <w:rFonts w:hint="eastAsia" w:hAnsi="宋体"/>
                <w:bCs/>
                <w:color w:val="auto"/>
                <w:shd w:val="clear" w:fill="FFFFFF"/>
              </w:rPr>
              <w:t>)</w:t>
            </w:r>
            <w:r>
              <w:rPr>
                <w:rFonts w:hint="eastAsia" w:hAnsi="宋体"/>
                <w:bCs/>
                <w:color w:val="auto"/>
              </w:rPr>
              <w:t>生物医药</w:t>
            </w:r>
          </w:p>
          <w:p w14:paraId="40DD85F9">
            <w:pPr>
              <w:pStyle w:val="141"/>
              <w:spacing w:beforeLines="0" w:afterLines="0"/>
              <w:ind w:firstLine="480"/>
              <w:rPr>
                <w:rFonts w:hAnsi="宋体"/>
                <w:bCs/>
                <w:color w:val="auto"/>
              </w:rPr>
            </w:pPr>
            <w:r>
              <w:rPr>
                <w:rFonts w:hint="eastAsia" w:hAnsi="宋体"/>
                <w:bCs/>
                <w:color w:val="auto"/>
              </w:rPr>
              <w:t>结合园区现有生物医药产业发展情况及国内外生物医药发展现状和趋势，规划福州江阴港城经济区发展生物医药产业，构建生物医药生产体系，并配套生物医药包装材料产业，通过发展生物医药产业体系，完善高端新材料产业链。</w:t>
            </w:r>
          </w:p>
          <w:p w14:paraId="083B4E36">
            <w:pPr>
              <w:pStyle w:val="141"/>
              <w:spacing w:beforeLines="0" w:afterLines="0"/>
              <w:ind w:firstLine="480"/>
              <w:rPr>
                <w:rFonts w:hAnsi="宋体"/>
                <w:bCs/>
                <w:color w:val="auto"/>
              </w:rPr>
            </w:pPr>
            <w:r>
              <w:rPr>
                <w:rFonts w:hint="eastAsia" w:hAnsi="宋体"/>
                <w:bCs/>
                <w:color w:val="auto"/>
              </w:rPr>
              <w:t>3</w:t>
            </w:r>
            <w:r>
              <w:rPr>
                <w:rFonts w:hint="eastAsia" w:hAnsi="宋体"/>
                <w:bCs/>
                <w:color w:val="auto"/>
                <w:shd w:val="clear" w:fill="FFFFFF"/>
              </w:rPr>
              <w:t>)</w:t>
            </w:r>
            <w:r>
              <w:rPr>
                <w:rFonts w:hint="eastAsia" w:hAnsi="宋体"/>
                <w:bCs/>
                <w:color w:val="auto"/>
              </w:rPr>
              <w:t>装备制造</w:t>
            </w:r>
          </w:p>
          <w:p w14:paraId="27F8BF28">
            <w:pPr>
              <w:pStyle w:val="141"/>
              <w:spacing w:beforeLines="0" w:afterLines="0"/>
              <w:ind w:firstLine="480"/>
              <w:rPr>
                <w:bCs/>
                <w:color w:val="auto"/>
              </w:rPr>
            </w:pPr>
            <w:r>
              <w:rPr>
                <w:bCs/>
                <w:color w:val="auto"/>
              </w:rPr>
              <w:t>①智能制造</w:t>
            </w:r>
          </w:p>
          <w:p w14:paraId="46281C08">
            <w:pPr>
              <w:pStyle w:val="141"/>
              <w:spacing w:beforeLines="0" w:afterLines="0"/>
              <w:ind w:firstLine="480"/>
              <w:rPr>
                <w:rFonts w:hAnsi="宋体"/>
                <w:bCs/>
                <w:color w:val="auto"/>
              </w:rPr>
            </w:pPr>
            <w:r>
              <w:rPr>
                <w:rFonts w:hint="eastAsia" w:hAnsi="宋体"/>
                <w:bCs/>
                <w:color w:val="auto"/>
              </w:rPr>
              <w:t>提升产业智能化水平，增强产业核心竞争力，力争形成能成熟服务于主导产业的智能制造板块。该板块重点规划发展高端专用装备、智能成套系统、智能工业机器人三个发展方向。</w:t>
            </w:r>
          </w:p>
          <w:p w14:paraId="1C00D5E4">
            <w:pPr>
              <w:pStyle w:val="141"/>
              <w:spacing w:beforeLines="0" w:afterLines="0"/>
              <w:ind w:firstLine="480"/>
              <w:rPr>
                <w:rFonts w:hAnsi="宋体"/>
                <w:bCs/>
                <w:color w:val="auto"/>
              </w:rPr>
            </w:pPr>
            <w:r>
              <w:rPr>
                <w:bCs/>
                <w:color w:val="auto"/>
              </w:rPr>
              <w:t>②</w:t>
            </w:r>
            <w:r>
              <w:rPr>
                <w:rFonts w:hint="eastAsia" w:hAnsi="宋体"/>
                <w:bCs/>
                <w:color w:val="auto"/>
              </w:rPr>
              <w:t>新能源及相关装备制造</w:t>
            </w:r>
          </w:p>
          <w:p w14:paraId="2A9461BB">
            <w:pPr>
              <w:pStyle w:val="141"/>
              <w:spacing w:beforeLines="0" w:afterLines="0"/>
              <w:ind w:firstLine="480"/>
              <w:rPr>
                <w:rFonts w:hAnsi="宋体"/>
                <w:bCs/>
                <w:color w:val="auto"/>
              </w:rPr>
            </w:pPr>
            <w:r>
              <w:rPr>
                <w:rFonts w:hint="eastAsia" w:hAnsi="宋体"/>
                <w:bCs/>
                <w:color w:val="auto"/>
              </w:rPr>
              <w:t>福州江阴港城经济区发展新能源产业已经初见成效，三峡产业园的风电产业发展已经初具规模，此外新福兴玻璃具备发展光伏玻璃的产业基础，园区目前已经具备风电和光电的发展基础。未来在此基础上，进一步发展风电和光电产业，同时结合新规划发展的锂电新材料板块以及规划项目副产的氢资源，推进发展新能源电池产业和氢能产业。</w:t>
            </w:r>
          </w:p>
          <w:p w14:paraId="14F0F479">
            <w:pPr>
              <w:pStyle w:val="141"/>
              <w:spacing w:beforeLines="0" w:afterLines="0"/>
              <w:ind w:firstLine="480"/>
              <w:rPr>
                <w:rFonts w:hAnsi="宋体"/>
                <w:bCs/>
                <w:color w:val="auto"/>
              </w:rPr>
            </w:pPr>
            <w:r>
              <w:rPr>
                <w:rFonts w:hint="eastAsia" w:hAnsi="宋体"/>
                <w:bCs/>
                <w:color w:val="auto"/>
              </w:rPr>
              <w:t>2、配套产业及其他产业</w:t>
            </w:r>
          </w:p>
          <w:p w14:paraId="1680CF80">
            <w:pPr>
              <w:pStyle w:val="141"/>
              <w:spacing w:beforeLines="0" w:afterLines="0"/>
              <w:ind w:firstLine="480"/>
              <w:rPr>
                <w:rFonts w:hAnsi="宋体"/>
                <w:bCs/>
                <w:color w:val="auto"/>
              </w:rPr>
            </w:pPr>
            <w:r>
              <w:rPr>
                <w:rFonts w:hint="eastAsia" w:hAnsi="宋体"/>
                <w:bCs/>
                <w:color w:val="auto"/>
              </w:rPr>
              <w:t>福州江阴港城经济区的配套产业发展重点围绕主导产业展开，构建与主导产业协同发展的产业格局，同时在配套及其他产业成熟发展的基础上，</w:t>
            </w:r>
            <w:r>
              <w:rPr>
                <w:rFonts w:hint="eastAsia" w:hAnsi="宋体"/>
                <w:bCs/>
                <w:color w:val="auto"/>
                <w:lang w:eastAsia="zh-CN"/>
              </w:rPr>
              <w:t>主导产业</w:t>
            </w:r>
            <w:r>
              <w:rPr>
                <w:rFonts w:hint="eastAsia" w:hAnsi="宋体"/>
                <w:bCs/>
                <w:color w:val="auto"/>
              </w:rPr>
              <w:t>具备高水平发展的条件。主要的产业发展方案如下所述。</w:t>
            </w:r>
          </w:p>
          <w:p w14:paraId="6A309ACB">
            <w:pPr>
              <w:pStyle w:val="141"/>
              <w:spacing w:beforeLines="0" w:afterLines="0"/>
              <w:ind w:firstLine="480"/>
              <w:rPr>
                <w:rFonts w:hAnsi="宋体"/>
                <w:bCs/>
                <w:color w:val="auto"/>
              </w:rPr>
            </w:pPr>
            <w:r>
              <w:rPr>
                <w:rFonts w:hint="eastAsia" w:hAnsi="宋体"/>
                <w:bCs/>
                <w:color w:val="auto"/>
              </w:rPr>
              <w:t>1</w:t>
            </w:r>
            <w:r>
              <w:rPr>
                <w:rFonts w:hint="eastAsia" w:hAnsi="宋体"/>
                <w:bCs/>
                <w:color w:val="auto"/>
                <w:shd w:val="clear" w:fill="FFFFFF"/>
              </w:rPr>
              <w:t>)</w:t>
            </w:r>
            <w:r>
              <w:rPr>
                <w:rFonts w:hint="eastAsia" w:hAnsi="宋体"/>
                <w:bCs/>
                <w:color w:val="auto"/>
              </w:rPr>
              <w:t>节能环保</w:t>
            </w:r>
          </w:p>
          <w:p w14:paraId="2380D087">
            <w:pPr>
              <w:pStyle w:val="141"/>
              <w:spacing w:beforeLines="0" w:afterLines="0"/>
              <w:ind w:firstLine="480"/>
              <w:rPr>
                <w:rFonts w:hAnsi="宋体"/>
                <w:bCs/>
                <w:color w:val="auto"/>
              </w:rPr>
            </w:pPr>
            <w:r>
              <w:rPr>
                <w:rFonts w:hint="eastAsia" w:hAnsi="宋体"/>
                <w:bCs/>
                <w:color w:val="auto"/>
              </w:rPr>
              <w:t>鼓励高效节能产业、资源循环利用产业等领域的发展，从而提高资源环境的利用效率，提升绿色发展和循环发展水平。</w:t>
            </w:r>
          </w:p>
          <w:p w14:paraId="5B5215DB">
            <w:pPr>
              <w:pStyle w:val="141"/>
              <w:spacing w:beforeLines="0" w:afterLines="0"/>
              <w:ind w:firstLine="480"/>
              <w:rPr>
                <w:rFonts w:hAnsi="宋体"/>
                <w:bCs/>
                <w:color w:val="auto"/>
              </w:rPr>
            </w:pPr>
            <w:r>
              <w:rPr>
                <w:rFonts w:hint="eastAsia" w:hAnsi="宋体"/>
                <w:bCs/>
                <w:color w:val="auto"/>
              </w:rPr>
              <w:t>2</w:t>
            </w:r>
            <w:r>
              <w:rPr>
                <w:rFonts w:hint="eastAsia" w:hAnsi="宋体"/>
                <w:bCs/>
                <w:color w:val="auto"/>
                <w:shd w:val="clear" w:fill="FFFFFF"/>
              </w:rPr>
              <w:t>)</w:t>
            </w:r>
            <w:r>
              <w:rPr>
                <w:rFonts w:hint="eastAsia" w:hAnsi="宋体"/>
                <w:bCs/>
                <w:color w:val="auto"/>
              </w:rPr>
              <w:t>生产性服务业</w:t>
            </w:r>
          </w:p>
          <w:p w14:paraId="5DCBB22A">
            <w:pPr>
              <w:pStyle w:val="141"/>
              <w:spacing w:beforeLines="0" w:afterLines="0"/>
              <w:ind w:firstLine="480"/>
              <w:rPr>
                <w:rFonts w:hAnsi="宋体"/>
                <w:bCs/>
                <w:color w:val="auto"/>
              </w:rPr>
            </w:pPr>
            <w:r>
              <w:rPr>
                <w:rFonts w:hint="eastAsia" w:hAnsi="宋体"/>
                <w:bCs/>
                <w:color w:val="auto"/>
              </w:rPr>
              <w:t>重点规划发展研发服务、知识产权服务、检验检测服务、标准化服务四大领域，构建具有专业性、全面性、多元化的生产性服务板块。</w:t>
            </w:r>
          </w:p>
          <w:p w14:paraId="7EB73D33">
            <w:pPr>
              <w:pStyle w:val="141"/>
              <w:spacing w:beforeLines="0" w:afterLines="0"/>
              <w:ind w:firstLine="480"/>
              <w:rPr>
                <w:rFonts w:hAnsi="宋体"/>
                <w:bCs/>
                <w:color w:val="auto"/>
              </w:rPr>
            </w:pPr>
            <w:r>
              <w:rPr>
                <w:rFonts w:hint="eastAsia" w:hAnsi="宋体"/>
                <w:bCs/>
                <w:color w:val="auto"/>
              </w:rPr>
              <w:t>3</w:t>
            </w:r>
            <w:r>
              <w:rPr>
                <w:rFonts w:hint="eastAsia" w:hAnsi="宋体"/>
                <w:bCs/>
                <w:color w:val="auto"/>
                <w:shd w:val="clear" w:fill="FFFFFF"/>
              </w:rPr>
              <w:t>)</w:t>
            </w:r>
            <w:r>
              <w:rPr>
                <w:rFonts w:hint="eastAsia" w:hAnsi="宋体"/>
                <w:bCs/>
                <w:color w:val="auto"/>
              </w:rPr>
              <w:t>港口物流</w:t>
            </w:r>
          </w:p>
          <w:p w14:paraId="0E37CEAE">
            <w:pPr>
              <w:pStyle w:val="141"/>
              <w:spacing w:beforeLines="0" w:afterLines="0"/>
              <w:ind w:firstLine="480"/>
              <w:rPr>
                <w:rFonts w:hAnsi="宋体"/>
                <w:bCs/>
                <w:color w:val="auto"/>
              </w:rPr>
            </w:pPr>
            <w:r>
              <w:rPr>
                <w:rFonts w:hint="eastAsia" w:hAnsi="宋体"/>
                <w:bCs/>
                <w:color w:val="auto"/>
              </w:rPr>
              <w:t>福州江阴港综合保税区2020年经国务院批复由福州保税港区升级而成，是目前全国唯一一个先行开展内外贸智能监管试点的综合保税区。在进一步发挥现有发展优势的同时，福州江阴港将打造标准化、高端化、专业化、多元化的港口物流产业发展体系。</w:t>
            </w:r>
          </w:p>
          <w:p w14:paraId="404554F7">
            <w:pPr>
              <w:pStyle w:val="141"/>
              <w:numPr>
                <w:ilvl w:val="0"/>
                <w:numId w:val="2"/>
              </w:numPr>
              <w:spacing w:beforeLines="0" w:afterLines="0"/>
              <w:ind w:firstLine="480"/>
              <w:rPr>
                <w:color w:val="auto"/>
                <w:kern w:val="28"/>
              </w:rPr>
            </w:pPr>
            <w:r>
              <w:rPr>
                <w:rFonts w:hint="eastAsia"/>
                <w:color w:val="auto"/>
                <w:kern w:val="28"/>
              </w:rPr>
              <w:t>入园准入条件</w:t>
            </w:r>
          </w:p>
          <w:p w14:paraId="5DE467CB">
            <w:pPr>
              <w:pStyle w:val="141"/>
              <w:numPr>
                <w:ilvl w:val="0"/>
                <w:numId w:val="3"/>
              </w:numPr>
              <w:spacing w:beforeLines="0" w:afterLines="0"/>
              <w:ind w:firstLine="480"/>
              <w:rPr>
                <w:color w:val="auto"/>
                <w:kern w:val="28"/>
              </w:rPr>
            </w:pPr>
            <w:r>
              <w:rPr>
                <w:color w:val="auto"/>
                <w:kern w:val="28"/>
              </w:rPr>
              <w:t>入区项目必须与国家产业政策相符，优先引进《产业结构调整指导目录》鼓励类项目，禁止引进限制类、淘汰类项目。禁止引进属于</w:t>
            </w:r>
            <w:r>
              <w:rPr>
                <w:rFonts w:hint="eastAsia"/>
                <w:color w:val="auto"/>
                <w:kern w:val="28"/>
                <w:shd w:val="clear" w:fill="FFFFFF"/>
                <w:lang w:eastAsia="zh-CN"/>
              </w:rPr>
              <w:t>国家发展改革委</w:t>
            </w:r>
            <w:r>
              <w:rPr>
                <w:color w:val="auto"/>
                <w:kern w:val="28"/>
              </w:rPr>
              <w:t>、商务部联合发布的《外商投资产业指导目录》所列的禁止外商投资产业目录中的产业；禁止引进属于</w:t>
            </w:r>
            <w:r>
              <w:rPr>
                <w:rFonts w:hint="eastAsia"/>
                <w:color w:val="auto"/>
                <w:kern w:val="28"/>
                <w:shd w:val="clear" w:fill="FFFFFF"/>
                <w:lang w:eastAsia="zh-CN"/>
              </w:rPr>
              <w:t>自然资源部</w:t>
            </w:r>
            <w:r>
              <w:rPr>
                <w:color w:val="auto"/>
                <w:kern w:val="28"/>
              </w:rPr>
              <w:t>、</w:t>
            </w:r>
            <w:r>
              <w:rPr>
                <w:rFonts w:hint="eastAsia"/>
                <w:color w:val="auto"/>
                <w:kern w:val="28"/>
                <w:shd w:val="clear" w:fill="FFFFFF"/>
                <w:lang w:eastAsia="zh-CN"/>
              </w:rPr>
              <w:t>国家发展改革委</w:t>
            </w:r>
            <w:r>
              <w:rPr>
                <w:color w:val="auto"/>
                <w:kern w:val="28"/>
              </w:rPr>
              <w:t>联合发布的《禁止用地项目目录》中的产业；禁止引进属于国家及福建省已发布的各行业“行业准入条件</w:t>
            </w:r>
            <w:r>
              <w:rPr>
                <w:rFonts w:hint="eastAsia"/>
                <w:color w:val="auto"/>
                <w:kern w:val="28"/>
                <w:lang w:eastAsia="zh-CN"/>
              </w:rPr>
              <w:t>”“</w:t>
            </w:r>
            <w:r>
              <w:rPr>
                <w:color w:val="auto"/>
                <w:kern w:val="28"/>
              </w:rPr>
              <w:t>淘汰落后生产能力</w:t>
            </w:r>
            <w:r>
              <w:rPr>
                <w:rFonts w:hint="eastAsia"/>
                <w:color w:val="auto"/>
                <w:kern w:val="28"/>
                <w:lang w:eastAsia="zh-CN"/>
              </w:rPr>
              <w:t>”“</w:t>
            </w:r>
            <w:r>
              <w:rPr>
                <w:color w:val="auto"/>
                <w:kern w:val="28"/>
              </w:rPr>
              <w:t>产业发展政策</w:t>
            </w:r>
            <w:r>
              <w:rPr>
                <w:rFonts w:hint="eastAsia"/>
                <w:color w:val="auto"/>
                <w:kern w:val="28"/>
                <w:lang w:eastAsia="zh-CN"/>
              </w:rPr>
              <w:t>”“</w:t>
            </w:r>
            <w:r>
              <w:rPr>
                <w:color w:val="auto"/>
                <w:kern w:val="28"/>
              </w:rPr>
              <w:t>结构调整指导意见</w:t>
            </w:r>
            <w:r>
              <w:rPr>
                <w:rFonts w:hint="eastAsia"/>
                <w:color w:val="auto"/>
                <w:kern w:val="28"/>
                <w:lang w:eastAsia="zh-CN"/>
              </w:rPr>
              <w:t>”“</w:t>
            </w:r>
            <w:r>
              <w:rPr>
                <w:color w:val="auto"/>
                <w:kern w:val="28"/>
              </w:rPr>
              <w:t>‘十四五’规划</w:t>
            </w:r>
            <w:r>
              <w:rPr>
                <w:rFonts w:hint="eastAsia"/>
                <w:color w:val="auto"/>
                <w:kern w:val="28"/>
                <w:lang w:eastAsia="zh-CN"/>
              </w:rPr>
              <w:t>”“</w:t>
            </w:r>
            <w:r>
              <w:rPr>
                <w:color w:val="auto"/>
                <w:kern w:val="28"/>
              </w:rPr>
              <w:t>中长期规划</w:t>
            </w:r>
            <w:r>
              <w:rPr>
                <w:rFonts w:hint="eastAsia"/>
                <w:color w:val="auto"/>
                <w:kern w:val="28"/>
                <w:lang w:eastAsia="zh-CN"/>
              </w:rPr>
              <w:t>”“</w:t>
            </w:r>
            <w:r>
              <w:rPr>
                <w:color w:val="auto"/>
                <w:kern w:val="28"/>
              </w:rPr>
              <w:t>专项规划</w:t>
            </w:r>
            <w:r>
              <w:rPr>
                <w:rFonts w:hint="eastAsia"/>
                <w:color w:val="auto"/>
                <w:kern w:val="28"/>
                <w:lang w:eastAsia="zh-CN"/>
              </w:rPr>
              <w:t>”“</w:t>
            </w:r>
            <w:r>
              <w:rPr>
                <w:color w:val="auto"/>
                <w:kern w:val="28"/>
              </w:rPr>
              <w:t>调整振兴规划”等明文淘汰类的产业。</w:t>
            </w:r>
          </w:p>
          <w:p w14:paraId="2211FEBE">
            <w:pPr>
              <w:pStyle w:val="141"/>
              <w:spacing w:beforeLines="0" w:afterLines="0"/>
              <w:ind w:firstLine="480"/>
              <w:rPr>
                <w:color w:val="auto"/>
                <w:kern w:val="28"/>
              </w:rPr>
            </w:pPr>
            <w:r>
              <w:rPr>
                <w:rFonts w:hint="eastAsia"/>
                <w:color w:val="auto"/>
                <w:kern w:val="28"/>
              </w:rPr>
              <w:t>2、优先引进土地资源集约利用、资源能源消耗小、污染物排放少、产品附加值高的工艺技术、产品或项目；引进的项目必须具备完善、有效的“三废”治理措施，能够实现废水、废气等污染物的稳定达标排放，保障区域环境功能区达标；强化污染物排放强度指标约束，引进项目污染物排放总量必须在园区允许排放总量范围内；引进的项目环境风险必须可控，优先引进环境风险小的项目。</w:t>
            </w:r>
          </w:p>
          <w:p w14:paraId="7E22DACE">
            <w:pPr>
              <w:pStyle w:val="141"/>
              <w:spacing w:beforeLines="0" w:afterLines="0"/>
              <w:ind w:firstLine="482"/>
              <w:rPr>
                <w:rFonts w:hAnsi="宋体"/>
                <w:b/>
                <w:color w:val="auto"/>
              </w:rPr>
            </w:pPr>
            <w:r>
              <w:rPr>
                <w:rFonts w:hint="eastAsia" w:hAnsi="宋体"/>
                <w:b/>
                <w:color w:val="auto"/>
              </w:rPr>
              <w:t>符合性分析：</w:t>
            </w:r>
          </w:p>
          <w:p w14:paraId="22B0CA00">
            <w:pPr>
              <w:pStyle w:val="141"/>
              <w:spacing w:beforeLines="0" w:afterLines="0"/>
              <w:ind w:firstLine="480"/>
              <w:rPr>
                <w:color w:val="auto"/>
                <w:kern w:val="28"/>
              </w:rPr>
            </w:pPr>
            <w:r>
              <w:rPr>
                <w:color w:val="auto"/>
                <w:kern w:val="28"/>
                <w:lang w:val="en-GB"/>
              </w:rPr>
              <w:t>本项目</w:t>
            </w:r>
            <w:r>
              <w:rPr>
                <w:color w:val="auto"/>
                <w:kern w:val="28"/>
              </w:rPr>
              <w:t>产品为</w:t>
            </w:r>
            <w:r>
              <w:rPr>
                <w:rFonts w:hint="eastAsia"/>
                <w:color w:val="auto"/>
                <w:kern w:val="28"/>
              </w:rPr>
              <w:t>水泥制品（水泥顶管、水泥排水管、检查井），属于C3021水泥制品制造，主要为园区及园区周边企业做配套服务，不属于《产业结构调整指导目录（2024年本）》中的鼓励、限制和淘汰类项目，属于允许建设类项目，且项目已于2024年11月6日通过福清市发展和改革局备案，备案编号：</w:t>
            </w:r>
            <w:r>
              <w:rPr>
                <w:color w:val="auto"/>
              </w:rPr>
              <w:t>闽发改备</w:t>
            </w:r>
            <w:r>
              <w:rPr>
                <w:color w:val="auto"/>
                <w:shd w:val="clear" w:fill="FFFFFF"/>
              </w:rPr>
              <w:t>[202</w:t>
            </w:r>
            <w:r>
              <w:rPr>
                <w:rFonts w:hint="eastAsia"/>
                <w:color w:val="auto"/>
                <w:shd w:val="clear" w:fill="FFFFFF"/>
              </w:rPr>
              <w:t>2</w:t>
            </w:r>
            <w:r>
              <w:rPr>
                <w:color w:val="auto"/>
                <w:shd w:val="clear" w:fill="FFFFFF"/>
              </w:rPr>
              <w:t>]</w:t>
            </w:r>
            <w:r>
              <w:rPr>
                <w:rFonts w:hint="eastAsia"/>
                <w:color w:val="auto"/>
              </w:rPr>
              <w:t>A</w:t>
            </w:r>
            <w:r>
              <w:rPr>
                <w:color w:val="auto"/>
              </w:rPr>
              <w:t>0</w:t>
            </w:r>
            <w:r>
              <w:rPr>
                <w:rFonts w:hint="eastAsia"/>
                <w:color w:val="auto"/>
              </w:rPr>
              <w:t>6</w:t>
            </w:r>
            <w:r>
              <w:rPr>
                <w:color w:val="auto"/>
              </w:rPr>
              <w:t>0</w:t>
            </w:r>
            <w:r>
              <w:rPr>
                <w:rFonts w:hint="eastAsia"/>
                <w:color w:val="auto"/>
              </w:rPr>
              <w:t>248</w:t>
            </w:r>
            <w:r>
              <w:rPr>
                <w:color w:val="auto"/>
              </w:rPr>
              <w:t>号</w:t>
            </w:r>
            <w:r>
              <w:rPr>
                <w:rFonts w:hint="eastAsia"/>
                <w:bCs/>
                <w:color w:val="auto"/>
              </w:rPr>
              <w:t>；</w:t>
            </w:r>
            <w:r>
              <w:rPr>
                <w:rFonts w:hint="eastAsia"/>
                <w:color w:val="auto"/>
                <w:kern w:val="28"/>
              </w:rPr>
              <w:t>不</w:t>
            </w:r>
            <w:r>
              <w:rPr>
                <w:color w:val="auto"/>
                <w:kern w:val="28"/>
              </w:rPr>
              <w:t>属于</w:t>
            </w:r>
            <w:r>
              <w:rPr>
                <w:rFonts w:hint="eastAsia"/>
                <w:color w:val="auto"/>
                <w:kern w:val="28"/>
                <w:shd w:val="clear" w:fill="FFFFFF"/>
                <w:lang w:eastAsia="zh-CN"/>
              </w:rPr>
              <w:t>国家发展改革委</w:t>
            </w:r>
            <w:r>
              <w:rPr>
                <w:color w:val="auto"/>
                <w:kern w:val="28"/>
              </w:rPr>
              <w:t>、商务部联合发布的《外商投资产业指导目录》所列的禁止外商投资产业目录中的产业</w:t>
            </w:r>
            <w:r>
              <w:rPr>
                <w:rFonts w:hint="eastAsia"/>
                <w:color w:val="auto"/>
                <w:kern w:val="28"/>
              </w:rPr>
              <w:t>；不</w:t>
            </w:r>
            <w:r>
              <w:rPr>
                <w:color w:val="auto"/>
                <w:kern w:val="28"/>
              </w:rPr>
              <w:t>属于</w:t>
            </w:r>
            <w:r>
              <w:rPr>
                <w:rFonts w:hint="eastAsia"/>
                <w:color w:val="auto"/>
                <w:kern w:val="28"/>
                <w:shd w:val="clear" w:fill="FFFFFF"/>
                <w:lang w:eastAsia="zh-CN"/>
              </w:rPr>
              <w:t>自然资源部</w:t>
            </w:r>
            <w:r>
              <w:rPr>
                <w:color w:val="auto"/>
                <w:kern w:val="28"/>
              </w:rPr>
              <w:t>、</w:t>
            </w:r>
            <w:r>
              <w:rPr>
                <w:rFonts w:hint="eastAsia"/>
                <w:color w:val="auto"/>
                <w:kern w:val="28"/>
                <w:shd w:val="clear" w:fill="FFFFFF"/>
                <w:lang w:eastAsia="zh-CN"/>
              </w:rPr>
              <w:t>国家发展改革委</w:t>
            </w:r>
            <w:r>
              <w:rPr>
                <w:color w:val="auto"/>
                <w:kern w:val="28"/>
              </w:rPr>
              <w:t>联合发布的《禁止用地项目目录》中的产业；</w:t>
            </w:r>
            <w:r>
              <w:rPr>
                <w:rFonts w:hint="eastAsia"/>
                <w:color w:val="auto"/>
                <w:kern w:val="28"/>
              </w:rPr>
              <w:t>不</w:t>
            </w:r>
            <w:r>
              <w:rPr>
                <w:color w:val="auto"/>
                <w:kern w:val="28"/>
              </w:rPr>
              <w:t>属于国家及福建省已发布的各行业“行业准入条件</w:t>
            </w:r>
            <w:r>
              <w:rPr>
                <w:rFonts w:hint="eastAsia"/>
                <w:color w:val="auto"/>
                <w:kern w:val="28"/>
                <w:lang w:eastAsia="zh-CN"/>
              </w:rPr>
              <w:t>”“</w:t>
            </w:r>
            <w:r>
              <w:rPr>
                <w:color w:val="auto"/>
                <w:kern w:val="28"/>
              </w:rPr>
              <w:t>淘汰落后生产能力</w:t>
            </w:r>
            <w:r>
              <w:rPr>
                <w:rFonts w:hint="eastAsia"/>
                <w:color w:val="auto"/>
                <w:kern w:val="28"/>
                <w:lang w:eastAsia="zh-CN"/>
              </w:rPr>
              <w:t>”“</w:t>
            </w:r>
            <w:r>
              <w:rPr>
                <w:color w:val="auto"/>
                <w:kern w:val="28"/>
              </w:rPr>
              <w:t>产业发展政策</w:t>
            </w:r>
            <w:r>
              <w:rPr>
                <w:rFonts w:hint="eastAsia"/>
                <w:color w:val="auto"/>
                <w:kern w:val="28"/>
                <w:lang w:eastAsia="zh-CN"/>
              </w:rPr>
              <w:t>”“</w:t>
            </w:r>
            <w:r>
              <w:rPr>
                <w:color w:val="auto"/>
                <w:kern w:val="28"/>
              </w:rPr>
              <w:t>结构调整指导意见</w:t>
            </w:r>
            <w:r>
              <w:rPr>
                <w:rFonts w:hint="eastAsia"/>
                <w:color w:val="auto"/>
                <w:kern w:val="28"/>
                <w:lang w:eastAsia="zh-CN"/>
              </w:rPr>
              <w:t>”“</w:t>
            </w:r>
            <w:r>
              <w:rPr>
                <w:color w:val="auto"/>
                <w:kern w:val="28"/>
              </w:rPr>
              <w:t>‘十四五’规划</w:t>
            </w:r>
            <w:r>
              <w:rPr>
                <w:rFonts w:hint="eastAsia"/>
                <w:color w:val="auto"/>
                <w:kern w:val="28"/>
                <w:lang w:eastAsia="zh-CN"/>
              </w:rPr>
              <w:t>”“</w:t>
            </w:r>
            <w:r>
              <w:rPr>
                <w:color w:val="auto"/>
                <w:kern w:val="28"/>
              </w:rPr>
              <w:t>中长期规划</w:t>
            </w:r>
            <w:r>
              <w:rPr>
                <w:rFonts w:hint="eastAsia"/>
                <w:color w:val="auto"/>
                <w:kern w:val="28"/>
                <w:lang w:eastAsia="zh-CN"/>
              </w:rPr>
              <w:t>”“</w:t>
            </w:r>
            <w:r>
              <w:rPr>
                <w:color w:val="auto"/>
                <w:kern w:val="28"/>
              </w:rPr>
              <w:t>专项规划</w:t>
            </w:r>
            <w:r>
              <w:rPr>
                <w:rFonts w:hint="eastAsia"/>
                <w:color w:val="auto"/>
                <w:kern w:val="28"/>
                <w:lang w:eastAsia="zh-CN"/>
              </w:rPr>
              <w:t>”“</w:t>
            </w:r>
            <w:r>
              <w:rPr>
                <w:color w:val="auto"/>
                <w:kern w:val="28"/>
              </w:rPr>
              <w:t>调整振兴规划”等明文淘汰类的产业</w:t>
            </w:r>
            <w:r>
              <w:rPr>
                <w:rFonts w:hint="eastAsia"/>
                <w:color w:val="auto"/>
                <w:kern w:val="28"/>
              </w:rPr>
              <w:t>。</w:t>
            </w:r>
            <w:r>
              <w:rPr>
                <w:rFonts w:hint="eastAsia"/>
                <w:bCs/>
                <w:color w:val="auto"/>
              </w:rPr>
              <w:t>因此，本</w:t>
            </w:r>
            <w:r>
              <w:rPr>
                <w:bCs/>
                <w:color w:val="auto"/>
              </w:rPr>
              <w:t>项目符合当前国家产业政策</w:t>
            </w:r>
            <w:r>
              <w:rPr>
                <w:rFonts w:hint="eastAsia"/>
                <w:bCs/>
                <w:color w:val="auto"/>
              </w:rPr>
              <w:t>要求。</w:t>
            </w:r>
          </w:p>
          <w:p w14:paraId="4731C5AD">
            <w:pPr>
              <w:pStyle w:val="141"/>
              <w:spacing w:beforeLines="0" w:afterLines="0"/>
              <w:ind w:firstLine="480"/>
              <w:rPr>
                <w:color w:val="auto"/>
                <w:kern w:val="28"/>
              </w:rPr>
            </w:pPr>
            <w:r>
              <w:rPr>
                <w:rFonts w:hint="eastAsia"/>
                <w:color w:val="auto"/>
                <w:kern w:val="28"/>
              </w:rPr>
              <w:t>根据表1.1-2可知，本项目属于土地资源集约利用、资源能源消耗小、污染物排放少、产品附加值高的工艺技术及产品；</w:t>
            </w:r>
            <w:r>
              <w:rPr>
                <w:rFonts w:hint="eastAsia"/>
                <w:color w:val="auto"/>
                <w:kern w:val="28"/>
                <w:lang w:eastAsia="zh-CN"/>
              </w:rPr>
              <w:t>有效</w:t>
            </w:r>
            <w:r>
              <w:rPr>
                <w:rFonts w:hint="eastAsia"/>
                <w:color w:val="auto"/>
                <w:kern w:val="28"/>
              </w:rPr>
              <w:t>的“三废”治理措施，能够实现废水、废气等污染物的稳定达标排放，保障区域环境功能区达标；污染物排放总量符合园区允许排放总量范围内；不涉及有毒有害、危化品的使用，属于环境风险小的项目。</w:t>
            </w:r>
          </w:p>
          <w:p w14:paraId="49AEF5E2">
            <w:pPr>
              <w:pStyle w:val="140"/>
              <w:ind w:firstLine="480"/>
              <w:rPr>
                <w:color w:val="auto"/>
                <w:kern w:val="28"/>
              </w:rPr>
            </w:pPr>
            <w:r>
              <w:rPr>
                <w:rFonts w:hint="eastAsia"/>
                <w:color w:val="auto"/>
              </w:rPr>
              <w:t>因此</w:t>
            </w:r>
            <w:r>
              <w:rPr>
                <w:color w:val="auto"/>
              </w:rPr>
              <w:t>，本项目建设符合</w:t>
            </w:r>
            <w:r>
              <w:rPr>
                <w:rFonts w:hint="eastAsia"/>
                <w:color w:val="auto"/>
              </w:rPr>
              <w:t>江阴港城经济区园区入驻条件。</w:t>
            </w:r>
          </w:p>
          <w:p w14:paraId="05F40138">
            <w:pPr>
              <w:pStyle w:val="141"/>
              <w:spacing w:beforeLines="0" w:afterLines="0"/>
              <w:ind w:firstLine="482"/>
              <w:rPr>
                <w:b/>
                <w:bCs/>
                <w:color w:val="auto"/>
              </w:rPr>
            </w:pPr>
            <w:r>
              <w:rPr>
                <w:rFonts w:hint="eastAsia"/>
                <w:b/>
                <w:bCs/>
                <w:color w:val="auto"/>
                <w:kern w:val="0"/>
                <w:shd w:val="clear" w:fill="FFFFFF"/>
              </w:rPr>
              <w:t>(</w:t>
            </w:r>
            <w:r>
              <w:rPr>
                <w:rFonts w:hint="eastAsia"/>
                <w:b/>
                <w:bCs/>
                <w:color w:val="auto"/>
                <w:kern w:val="0"/>
                <w:lang w:val="en-US" w:eastAsia="zh-CN"/>
              </w:rPr>
              <w:t>2</w:t>
            </w:r>
            <w:r>
              <w:rPr>
                <w:rFonts w:hint="eastAsia"/>
                <w:b/>
                <w:bCs/>
                <w:color w:val="auto"/>
                <w:kern w:val="0"/>
                <w:shd w:val="clear" w:fill="FFFFFF"/>
              </w:rPr>
              <w:t>)</w:t>
            </w:r>
            <w:r>
              <w:rPr>
                <w:rFonts w:hint="eastAsia"/>
                <w:b/>
                <w:bCs/>
                <w:color w:val="auto"/>
                <w:kern w:val="0"/>
              </w:rPr>
              <w:t>与《福州江阴港城经济区产业发展规划环境影响评价报告书》及其审查意见</w:t>
            </w:r>
            <w:r>
              <w:rPr>
                <w:b/>
                <w:bCs/>
                <w:color w:val="auto"/>
              </w:rPr>
              <w:t>符合性分析</w:t>
            </w:r>
          </w:p>
          <w:p w14:paraId="4357E613">
            <w:pPr>
              <w:pStyle w:val="140"/>
              <w:ind w:firstLine="480"/>
              <w:rPr>
                <w:color w:val="auto"/>
                <w:kern w:val="28"/>
              </w:rPr>
            </w:pPr>
            <w:r>
              <w:rPr>
                <w:color w:val="auto"/>
                <w:kern w:val="28"/>
              </w:rPr>
              <w:t>《福州江阴港城经济区产业发展规划环境影响评价报告书》（以下</w:t>
            </w:r>
            <w:r>
              <w:rPr>
                <w:rFonts w:hint="eastAsia"/>
                <w:color w:val="auto"/>
                <w:kern w:val="28"/>
                <w:lang w:eastAsia="zh-CN"/>
              </w:rPr>
              <w:t>简称</w:t>
            </w:r>
            <w:r>
              <w:rPr>
                <w:color w:val="auto"/>
                <w:kern w:val="28"/>
              </w:rPr>
              <w:t>“规划环评”）于20</w:t>
            </w:r>
            <w:r>
              <w:rPr>
                <w:rFonts w:hint="eastAsia"/>
                <w:color w:val="auto"/>
                <w:kern w:val="28"/>
              </w:rPr>
              <w:t>24</w:t>
            </w:r>
            <w:r>
              <w:rPr>
                <w:color w:val="auto"/>
                <w:kern w:val="28"/>
              </w:rPr>
              <w:t>年</w:t>
            </w:r>
            <w:r>
              <w:rPr>
                <w:rFonts w:hint="eastAsia"/>
                <w:color w:val="auto"/>
                <w:kern w:val="28"/>
              </w:rPr>
              <w:t>12</w:t>
            </w:r>
            <w:r>
              <w:rPr>
                <w:color w:val="auto"/>
                <w:kern w:val="28"/>
              </w:rPr>
              <w:t>月</w:t>
            </w:r>
            <w:r>
              <w:rPr>
                <w:rFonts w:hint="eastAsia"/>
                <w:color w:val="auto"/>
                <w:kern w:val="28"/>
              </w:rPr>
              <w:t>16</w:t>
            </w:r>
            <w:r>
              <w:rPr>
                <w:color w:val="auto"/>
                <w:kern w:val="28"/>
              </w:rPr>
              <w:t>日取得福州市</w:t>
            </w:r>
            <w:r>
              <w:rPr>
                <w:rFonts w:hint="eastAsia"/>
                <w:color w:val="auto"/>
                <w:kern w:val="28"/>
              </w:rPr>
              <w:t>生态环境局</w:t>
            </w:r>
            <w:r>
              <w:rPr>
                <w:color w:val="auto"/>
                <w:kern w:val="28"/>
              </w:rPr>
              <w:t>的审查意见（榕环保评</w:t>
            </w:r>
            <w:r>
              <w:rPr>
                <w:color w:val="auto"/>
                <w:kern w:val="28"/>
                <w:shd w:val="clear" w:fill="FFFFFF"/>
              </w:rPr>
              <w:t>[20</w:t>
            </w:r>
            <w:r>
              <w:rPr>
                <w:rFonts w:hint="eastAsia"/>
                <w:color w:val="auto"/>
                <w:kern w:val="28"/>
                <w:shd w:val="clear" w:fill="FFFFFF"/>
              </w:rPr>
              <w:t>24</w:t>
            </w:r>
            <w:r>
              <w:rPr>
                <w:color w:val="auto"/>
                <w:kern w:val="28"/>
                <w:shd w:val="clear" w:fill="FFFFFF"/>
              </w:rPr>
              <w:t>]</w:t>
            </w:r>
            <w:r>
              <w:rPr>
                <w:rFonts w:hint="eastAsia"/>
                <w:color w:val="auto"/>
                <w:kern w:val="28"/>
                <w:shd w:val="clear" w:fill="FFFFFF"/>
              </w:rPr>
              <w:t>33</w:t>
            </w:r>
            <w:r>
              <w:rPr>
                <w:color w:val="auto"/>
                <w:kern w:val="28"/>
                <w:shd w:val="clear" w:fill="FFFFFF"/>
              </w:rPr>
              <w:t>号</w:t>
            </w:r>
            <w:r>
              <w:rPr>
                <w:color w:val="auto"/>
                <w:kern w:val="28"/>
              </w:rPr>
              <w:t>）。</w:t>
            </w:r>
          </w:p>
          <w:p w14:paraId="0E105E68">
            <w:pPr>
              <w:pStyle w:val="140"/>
              <w:ind w:firstLine="480"/>
              <w:rPr>
                <w:rFonts w:hint="eastAsia"/>
                <w:color w:val="auto"/>
                <w:kern w:val="28"/>
              </w:rPr>
            </w:pPr>
            <w:r>
              <w:rPr>
                <w:rFonts w:hint="eastAsia"/>
                <w:color w:val="auto"/>
                <w:kern w:val="28"/>
                <w:lang w:val="en-GB"/>
              </w:rPr>
              <w:t>对照《福州江阴港城经济区产业发展规划环境影响评价报告书（报批本）》中规划范围内的生态环境准入清单，本项目符合其生态环境准入清单要求。具体详见表</w:t>
            </w:r>
            <w:r>
              <w:rPr>
                <w:rFonts w:hint="eastAsia"/>
                <w:color w:val="auto"/>
                <w:kern w:val="28"/>
              </w:rPr>
              <w:t>1.1-2。</w:t>
            </w:r>
          </w:p>
          <w:p w14:paraId="2D127B4A">
            <w:pPr>
              <w:pStyle w:val="140"/>
              <w:ind w:firstLine="480" w:firstLineChars="200"/>
              <w:rPr>
                <w:rFonts w:hint="eastAsia" w:ascii="Times New Roman" w:hAnsi="Times New Roman" w:eastAsia="宋体" w:cs="Times New Roman"/>
                <w:color w:val="auto"/>
                <w:kern w:val="28"/>
                <w:sz w:val="24"/>
                <w:szCs w:val="24"/>
                <w:lang w:val="en-US" w:eastAsia="zh-CN" w:bidi="ar-SA"/>
              </w:rPr>
            </w:pPr>
            <w:r>
              <w:rPr>
                <w:rFonts w:hint="eastAsia"/>
                <w:color w:val="auto"/>
                <w:kern w:val="28"/>
                <w:lang w:eastAsia="zh-CN"/>
              </w:rPr>
              <w:t>综上分析可知，本项目建设符合福州江阴港城经济区产业发展规划和</w:t>
            </w:r>
            <w:r>
              <w:rPr>
                <w:rFonts w:hint="eastAsia"/>
                <w:color w:val="auto"/>
                <w:kern w:val="28"/>
                <w:lang w:val="en-GB"/>
              </w:rPr>
              <w:t>福州江阴港城经济区产业发展规划环境影响评价报告书</w:t>
            </w:r>
            <w:r>
              <w:rPr>
                <w:rFonts w:hint="eastAsia"/>
                <w:color w:val="auto"/>
                <w:kern w:val="28"/>
                <w:lang w:val="en-GB" w:eastAsia="zh-CN"/>
              </w:rPr>
              <w:t>及审查意见的要求。</w:t>
            </w:r>
          </w:p>
        </w:tc>
      </w:tr>
      <w:tr w14:paraId="7BCFE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37DB9939">
            <w:pPr>
              <w:autoSpaceDE w:val="0"/>
              <w:autoSpaceDN w:val="0"/>
              <w:jc w:val="center"/>
              <w:rPr>
                <w:color w:val="auto"/>
                <w:kern w:val="21"/>
                <w:sz w:val="24"/>
              </w:rPr>
            </w:pPr>
            <w:r>
              <w:rPr>
                <w:color w:val="auto"/>
                <w:kern w:val="21"/>
                <w:sz w:val="24"/>
              </w:rPr>
              <w:t>其他符合性</w:t>
            </w:r>
          </w:p>
          <w:p w14:paraId="0EF020AB">
            <w:pPr>
              <w:autoSpaceDE w:val="0"/>
              <w:autoSpaceDN w:val="0"/>
              <w:jc w:val="center"/>
              <w:rPr>
                <w:color w:val="auto"/>
                <w:kern w:val="21"/>
                <w:szCs w:val="21"/>
              </w:rPr>
            </w:pPr>
            <w:r>
              <w:rPr>
                <w:color w:val="auto"/>
                <w:kern w:val="21"/>
                <w:sz w:val="24"/>
              </w:rPr>
              <w:t>分析</w:t>
            </w:r>
          </w:p>
        </w:tc>
        <w:tc>
          <w:tcPr>
            <w:tcW w:w="6867" w:type="dxa"/>
            <w:gridSpan w:val="3"/>
            <w:vAlign w:val="center"/>
          </w:tcPr>
          <w:p w14:paraId="6020FF07">
            <w:pPr>
              <w:pStyle w:val="141"/>
              <w:spacing w:beforeLines="0" w:afterLines="0"/>
              <w:ind w:firstLine="0" w:firstLineChars="0"/>
              <w:rPr>
                <w:b/>
                <w:bCs/>
                <w:color w:val="auto"/>
              </w:rPr>
            </w:pPr>
            <w:r>
              <w:rPr>
                <w:rFonts w:hint="eastAsia"/>
                <w:b/>
                <w:bCs/>
                <w:color w:val="auto"/>
                <w:shd w:val="clear" w:fill="FFFFFF"/>
                <w:lang w:eastAsia="zh-CN"/>
              </w:rPr>
              <w:t>(</w:t>
            </w:r>
            <w:r>
              <w:rPr>
                <w:rFonts w:hint="eastAsia"/>
                <w:b/>
                <w:bCs/>
                <w:color w:val="auto"/>
              </w:rPr>
              <w:t>一</w:t>
            </w:r>
            <w:r>
              <w:rPr>
                <w:rFonts w:hint="eastAsia"/>
                <w:b/>
                <w:bCs/>
                <w:color w:val="auto"/>
                <w:shd w:val="clear" w:fill="FFFFFF"/>
                <w:lang w:eastAsia="zh-CN"/>
              </w:rPr>
              <w:t>)</w:t>
            </w:r>
            <w:r>
              <w:rPr>
                <w:rFonts w:hint="eastAsia"/>
                <w:b/>
                <w:bCs/>
                <w:color w:val="auto"/>
              </w:rPr>
              <w:t>与《江阴港城经济区</w:t>
            </w:r>
            <w:r>
              <w:rPr>
                <w:rFonts w:hint="eastAsia"/>
                <w:b/>
                <w:bCs/>
                <w:color w:val="auto"/>
                <w:shd w:val="clear" w:fill="FFFFFF"/>
                <w:lang w:eastAsia="zh-CN"/>
              </w:rPr>
              <w:t>(</w:t>
            </w:r>
            <w:r>
              <w:rPr>
                <w:rFonts w:hint="eastAsia"/>
                <w:b/>
                <w:bCs/>
                <w:color w:val="auto"/>
              </w:rPr>
              <w:t>暨江阴镇、新厝镇</w:t>
            </w:r>
            <w:r>
              <w:rPr>
                <w:rFonts w:hint="eastAsia"/>
                <w:b/>
                <w:bCs/>
                <w:color w:val="auto"/>
                <w:shd w:val="clear" w:fill="FFFFFF"/>
                <w:lang w:eastAsia="zh-CN"/>
              </w:rPr>
              <w:t>)</w:t>
            </w:r>
            <w:r>
              <w:rPr>
                <w:rFonts w:hint="eastAsia"/>
                <w:b/>
                <w:bCs/>
                <w:color w:val="auto"/>
              </w:rPr>
              <w:t>国土空间总体规划</w:t>
            </w:r>
            <w:r>
              <w:rPr>
                <w:rFonts w:hint="eastAsia"/>
                <w:b/>
                <w:bCs/>
                <w:color w:val="auto"/>
                <w:shd w:val="clear" w:fill="FFFFFF"/>
                <w:lang w:eastAsia="zh-CN"/>
              </w:rPr>
              <w:t>(</w:t>
            </w:r>
            <w:r>
              <w:rPr>
                <w:rFonts w:hint="eastAsia"/>
                <w:b/>
                <w:bCs/>
                <w:color w:val="auto"/>
              </w:rPr>
              <w:t>2021</w:t>
            </w:r>
            <w:r>
              <w:rPr>
                <w:rFonts w:hint="eastAsia"/>
                <w:b/>
                <w:bCs/>
                <w:color w:val="auto"/>
                <w:shd w:val="clear" w:fill="FFFFFF"/>
              </w:rPr>
              <w:t>-</w:t>
            </w:r>
            <w:r>
              <w:rPr>
                <w:rFonts w:hint="eastAsia"/>
                <w:b/>
                <w:bCs/>
                <w:color w:val="auto"/>
              </w:rPr>
              <w:t>2035年</w:t>
            </w:r>
            <w:r>
              <w:rPr>
                <w:rFonts w:hint="eastAsia"/>
                <w:b/>
                <w:bCs/>
                <w:color w:val="auto"/>
                <w:shd w:val="clear" w:fill="FFFFFF"/>
                <w:lang w:eastAsia="zh-CN"/>
              </w:rPr>
              <w:t>)</w:t>
            </w:r>
            <w:r>
              <w:rPr>
                <w:rFonts w:hint="eastAsia"/>
                <w:b/>
                <w:bCs/>
                <w:color w:val="auto"/>
              </w:rPr>
              <w:t>》符合性分析</w:t>
            </w:r>
          </w:p>
          <w:p w14:paraId="2DD0578E">
            <w:pPr>
              <w:pStyle w:val="141"/>
              <w:spacing w:beforeLines="0" w:afterLines="0"/>
              <w:ind w:firstLine="480"/>
              <w:rPr>
                <w:color w:val="auto"/>
                <w:kern w:val="28"/>
              </w:rPr>
            </w:pPr>
            <w:r>
              <w:rPr>
                <w:rFonts w:hint="eastAsia"/>
                <w:color w:val="auto"/>
                <w:kern w:val="28"/>
                <w:lang w:eastAsia="zh-CN"/>
              </w:rPr>
              <w:t>迁建项目</w:t>
            </w:r>
            <w:r>
              <w:rPr>
                <w:rFonts w:hint="eastAsia"/>
                <w:color w:val="auto"/>
                <w:kern w:val="28"/>
              </w:rPr>
              <w:t>位于</w:t>
            </w:r>
            <w:r>
              <w:rPr>
                <w:rFonts w:hint="eastAsia"/>
                <w:color w:val="auto"/>
              </w:rPr>
              <w:t>江阴港城经济区</w:t>
            </w:r>
            <w:r>
              <w:rPr>
                <w:rFonts w:hint="eastAsia"/>
                <w:color w:val="auto"/>
                <w:szCs w:val="20"/>
              </w:rPr>
              <w:t>东部临港产业区</w:t>
            </w:r>
            <w:r>
              <w:rPr>
                <w:rFonts w:hint="eastAsia"/>
                <w:color w:val="auto"/>
                <w:kern w:val="28"/>
              </w:rPr>
              <w:t>，根据《江阴港城经济区</w:t>
            </w:r>
            <w:r>
              <w:rPr>
                <w:rFonts w:hint="eastAsia"/>
                <w:color w:val="auto"/>
                <w:kern w:val="28"/>
                <w:shd w:val="clear" w:fill="FFFFFF"/>
                <w:lang w:eastAsia="zh-CN"/>
              </w:rPr>
              <w:t>(</w:t>
            </w:r>
            <w:r>
              <w:rPr>
                <w:rFonts w:hint="eastAsia"/>
                <w:color w:val="auto"/>
                <w:kern w:val="28"/>
              </w:rPr>
              <w:t>暨江阴镇、新厝镇</w:t>
            </w:r>
            <w:r>
              <w:rPr>
                <w:rFonts w:hint="eastAsia"/>
                <w:color w:val="auto"/>
                <w:kern w:val="28"/>
                <w:shd w:val="clear" w:fill="FFFFFF"/>
                <w:lang w:eastAsia="zh-CN"/>
              </w:rPr>
              <w:t>)</w:t>
            </w:r>
            <w:r>
              <w:rPr>
                <w:rFonts w:hint="eastAsia"/>
                <w:color w:val="auto"/>
                <w:kern w:val="28"/>
              </w:rPr>
              <w:t>国土空间总体规划</w:t>
            </w:r>
            <w:r>
              <w:rPr>
                <w:rFonts w:hint="eastAsia"/>
                <w:color w:val="auto"/>
                <w:kern w:val="28"/>
                <w:shd w:val="clear" w:fill="FFFFFF"/>
                <w:lang w:eastAsia="zh-CN"/>
              </w:rPr>
              <w:t>(</w:t>
            </w:r>
            <w:r>
              <w:rPr>
                <w:rFonts w:hint="eastAsia"/>
                <w:color w:val="auto"/>
                <w:kern w:val="28"/>
              </w:rPr>
              <w:t>2021</w:t>
            </w:r>
            <w:r>
              <w:rPr>
                <w:rFonts w:hint="eastAsia"/>
                <w:color w:val="auto"/>
                <w:kern w:val="28"/>
                <w:shd w:val="clear" w:fill="FFFFFF"/>
              </w:rPr>
              <w:t>-</w:t>
            </w:r>
            <w:r>
              <w:rPr>
                <w:rFonts w:hint="eastAsia"/>
                <w:color w:val="auto"/>
                <w:kern w:val="28"/>
              </w:rPr>
              <w:t>2035年</w:t>
            </w:r>
            <w:r>
              <w:rPr>
                <w:rFonts w:hint="eastAsia"/>
                <w:color w:val="auto"/>
                <w:kern w:val="28"/>
                <w:shd w:val="clear" w:fill="FFFFFF"/>
                <w:lang w:eastAsia="zh-CN"/>
              </w:rPr>
              <w:t>)</w:t>
            </w:r>
            <w:r>
              <w:rPr>
                <w:rFonts w:hint="eastAsia"/>
                <w:color w:val="auto"/>
                <w:kern w:val="28"/>
              </w:rPr>
              <w:t>》，</w:t>
            </w:r>
            <w:r>
              <w:rPr>
                <w:rFonts w:hint="eastAsia"/>
                <w:color w:val="auto"/>
                <w:kern w:val="28"/>
                <w:lang w:eastAsia="zh-CN"/>
              </w:rPr>
              <w:t>迁建项目</w:t>
            </w:r>
            <w:r>
              <w:rPr>
                <w:rFonts w:hint="eastAsia"/>
                <w:color w:val="auto"/>
                <w:kern w:val="28"/>
              </w:rPr>
              <w:t>所在地用地布局为工业用地，且已取得建设项目规划条件函</w:t>
            </w:r>
            <w:r>
              <w:rPr>
                <w:rFonts w:hint="eastAsia"/>
                <w:color w:val="auto"/>
                <w:kern w:val="28"/>
                <w:shd w:val="clear" w:fill="FFFFFF"/>
                <w:lang w:eastAsia="zh-CN"/>
              </w:rPr>
              <w:t>(</w:t>
            </w:r>
            <w:r>
              <w:rPr>
                <w:rFonts w:hint="eastAsia"/>
                <w:color w:val="auto"/>
                <w:kern w:val="28"/>
              </w:rPr>
              <w:t>见附件7</w:t>
            </w:r>
            <w:r>
              <w:rPr>
                <w:rFonts w:hint="eastAsia"/>
                <w:color w:val="auto"/>
                <w:kern w:val="28"/>
                <w:shd w:val="clear" w:fill="FFFFFF"/>
                <w:lang w:eastAsia="zh-CN"/>
              </w:rPr>
              <w:t>)</w:t>
            </w:r>
            <w:r>
              <w:rPr>
                <w:rFonts w:hint="eastAsia"/>
                <w:color w:val="auto"/>
                <w:kern w:val="28"/>
              </w:rPr>
              <w:t>，因此项目建设符合江阴港城经济区</w:t>
            </w:r>
            <w:r>
              <w:rPr>
                <w:rFonts w:hint="eastAsia"/>
                <w:color w:val="auto"/>
                <w:kern w:val="28"/>
                <w:shd w:val="clear" w:fill="FFFFFF"/>
                <w:lang w:eastAsia="zh-CN"/>
              </w:rPr>
              <w:t>(</w:t>
            </w:r>
            <w:r>
              <w:rPr>
                <w:rFonts w:hint="eastAsia"/>
                <w:color w:val="auto"/>
                <w:kern w:val="28"/>
              </w:rPr>
              <w:t>暨江阴镇、新厝镇</w:t>
            </w:r>
            <w:r>
              <w:rPr>
                <w:rFonts w:hint="eastAsia"/>
                <w:color w:val="auto"/>
                <w:kern w:val="28"/>
                <w:shd w:val="clear" w:fill="FFFFFF"/>
                <w:lang w:eastAsia="zh-CN"/>
              </w:rPr>
              <w:t>)</w:t>
            </w:r>
            <w:r>
              <w:rPr>
                <w:rFonts w:hint="eastAsia"/>
                <w:color w:val="auto"/>
                <w:kern w:val="28"/>
              </w:rPr>
              <w:t>国土空间总体规划，</w:t>
            </w:r>
            <w:r>
              <w:rPr>
                <w:color w:val="auto"/>
              </w:rPr>
              <w:t>用地布局</w:t>
            </w:r>
            <w:r>
              <w:rPr>
                <w:rFonts w:hint="eastAsia"/>
                <w:color w:val="auto"/>
              </w:rPr>
              <w:t>规划</w:t>
            </w:r>
            <w:r>
              <w:rPr>
                <w:color w:val="auto"/>
              </w:rPr>
              <w:t>见附图</w:t>
            </w:r>
            <w:r>
              <w:rPr>
                <w:rFonts w:hint="eastAsia"/>
                <w:color w:val="auto"/>
              </w:rPr>
              <w:t>5</w:t>
            </w:r>
            <w:r>
              <w:rPr>
                <w:color w:val="auto"/>
              </w:rPr>
              <w:t>。</w:t>
            </w:r>
          </w:p>
          <w:p w14:paraId="6107CD92">
            <w:pPr>
              <w:pStyle w:val="141"/>
              <w:spacing w:beforeLines="0" w:afterLines="0"/>
              <w:ind w:firstLine="0" w:firstLineChars="0"/>
              <w:rPr>
                <w:b/>
                <w:bCs/>
                <w:color w:val="auto"/>
              </w:rPr>
            </w:pPr>
            <w:r>
              <w:rPr>
                <w:rFonts w:hint="eastAsia"/>
                <w:b/>
                <w:bCs/>
                <w:color w:val="auto"/>
                <w:shd w:val="clear" w:fill="FFFFFF"/>
                <w:lang w:eastAsia="zh-CN"/>
              </w:rPr>
              <w:t>(</w:t>
            </w:r>
            <w:r>
              <w:rPr>
                <w:rFonts w:hint="eastAsia"/>
                <w:b/>
                <w:bCs/>
                <w:color w:val="auto"/>
              </w:rPr>
              <w:t>二</w:t>
            </w:r>
            <w:r>
              <w:rPr>
                <w:rFonts w:hint="eastAsia"/>
                <w:b/>
                <w:bCs/>
                <w:color w:val="auto"/>
                <w:shd w:val="clear" w:fill="FFFFFF"/>
                <w:lang w:eastAsia="zh-CN"/>
              </w:rPr>
              <w:t>)</w:t>
            </w:r>
            <w:r>
              <w:rPr>
                <w:b/>
                <w:bCs/>
                <w:color w:val="auto"/>
              </w:rPr>
              <w:t>与福州市“三线一单”相关管控要求协调性分析</w:t>
            </w:r>
          </w:p>
          <w:p w14:paraId="43FC18E2">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根据福州市人民政府办公厅关于印发《福州市生态环境分区管控方案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2023年更新</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》的通知</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榕政办规〔2024〕20号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迁建项目</w:t>
            </w:r>
            <w:r>
              <w:rPr>
                <w:rFonts w:hint="default" w:ascii="Times New Roman" w:hAnsi="Times New Roman" w:eastAsia="宋体" w:cs="Times New Roman"/>
                <w:color w:val="auto"/>
                <w:sz w:val="24"/>
                <w:szCs w:val="24"/>
                <w:lang w:eastAsia="zh-CN"/>
              </w:rPr>
              <w:t>与福州市“三线一单”管控要求符合性分析如下：</w:t>
            </w:r>
          </w:p>
          <w:p w14:paraId="595E9813">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1</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生态红线</w:t>
            </w:r>
          </w:p>
          <w:p w14:paraId="62DA7B19">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位于陆域范围，按照《福建省生态保护红线划定方案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报批稿</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闽政函〔2018〕70号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，福州市陆域生态保护红线划定面积为2497.75平方千米，占全市陆域国土面积的21.06%。经对照“福州市生态保护红线陆海统筹范围图”，</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建设区未涉及生态保护红线，因此</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建设与生态保护红线管控要求不冲突。</w:t>
            </w:r>
          </w:p>
          <w:p w14:paraId="2F00F8EB">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环境质量底线</w:t>
            </w:r>
          </w:p>
          <w:p w14:paraId="2A9AFA20">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①水环境质量底线项目所在区域属于福州市人民政府办公厅关于印发《福州市生态环境分区管控方案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2023年更新</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》的通知</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榕政办规〔2024〕20号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中划定的水环境工业污染重点管控区。</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t>《福州市人民政府办公厅关于印发《福州市生态环境分区管控方案</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2023年更新</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》的通知》中划定的水环境工业污染重点管控区。水环境质量底线目标为：到2025年，国省控断面水质优良</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达到或优于Ⅲ类</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比例总体达97.2%以上；县级以上集中式饮用水水源水质达标率达100%</w:t>
            </w:r>
            <w:r>
              <w:rPr>
                <w:rFonts w:hint="default" w:ascii="Times New Roman" w:hAnsi="Times New Roman" w:eastAsia="宋体" w:cs="Times New Roman"/>
                <w:color w:val="auto"/>
                <w:sz w:val="24"/>
                <w:szCs w:val="24"/>
                <w:lang w:eastAsia="zh-CN"/>
              </w:rPr>
              <w:t>。</w:t>
            </w:r>
          </w:p>
          <w:p w14:paraId="10B74387">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不涉及生产废水排放，生活污水经化粪池处理后由市政污水管网排入</w:t>
            </w:r>
            <w:r>
              <w:rPr>
                <w:rFonts w:hint="eastAsia" w:ascii="Times New Roman" w:hAnsi="Times New Roman" w:cs="Times New Roman"/>
                <w:color w:val="auto"/>
                <w:sz w:val="24"/>
                <w:szCs w:val="24"/>
                <w:lang w:eastAsia="zh-CN"/>
              </w:rPr>
              <w:t>江阴污水处理</w:t>
            </w:r>
            <w:r>
              <w:rPr>
                <w:rFonts w:hint="default" w:ascii="Times New Roman" w:hAnsi="Times New Roman" w:eastAsia="宋体" w:cs="Times New Roman"/>
                <w:color w:val="auto"/>
                <w:sz w:val="24"/>
                <w:szCs w:val="24"/>
                <w:lang w:eastAsia="zh-CN"/>
              </w:rPr>
              <w:t>厂集中处理，几乎不会改变区域水环境质量现状，因此，</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建设不会突破区域水环境质量底线。</w:t>
            </w:r>
          </w:p>
          <w:p w14:paraId="58F18179">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②大气环境质量底线</w:t>
            </w:r>
          </w:p>
          <w:p w14:paraId="584A0902">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根据福州市人民政府办公厅关于印发《福州市生态环境分区管控方案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2023年更新</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》的通知</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榕政办规〔2024〕20号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所在地为大气环境管控分区中的高排放重点管控区。</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t>《福州市人民政府办公厅关于印发《福州市生态环境分区管控方案</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2023年更新</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》的通知》</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大气环境质量底线目标为：到2025年，确保生态保护红线面积不降低；福州市区空气质量PM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年平均浓度降至18.6μg/m</w:t>
            </w:r>
            <w:r>
              <w:rPr>
                <w:rFonts w:hint="default" w:ascii="Times New Roman" w:hAnsi="Times New Roman" w:cs="Times New Roman"/>
                <w:color w:val="auto"/>
                <w:sz w:val="24"/>
                <w:vertAlign w:val="superscript"/>
              </w:rPr>
              <w:t>3</w:t>
            </w:r>
            <w:r>
              <w:rPr>
                <w:rFonts w:hint="default" w:ascii="Times New Roman" w:hAnsi="Times New Roman" w:eastAsia="宋体" w:cs="Times New Roman"/>
                <w:color w:val="auto"/>
                <w:sz w:val="24"/>
                <w:szCs w:val="24"/>
                <w:lang w:eastAsia="zh-CN"/>
              </w:rPr>
              <w:t>。</w:t>
            </w:r>
          </w:p>
          <w:p w14:paraId="3ECB7B8A">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产生</w:t>
            </w:r>
            <w:r>
              <w:rPr>
                <w:rFonts w:hint="eastAsia" w:ascii="Times New Roman" w:hAnsi="Times New Roman" w:eastAsia="宋体" w:cs="Times New Roman"/>
                <w:color w:val="auto"/>
                <w:sz w:val="24"/>
                <w:szCs w:val="24"/>
                <w:lang w:val="en-US" w:eastAsia="zh-CN"/>
              </w:rPr>
              <w:t>的</w:t>
            </w:r>
            <w:r>
              <w:rPr>
                <w:rFonts w:hint="eastAsia" w:ascii="Times New Roman" w:hAnsi="Times New Roman" w:cs="Times New Roman"/>
                <w:color w:val="auto"/>
                <w:sz w:val="24"/>
                <w:szCs w:val="24"/>
                <w:lang w:val="en-US" w:eastAsia="zh-CN"/>
              </w:rPr>
              <w:t>颗粒物</w:t>
            </w:r>
            <w:r>
              <w:rPr>
                <w:rFonts w:hint="default" w:ascii="Times New Roman" w:hAnsi="Times New Roman" w:eastAsia="宋体" w:cs="Times New Roman"/>
                <w:color w:val="auto"/>
                <w:sz w:val="24"/>
                <w:szCs w:val="24"/>
                <w:lang w:eastAsia="zh-CN"/>
              </w:rPr>
              <w:t>等经采取有效的污染防治措施后</w:t>
            </w:r>
            <w:r>
              <w:rPr>
                <w:rFonts w:hint="eastAsia" w:ascii="Times New Roman" w:hAnsi="Times New Roman" w:eastAsia="宋体" w:cs="Times New Roman"/>
                <w:color w:val="auto"/>
                <w:sz w:val="24"/>
                <w:szCs w:val="24"/>
                <w:lang w:val="en-US" w:eastAsia="zh-CN"/>
              </w:rPr>
              <w:t>可实现达标排放，</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废气源强较低，各污染物均可实现达标排放，</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的建设不会突破区域大气环境质量底线。</w:t>
            </w:r>
          </w:p>
          <w:p w14:paraId="68AF1143">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③土壤环境风险防控底线</w:t>
            </w:r>
          </w:p>
          <w:p w14:paraId="2F35EBE9">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根据福州市人民政府办公厅关于印发《福州市生态环境分区管控方案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2023年更新</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》的通知</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榕政办规〔2024〕20号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所在地为土壤污染风险管控分区中的建设用地污染风险重点管控区。</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t>《福州市人民政府办公厅关于印发《福州市生态环境分区管控方案</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2023年更新</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rPr>
              <w:t>》的通知》</w:t>
            </w:r>
            <w:r>
              <w:rPr>
                <w:rFonts w:hint="default" w:ascii="Times New Roman" w:hAnsi="Times New Roman" w:cs="Times New Roman"/>
                <w:color w:val="auto"/>
                <w:sz w:val="24"/>
                <w:lang w:eastAsia="zh-CN"/>
              </w:rPr>
              <w:t>，到2025年，受污染耕地安全利用率达到95%</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lang w:eastAsia="zh-CN"/>
              </w:rPr>
              <w:t>含</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lang w:eastAsia="zh-CN"/>
              </w:rPr>
              <w:t>以上，重点建设用地安全利用率得到有效保障，重点行业企业用地优先管控名录地块风险管控率达到95%</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lang w:eastAsia="zh-CN"/>
              </w:rPr>
              <w:t>含</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lang w:eastAsia="zh-CN"/>
              </w:rPr>
              <w:t>以上，开垦耕地土壤污染调查覆盖率达90%以上，畜禽粪污综合利用率预期达95%</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lang w:eastAsia="zh-CN"/>
              </w:rPr>
              <w:t>含</w:t>
            </w:r>
            <w:r>
              <w:rPr>
                <w:rFonts w:hint="eastAsia" w:ascii="Times New Roman" w:hAnsi="Times New Roman" w:cs="Times New Roman"/>
                <w:color w:val="auto"/>
                <w:sz w:val="24"/>
                <w:shd w:val="clear" w:fill="FFFFFF"/>
                <w:lang w:eastAsia="zh-CN"/>
              </w:rPr>
              <w:t>)</w:t>
            </w:r>
            <w:r>
              <w:rPr>
                <w:rFonts w:hint="default" w:ascii="Times New Roman" w:hAnsi="Times New Roman" w:cs="Times New Roman"/>
                <w:color w:val="auto"/>
                <w:sz w:val="24"/>
                <w:lang w:eastAsia="zh-CN"/>
              </w:rPr>
              <w:t>以上</w:t>
            </w:r>
            <w:r>
              <w:rPr>
                <w:rFonts w:hint="default" w:ascii="Times New Roman" w:hAnsi="Times New Roman" w:eastAsia="宋体" w:cs="Times New Roman"/>
                <w:color w:val="auto"/>
                <w:sz w:val="24"/>
                <w:szCs w:val="24"/>
                <w:lang w:eastAsia="zh-CN"/>
              </w:rPr>
              <w:t>。</w:t>
            </w:r>
          </w:p>
          <w:p w14:paraId="220CC054">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建设后，</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厂区车间地面全部硬化，生产过程不排放持久性污染物，严格按照要求进行分区防渗防控，几乎不存在土壤环境风险，符合土壤环境风险防控底线要求。</w:t>
            </w:r>
          </w:p>
          <w:p w14:paraId="516E5006">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3</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资源利用</w:t>
            </w:r>
            <w:r>
              <w:rPr>
                <w:rFonts w:hint="default" w:ascii="Times New Roman" w:hAnsi="Times New Roman" w:eastAsia="宋体" w:cs="Times New Roman"/>
                <w:color w:val="auto"/>
                <w:sz w:val="24"/>
                <w:szCs w:val="24"/>
                <w:shd w:val="clear" w:fill="FFFFFF"/>
                <w:lang w:eastAsia="zh-CN"/>
              </w:rPr>
              <w:t>上线</w:t>
            </w:r>
          </w:p>
          <w:p w14:paraId="4AD3F7EE">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①水资源利用</w:t>
            </w:r>
            <w:r>
              <w:rPr>
                <w:rFonts w:hint="default" w:ascii="Times New Roman" w:hAnsi="Times New Roman" w:eastAsia="宋体" w:cs="Times New Roman"/>
                <w:color w:val="auto"/>
                <w:sz w:val="24"/>
                <w:szCs w:val="24"/>
                <w:shd w:val="clear" w:fill="FFFFFF"/>
                <w:lang w:eastAsia="zh-CN"/>
              </w:rPr>
              <w:t>上线</w:t>
            </w:r>
          </w:p>
          <w:p w14:paraId="22D7894C">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根据福州市人民政府办公厅关于印发《福州市生态环境分区管控方案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2023年更新</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》的通知</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榕政办规〔2024〕20号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，水资源利用上线要求为：衔接水资源管理“三条红线”，控制目标以省政府下达为准。</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水资源上线现状评价从水资源承载能力、水资源利用效率和生态需水量保障程度三方面综合分析，确定全省地市层面范围均为一般管控区，即全市水资源利用不会突破水资源利用上线。</w:t>
            </w:r>
          </w:p>
          <w:p w14:paraId="7B0B752B">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运营期用水均来自市政供水，</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用水量不大，与福州市水资源利用上线管控要求相符，因此</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建设不会突破水资源利用上线。</w:t>
            </w:r>
          </w:p>
          <w:p w14:paraId="16882382">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②土地资源利用上线</w:t>
            </w:r>
          </w:p>
          <w:p w14:paraId="227C0385">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根据福州市人民政府办公厅关于印发《福州市生态环境分区管控方案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2023年更新</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》的通知</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榕政办规〔2024〕20号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，土地资源利用上线要求为：衔接土地利用总体规划等文件要求，控制目标以省政府下达为准。</w:t>
            </w:r>
          </w:p>
          <w:p w14:paraId="5DC447B2">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用地符合《福清融侨经济技术开发区总体规划</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2018</w:t>
            </w:r>
            <w:r>
              <w:rPr>
                <w:rFonts w:hint="default"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2035年</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》要求，符合土地资源利用上线管控要求，因此</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建设不会突破土地资源利用上线。</w:t>
            </w:r>
          </w:p>
          <w:p w14:paraId="2ADEBC57">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③能源资源利用</w:t>
            </w:r>
            <w:r>
              <w:rPr>
                <w:rFonts w:hint="default" w:ascii="Times New Roman" w:hAnsi="Times New Roman" w:eastAsia="宋体" w:cs="Times New Roman"/>
                <w:color w:val="auto"/>
                <w:sz w:val="24"/>
                <w:szCs w:val="24"/>
                <w:shd w:val="clear" w:fill="FFFFFF"/>
                <w:lang w:eastAsia="zh-CN"/>
              </w:rPr>
              <w:t>上线</w:t>
            </w:r>
          </w:p>
          <w:p w14:paraId="74B42272">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根据福州市人民政府办公厅关于印发《福州市生态环境分区管控方案</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2023年更新</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》的通知</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榕政办规〔2024〕20号</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，能源资源利用上线要求为：衔接碳达峰方案、节能减排、能源规划等文件要求，控制目标以省政府下达为准。</w:t>
            </w:r>
          </w:p>
          <w:p w14:paraId="71EE385A">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设备使用电能作为能源，不涉及高污染燃料，</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与福州市能源资源利用</w:t>
            </w:r>
            <w:r>
              <w:rPr>
                <w:rFonts w:hint="default" w:ascii="Times New Roman" w:hAnsi="Times New Roman" w:eastAsia="宋体" w:cs="Times New Roman"/>
                <w:color w:val="auto"/>
                <w:sz w:val="24"/>
                <w:szCs w:val="24"/>
                <w:shd w:val="clear" w:fill="FFFFFF"/>
                <w:lang w:eastAsia="zh-CN"/>
              </w:rPr>
              <w:t>上线</w:t>
            </w:r>
            <w:r>
              <w:rPr>
                <w:rFonts w:hint="default" w:ascii="Times New Roman" w:hAnsi="Times New Roman" w:eastAsia="宋体" w:cs="Times New Roman"/>
                <w:color w:val="auto"/>
                <w:sz w:val="24"/>
                <w:szCs w:val="24"/>
                <w:lang w:eastAsia="zh-CN"/>
              </w:rPr>
              <w:t>要求相符。</w:t>
            </w:r>
          </w:p>
          <w:p w14:paraId="324D753C">
            <w:pPr>
              <w:pStyle w:val="158"/>
              <w:keepNext w:val="0"/>
              <w:keepLines w:val="0"/>
              <w:pageBreakBefore w:val="0"/>
              <w:wordWrap/>
              <w:overflowPunct/>
              <w:topLinePunct w:val="0"/>
              <w:bidi w:val="0"/>
              <w:adjustRightInd/>
              <w:snapToGrid/>
              <w:spacing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4</w:t>
            </w:r>
            <w:r>
              <w:rPr>
                <w:rFonts w:hint="eastAsia" w:ascii="Times New Roman" w:hAnsi="Times New Roman"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lang w:eastAsia="zh-CN"/>
              </w:rPr>
              <w:t>生态环境准入清单</w:t>
            </w:r>
          </w:p>
          <w:p w14:paraId="28B02EB2">
            <w:pPr>
              <w:pStyle w:val="15"/>
              <w:topLinePunct/>
              <w:spacing w:beforeLines="0" w:line="360" w:lineRule="auto"/>
              <w:ind w:firstLine="480"/>
              <w:jc w:val="both"/>
              <w:rPr>
                <w:rFonts w:ascii="Times New Roman" w:eastAsia="宋体"/>
                <w:color w:val="auto"/>
                <w:kern w:val="0"/>
                <w:szCs w:val="24"/>
              </w:rPr>
            </w:pPr>
            <w:r>
              <w:rPr>
                <w:rFonts w:hint="default" w:ascii="Times New Roman" w:hAnsi="Times New Roman" w:eastAsia="宋体" w:cs="Times New Roman"/>
                <w:color w:val="auto"/>
                <w:sz w:val="24"/>
                <w:szCs w:val="24"/>
                <w:lang w:eastAsia="zh-CN"/>
              </w:rPr>
              <w:t>根据《福州市人民政府关于实施“三线一单”生态环境分区管控的通知》，</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属于重点管控单元，</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与“福州市生态环境总体准入要求和福州市陆域环境管控单元准入要求”符合性分析详见</w:t>
            </w:r>
            <w:r>
              <w:rPr>
                <w:rFonts w:hint="default" w:ascii="Times New Roman" w:hAnsi="Times New Roman" w:eastAsia="宋体" w:cs="Times New Roman"/>
                <w:color w:val="auto"/>
                <w:sz w:val="24"/>
                <w:szCs w:val="24"/>
                <w:lang w:val="en-US" w:eastAsia="zh-CN"/>
              </w:rPr>
              <w:t>后文分析</w:t>
            </w:r>
            <w:r>
              <w:rPr>
                <w:rFonts w:hint="eastAsia" w:ascii="Times New Roman" w:eastAsia="宋体" w:cs="Times New Roman"/>
                <w:color w:val="auto"/>
                <w:sz w:val="24"/>
                <w:szCs w:val="24"/>
                <w:lang w:val="en-US" w:eastAsia="zh-CN"/>
              </w:rPr>
              <w:t>。</w:t>
            </w:r>
          </w:p>
          <w:p w14:paraId="66E36E00">
            <w:pPr>
              <w:keepNext/>
              <w:keepLines/>
              <w:numPr>
                <w:ilvl w:val="3"/>
                <w:numId w:val="0"/>
              </w:numPr>
              <w:spacing w:line="360" w:lineRule="auto"/>
              <w:ind w:firstLine="316" w:firstLineChars="131"/>
              <w:outlineLvl w:val="3"/>
              <w:rPr>
                <w:b/>
                <w:bCs/>
                <w:color w:val="auto"/>
                <w:sz w:val="24"/>
                <w:szCs w:val="28"/>
              </w:rPr>
            </w:pPr>
            <w:r>
              <w:rPr>
                <w:b/>
                <w:bCs/>
                <w:color w:val="auto"/>
                <w:sz w:val="24"/>
                <w:szCs w:val="28"/>
              </w:rPr>
              <w:t>4.生态环境准入清单</w:t>
            </w:r>
          </w:p>
          <w:p w14:paraId="59262207">
            <w:pPr>
              <w:spacing w:line="360" w:lineRule="auto"/>
              <w:ind w:firstLine="480" w:firstLineChars="200"/>
              <w:rPr>
                <w:color w:val="auto"/>
                <w:kern w:val="21"/>
                <w:szCs w:val="21"/>
              </w:rPr>
            </w:pPr>
            <w:r>
              <w:rPr>
                <w:color w:val="auto"/>
                <w:kern w:val="0"/>
                <w:sz w:val="24"/>
              </w:rPr>
              <w:t>查询福建省生态环境分区管控数据应用平台，</w:t>
            </w:r>
            <w:r>
              <w:rPr>
                <w:color w:val="auto"/>
                <w:sz w:val="24"/>
              </w:rPr>
              <w:t>项目所在地块属于福州市陆域区域，涉及</w:t>
            </w:r>
            <w:r>
              <w:rPr>
                <w:rFonts w:hint="eastAsia"/>
                <w:color w:val="auto"/>
                <w:sz w:val="24"/>
                <w:lang w:val="en-US" w:eastAsia="zh-CN"/>
              </w:rPr>
              <w:t>1</w:t>
            </w:r>
            <w:r>
              <w:rPr>
                <w:color w:val="auto"/>
                <w:sz w:val="24"/>
              </w:rPr>
              <w:t>个生态环境管控单元</w:t>
            </w:r>
            <w:r>
              <w:rPr>
                <w:rFonts w:hint="eastAsia"/>
                <w:color w:val="auto"/>
                <w:sz w:val="24"/>
                <w:shd w:val="clear" w:fill="FFFFFF"/>
                <w:lang w:val="en-US" w:eastAsia="zh-CN"/>
              </w:rPr>
              <w:t>(</w:t>
            </w:r>
            <w:r>
              <w:rPr>
                <w:color w:val="auto"/>
                <w:sz w:val="24"/>
              </w:rPr>
              <w:t>福清市重点管控单元2</w:t>
            </w:r>
            <w:r>
              <w:rPr>
                <w:rFonts w:hint="eastAsia"/>
                <w:color w:val="auto"/>
                <w:sz w:val="24"/>
                <w:shd w:val="clear" w:fill="FFFFFF"/>
                <w:lang w:eastAsia="zh-CN"/>
              </w:rPr>
              <w:t>(</w:t>
            </w:r>
            <w:r>
              <w:rPr>
                <w:color w:val="auto"/>
                <w:sz w:val="24"/>
              </w:rPr>
              <w:t>ZH35018120009</w:t>
            </w:r>
            <w:r>
              <w:rPr>
                <w:rFonts w:hint="eastAsia"/>
                <w:color w:val="auto"/>
                <w:sz w:val="24"/>
                <w:shd w:val="clear" w:fill="FFFFFF"/>
                <w:lang w:eastAsia="zh-CN"/>
              </w:rPr>
              <w:t>)</w:t>
            </w:r>
            <w:r>
              <w:rPr>
                <w:rFonts w:hint="eastAsia"/>
                <w:color w:val="auto"/>
                <w:sz w:val="24"/>
                <w:shd w:val="clear" w:fill="FFFFFF"/>
                <w:lang w:val="en-US" w:eastAsia="zh-CN"/>
              </w:rPr>
              <w:t>)</w:t>
            </w:r>
            <w:r>
              <w:rPr>
                <w:color w:val="auto"/>
                <w:sz w:val="24"/>
              </w:rPr>
              <w:t>，</w:t>
            </w:r>
            <w:r>
              <w:rPr>
                <w:color w:val="auto"/>
                <w:kern w:val="0"/>
                <w:sz w:val="24"/>
              </w:rPr>
              <w:t>项目与环境管控单元准入要求符合性分析详见下表</w:t>
            </w:r>
            <w:r>
              <w:rPr>
                <w:rFonts w:hint="eastAsia"/>
                <w:color w:val="auto"/>
                <w:kern w:val="0"/>
                <w:sz w:val="24"/>
              </w:rPr>
              <w:t>1.1-3</w:t>
            </w:r>
            <w:r>
              <w:rPr>
                <w:color w:val="auto"/>
                <w:kern w:val="0"/>
                <w:sz w:val="24"/>
              </w:rPr>
              <w:t>。</w:t>
            </w:r>
          </w:p>
        </w:tc>
      </w:tr>
    </w:tbl>
    <w:p w14:paraId="6EDBC13A">
      <w:pPr>
        <w:rPr>
          <w:color w:val="auto"/>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36"/>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14:paraId="07066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6" w:hRule="atLeast"/>
          <w:jc w:val="center"/>
        </w:trPr>
        <w:tc>
          <w:tcPr>
            <w:tcW w:w="14173" w:type="dxa"/>
            <w:vAlign w:val="center"/>
          </w:tcPr>
          <w:p w14:paraId="09118B2D">
            <w:pPr>
              <w:spacing w:beforeLines="50"/>
              <w:jc w:val="center"/>
              <w:rPr>
                <w:b/>
                <w:bCs/>
                <w:color w:val="auto"/>
                <w:sz w:val="24"/>
              </w:rPr>
            </w:pPr>
            <w:r>
              <w:rPr>
                <w:b/>
                <w:bCs/>
                <w:color w:val="auto"/>
                <w:sz w:val="24"/>
              </w:rPr>
              <w:t>表1.1-</w:t>
            </w:r>
            <w:r>
              <w:rPr>
                <w:rFonts w:hint="eastAsia"/>
                <w:b/>
                <w:bCs/>
                <w:color w:val="auto"/>
                <w:sz w:val="24"/>
                <w:lang w:val="en-US" w:eastAsia="zh-CN"/>
              </w:rPr>
              <w:t>2</w:t>
            </w:r>
            <w:r>
              <w:rPr>
                <w:b/>
                <w:bCs/>
                <w:color w:val="auto"/>
                <w:sz w:val="24"/>
              </w:rPr>
              <w:t xml:space="preserve">  与</w:t>
            </w:r>
            <w:r>
              <w:rPr>
                <w:rFonts w:hint="eastAsia"/>
                <w:b/>
                <w:bCs/>
                <w:color w:val="auto"/>
                <w:sz w:val="24"/>
              </w:rPr>
              <w:t>福清市重点管控单元2</w:t>
            </w:r>
            <w:r>
              <w:rPr>
                <w:b/>
                <w:bCs/>
                <w:color w:val="auto"/>
                <w:sz w:val="24"/>
              </w:rPr>
              <w:t>符合性分析一览表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751"/>
              <w:gridCol w:w="7583"/>
              <w:gridCol w:w="4225"/>
              <w:gridCol w:w="566"/>
            </w:tblGrid>
            <w:tr w14:paraId="0EF2F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64FC6E3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管控单元分类</w:t>
                  </w:r>
                </w:p>
              </w:tc>
              <w:tc>
                <w:tcPr>
                  <w:tcW w:w="0" w:type="auto"/>
                  <w:gridSpan w:val="2"/>
                  <w:tcBorders>
                    <w:tl2br w:val="nil"/>
                    <w:tr2bl w:val="nil"/>
                  </w:tcBorders>
                  <w:vAlign w:val="center"/>
                </w:tcPr>
                <w:p w14:paraId="7B673BA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准入要求</w:t>
                  </w:r>
                </w:p>
              </w:tc>
              <w:tc>
                <w:tcPr>
                  <w:tcW w:w="0" w:type="auto"/>
                  <w:tcBorders>
                    <w:tl2br w:val="nil"/>
                    <w:tr2bl w:val="nil"/>
                  </w:tcBorders>
                  <w:vAlign w:val="center"/>
                </w:tcPr>
                <w:p w14:paraId="6F80F46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符合性分析</w:t>
                  </w:r>
                </w:p>
              </w:tc>
              <w:tc>
                <w:tcPr>
                  <w:tcW w:w="0" w:type="auto"/>
                  <w:tcBorders>
                    <w:tl2br w:val="nil"/>
                    <w:tr2bl w:val="nil"/>
                  </w:tcBorders>
                  <w:vAlign w:val="center"/>
                </w:tcPr>
                <w:p w14:paraId="625939C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是否符合</w:t>
                  </w:r>
                </w:p>
              </w:tc>
            </w:tr>
            <w:tr w14:paraId="3C31B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tcBorders>
                    <w:tl2br w:val="nil"/>
                    <w:tr2bl w:val="nil"/>
                  </w:tcBorders>
                  <w:vAlign w:val="center"/>
                </w:tcPr>
                <w:p w14:paraId="274F2C8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福清市重点管控单元2</w:t>
                  </w:r>
                </w:p>
              </w:tc>
              <w:tc>
                <w:tcPr>
                  <w:tcW w:w="0" w:type="auto"/>
                  <w:tcBorders>
                    <w:tl2br w:val="nil"/>
                    <w:tr2bl w:val="nil"/>
                  </w:tcBorders>
                  <w:vAlign w:val="center"/>
                </w:tcPr>
                <w:p w14:paraId="03486EC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空间布局约束</w:t>
                  </w:r>
                </w:p>
              </w:tc>
              <w:tc>
                <w:tcPr>
                  <w:tcW w:w="0" w:type="auto"/>
                  <w:tcBorders>
                    <w:tl2br w:val="nil"/>
                    <w:tr2bl w:val="nil"/>
                  </w:tcBorders>
                  <w:vAlign w:val="center"/>
                </w:tcPr>
                <w:p w14:paraId="07A4514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color w:val="auto"/>
                      <w:kern w:val="2"/>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r>
                    <w:rPr>
                      <w:rFonts w:hint="eastAsia" w:ascii="Times New Roman" w:hAnsi="Times New Roman"/>
                      <w:color w:val="auto"/>
                      <w:kern w:val="2"/>
                      <w:sz w:val="21"/>
                      <w:szCs w:val="21"/>
                      <w:lang w:eastAsia="zh-CN"/>
                    </w:rPr>
                    <w:t>。</w:t>
                  </w:r>
                </w:p>
              </w:tc>
              <w:tc>
                <w:tcPr>
                  <w:tcW w:w="0" w:type="auto"/>
                  <w:tcBorders>
                    <w:tl2br w:val="nil"/>
                    <w:tr2bl w:val="nil"/>
                  </w:tcBorders>
                  <w:shd w:val="clear" w:color="auto" w:fill="auto"/>
                  <w:vAlign w:val="center"/>
                </w:tcPr>
                <w:p w14:paraId="0725FCD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1.</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项目属于C3021水泥制品</w:t>
                  </w:r>
                  <w:r>
                    <w:rPr>
                      <w:rFonts w:ascii="Times New Roman" w:hAnsi="Times New Roman"/>
                      <w:color w:val="auto"/>
                      <w:kern w:val="2"/>
                      <w:sz w:val="21"/>
                      <w:szCs w:val="21"/>
                    </w:rPr>
                    <w:t>，位于东部临港产业区，</w:t>
                  </w:r>
                  <w:r>
                    <w:rPr>
                      <w:rFonts w:hint="eastAsia" w:ascii="Times New Roman" w:hAnsi="Times New Roman"/>
                      <w:color w:val="auto"/>
                      <w:kern w:val="2"/>
                      <w:sz w:val="21"/>
                      <w:szCs w:val="21"/>
                    </w:rPr>
                    <w:t>不属于</w:t>
                  </w:r>
                  <w:r>
                    <w:rPr>
                      <w:rFonts w:ascii="Times New Roman" w:hAnsi="Times New Roman"/>
                      <w:color w:val="auto"/>
                      <w:sz w:val="21"/>
                      <w:szCs w:val="21"/>
                    </w:rPr>
                    <w:t>新建危险化学品生产企业</w:t>
                  </w:r>
                  <w:r>
                    <w:rPr>
                      <w:rFonts w:hint="eastAsia" w:ascii="Times New Roman" w:hAnsi="Times New Roman"/>
                      <w:color w:val="auto"/>
                      <w:sz w:val="21"/>
                      <w:szCs w:val="21"/>
                    </w:rPr>
                    <w:t>，也不属于</w:t>
                  </w:r>
                  <w:r>
                    <w:rPr>
                      <w:rFonts w:ascii="Times New Roman" w:hAnsi="Times New Roman"/>
                      <w:color w:val="auto"/>
                      <w:sz w:val="21"/>
                      <w:szCs w:val="21"/>
                    </w:rPr>
                    <w:t>城市建成区内现有有色金属、印染、原料药制造、化工等污染较重的企业</w:t>
                  </w:r>
                  <w:r>
                    <w:rPr>
                      <w:rFonts w:hint="eastAsia" w:ascii="Times New Roman" w:hAnsi="Times New Roman"/>
                      <w:color w:val="auto"/>
                      <w:sz w:val="21"/>
                      <w:szCs w:val="21"/>
                    </w:rPr>
                    <w:t>。</w:t>
                  </w:r>
                </w:p>
                <w:p w14:paraId="363C476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2.</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项目属于C3021水泥制品</w:t>
                  </w:r>
                  <w:r>
                    <w:rPr>
                      <w:rFonts w:ascii="Times New Roman" w:hAnsi="Times New Roman"/>
                      <w:color w:val="auto"/>
                      <w:kern w:val="2"/>
                      <w:sz w:val="21"/>
                      <w:szCs w:val="21"/>
                    </w:rPr>
                    <w:t>，</w:t>
                  </w:r>
                  <w:r>
                    <w:rPr>
                      <w:rFonts w:hint="eastAsia" w:ascii="Times New Roman" w:hAnsi="Times New Roman"/>
                      <w:color w:val="auto"/>
                      <w:kern w:val="2"/>
                      <w:sz w:val="21"/>
                      <w:szCs w:val="21"/>
                    </w:rPr>
                    <w:t>不属于</w:t>
                  </w:r>
                  <w:r>
                    <w:rPr>
                      <w:rFonts w:ascii="Times New Roman" w:hAnsi="Times New Roman"/>
                      <w:color w:val="auto"/>
                      <w:sz w:val="21"/>
                      <w:szCs w:val="21"/>
                    </w:rPr>
                    <w:t>包装印刷、工业涂装、制鞋等高VOCs排放的项目</w:t>
                  </w:r>
                  <w:r>
                    <w:rPr>
                      <w:rFonts w:hint="eastAsia" w:ascii="Times New Roman" w:hAnsi="Times New Roman"/>
                      <w:color w:val="auto"/>
                      <w:sz w:val="21"/>
                      <w:szCs w:val="21"/>
                    </w:rPr>
                    <w:t>。</w:t>
                  </w:r>
                </w:p>
                <w:p w14:paraId="397A650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2"/>
                      <w:sz w:val="21"/>
                      <w:szCs w:val="21"/>
                    </w:rPr>
                    <w:t>3.</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项目地块已取得福清市建设项目规划条件函，属于工业用地。</w:t>
                  </w:r>
                </w:p>
              </w:tc>
              <w:tc>
                <w:tcPr>
                  <w:tcW w:w="0" w:type="auto"/>
                  <w:tcBorders>
                    <w:tl2br w:val="nil"/>
                    <w:tr2bl w:val="nil"/>
                  </w:tcBorders>
                  <w:shd w:val="clear" w:color="auto" w:fill="auto"/>
                  <w:vAlign w:val="center"/>
                </w:tcPr>
                <w:p w14:paraId="153B8B3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符合</w:t>
                  </w:r>
                </w:p>
              </w:tc>
            </w:tr>
            <w:tr w14:paraId="18F58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40BD499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4926FCD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污染物排放管控</w:t>
                  </w:r>
                </w:p>
              </w:tc>
              <w:tc>
                <w:tcPr>
                  <w:tcW w:w="0" w:type="auto"/>
                  <w:tcBorders>
                    <w:tl2br w:val="nil"/>
                    <w:tr2bl w:val="nil"/>
                  </w:tcBorders>
                  <w:vAlign w:val="center"/>
                </w:tcPr>
                <w:p w14:paraId="1D4B36C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1落实新增二氧化硫、氮氧化物和VOCs排放总量控制要求。</w:t>
                  </w:r>
                </w:p>
              </w:tc>
              <w:tc>
                <w:tcPr>
                  <w:tcW w:w="0" w:type="auto"/>
                  <w:tcBorders>
                    <w:tl2br w:val="nil"/>
                    <w:tr2bl w:val="nil"/>
                  </w:tcBorders>
                  <w:shd w:val="clear" w:color="auto" w:fill="auto"/>
                  <w:vAlign w:val="center"/>
                </w:tcPr>
                <w:p w14:paraId="7CE2735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项目排放的废气污染物主要为颗粒物，不涉及二氧化硫、氮氧化物和VOCs排放。</w:t>
                  </w:r>
                </w:p>
              </w:tc>
              <w:tc>
                <w:tcPr>
                  <w:tcW w:w="0" w:type="auto"/>
                  <w:tcBorders>
                    <w:tl2br w:val="nil"/>
                    <w:tr2bl w:val="nil"/>
                  </w:tcBorders>
                  <w:shd w:val="clear" w:color="auto" w:fill="auto"/>
                  <w:vAlign w:val="center"/>
                </w:tcPr>
                <w:p w14:paraId="4A9D471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符合</w:t>
                  </w:r>
                </w:p>
              </w:tc>
            </w:tr>
            <w:tr w14:paraId="2A806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043F796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0F68A45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环境风险防控</w:t>
                  </w:r>
                </w:p>
              </w:tc>
              <w:tc>
                <w:tcPr>
                  <w:tcW w:w="0" w:type="auto"/>
                  <w:tcBorders>
                    <w:tl2br w:val="nil"/>
                    <w:tr2bl w:val="nil"/>
                  </w:tcBorders>
                  <w:vAlign w:val="center"/>
                </w:tcPr>
                <w:p w14:paraId="56452B9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color w:val="auto"/>
                      <w:kern w:val="2"/>
                      <w:sz w:val="21"/>
                      <w:szCs w:val="21"/>
                    </w:rPr>
                  </w:pPr>
                  <w:r>
                    <w:rPr>
                      <w:rFonts w:hint="eastAsia" w:ascii="Times New Roman" w:hAnsi="Times New Roman"/>
                      <w:color w:val="auto"/>
                      <w:kern w:val="2"/>
                      <w:sz w:val="21"/>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0" w:type="auto"/>
                  <w:tcBorders>
                    <w:tl2br w:val="nil"/>
                    <w:tr2bl w:val="nil"/>
                  </w:tcBorders>
                  <w:shd w:val="clear" w:color="auto" w:fill="auto"/>
                  <w:vAlign w:val="center"/>
                </w:tcPr>
                <w:p w14:paraId="13A8AF8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迁建</w:t>
                  </w:r>
                  <w:r>
                    <w:rPr>
                      <w:color w:val="auto"/>
                      <w:sz w:val="21"/>
                      <w:szCs w:val="21"/>
                    </w:rPr>
                    <w:t>项目</w:t>
                  </w:r>
                  <w:r>
                    <w:rPr>
                      <w:rFonts w:hint="eastAsia"/>
                      <w:color w:val="auto"/>
                      <w:sz w:val="21"/>
                      <w:szCs w:val="21"/>
                    </w:rPr>
                    <w:t>不属于</w:t>
                  </w:r>
                  <w:r>
                    <w:rPr>
                      <w:color w:val="auto"/>
                      <w:sz w:val="21"/>
                      <w:szCs w:val="21"/>
                    </w:rPr>
                    <w:t>单元内现有化学原料和化学制品制造业、有色金属冶炼和压延加工业</w:t>
                  </w:r>
                  <w:r>
                    <w:rPr>
                      <w:rFonts w:hint="eastAsia"/>
                      <w:color w:val="auto"/>
                      <w:sz w:val="21"/>
                      <w:szCs w:val="21"/>
                    </w:rPr>
                    <w:t>。</w:t>
                  </w:r>
                </w:p>
              </w:tc>
              <w:tc>
                <w:tcPr>
                  <w:tcW w:w="0" w:type="auto"/>
                  <w:tcBorders>
                    <w:tl2br w:val="nil"/>
                    <w:tr2bl w:val="nil"/>
                  </w:tcBorders>
                  <w:shd w:val="clear" w:color="auto" w:fill="auto"/>
                  <w:vAlign w:val="center"/>
                </w:tcPr>
                <w:p w14:paraId="36FCCF0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color w:val="auto"/>
                      <w:sz w:val="21"/>
                      <w:szCs w:val="21"/>
                    </w:rPr>
                  </w:pPr>
                  <w:r>
                    <w:rPr>
                      <w:rFonts w:hint="eastAsia" w:ascii="Times New Roman" w:hAnsi="Times New Roman"/>
                      <w:color w:val="auto"/>
                      <w:kern w:val="2"/>
                      <w:sz w:val="21"/>
                      <w:szCs w:val="21"/>
                      <w:lang w:val="en-US" w:eastAsia="zh-CN"/>
                    </w:rPr>
                    <w:t>符合</w:t>
                  </w:r>
                </w:p>
              </w:tc>
            </w:tr>
            <w:tr w14:paraId="060BB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0CD1B54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732E103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资源开发效率要求</w:t>
                  </w:r>
                </w:p>
              </w:tc>
              <w:tc>
                <w:tcPr>
                  <w:tcW w:w="0" w:type="auto"/>
                  <w:tcBorders>
                    <w:tl2br w:val="nil"/>
                    <w:tr2bl w:val="nil"/>
                  </w:tcBorders>
                  <w:vAlign w:val="center"/>
                </w:tcPr>
                <w:p w14:paraId="2634A06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color w:val="auto"/>
                      <w:kern w:val="2"/>
                      <w:sz w:val="21"/>
                      <w:szCs w:val="21"/>
                    </w:rPr>
                  </w:pPr>
                  <w:r>
                    <w:rPr>
                      <w:rFonts w:hint="eastAsia" w:ascii="Times New Roman" w:hAnsi="Times New Roman"/>
                      <w:color w:val="auto"/>
                      <w:kern w:val="2"/>
                      <w:sz w:val="21"/>
                      <w:szCs w:val="21"/>
                    </w:rPr>
                    <w:t>高污染燃料禁燃区内禁止燃用高污染燃料，禁止新建、扩建燃用高污染燃料的设施。已建的燃用高污染燃料设施，限期改用电、天然气、液化石油气等清洁能源</w:t>
                  </w:r>
                </w:p>
              </w:tc>
              <w:tc>
                <w:tcPr>
                  <w:tcW w:w="0" w:type="auto"/>
                  <w:tcBorders>
                    <w:tl2br w:val="nil"/>
                    <w:tr2bl w:val="nil"/>
                  </w:tcBorders>
                  <w:shd w:val="clear" w:color="auto" w:fill="auto"/>
                  <w:vAlign w:val="center"/>
                </w:tcPr>
                <w:p w14:paraId="6DBA6AD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2"/>
                      <w:sz w:val="21"/>
                      <w:szCs w:val="21"/>
                      <w:lang w:val="en-US" w:eastAsia="zh-CN"/>
                    </w:rPr>
                    <w:t>迁建</w:t>
                  </w:r>
                  <w:r>
                    <w:rPr>
                      <w:rFonts w:ascii="Times New Roman" w:hAnsi="Times New Roman"/>
                      <w:color w:val="auto"/>
                      <w:sz w:val="21"/>
                      <w:szCs w:val="21"/>
                    </w:rPr>
                    <w:t>项目不涉及</w:t>
                  </w:r>
                  <w:r>
                    <w:rPr>
                      <w:rFonts w:hint="eastAsia" w:ascii="Times New Roman" w:hAnsi="Times New Roman"/>
                      <w:color w:val="auto"/>
                      <w:sz w:val="21"/>
                      <w:szCs w:val="21"/>
                    </w:rPr>
                    <w:t>高污染燃料及其设施。</w:t>
                  </w:r>
                </w:p>
              </w:tc>
              <w:tc>
                <w:tcPr>
                  <w:tcW w:w="0" w:type="auto"/>
                  <w:tcBorders>
                    <w:tl2br w:val="nil"/>
                    <w:tr2bl w:val="nil"/>
                  </w:tcBorders>
                  <w:shd w:val="clear" w:color="auto" w:fill="auto"/>
                  <w:vAlign w:val="center"/>
                </w:tcPr>
                <w:p w14:paraId="367C6AD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符合</w:t>
                  </w:r>
                </w:p>
              </w:tc>
            </w:tr>
          </w:tbl>
          <w:p w14:paraId="3271DB66">
            <w:pPr>
              <w:spacing w:beforeLines="50"/>
              <w:jc w:val="center"/>
              <w:rPr>
                <w:b/>
                <w:bCs/>
                <w:color w:val="auto"/>
                <w:sz w:val="24"/>
              </w:rPr>
            </w:pPr>
            <w:r>
              <w:rPr>
                <w:b/>
                <w:bCs/>
                <w:color w:val="auto"/>
                <w:sz w:val="24"/>
              </w:rPr>
              <w:t>表1.1-</w:t>
            </w:r>
            <w:r>
              <w:rPr>
                <w:rFonts w:hint="eastAsia"/>
                <w:b/>
                <w:bCs/>
                <w:color w:val="auto"/>
                <w:sz w:val="24"/>
                <w:lang w:val="en-US" w:eastAsia="zh-CN"/>
              </w:rPr>
              <w:t>3</w:t>
            </w:r>
            <w:r>
              <w:rPr>
                <w:b/>
                <w:bCs/>
                <w:color w:val="auto"/>
                <w:sz w:val="24"/>
              </w:rPr>
              <w:t xml:space="preserve">  与</w:t>
            </w:r>
            <w:r>
              <w:rPr>
                <w:rFonts w:hint="eastAsia"/>
                <w:b/>
                <w:bCs/>
                <w:color w:val="auto"/>
                <w:sz w:val="24"/>
              </w:rPr>
              <w:t>福州市陆域</w:t>
            </w:r>
            <w:r>
              <w:rPr>
                <w:b/>
                <w:bCs/>
                <w:color w:val="auto"/>
                <w:sz w:val="24"/>
              </w:rPr>
              <w:t>符合性分析一览表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24"/>
              <w:gridCol w:w="7386"/>
              <w:gridCol w:w="4654"/>
              <w:gridCol w:w="554"/>
            </w:tblGrid>
            <w:tr w14:paraId="32668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7AA4DA4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管控单元分类</w:t>
                  </w:r>
                </w:p>
              </w:tc>
              <w:tc>
                <w:tcPr>
                  <w:tcW w:w="0" w:type="auto"/>
                  <w:gridSpan w:val="2"/>
                  <w:tcBorders>
                    <w:tl2br w:val="nil"/>
                    <w:tr2bl w:val="nil"/>
                  </w:tcBorders>
                  <w:vAlign w:val="center"/>
                </w:tcPr>
                <w:p w14:paraId="146F2ED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准入要求</w:t>
                  </w:r>
                </w:p>
              </w:tc>
              <w:tc>
                <w:tcPr>
                  <w:tcW w:w="0" w:type="auto"/>
                  <w:tcBorders>
                    <w:tl2br w:val="nil"/>
                    <w:tr2bl w:val="nil"/>
                  </w:tcBorders>
                  <w:vAlign w:val="center"/>
                </w:tcPr>
                <w:p w14:paraId="6CD7D8E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符合性分析</w:t>
                  </w:r>
                </w:p>
              </w:tc>
              <w:tc>
                <w:tcPr>
                  <w:tcW w:w="0" w:type="auto"/>
                  <w:tcBorders>
                    <w:tl2br w:val="nil"/>
                    <w:tr2bl w:val="nil"/>
                  </w:tcBorders>
                  <w:vAlign w:val="center"/>
                </w:tcPr>
                <w:p w14:paraId="22B009B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是否符合</w:t>
                  </w:r>
                </w:p>
              </w:tc>
            </w:tr>
            <w:tr w14:paraId="3A193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tcBorders>
                    <w:tl2br w:val="nil"/>
                    <w:tr2bl w:val="nil"/>
                  </w:tcBorders>
                  <w:vAlign w:val="center"/>
                </w:tcPr>
                <w:p w14:paraId="719B5CC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福州市陆域</w:t>
                  </w:r>
                </w:p>
              </w:tc>
              <w:tc>
                <w:tcPr>
                  <w:tcW w:w="0" w:type="auto"/>
                  <w:tcBorders>
                    <w:tl2br w:val="nil"/>
                    <w:tr2bl w:val="nil"/>
                  </w:tcBorders>
                  <w:vAlign w:val="center"/>
                </w:tcPr>
                <w:p w14:paraId="38A7AB1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空间布局约束</w:t>
                  </w:r>
                </w:p>
              </w:tc>
              <w:tc>
                <w:tcPr>
                  <w:tcW w:w="0" w:type="auto"/>
                  <w:tcBorders>
                    <w:tl2br w:val="nil"/>
                    <w:tr2bl w:val="nil"/>
                  </w:tcBorders>
                  <w:vAlign w:val="center"/>
                </w:tcPr>
                <w:p w14:paraId="0A5D672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color w:val="auto"/>
                      <w:kern w:val="2"/>
                      <w:sz w:val="21"/>
                      <w:szCs w:val="21"/>
                    </w:rPr>
                  </w:pPr>
                  <w:r>
                    <w:rPr>
                      <w:rFonts w:hint="eastAsia" w:ascii="Times New Roman" w:hAnsi="Times New Roman"/>
                      <w:color w:val="auto"/>
                      <w:kern w:val="2"/>
                      <w:sz w:val="21"/>
                      <w:szCs w:val="21"/>
                    </w:rPr>
                    <w:t>1、空间布局约束</w:t>
                  </w:r>
                </w:p>
                <w:p w14:paraId="235E5B1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一、优先保护单元中的生态保护红线1</w:t>
                  </w:r>
                  <w:r>
                    <w:rPr>
                      <w:rFonts w:hint="eastAsia" w:ascii="Times New Roman" w:hAnsi="Times New Roman"/>
                      <w:color w:val="auto"/>
                      <w:kern w:val="2"/>
                      <w:sz w:val="21"/>
                      <w:szCs w:val="21"/>
                      <w:shd w:val="clear" w:fill="FFFFFF"/>
                    </w:rPr>
                    <w:t>.</w:t>
                  </w:r>
                  <w:r>
                    <w:rPr>
                      <w:rFonts w:hint="eastAsia" w:ascii="Times New Roman" w:hAnsi="Times New Roman"/>
                      <w:color w:val="auto"/>
                      <w:kern w:val="2"/>
                      <w:sz w:val="21"/>
                      <w:szCs w:val="21"/>
                    </w:rPr>
                    <w:t>根据《关于在国土空间规划中统筹划定落实三条控制线的指导意见》《自然资源部生态环境部国家林业和草原局关于加强生态保护红线管理的通知</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试行</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》，加强生态保护红线管理，严守自然生态安全边界。生态保护红线内，自然保护地核心保护区原则上禁止人为活动，</w:t>
                  </w:r>
                  <w:r>
                    <w:rPr>
                      <w:rFonts w:hint="eastAsia" w:ascii="Times New Roman" w:hAnsi="Times New Roman"/>
                      <w:color w:val="auto"/>
                      <w:kern w:val="2"/>
                      <w:sz w:val="21"/>
                      <w:szCs w:val="21"/>
                      <w:shd w:val="clear" w:fill="FFFFFF"/>
                    </w:rPr>
                    <w:t>其它</w:t>
                  </w:r>
                  <w:r>
                    <w:rPr>
                      <w:rFonts w:hint="eastAsia" w:ascii="Times New Roman" w:hAnsi="Times New Roman"/>
                      <w:color w:val="auto"/>
                      <w:kern w:val="2"/>
                      <w:sz w:val="21"/>
                      <w:szCs w:val="21"/>
                    </w:rPr>
                    <w:t>区域禁止开发性、生产性建设活动，在符合法律法规的前提下，仅允许以下对生态功能不造成破坏的有限人为活动。生态保护红线内自然保护区、风景名胜区、饮用水水源保护区等区域，依照法律法规执行。</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1</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管护巡护、保护执法、科学研究、调查监测、测绘导航、防灾减灾救灾、军事国防、疫情防控等活动及相关的必要设施</w:t>
                  </w:r>
                  <w:r>
                    <w:rPr>
                      <w:rFonts w:hint="eastAsia" w:ascii="Times New Roman" w:hAnsi="Times New Roman"/>
                      <w:color w:val="auto"/>
                      <w:kern w:val="2"/>
                      <w:sz w:val="21"/>
                      <w:szCs w:val="21"/>
                      <w:shd w:val="clear" w:fill="FFFFFF"/>
                    </w:rPr>
                    <w:t>修筑</w:t>
                  </w:r>
                  <w:r>
                    <w:rPr>
                      <w:rFonts w:hint="eastAsia" w:ascii="Times New Roman" w:hAnsi="Times New Roman"/>
                      <w:color w:val="auto"/>
                      <w:kern w:val="2"/>
                      <w:sz w:val="21"/>
                      <w:szCs w:val="21"/>
                    </w:rPr>
                    <w:t>。</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2</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shd w:val="clear" w:fill="FFFFFF"/>
                    </w:rPr>
                    <w:t>原住居民</w:t>
                  </w:r>
                  <w:r>
                    <w:rPr>
                      <w:rFonts w:hint="eastAsia" w:ascii="Times New Roman" w:hAnsi="Times New Roman"/>
                      <w:color w:val="auto"/>
                      <w:kern w:val="2"/>
                      <w:sz w:val="21"/>
                      <w:szCs w:val="21"/>
                    </w:rPr>
                    <w:t>和其他合法权益主体，允许在不扩大现有建设用地、用海用岛、耕地、水产养殖规模和放牧强度</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符合草畜平衡管理规定</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的前提下，开展种植、放牧、捕捞、养殖</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不包括投礁型海洋牧场、围海养殖</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等活动，修筑生产生活设施。</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3</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经依法批准的考古调查发掘、古生物化石调查发掘、标本采集和文物保护活动。</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4</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按规定对人工商品林进行抚育采伐，或以提升森林质量、优化栖息地、建设生物防火隔离带等为目的的树种更新，依法开展的竹林采伐经营。</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5</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不破坏生态功能的适度参观旅游、科普宣教及符合相关规划的配套性服务设施和相关的必要公共设施建设及维护。</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6</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必须且无法避让、符合县级以上国土空间规划的线性基础设施、通讯和防洪、供水设施建设和船舶航行、航道疏浚清淤等活动；已有的合法水利、交通运输等设施运行维护改造。</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7</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地质调查与矿产资源勘查开采。包括：基础地质调查和战略性矿产资源远景调查等公益性工作；铀矿勘查开采活动，可办理矿业权登记；已依法设立的油气探矿权继续勘查活动，可办理探矿权延续、变更</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不含扩大勘查区块范围</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保留、注销，当发现可供开采油气资源并探明储量时，可将开采拟占用的地表或海域范围依照国家相关规定调出生态保护红线；已依法设立的油气采矿权不扩大用地用海范围，继续开采，可办理采矿权延续、变更</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不含扩大矿区范围</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、注销；已依法设立的矿泉水和地热采矿权，在不超出已经核定的生产规模、不新增生产设施的前提下继续开采，可办理采矿权延续、变更</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不含扩大矿区范围</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、注销；已依法设立和新立铬、铜、镍、锂、钴、锆、钾盐、</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中</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8</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依据县级以上国土空间规划和生态保护修复专项规划开展的生态修复。</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9</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法律法规规定允许的其他人为活动。2.依据《福建省自然资源厅福建省生态环境厅福建省林业局关于进一步加强生态保护红线监管的通知</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试行</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闽自然资发〔2023〕56号</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，允许占用生态保护红线的重大项目范围：</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1</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党中央、国务院发布文件或批准规划中明确具体名称的项目和国务院批准的项目。</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2</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中央军委及其有关部门批准的军事国防项目。</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3</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国家级规划</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指国务院及其有关部门正式颁布</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明确的交通、水利项目。</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4</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国家级规划明确的电网项目，国家级规划明确的且符合国家产业政策的能源矿产勘查开采、油气管线、水电、核电项目。</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5</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为贯彻落实党中央、国务院重大决策部署，国务院投资主管部门或国务院投资主管部门会同有关部门确认的交通、能源、水利等基础设施项目。</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6</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按照国家重大项目用地保障工作机制要求，国家发展改革委会同有关部门确认的需中央加大建设用地保障力度，确实难以避让的国家重大项目。二、优先保护单元中的一般生态空间1</w:t>
                  </w:r>
                  <w:r>
                    <w:rPr>
                      <w:rFonts w:hint="eastAsia" w:ascii="Times New Roman" w:hAnsi="Times New Roman"/>
                      <w:color w:val="auto"/>
                      <w:kern w:val="2"/>
                      <w:sz w:val="21"/>
                      <w:szCs w:val="21"/>
                      <w:shd w:val="clear" w:fill="FFFFFF"/>
                    </w:rPr>
                    <w:t>.</w:t>
                  </w:r>
                  <w:r>
                    <w:rPr>
                      <w:rFonts w:hint="eastAsia" w:ascii="Times New Roman" w:hAnsi="Times New Roman"/>
                      <w:color w:val="auto"/>
                      <w:kern w:val="2"/>
                      <w:sz w:val="21"/>
                      <w:szCs w:val="21"/>
                    </w:rPr>
                    <w:t>一般生态空间以保护和修复生态环境、提供生态产品和服务为首要任务，因地制宜地发展不影响主体功能定位的适宜产业。2.一般生态空间内未纳入生态保护红线的饮用水水源保护区等各类法定保护地，其管控要求依照相关法律法规执行。3.一般生态空间内现有合法的水泥厂、矿山开发等生产性设施及生活垃圾处置等民生工程予以保留，应按照法律法规要求落实污染防治和生态保护措施，避免对生态功能造成破坏。三、</w:t>
                  </w:r>
                  <w:r>
                    <w:rPr>
                      <w:rFonts w:hint="eastAsia" w:ascii="Times New Roman" w:hAnsi="Times New Roman"/>
                      <w:color w:val="auto"/>
                      <w:kern w:val="2"/>
                      <w:sz w:val="21"/>
                      <w:szCs w:val="21"/>
                      <w:shd w:val="clear" w:fill="FFFFFF"/>
                    </w:rPr>
                    <w:t>其它</w:t>
                  </w:r>
                  <w:r>
                    <w:rPr>
                      <w:rFonts w:hint="eastAsia" w:ascii="Times New Roman" w:hAnsi="Times New Roman"/>
                      <w:color w:val="auto"/>
                      <w:kern w:val="2"/>
                      <w:sz w:val="21"/>
                      <w:szCs w:val="21"/>
                    </w:rPr>
                    <w:t>要求1</w:t>
                  </w:r>
                  <w:r>
                    <w:rPr>
                      <w:rFonts w:hint="eastAsia" w:ascii="Times New Roman" w:hAnsi="Times New Roman"/>
                      <w:color w:val="auto"/>
                      <w:kern w:val="2"/>
                      <w:sz w:val="21"/>
                      <w:szCs w:val="21"/>
                      <w:shd w:val="clear" w:fill="FFFFFF"/>
                    </w:rPr>
                    <w:t>.</w:t>
                  </w:r>
                  <w:r>
                    <w:rPr>
                      <w:rFonts w:hint="eastAsia" w:ascii="Times New Roman" w:hAnsi="Times New Roman"/>
                      <w:color w:val="auto"/>
                      <w:kern w:val="2"/>
                      <w:sz w:val="21"/>
                      <w:szCs w:val="21"/>
                    </w:rPr>
                    <w:t>福州市石化中上游项目重点在福</w:t>
                  </w:r>
                  <w:r>
                    <w:rPr>
                      <w:rFonts w:hint="eastAsia" w:ascii="Times New Roman" w:hAnsi="Times New Roman"/>
                      <w:color w:val="auto"/>
                      <w:kern w:val="2"/>
                      <w:sz w:val="21"/>
                      <w:szCs w:val="21"/>
                      <w:shd w:val="clear" w:fill="FFFFFF"/>
                    </w:rPr>
                    <w:t>州</w:t>
                  </w:r>
                  <w:r>
                    <w:rPr>
                      <w:rFonts w:hint="eastAsia" w:ascii="Times New Roman" w:hAnsi="Times New Roman"/>
                      <w:color w:val="auto"/>
                      <w:kern w:val="2"/>
                      <w:sz w:val="21"/>
                      <w:szCs w:val="21"/>
                    </w:rPr>
                    <w:t>江阴港城经济区、可门港经济区化工新材料产业园布局。2.禁止在闽江马尾罗星塔以上流域范围新、扩建制革项目，严控新</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扩</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建植物制浆、印染、合成革及人造革、电镀项目。3.禁止在通风廊道和主导风向的上风向布局大气重污染企业，推进建成区大气重污染企业搬迁或升级改造、环境风险企业搬迁或关闭退出。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聚</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氯乙烯生产工艺。加快推进专业电镀企业入园，到2025年底专业电镀企业入园率达到90%以上。7.禁止在流域上游新建、扩建重污染企业和项目。8.重要敏感水体及富营养化湖库生态缓冲带除相关政府部门批准的科学研究活动外，禁止</w:t>
                  </w:r>
                  <w:r>
                    <w:rPr>
                      <w:rFonts w:hint="eastAsia" w:ascii="Times New Roman" w:hAnsi="Times New Roman"/>
                      <w:color w:val="auto"/>
                      <w:kern w:val="2"/>
                      <w:sz w:val="21"/>
                      <w:szCs w:val="21"/>
                      <w:shd w:val="clear" w:fill="FFFFFF"/>
                    </w:rPr>
                    <w:t>其它可能</w:t>
                  </w:r>
                  <w:r>
                    <w:rPr>
                      <w:rFonts w:hint="eastAsia" w:ascii="Times New Roman" w:hAnsi="Times New Roman"/>
                      <w:color w:val="auto"/>
                      <w:kern w:val="2"/>
                      <w:sz w:val="21"/>
                      <w:szCs w:val="21"/>
                    </w:rPr>
                    <w:t>对保护区构成危害或不良影响的大规模生产、建设活动。9.新、改、扩建煤电、钢铁、建材、石化、化工等“两高”项目，严格落实国家、省、市产业规划、产业政策、“三线一单”、规划环评，以及产能置换、煤炭消费减量替代、区域污染削减等相关要求。10.单元内涉及永久基本农田的，应按照《福建省基本农田保护条例》</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rPr>
                    <w:t>2010年修正本</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w:t>
                  </w:r>
                  <w:r>
                    <w:rPr>
                      <w:rFonts w:hint="eastAsia" w:ascii="Times New Roman" w:hAnsi="Times New Roman"/>
                      <w:color w:val="auto"/>
                      <w:kern w:val="2"/>
                      <w:sz w:val="21"/>
                      <w:szCs w:val="21"/>
                      <w:shd w:val="clear" w:fill="FFFFFF"/>
                      <w:lang w:eastAsia="zh-CN"/>
                    </w:rPr>
                    <w:t>自然资源部</w:t>
                  </w:r>
                  <w:r>
                    <w:rPr>
                      <w:rFonts w:hint="eastAsia" w:ascii="Times New Roman" w:hAnsi="Times New Roman"/>
                      <w:color w:val="auto"/>
                      <w:kern w:val="2"/>
                      <w:sz w:val="21"/>
                      <w:szCs w:val="21"/>
                    </w:rPr>
                    <w:t>关于全面实行</w:t>
                  </w:r>
                  <w:r>
                    <w:rPr>
                      <w:rFonts w:hint="eastAsia" w:ascii="Times New Roman" w:hAnsi="Times New Roman"/>
                      <w:color w:val="auto"/>
                      <w:kern w:val="2"/>
                      <w:sz w:val="21"/>
                      <w:szCs w:val="21"/>
                      <w:shd w:val="clear" w:fill="FFFFFF"/>
                    </w:rPr>
                    <w:t>永久共本农田</w:t>
                  </w:r>
                  <w:r>
                    <w:rPr>
                      <w:rFonts w:hint="eastAsia" w:ascii="Times New Roman" w:hAnsi="Times New Roman"/>
                      <w:color w:val="auto"/>
                      <w:kern w:val="2"/>
                      <w:sz w:val="21"/>
                      <w:szCs w:val="21"/>
                    </w:rPr>
                    <w:t>特殊保护的通知》</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国土资规〔2018〕1号</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w:t>
                  </w:r>
                  <w:r>
                    <w:rPr>
                      <w:rFonts w:hint="eastAsia" w:ascii="Times New Roman" w:hAnsi="Times New Roman"/>
                      <w:color w:val="auto"/>
                      <w:kern w:val="2"/>
                      <w:sz w:val="21"/>
                      <w:szCs w:val="21"/>
                      <w:shd w:val="clear" w:fill="FFFFFF"/>
                    </w:rPr>
                    <w:t>《中共中央国务院</w:t>
                  </w:r>
                  <w:r>
                    <w:rPr>
                      <w:rFonts w:hint="eastAsia" w:ascii="Times New Roman" w:hAnsi="Times New Roman"/>
                      <w:color w:val="auto"/>
                      <w:kern w:val="2"/>
                      <w:sz w:val="21"/>
                      <w:szCs w:val="21"/>
                    </w:rPr>
                    <w:t>关于加强耕地保护和改进占补平衡的意见》</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rPr>
                    <w:t>2017年1月9日</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等相关文件要求进</w:t>
                  </w:r>
                  <w:r>
                    <w:rPr>
                      <w:rFonts w:hint="eastAsia" w:ascii="Times New Roman" w:hAnsi="Times New Roman"/>
                      <w:color w:val="auto"/>
                      <w:kern w:val="2"/>
                      <w:sz w:val="21"/>
                      <w:szCs w:val="21"/>
                      <w:shd w:val="clear" w:fill="FFFFFF"/>
                    </w:rPr>
                    <w:t>行</w:t>
                  </w:r>
                  <w:r>
                    <w:rPr>
                      <w:rFonts w:hint="eastAsia" w:ascii="Times New Roman" w:hAnsi="Times New Roman"/>
                      <w:color w:val="auto"/>
                      <w:kern w:val="2"/>
                      <w:sz w:val="21"/>
                      <w:szCs w:val="21"/>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自然资发〔2021〕166号</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要求全面落实耕地用途管制。</w:t>
                  </w:r>
                </w:p>
              </w:tc>
              <w:tc>
                <w:tcPr>
                  <w:tcW w:w="0" w:type="auto"/>
                  <w:tcBorders>
                    <w:tl2br w:val="nil"/>
                    <w:tr2bl w:val="nil"/>
                  </w:tcBorders>
                  <w:shd w:val="clear" w:color="auto" w:fill="auto"/>
                  <w:vAlign w:val="center"/>
                </w:tcPr>
                <w:p w14:paraId="3431906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1.</w:t>
                  </w:r>
                  <w:r>
                    <w:rPr>
                      <w:rFonts w:hint="eastAsia" w:ascii="Times New Roman" w:hAnsi="Times New Roman"/>
                      <w:color w:val="auto"/>
                      <w:kern w:val="2"/>
                      <w:sz w:val="21"/>
                      <w:szCs w:val="21"/>
                      <w:lang w:val="en-US" w:eastAsia="zh-CN"/>
                    </w:rPr>
                    <w:t>迁建</w:t>
                  </w:r>
                  <w:r>
                    <w:rPr>
                      <w:rFonts w:ascii="Times New Roman" w:hAnsi="Times New Roman"/>
                      <w:color w:val="auto"/>
                      <w:kern w:val="2"/>
                      <w:sz w:val="21"/>
                      <w:szCs w:val="21"/>
                    </w:rPr>
                    <w:t>项目位于福州江阴港城经济区东部临港产业区</w:t>
                  </w:r>
                  <w:r>
                    <w:rPr>
                      <w:rFonts w:hint="eastAsia" w:ascii="Times New Roman" w:hAnsi="Times New Roman"/>
                      <w:color w:val="auto"/>
                      <w:kern w:val="2"/>
                      <w:sz w:val="21"/>
                      <w:szCs w:val="21"/>
                    </w:rPr>
                    <w:t>。</w:t>
                  </w:r>
                </w:p>
                <w:p w14:paraId="10360C1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2.</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项目属于迁建</w:t>
                  </w:r>
                  <w:r>
                    <w:rPr>
                      <w:rFonts w:ascii="Times New Roman" w:hAnsi="Times New Roman"/>
                      <w:color w:val="auto"/>
                      <w:kern w:val="2"/>
                      <w:sz w:val="21"/>
                      <w:szCs w:val="21"/>
                    </w:rPr>
                    <w:t>项目，产品为</w:t>
                  </w:r>
                  <w:r>
                    <w:rPr>
                      <w:rFonts w:hint="eastAsia" w:ascii="Times New Roman" w:hAnsi="Times New Roman"/>
                      <w:color w:val="auto"/>
                      <w:kern w:val="2"/>
                      <w:sz w:val="21"/>
                      <w:szCs w:val="21"/>
                    </w:rPr>
                    <w:t>水泥制品</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水泥顶管、水泥排水管、检查井</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w:t>
                  </w:r>
                  <w:r>
                    <w:rPr>
                      <w:rFonts w:ascii="Times New Roman" w:hAnsi="Times New Roman"/>
                      <w:color w:val="auto"/>
                      <w:kern w:val="2"/>
                      <w:sz w:val="21"/>
                      <w:szCs w:val="21"/>
                    </w:rPr>
                    <w:t>不属于植物制浆、印染、合成革及人造革、电镀</w:t>
                  </w:r>
                  <w:r>
                    <w:rPr>
                      <w:rFonts w:hint="eastAsia" w:ascii="Times New Roman" w:hAnsi="Times New Roman"/>
                      <w:color w:val="auto"/>
                      <w:kern w:val="2"/>
                      <w:sz w:val="21"/>
                      <w:szCs w:val="21"/>
                    </w:rPr>
                    <w:t>项目。</w:t>
                  </w:r>
                </w:p>
                <w:p w14:paraId="142C702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3.</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项目位于福清市主导风向的下风向，也不属于大气重污染企业。</w:t>
                  </w:r>
                </w:p>
                <w:p w14:paraId="58EA789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4.</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w:t>
                  </w:r>
                  <w:r>
                    <w:rPr>
                      <w:rFonts w:ascii="Times New Roman" w:hAnsi="Times New Roman"/>
                      <w:color w:val="auto"/>
                      <w:kern w:val="2"/>
                      <w:sz w:val="21"/>
                      <w:szCs w:val="21"/>
                    </w:rPr>
                    <w:t>产品为</w:t>
                  </w:r>
                  <w:r>
                    <w:rPr>
                      <w:rFonts w:hint="eastAsia" w:ascii="Times New Roman" w:hAnsi="Times New Roman"/>
                      <w:color w:val="auto"/>
                      <w:kern w:val="2"/>
                      <w:sz w:val="21"/>
                      <w:szCs w:val="21"/>
                    </w:rPr>
                    <w:t>水泥制品</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水泥顶管、水泥排水管、检查井</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，不属于生产高VOCs含量有机溶剂型涂料、油墨和胶黏剂项目。</w:t>
                  </w:r>
                </w:p>
                <w:p w14:paraId="3490E99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5.</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项目位于福清市，也不属于建陶产业。</w:t>
                  </w:r>
                </w:p>
                <w:p w14:paraId="5B53EC6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6.</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w:t>
                  </w:r>
                  <w:r>
                    <w:rPr>
                      <w:rFonts w:ascii="Times New Roman" w:hAnsi="Times New Roman"/>
                      <w:color w:val="auto"/>
                      <w:kern w:val="2"/>
                      <w:sz w:val="21"/>
                      <w:szCs w:val="21"/>
                    </w:rPr>
                    <w:t>产品为</w:t>
                  </w:r>
                  <w:r>
                    <w:rPr>
                      <w:rFonts w:hint="eastAsia" w:ascii="Times New Roman" w:hAnsi="Times New Roman"/>
                      <w:color w:val="auto"/>
                      <w:kern w:val="2"/>
                      <w:sz w:val="21"/>
                      <w:szCs w:val="21"/>
                    </w:rPr>
                    <w:t>水泥制品</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水泥顶管、水泥排水管、检查井</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，不属于</w:t>
                  </w:r>
                  <w:r>
                    <w:rPr>
                      <w:rFonts w:ascii="Times New Roman" w:hAnsi="Times New Roman"/>
                      <w:color w:val="auto"/>
                      <w:kern w:val="2"/>
                      <w:sz w:val="21"/>
                      <w:szCs w:val="21"/>
                    </w:rPr>
                    <w:t>涉及重点重金属污染物的有色金属冶炼、电镀、制革、铅蓄电池制造企业</w:t>
                  </w:r>
                  <w:r>
                    <w:rPr>
                      <w:rFonts w:hint="eastAsia" w:ascii="Times New Roman" w:hAnsi="Times New Roman"/>
                      <w:color w:val="auto"/>
                      <w:kern w:val="2"/>
                      <w:sz w:val="21"/>
                      <w:szCs w:val="21"/>
                    </w:rPr>
                    <w:t>。</w:t>
                  </w:r>
                </w:p>
                <w:p w14:paraId="0A4DFE4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7.</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位于</w:t>
                  </w:r>
                  <w:r>
                    <w:rPr>
                      <w:rFonts w:ascii="Times New Roman" w:hAnsi="Times New Roman"/>
                      <w:color w:val="auto"/>
                      <w:kern w:val="2"/>
                      <w:sz w:val="21"/>
                      <w:szCs w:val="21"/>
                    </w:rPr>
                    <w:t>福州江阴港城经济区东部临港产业区，</w:t>
                  </w:r>
                  <w:r>
                    <w:rPr>
                      <w:rFonts w:hint="eastAsia" w:ascii="Times New Roman" w:hAnsi="Times New Roman"/>
                      <w:color w:val="auto"/>
                      <w:kern w:val="2"/>
                      <w:sz w:val="21"/>
                      <w:szCs w:val="21"/>
                    </w:rPr>
                    <w:t>附近水域为占泽渠，附近海域为兴化湾，不属于流域上游。</w:t>
                  </w:r>
                </w:p>
                <w:p w14:paraId="2AA926C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8.</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附近水域为占泽渠，附近海域为兴化湾，不属于</w:t>
                  </w:r>
                  <w:r>
                    <w:rPr>
                      <w:rFonts w:ascii="Times New Roman" w:hAnsi="Times New Roman"/>
                      <w:color w:val="auto"/>
                      <w:kern w:val="2"/>
                      <w:sz w:val="21"/>
                      <w:szCs w:val="21"/>
                    </w:rPr>
                    <w:t>重要敏感水体及富营养化湖库生态缓冲带</w:t>
                  </w:r>
                  <w:r>
                    <w:rPr>
                      <w:rFonts w:hint="eastAsia" w:ascii="Times New Roman" w:hAnsi="Times New Roman"/>
                      <w:color w:val="auto"/>
                      <w:kern w:val="2"/>
                      <w:sz w:val="21"/>
                      <w:szCs w:val="21"/>
                    </w:rPr>
                    <w:t>。</w:t>
                  </w:r>
                </w:p>
                <w:p w14:paraId="30498CC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kern w:val="2"/>
                      <w:sz w:val="21"/>
                      <w:szCs w:val="21"/>
                    </w:rPr>
                    <w:t>9.</w:t>
                  </w:r>
                  <w:r>
                    <w:rPr>
                      <w:rFonts w:hint="eastAsia" w:ascii="Times New Roman" w:hAnsi="Times New Roman"/>
                      <w:color w:val="auto"/>
                      <w:kern w:val="2"/>
                      <w:sz w:val="21"/>
                      <w:szCs w:val="21"/>
                      <w:lang w:eastAsia="zh-CN"/>
                    </w:rPr>
                    <w:t>迁建项目</w:t>
                  </w:r>
                  <w:r>
                    <w:rPr>
                      <w:rFonts w:ascii="Times New Roman" w:hAnsi="Times New Roman"/>
                      <w:color w:val="auto"/>
                      <w:kern w:val="2"/>
                      <w:sz w:val="21"/>
                      <w:szCs w:val="21"/>
                    </w:rPr>
                    <w:t>属于</w:t>
                  </w:r>
                  <w:r>
                    <w:rPr>
                      <w:rFonts w:hint="eastAsia" w:ascii="Times New Roman" w:hAnsi="Times New Roman"/>
                      <w:color w:val="auto"/>
                      <w:kern w:val="2"/>
                      <w:sz w:val="21"/>
                      <w:szCs w:val="21"/>
                    </w:rPr>
                    <w:t>C3021水泥制品</w:t>
                  </w:r>
                  <w:r>
                    <w:rPr>
                      <w:rFonts w:ascii="Times New Roman" w:hAnsi="Times New Roman"/>
                      <w:color w:val="auto"/>
                      <w:kern w:val="2"/>
                      <w:sz w:val="21"/>
                      <w:szCs w:val="21"/>
                    </w:rPr>
                    <w:t>，</w:t>
                  </w:r>
                  <w:r>
                    <w:rPr>
                      <w:rFonts w:hint="eastAsia" w:ascii="Times New Roman" w:hAnsi="Times New Roman"/>
                      <w:color w:val="auto"/>
                      <w:kern w:val="2"/>
                      <w:sz w:val="21"/>
                      <w:szCs w:val="21"/>
                    </w:rPr>
                    <w:t>不属于</w:t>
                  </w:r>
                  <w:r>
                    <w:rPr>
                      <w:rFonts w:ascii="Times New Roman" w:hAnsi="Times New Roman"/>
                      <w:color w:val="auto"/>
                      <w:kern w:val="2"/>
                      <w:sz w:val="21"/>
                      <w:szCs w:val="21"/>
                    </w:rPr>
                    <w:t>煤电、钢铁、建材、石化、化工等“两高”项目</w:t>
                  </w:r>
                  <w:r>
                    <w:rPr>
                      <w:rFonts w:hint="eastAsia" w:ascii="Times New Roman" w:hAnsi="Times New Roman"/>
                      <w:color w:val="auto"/>
                      <w:kern w:val="2"/>
                      <w:sz w:val="21"/>
                      <w:szCs w:val="21"/>
                    </w:rPr>
                    <w:t>。</w:t>
                  </w:r>
                </w:p>
              </w:tc>
              <w:tc>
                <w:tcPr>
                  <w:tcW w:w="0" w:type="auto"/>
                  <w:tcBorders>
                    <w:tl2br w:val="nil"/>
                    <w:tr2bl w:val="nil"/>
                  </w:tcBorders>
                  <w:shd w:val="clear" w:color="auto" w:fill="auto"/>
                  <w:vAlign w:val="center"/>
                </w:tcPr>
                <w:p w14:paraId="3C56355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符合</w:t>
                  </w:r>
                </w:p>
              </w:tc>
            </w:tr>
            <w:tr w14:paraId="5D0D6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06AEF2D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0DA814D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污染物排放管控</w:t>
                  </w:r>
                </w:p>
              </w:tc>
              <w:tc>
                <w:tcPr>
                  <w:tcW w:w="0" w:type="auto"/>
                  <w:tcBorders>
                    <w:tl2br w:val="nil"/>
                    <w:tr2bl w:val="nil"/>
                  </w:tcBorders>
                  <w:vAlign w:val="center"/>
                </w:tcPr>
                <w:p w14:paraId="504A48D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1.工业类新</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改、扩</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建项目新增主要污染物</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水污染物化学需氧量、氨氮和大气污染物二氧化硫、氮氧化物</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排放总量指标应符合区域环境质量和总量控制要求，立足于通过“以新带老”、削减存量，努力实现区域、企业自身总量平衡。总量指标来源、审核和监督管理按照“榕环保综〔2017〕90号”等相关文件执行。2.新、改、扩建涉VOCs排放项目，应从源头加强控制，使用低</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无</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VOCs含量的原辅材料，实施新建项目VOCs排放区域内1.2及以上倍量替代。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4.氟化工、印染、电镀等行业企业实行水污染物特别排放限值。5.新、改、扩建重点行业［2］建设项目要遵循重点重金属污染物排放“等量替代”原则，总量来源原则上应是同一重点行业内的削减量，当同一重点行业无法满足时可从其他重点行业调剂。6.每小时35</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含</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65蒸吨燃煤锅炉和位于县级及以上城市建成区内保留的燃煤、燃油、燃生物质锅炉，原则上2024年底前必须全面实现超低排放。7.水泥行业新改扩建项目严格对照超低排放、能效标杆水平建设实施；现有项目超低排放改造应按文件</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闽环规〔2023〕2号</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的时限要求分步推进，2025年底前全面完成［3］［4］。8.化工园区新建项目实施“禁限控”化学物质管控措施，项目在开展环境影响评价时应</w:t>
                  </w:r>
                  <w:r>
                    <w:rPr>
                      <w:rFonts w:hint="eastAsia" w:ascii="Times New Roman" w:hAnsi="Times New Roman"/>
                      <w:color w:val="auto"/>
                      <w:kern w:val="2"/>
                      <w:sz w:val="21"/>
                      <w:szCs w:val="21"/>
                      <w:shd w:val="clear" w:fill="FFFFFF"/>
                    </w:rPr>
                    <w:t>严格落实相关要求</w:t>
                  </w:r>
                  <w:r>
                    <w:rPr>
                      <w:rFonts w:hint="eastAsia" w:ascii="Times New Roman" w:hAnsi="Times New Roman"/>
                      <w:color w:val="auto"/>
                      <w:kern w:val="2"/>
                      <w:sz w:val="21"/>
                      <w:szCs w:val="21"/>
                    </w:rPr>
                    <w:t>，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0" w:type="auto"/>
                  <w:tcBorders>
                    <w:tl2br w:val="nil"/>
                    <w:tr2bl w:val="nil"/>
                  </w:tcBorders>
                  <w:shd w:val="clear" w:color="auto" w:fill="auto"/>
                  <w:vAlign w:val="center"/>
                </w:tcPr>
                <w:p w14:paraId="4EE2FEC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1.</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为迁建项目，不排放生产废水，废气污染物主要为颗粒物，不涉及</w:t>
                  </w:r>
                  <w:r>
                    <w:rPr>
                      <w:rFonts w:ascii="Times New Roman" w:hAnsi="Times New Roman"/>
                      <w:color w:val="auto"/>
                      <w:kern w:val="2"/>
                      <w:sz w:val="21"/>
                      <w:szCs w:val="21"/>
                    </w:rPr>
                    <w:t>新增主要污染物</w:t>
                  </w:r>
                  <w:r>
                    <w:rPr>
                      <w:rFonts w:hint="eastAsia" w:ascii="Times New Roman" w:hAnsi="Times New Roman"/>
                      <w:color w:val="auto"/>
                      <w:kern w:val="2"/>
                      <w:sz w:val="21"/>
                      <w:szCs w:val="21"/>
                      <w:shd w:val="clear" w:fill="FFFFFF"/>
                      <w:lang w:eastAsia="zh-CN"/>
                    </w:rPr>
                    <w:t>(</w:t>
                  </w:r>
                  <w:r>
                    <w:rPr>
                      <w:rFonts w:ascii="Times New Roman" w:hAnsi="Times New Roman"/>
                      <w:color w:val="auto"/>
                      <w:kern w:val="2"/>
                      <w:sz w:val="21"/>
                      <w:szCs w:val="21"/>
                    </w:rPr>
                    <w:t>水污染物化学需氧量、氨氮和大气污染物二氧化硫、氮氧化物</w:t>
                  </w:r>
                  <w:r>
                    <w:rPr>
                      <w:rFonts w:hint="eastAsia" w:ascii="Times New Roman" w:hAnsi="Times New Roman"/>
                      <w:color w:val="auto"/>
                      <w:kern w:val="2"/>
                      <w:sz w:val="21"/>
                      <w:szCs w:val="21"/>
                      <w:shd w:val="clear" w:fill="FFFFFF"/>
                      <w:lang w:eastAsia="zh-CN"/>
                    </w:rPr>
                    <w:t>)</w:t>
                  </w:r>
                  <w:r>
                    <w:rPr>
                      <w:rFonts w:ascii="Times New Roman" w:hAnsi="Times New Roman"/>
                      <w:color w:val="auto"/>
                      <w:kern w:val="2"/>
                      <w:sz w:val="21"/>
                      <w:szCs w:val="21"/>
                    </w:rPr>
                    <w:t>排放总量指标</w:t>
                  </w:r>
                  <w:r>
                    <w:rPr>
                      <w:rFonts w:hint="eastAsia" w:ascii="Times New Roman" w:hAnsi="Times New Roman"/>
                      <w:color w:val="auto"/>
                      <w:kern w:val="2"/>
                      <w:sz w:val="21"/>
                      <w:szCs w:val="21"/>
                    </w:rPr>
                    <w:t>。</w:t>
                  </w:r>
                </w:p>
                <w:p w14:paraId="4208884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2.</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废气污染物主要为颗粒物，不涉及VOCs排放。</w:t>
                  </w:r>
                </w:p>
                <w:p w14:paraId="11520E2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3.</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产品为水泥制品</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水泥顶管、水泥排水管、检查井</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w:t>
                  </w:r>
                  <w:r>
                    <w:rPr>
                      <w:rFonts w:ascii="Times New Roman" w:hAnsi="Times New Roman"/>
                      <w:color w:val="auto"/>
                      <w:kern w:val="2"/>
                      <w:sz w:val="21"/>
                      <w:szCs w:val="21"/>
                    </w:rPr>
                    <w:t>属于</w:t>
                  </w:r>
                  <w:r>
                    <w:rPr>
                      <w:rFonts w:hint="eastAsia" w:ascii="Times New Roman" w:hAnsi="Times New Roman"/>
                      <w:color w:val="auto"/>
                      <w:kern w:val="2"/>
                      <w:sz w:val="21"/>
                      <w:szCs w:val="21"/>
                    </w:rPr>
                    <w:t>C3021水泥制品</w:t>
                  </w:r>
                  <w:r>
                    <w:rPr>
                      <w:rFonts w:ascii="Times New Roman" w:hAnsi="Times New Roman"/>
                      <w:color w:val="auto"/>
                      <w:kern w:val="2"/>
                      <w:sz w:val="21"/>
                      <w:szCs w:val="21"/>
                    </w:rPr>
                    <w:t>，</w:t>
                  </w:r>
                  <w:r>
                    <w:rPr>
                      <w:rFonts w:hint="eastAsia" w:ascii="Times New Roman" w:hAnsi="Times New Roman"/>
                      <w:color w:val="auto"/>
                      <w:kern w:val="2"/>
                      <w:sz w:val="21"/>
                      <w:szCs w:val="21"/>
                    </w:rPr>
                    <w:t>不属于</w:t>
                  </w:r>
                  <w:r>
                    <w:rPr>
                      <w:rFonts w:ascii="Times New Roman" w:hAnsi="Times New Roman"/>
                      <w:color w:val="auto"/>
                      <w:kern w:val="2"/>
                      <w:sz w:val="21"/>
                      <w:szCs w:val="21"/>
                    </w:rPr>
                    <w:t>钢铁、水泥、平板玻璃、有色金属冶炼、化工等工业项目</w:t>
                  </w:r>
                  <w:r>
                    <w:rPr>
                      <w:rFonts w:hint="eastAsia" w:ascii="Times New Roman" w:hAnsi="Times New Roman"/>
                      <w:color w:val="auto"/>
                      <w:kern w:val="2"/>
                      <w:sz w:val="21"/>
                      <w:szCs w:val="21"/>
                    </w:rPr>
                    <w:t>。</w:t>
                  </w:r>
                </w:p>
                <w:p w14:paraId="36E5846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4.</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不属于</w:t>
                  </w:r>
                  <w:r>
                    <w:rPr>
                      <w:rFonts w:ascii="Times New Roman" w:hAnsi="Times New Roman"/>
                      <w:color w:val="auto"/>
                      <w:kern w:val="2"/>
                      <w:sz w:val="21"/>
                      <w:szCs w:val="21"/>
                    </w:rPr>
                    <w:t>氟化工、印染、电镀等行业</w:t>
                  </w:r>
                  <w:r>
                    <w:rPr>
                      <w:rFonts w:hint="eastAsia" w:ascii="Times New Roman" w:hAnsi="Times New Roman"/>
                      <w:color w:val="auto"/>
                      <w:kern w:val="2"/>
                      <w:sz w:val="21"/>
                      <w:szCs w:val="21"/>
                    </w:rPr>
                    <w:t>。</w:t>
                  </w:r>
                </w:p>
                <w:p w14:paraId="758A6C7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5.</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产品为水泥制品</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水泥顶管、水泥排水管、检查井</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w:t>
                  </w:r>
                  <w:r>
                    <w:rPr>
                      <w:rFonts w:ascii="Times New Roman" w:hAnsi="Times New Roman"/>
                      <w:color w:val="auto"/>
                      <w:kern w:val="2"/>
                      <w:sz w:val="21"/>
                      <w:szCs w:val="21"/>
                    </w:rPr>
                    <w:t>属于</w:t>
                  </w:r>
                  <w:r>
                    <w:rPr>
                      <w:rFonts w:hint="eastAsia" w:ascii="Times New Roman" w:hAnsi="Times New Roman"/>
                      <w:color w:val="auto"/>
                      <w:kern w:val="2"/>
                      <w:sz w:val="21"/>
                      <w:szCs w:val="21"/>
                    </w:rPr>
                    <w:t>C3021水泥制品</w:t>
                  </w:r>
                  <w:r>
                    <w:rPr>
                      <w:rFonts w:ascii="Times New Roman" w:hAnsi="Times New Roman"/>
                      <w:color w:val="auto"/>
                      <w:kern w:val="2"/>
                      <w:sz w:val="21"/>
                      <w:szCs w:val="21"/>
                    </w:rPr>
                    <w:t>，</w:t>
                  </w:r>
                  <w:r>
                    <w:rPr>
                      <w:rFonts w:hint="eastAsia" w:ascii="Times New Roman" w:hAnsi="Times New Roman"/>
                      <w:color w:val="auto"/>
                      <w:kern w:val="2"/>
                      <w:sz w:val="21"/>
                      <w:szCs w:val="21"/>
                    </w:rPr>
                    <w:t>不属于重大行业，也不涉及重金属污染物排放。</w:t>
                  </w:r>
                </w:p>
                <w:p w14:paraId="36C31D5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6.</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不涉及锅炉。</w:t>
                  </w:r>
                </w:p>
                <w:p w14:paraId="7371618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7.</w:t>
                  </w:r>
                  <w:r>
                    <w:rPr>
                      <w:rFonts w:hint="eastAsia" w:ascii="Times New Roman" w:hAnsi="Times New Roman"/>
                      <w:color w:val="auto"/>
                      <w:kern w:val="2"/>
                      <w:sz w:val="21"/>
                      <w:szCs w:val="21"/>
                      <w:lang w:eastAsia="zh-CN"/>
                    </w:rPr>
                    <w:t>迁建项目</w:t>
                  </w:r>
                  <w:r>
                    <w:rPr>
                      <w:rFonts w:ascii="Times New Roman" w:hAnsi="Times New Roman"/>
                      <w:color w:val="auto"/>
                      <w:kern w:val="2"/>
                      <w:sz w:val="21"/>
                      <w:szCs w:val="21"/>
                    </w:rPr>
                    <w:t>属于</w:t>
                  </w:r>
                  <w:r>
                    <w:rPr>
                      <w:rFonts w:hint="eastAsia" w:ascii="Times New Roman" w:hAnsi="Times New Roman"/>
                      <w:color w:val="auto"/>
                      <w:kern w:val="2"/>
                      <w:sz w:val="21"/>
                      <w:szCs w:val="21"/>
                    </w:rPr>
                    <w:t>C3021水泥制品</w:t>
                  </w:r>
                  <w:r>
                    <w:rPr>
                      <w:rFonts w:ascii="Times New Roman" w:hAnsi="Times New Roman"/>
                      <w:color w:val="auto"/>
                      <w:kern w:val="2"/>
                      <w:sz w:val="21"/>
                      <w:szCs w:val="21"/>
                    </w:rPr>
                    <w:t>，</w:t>
                  </w:r>
                  <w:r>
                    <w:rPr>
                      <w:rFonts w:hint="eastAsia" w:ascii="Times New Roman" w:hAnsi="Times New Roman"/>
                      <w:color w:val="auto"/>
                      <w:kern w:val="2"/>
                      <w:sz w:val="21"/>
                      <w:szCs w:val="21"/>
                    </w:rPr>
                    <w:t>不属于水泥行业。</w:t>
                  </w:r>
                </w:p>
                <w:p w14:paraId="4561C5C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kern w:val="2"/>
                      <w:sz w:val="21"/>
                      <w:szCs w:val="21"/>
                    </w:rPr>
                    <w:t>8.</w:t>
                  </w:r>
                  <w:r>
                    <w:rPr>
                      <w:rFonts w:hint="eastAsia" w:ascii="Times New Roman" w:hAnsi="Times New Roman"/>
                      <w:color w:val="auto"/>
                      <w:kern w:val="2"/>
                      <w:sz w:val="21"/>
                      <w:szCs w:val="21"/>
                      <w:lang w:eastAsia="zh-CN"/>
                    </w:rPr>
                    <w:t>迁建项目</w:t>
                  </w:r>
                  <w:r>
                    <w:rPr>
                      <w:rFonts w:hint="eastAsia" w:ascii="Times New Roman" w:hAnsi="Times New Roman"/>
                      <w:color w:val="auto"/>
                      <w:kern w:val="2"/>
                      <w:sz w:val="21"/>
                      <w:szCs w:val="21"/>
                    </w:rPr>
                    <w:t>位于</w:t>
                  </w:r>
                  <w:r>
                    <w:rPr>
                      <w:rFonts w:ascii="Times New Roman" w:hAnsi="Times New Roman"/>
                      <w:color w:val="auto"/>
                      <w:kern w:val="2"/>
                      <w:sz w:val="21"/>
                      <w:szCs w:val="21"/>
                    </w:rPr>
                    <w:t>福州江阴港城经济区东部临港产业区，</w:t>
                  </w:r>
                  <w:r>
                    <w:rPr>
                      <w:rFonts w:hint="eastAsia" w:ascii="Times New Roman" w:hAnsi="Times New Roman"/>
                      <w:color w:val="auto"/>
                      <w:kern w:val="2"/>
                      <w:sz w:val="21"/>
                      <w:szCs w:val="21"/>
                    </w:rPr>
                    <w:t>产品为水泥制品</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水泥顶管、水泥排水管、检查井</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w:t>
                  </w:r>
                  <w:r>
                    <w:rPr>
                      <w:rFonts w:ascii="Times New Roman" w:hAnsi="Times New Roman"/>
                      <w:color w:val="auto"/>
                      <w:kern w:val="2"/>
                      <w:sz w:val="21"/>
                      <w:szCs w:val="21"/>
                    </w:rPr>
                    <w:t>属于</w:t>
                  </w:r>
                  <w:r>
                    <w:rPr>
                      <w:rFonts w:hint="eastAsia" w:ascii="Times New Roman" w:hAnsi="Times New Roman"/>
                      <w:color w:val="auto"/>
                      <w:kern w:val="2"/>
                      <w:sz w:val="21"/>
                      <w:szCs w:val="21"/>
                    </w:rPr>
                    <w:t>C3021水泥制品，不属于</w:t>
                  </w:r>
                  <w:r>
                    <w:rPr>
                      <w:rFonts w:ascii="Times New Roman" w:hAnsi="Times New Roman"/>
                      <w:color w:val="auto"/>
                      <w:kern w:val="2"/>
                      <w:sz w:val="21"/>
                      <w:szCs w:val="21"/>
                    </w:rPr>
                    <w:t>印染、皮革、农药、医药、涂料等行业</w:t>
                  </w:r>
                  <w:r>
                    <w:rPr>
                      <w:rFonts w:hint="eastAsia" w:ascii="Times New Roman" w:hAnsi="Times New Roman"/>
                      <w:color w:val="auto"/>
                      <w:kern w:val="2"/>
                      <w:sz w:val="21"/>
                      <w:szCs w:val="21"/>
                    </w:rPr>
                    <w:t>，也不涉及化学物质、农药和抗生素。</w:t>
                  </w:r>
                </w:p>
              </w:tc>
              <w:tc>
                <w:tcPr>
                  <w:tcW w:w="0" w:type="auto"/>
                  <w:tcBorders>
                    <w:tl2br w:val="nil"/>
                    <w:tr2bl w:val="nil"/>
                  </w:tcBorders>
                  <w:shd w:val="clear" w:color="auto" w:fill="auto"/>
                  <w:vAlign w:val="center"/>
                </w:tcPr>
                <w:p w14:paraId="4AF4B6A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符合</w:t>
                  </w:r>
                </w:p>
              </w:tc>
            </w:tr>
            <w:tr w14:paraId="51CBE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66377F7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3237B9C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环境风险防控</w:t>
                  </w:r>
                </w:p>
              </w:tc>
              <w:tc>
                <w:tcPr>
                  <w:tcW w:w="0" w:type="auto"/>
                  <w:tcBorders>
                    <w:tl2br w:val="nil"/>
                    <w:tr2bl w:val="nil"/>
                  </w:tcBorders>
                  <w:vAlign w:val="center"/>
                </w:tcPr>
                <w:p w14:paraId="5AF0ADF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color w:val="auto"/>
                      <w:kern w:val="2"/>
                      <w:sz w:val="21"/>
                      <w:szCs w:val="21"/>
                    </w:rPr>
                  </w:pPr>
                  <w:r>
                    <w:rPr>
                      <w:rFonts w:hint="eastAsia" w:ascii="Times New Roman" w:hAnsi="Times New Roman"/>
                      <w:color w:val="auto"/>
                      <w:kern w:val="2"/>
                      <w:sz w:val="21"/>
                      <w:szCs w:val="21"/>
                    </w:rPr>
                    <w:t>无</w:t>
                  </w:r>
                </w:p>
              </w:tc>
              <w:tc>
                <w:tcPr>
                  <w:tcW w:w="0" w:type="auto"/>
                  <w:tcBorders>
                    <w:tl2br w:val="nil"/>
                    <w:tr2bl w:val="nil"/>
                  </w:tcBorders>
                  <w:shd w:val="clear" w:color="auto" w:fill="auto"/>
                  <w:vAlign w:val="center"/>
                </w:tcPr>
                <w:p w14:paraId="66098DB9">
                  <w:pPr>
                    <w:keepNext w:val="0"/>
                    <w:keepLines w:val="0"/>
                    <w:pageBreakBefore w:val="0"/>
                    <w:widowControl w:val="0"/>
                    <w:kinsoku/>
                    <w:wordWrap/>
                    <w:overflowPunct/>
                    <w:topLinePunct w:val="0"/>
                    <w:autoSpaceDE/>
                    <w:autoSpaceDN/>
                    <w:bidi w:val="0"/>
                    <w:adjustRightInd w:val="0"/>
                    <w:snapToGrid w:val="0"/>
                    <w:spacing w:line="352"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0" w:type="auto"/>
                  <w:tcBorders>
                    <w:tl2br w:val="nil"/>
                    <w:tr2bl w:val="nil"/>
                  </w:tcBorders>
                  <w:shd w:val="clear" w:color="auto" w:fill="auto"/>
                  <w:vAlign w:val="center"/>
                </w:tcPr>
                <w:p w14:paraId="65511FB0">
                  <w:pPr>
                    <w:keepNext w:val="0"/>
                    <w:keepLines w:val="0"/>
                    <w:pageBreakBefore w:val="0"/>
                    <w:widowControl w:val="0"/>
                    <w:kinsoku/>
                    <w:wordWrap/>
                    <w:overflowPunct/>
                    <w:topLinePunct w:val="0"/>
                    <w:autoSpaceDE/>
                    <w:autoSpaceDN/>
                    <w:bidi w:val="0"/>
                    <w:adjustRightInd w:val="0"/>
                    <w:snapToGrid w:val="0"/>
                    <w:spacing w:line="352"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r w14:paraId="17814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6" w:hRule="atLeast"/>
                <w:jc w:val="center"/>
              </w:trPr>
              <w:tc>
                <w:tcPr>
                  <w:tcW w:w="0" w:type="auto"/>
                  <w:vMerge w:val="continue"/>
                  <w:tcBorders>
                    <w:tl2br w:val="nil"/>
                    <w:tr2bl w:val="nil"/>
                  </w:tcBorders>
                  <w:vAlign w:val="center"/>
                </w:tcPr>
                <w:p w14:paraId="3D06517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4D60FEE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资源开发效率要求</w:t>
                  </w:r>
                </w:p>
              </w:tc>
              <w:tc>
                <w:tcPr>
                  <w:tcW w:w="0" w:type="auto"/>
                  <w:tcBorders>
                    <w:tl2br w:val="nil"/>
                    <w:tr2bl w:val="nil"/>
                  </w:tcBorders>
                  <w:vAlign w:val="center"/>
                </w:tcPr>
                <w:p w14:paraId="21F0050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color w:val="auto"/>
                      <w:kern w:val="2"/>
                      <w:sz w:val="21"/>
                      <w:szCs w:val="21"/>
                    </w:rPr>
                  </w:pPr>
                  <w:r>
                    <w:rPr>
                      <w:rFonts w:hint="eastAsia" w:ascii="Times New Roman" w:hAnsi="Times New Roman"/>
                      <w:color w:val="auto"/>
                      <w:kern w:val="2"/>
                      <w:sz w:val="21"/>
                      <w:szCs w:val="21"/>
                    </w:rPr>
                    <w:t>1.到2024年底，全市范围内每小时10蒸吨及以下燃煤锅炉全面淘汰；到2025年底，全市范围内每小时35蒸吨以下燃煤锅炉通过集中供热、清洁能源替代、深度治理等方式全面实现转型、升级、退出，县级及以上城市建成区在用锅炉</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燃煤、燃油、燃生物质</w:t>
                  </w:r>
                  <w:r>
                    <w:rPr>
                      <w:rFonts w:hint="eastAsia" w:ascii="Times New Roman" w:hAnsi="Times New Roman"/>
                      <w:color w:val="auto"/>
                      <w:kern w:val="2"/>
                      <w:sz w:val="21"/>
                      <w:szCs w:val="21"/>
                      <w:shd w:val="clear" w:fill="FFFFFF"/>
                      <w:lang w:eastAsia="zh-CN"/>
                    </w:rPr>
                    <w:t>)</w:t>
                  </w:r>
                  <w:r>
                    <w:rPr>
                      <w:rFonts w:hint="eastAsia" w:ascii="Times New Roman" w:hAnsi="Times New Roman"/>
                      <w:color w:val="auto"/>
                      <w:kern w:val="2"/>
                      <w:sz w:val="21"/>
                      <w:szCs w:val="21"/>
                    </w:rPr>
                    <w:t>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0" w:type="auto"/>
                  <w:tcBorders>
                    <w:tl2br w:val="nil"/>
                    <w:tr2bl w:val="nil"/>
                  </w:tcBorders>
                  <w:shd w:val="clear" w:color="auto" w:fill="auto"/>
                  <w:vAlign w:val="center"/>
                </w:tcPr>
                <w:p w14:paraId="413E370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2"/>
                      <w:sz w:val="21"/>
                      <w:szCs w:val="21"/>
                      <w:lang w:val="en-US" w:eastAsia="zh-CN"/>
                    </w:rPr>
                    <w:t>迁建</w:t>
                  </w:r>
                  <w:r>
                    <w:rPr>
                      <w:rFonts w:ascii="Times New Roman" w:hAnsi="Times New Roman"/>
                      <w:color w:val="auto"/>
                      <w:sz w:val="21"/>
                      <w:szCs w:val="21"/>
                    </w:rPr>
                    <w:t>项目不涉及</w:t>
                  </w:r>
                  <w:r>
                    <w:rPr>
                      <w:rFonts w:hint="eastAsia" w:ascii="Times New Roman" w:hAnsi="Times New Roman"/>
                      <w:color w:val="auto"/>
                      <w:sz w:val="21"/>
                      <w:szCs w:val="21"/>
                    </w:rPr>
                    <w:t>高污染燃料及其设施。</w:t>
                  </w:r>
                </w:p>
              </w:tc>
              <w:tc>
                <w:tcPr>
                  <w:tcW w:w="0" w:type="auto"/>
                  <w:tcBorders>
                    <w:tl2br w:val="nil"/>
                    <w:tr2bl w:val="nil"/>
                  </w:tcBorders>
                  <w:shd w:val="clear" w:color="auto" w:fill="auto"/>
                  <w:vAlign w:val="center"/>
                </w:tcPr>
                <w:p w14:paraId="23A06DE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52" w:lineRule="exact"/>
                    <w:jc w:val="center"/>
                    <w:textAlignment w:val="auto"/>
                    <w:rPr>
                      <w:rFonts w:hint="eastAsia"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符合</w:t>
                  </w:r>
                </w:p>
              </w:tc>
            </w:tr>
          </w:tbl>
          <w:p w14:paraId="5D6138EC">
            <w:pPr>
              <w:spacing w:beforeLines="50"/>
              <w:jc w:val="center"/>
              <w:rPr>
                <w:b/>
                <w:bCs/>
                <w:color w:val="auto"/>
                <w:sz w:val="24"/>
              </w:rPr>
            </w:pPr>
            <w:r>
              <w:rPr>
                <w:b/>
                <w:bCs/>
                <w:color w:val="auto"/>
                <w:sz w:val="24"/>
              </w:rPr>
              <w:t>表1.1-</w:t>
            </w:r>
            <w:r>
              <w:rPr>
                <w:rFonts w:hint="eastAsia"/>
                <w:b/>
                <w:bCs/>
                <w:color w:val="auto"/>
                <w:sz w:val="24"/>
                <w:lang w:val="en-US" w:eastAsia="zh-CN"/>
              </w:rPr>
              <w:t>4</w:t>
            </w:r>
            <w:r>
              <w:rPr>
                <w:b/>
                <w:bCs/>
                <w:color w:val="auto"/>
                <w:sz w:val="24"/>
              </w:rPr>
              <w:t xml:space="preserve">  与</w:t>
            </w:r>
            <w:r>
              <w:rPr>
                <w:rFonts w:hint="eastAsia"/>
                <w:b/>
                <w:bCs/>
                <w:color w:val="auto"/>
                <w:sz w:val="24"/>
                <w:lang w:val="en-US" w:eastAsia="zh-CN"/>
              </w:rPr>
              <w:t>全省陆域</w:t>
            </w:r>
            <w:r>
              <w:rPr>
                <w:b/>
                <w:bCs/>
                <w:color w:val="auto"/>
                <w:sz w:val="24"/>
              </w:rPr>
              <w:t>符合性分析一览表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09"/>
              <w:gridCol w:w="9026"/>
              <w:gridCol w:w="2833"/>
              <w:gridCol w:w="590"/>
            </w:tblGrid>
            <w:tr w14:paraId="3CC3C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14:paraId="65D3467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管控单元分类</w:t>
                  </w:r>
                </w:p>
              </w:tc>
              <w:tc>
                <w:tcPr>
                  <w:tcW w:w="0" w:type="auto"/>
                  <w:gridSpan w:val="2"/>
                  <w:tcBorders>
                    <w:tl2br w:val="nil"/>
                    <w:tr2bl w:val="nil"/>
                  </w:tcBorders>
                  <w:vAlign w:val="center"/>
                </w:tcPr>
                <w:p w14:paraId="77CCC6A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准入要求</w:t>
                  </w:r>
                </w:p>
              </w:tc>
              <w:tc>
                <w:tcPr>
                  <w:tcW w:w="0" w:type="auto"/>
                  <w:tcBorders>
                    <w:tl2br w:val="nil"/>
                    <w:tr2bl w:val="nil"/>
                  </w:tcBorders>
                  <w:vAlign w:val="center"/>
                </w:tcPr>
                <w:p w14:paraId="581759B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符合性分析</w:t>
                  </w:r>
                </w:p>
              </w:tc>
              <w:tc>
                <w:tcPr>
                  <w:tcW w:w="0" w:type="auto"/>
                  <w:tcBorders>
                    <w:tl2br w:val="nil"/>
                    <w:tr2bl w:val="nil"/>
                  </w:tcBorders>
                  <w:vAlign w:val="center"/>
                </w:tcPr>
                <w:p w14:paraId="6B6FB4D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是否符合</w:t>
                  </w:r>
                </w:p>
              </w:tc>
            </w:tr>
            <w:tr w14:paraId="2EA03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tcBorders>
                    <w:tl2br w:val="nil"/>
                    <w:tr2bl w:val="nil"/>
                  </w:tcBorders>
                  <w:vAlign w:val="center"/>
                </w:tcPr>
                <w:p w14:paraId="6ECCEE7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全省陆域</w:t>
                  </w:r>
                </w:p>
              </w:tc>
              <w:tc>
                <w:tcPr>
                  <w:tcW w:w="0" w:type="auto"/>
                  <w:tcBorders>
                    <w:tl2br w:val="nil"/>
                    <w:tr2bl w:val="nil"/>
                  </w:tcBorders>
                  <w:vAlign w:val="center"/>
                </w:tcPr>
                <w:p w14:paraId="1F5F877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空间布局约束</w:t>
                  </w:r>
                </w:p>
              </w:tc>
              <w:tc>
                <w:tcPr>
                  <w:tcW w:w="0" w:type="auto"/>
                  <w:tcBorders>
                    <w:tl2br w:val="nil"/>
                    <w:tr2bl w:val="nil"/>
                  </w:tcBorders>
                  <w:vAlign w:val="center"/>
                </w:tcPr>
                <w:p w14:paraId="7969C7E1">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s="Times New Roman"/>
                      <w:color w:val="auto"/>
                      <w:kern w:val="2"/>
                      <w:sz w:val="21"/>
                      <w:szCs w:val="21"/>
                      <w:lang w:val="en-US" w:eastAsia="zh-CN" w:bidi="ar-SA"/>
                    </w:rPr>
                    <w:t>1.</w:t>
                  </w:r>
                  <w:r>
                    <w:rPr>
                      <w:rFonts w:hint="eastAsia" w:ascii="Times New Roman" w:hAnsi="Times New Roman" w:eastAsia="宋体"/>
                      <w:color w:val="auto"/>
                      <w:kern w:val="2"/>
                      <w:sz w:val="21"/>
                      <w:szCs w:val="21"/>
                      <w:lang w:eastAsia="zh-CN"/>
                    </w:rPr>
                    <w:t>石化、汽车、船舶、冶金、水泥、制浆造纸、印染等重点产业，要符合全省规划布局要求。</w:t>
                  </w:r>
                </w:p>
                <w:p w14:paraId="6B71F98C">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2.严控钢铁、水泥、平板玻璃等产能过剩行业新增产能，新增产能应实施产能等量或减量置换。</w:t>
                  </w:r>
                </w:p>
                <w:p w14:paraId="6381A291">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3.除列入国家规划的大型煤电和符合相关要求的等容量替代项目，以及以供热为主的热电联产项目外，原则上不再建设新的煤电项目。</w:t>
                  </w:r>
                </w:p>
                <w:p w14:paraId="17B7B4F9">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4.氟化工产业应集中布局在《关于促进我省氟化工产业绿色高效发展的若干意见》中确定的园区，在上述园区之外不再新建氟化工项目，园区之外现有氟化工项目不再扩大规模。</w:t>
                  </w:r>
                </w:p>
                <w:p w14:paraId="3B99DFB4">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5.禁止在水环境质量不能稳定达标的区域内，建设新增相应不达标污染物指标排放量的工业项目。</w:t>
                  </w:r>
                </w:p>
                <w:p w14:paraId="4260F1AF">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s="Times New Roman"/>
                      <w:color w:val="auto"/>
                      <w:kern w:val="2"/>
                      <w:sz w:val="21"/>
                      <w:szCs w:val="21"/>
                      <w:lang w:val="en-US" w:eastAsia="zh-CN" w:bidi="ar-SA"/>
                    </w:rPr>
                    <w:t>6</w:t>
                  </w:r>
                  <w:r>
                    <w:rPr>
                      <w:rFonts w:hint="eastAsia" w:ascii="Times New Roman" w:hAnsi="Times New Roman" w:eastAsia="宋体"/>
                      <w:color w:val="auto"/>
                      <w:kern w:val="2"/>
                      <w:sz w:val="21"/>
                      <w:szCs w:val="21"/>
                      <w:lang w:eastAsia="zh-CN"/>
                    </w:rPr>
                    <w:t>.禁止在通风廊道和主导风向的上风向布局大气重污染企业，推进建成区大气重污染企业搬迁或升级改造、环境风险企业搬迁或关闭退出。</w:t>
                  </w:r>
                </w:p>
                <w:p w14:paraId="38702C48">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7.新建、扩建的涉及重点重金属污染物［1］的有色金属冶炼、电镀、制革、铅蓄电池制造企业布局应符合《福建省进一步加强重金属污染防控实施方案》</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闽环保固体〔2022〕17号</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要求。禁止低端落后产能向闽江中上游地区、九龙江北溪江东北引桥闸以上、西溪桥闸以上流域、晋江流域上游转移。禁止新建用汞的电石法</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聚</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氯乙烯生产工艺。</w:t>
                  </w:r>
                </w:p>
              </w:tc>
              <w:tc>
                <w:tcPr>
                  <w:tcW w:w="0" w:type="auto"/>
                  <w:tcBorders>
                    <w:tl2br w:val="nil"/>
                    <w:tr2bl w:val="nil"/>
                  </w:tcBorders>
                  <w:shd w:val="clear" w:color="auto" w:fill="auto"/>
                  <w:vAlign w:val="center"/>
                </w:tcPr>
                <w:p w14:paraId="1172D95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2"/>
                      <w:sz w:val="21"/>
                      <w:szCs w:val="21"/>
                    </w:rPr>
                    <w:t>1.</w:t>
                  </w:r>
                  <w:r>
                    <w:rPr>
                      <w:rFonts w:hint="eastAsia" w:ascii="Times New Roman" w:hAnsi="Times New Roman"/>
                      <w:color w:val="auto"/>
                      <w:kern w:val="2"/>
                      <w:sz w:val="21"/>
                      <w:szCs w:val="21"/>
                      <w:lang w:val="en-US" w:eastAsia="zh-CN"/>
                    </w:rPr>
                    <w:t>迁建</w:t>
                  </w:r>
                  <w:r>
                    <w:rPr>
                      <w:rFonts w:hint="eastAsia" w:ascii="Times New Roman" w:hAnsi="Times New Roman"/>
                      <w:color w:val="auto"/>
                      <w:kern w:val="2"/>
                      <w:sz w:val="21"/>
                      <w:szCs w:val="21"/>
                    </w:rPr>
                    <w:t>项目属于C3021水泥制品</w:t>
                  </w:r>
                  <w:r>
                    <w:rPr>
                      <w:rFonts w:ascii="Times New Roman" w:hAnsi="Times New Roman"/>
                      <w:color w:val="auto"/>
                      <w:kern w:val="2"/>
                      <w:sz w:val="21"/>
                      <w:szCs w:val="21"/>
                    </w:rPr>
                    <w:t>，位于东部临港产业区，</w:t>
                  </w:r>
                  <w:r>
                    <w:rPr>
                      <w:rFonts w:hint="eastAsia" w:ascii="Times New Roman" w:hAnsi="Times New Roman"/>
                      <w:color w:val="auto"/>
                      <w:kern w:val="2"/>
                      <w:sz w:val="21"/>
                      <w:szCs w:val="21"/>
                    </w:rPr>
                    <w:t>不属于</w:t>
                  </w:r>
                  <w:r>
                    <w:rPr>
                      <w:rFonts w:hint="eastAsia" w:ascii="Times New Roman" w:hAnsi="Times New Roman"/>
                      <w:color w:val="auto"/>
                      <w:sz w:val="21"/>
                      <w:szCs w:val="21"/>
                      <w:lang w:val="en-US" w:eastAsia="zh-CN"/>
                    </w:rPr>
                    <w:t>左侧</w:t>
                  </w:r>
                  <w:r>
                    <w:rPr>
                      <w:rFonts w:ascii="Times New Roman" w:hAnsi="Times New Roman"/>
                      <w:color w:val="auto"/>
                      <w:sz w:val="21"/>
                      <w:szCs w:val="21"/>
                    </w:rPr>
                    <w:t>等污染较重的企业</w:t>
                  </w:r>
                  <w:r>
                    <w:rPr>
                      <w:rFonts w:hint="eastAsia" w:ascii="Times New Roman" w:hAnsi="Times New Roman"/>
                      <w:color w:val="auto"/>
                      <w:sz w:val="21"/>
                      <w:szCs w:val="21"/>
                    </w:rPr>
                    <w:t>。</w:t>
                  </w:r>
                </w:p>
              </w:tc>
              <w:tc>
                <w:tcPr>
                  <w:tcW w:w="0" w:type="auto"/>
                  <w:tcBorders>
                    <w:tl2br w:val="nil"/>
                    <w:tr2bl w:val="nil"/>
                  </w:tcBorders>
                  <w:shd w:val="clear" w:color="auto" w:fill="auto"/>
                  <w:vAlign w:val="center"/>
                </w:tcPr>
                <w:p w14:paraId="5B8E20F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符合</w:t>
                  </w:r>
                </w:p>
              </w:tc>
            </w:tr>
            <w:tr w14:paraId="1E938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2F9226C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5C3B675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ascii="Times New Roman" w:hAnsi="Times New Roman"/>
                      <w:color w:val="auto"/>
                      <w:kern w:val="2"/>
                      <w:sz w:val="21"/>
                      <w:szCs w:val="21"/>
                    </w:rPr>
                    <w:t>污染物排放管控</w:t>
                  </w:r>
                </w:p>
              </w:tc>
              <w:tc>
                <w:tcPr>
                  <w:tcW w:w="0" w:type="auto"/>
                  <w:tcBorders>
                    <w:tl2br w:val="nil"/>
                    <w:tr2bl w:val="nil"/>
                  </w:tcBorders>
                  <w:vAlign w:val="center"/>
                </w:tcPr>
                <w:p w14:paraId="3387454B">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s="Times New Roman"/>
                      <w:color w:val="auto"/>
                      <w:kern w:val="2"/>
                      <w:sz w:val="21"/>
                      <w:szCs w:val="21"/>
                      <w:lang w:val="en-US" w:eastAsia="zh-CN" w:bidi="ar-SA"/>
                    </w:rPr>
                    <w:t>1.</w:t>
                  </w:r>
                  <w:r>
                    <w:rPr>
                      <w:rFonts w:hint="eastAsia" w:ascii="Times New Roman" w:hAnsi="Times New Roman" w:eastAsia="宋体"/>
                      <w:color w:val="auto"/>
                      <w:kern w:val="2"/>
                      <w:sz w:val="21"/>
                      <w:szCs w:val="21"/>
                      <w:lang w:eastAsia="zh-CN"/>
                    </w:rPr>
                    <w:t>建设项目新增的主要污染物</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含VOCs</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排放量应按要求实行等量或倍量替代。重点行业建设项目新增的主要污染物排放量应同时满足《关于加强重点行业建设项目区域削减措施监督管理的通知》</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环办环评〔2020〕36号</w:t>
                  </w:r>
                  <w:r>
                    <w:rPr>
                      <w:rFonts w:hint="eastAsia" w:ascii="Times New Roman" w:hAnsi="Times New Roman" w:eastAsia="宋体"/>
                      <w:color w:val="auto"/>
                      <w:kern w:val="2"/>
                      <w:sz w:val="21"/>
                      <w:szCs w:val="21"/>
                      <w:shd w:val="clear" w:fill="FFFFFF"/>
                      <w:lang w:eastAsia="zh-CN"/>
                    </w:rPr>
                    <w:t>)</w:t>
                  </w:r>
                  <w:r>
                    <w:rPr>
                      <w:rFonts w:hint="eastAsia" w:ascii="Times New Roman" w:hAnsi="Times New Roman" w:eastAsia="宋体"/>
                      <w:color w:val="auto"/>
                      <w:kern w:val="2"/>
                      <w:sz w:val="21"/>
                      <w:szCs w:val="21"/>
                      <w:lang w:eastAsia="zh-CN"/>
                    </w:rPr>
                    <w:t>的要求。涉及新增总磷排放的建设项目应符合相关削减替代要求。新、改、扩建重点行业［2］建设项目要符合“闽环保固体〔2022〕17号”文件要求</w:t>
                  </w:r>
                </w:p>
                <w:p w14:paraId="49AD00F5">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p w14:paraId="4A919A6D">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p w14:paraId="1181E71C">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4.优化调整货物运输方式，提升铁路货运比例，推进钢铁、电力、电解铝、焦化等重点工业企业和工业园区货物由公路运输转向铁路运输。</w:t>
                  </w:r>
                </w:p>
                <w:p w14:paraId="6B98812C">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5.加强石化、涂料、纺织印染、橡胶、医药等行业新污染物环境风险管控。</w:t>
                  </w:r>
                </w:p>
                <w:p w14:paraId="06520EA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p>
              </w:tc>
              <w:tc>
                <w:tcPr>
                  <w:tcW w:w="0" w:type="auto"/>
                  <w:tcBorders>
                    <w:tl2br w:val="nil"/>
                    <w:tr2bl w:val="nil"/>
                  </w:tcBorders>
                  <w:shd w:val="clear" w:color="auto" w:fill="auto"/>
                  <w:vAlign w:val="center"/>
                </w:tcPr>
                <w:p w14:paraId="0F373CED">
                  <w:pPr>
                    <w:keepNext w:val="0"/>
                    <w:keepLines w:val="0"/>
                    <w:pageBreakBefore w:val="0"/>
                    <w:widowControl w:val="0"/>
                    <w:kinsoku/>
                    <w:wordWrap/>
                    <w:overflowPunct/>
                    <w:topLinePunct w:val="0"/>
                    <w:autoSpaceDE w:val="0"/>
                    <w:autoSpaceDN w:val="0"/>
                    <w:bidi w:val="0"/>
                    <w:adjustRightInd/>
                    <w:snapToGrid/>
                    <w:spacing w:line="29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r>
                    <w:rPr>
                      <w:rFonts w:hint="eastAsia" w:eastAsia="宋体" w:cs="Times New Roman"/>
                      <w:color w:val="auto"/>
                      <w:kern w:val="0"/>
                      <w:sz w:val="21"/>
                      <w:szCs w:val="21"/>
                      <w:highlight w:val="none"/>
                      <w:vertAlign w:val="baseline"/>
                      <w:lang w:val="en-US" w:eastAsia="zh-CN"/>
                    </w:rPr>
                    <w:t>迁建项目不涉及</w:t>
                  </w:r>
                  <w:r>
                    <w:rPr>
                      <w:rFonts w:hint="default" w:ascii="Times New Roman" w:hAnsi="Times New Roman" w:eastAsia="宋体" w:cs="Times New Roman"/>
                      <w:color w:val="auto"/>
                      <w:kern w:val="0"/>
                      <w:sz w:val="21"/>
                      <w:szCs w:val="21"/>
                      <w:highlight w:val="none"/>
                      <w:vertAlign w:val="baseli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、NOx</w:t>
                  </w:r>
                  <w:r>
                    <w:rPr>
                      <w:rFonts w:hint="eastAsia" w:ascii="Times New Roman" w:hAnsi="Times New Roman" w:eastAsia="宋体" w:cs="Times New Roman"/>
                      <w:color w:val="auto"/>
                      <w:kern w:val="0"/>
                      <w:sz w:val="21"/>
                      <w:szCs w:val="21"/>
                      <w:highlight w:val="none"/>
                      <w:vertAlign w:val="baseline"/>
                      <w:lang w:val="en-US" w:eastAsia="zh-CN"/>
                    </w:rPr>
                    <w:t>、VOCs</w:t>
                  </w:r>
                  <w:r>
                    <w:rPr>
                      <w:rFonts w:hint="default" w:ascii="Times New Roman" w:hAnsi="Times New Roman" w:eastAsia="宋体" w:cs="Times New Roman"/>
                      <w:color w:val="auto"/>
                      <w:kern w:val="0"/>
                      <w:sz w:val="21"/>
                      <w:szCs w:val="21"/>
                      <w:highlight w:val="none"/>
                      <w:vertAlign w:val="baseline"/>
                      <w:lang w:val="en-US" w:eastAsia="zh-CN"/>
                    </w:rPr>
                    <w:t>的排放；</w:t>
                  </w:r>
                </w:p>
                <w:p w14:paraId="6B5074FE">
                  <w:pPr>
                    <w:keepNext w:val="0"/>
                    <w:keepLines w:val="0"/>
                    <w:pageBreakBefore w:val="0"/>
                    <w:widowControl w:val="0"/>
                    <w:kinsoku/>
                    <w:wordWrap/>
                    <w:overflowPunct/>
                    <w:topLinePunct w:val="0"/>
                    <w:autoSpaceDE w:val="0"/>
                    <w:autoSpaceDN w:val="0"/>
                    <w:bidi w:val="0"/>
                    <w:adjustRightInd/>
                    <w:snapToGrid/>
                    <w:spacing w:line="29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w:t>
                  </w:r>
                  <w:r>
                    <w:rPr>
                      <w:rFonts w:hint="eastAsia" w:eastAsia="宋体" w:cs="Times New Roman"/>
                      <w:color w:val="auto"/>
                      <w:kern w:val="0"/>
                      <w:sz w:val="21"/>
                      <w:szCs w:val="21"/>
                      <w:highlight w:val="none"/>
                      <w:vertAlign w:val="baseline"/>
                      <w:lang w:val="en-US" w:eastAsia="zh-CN"/>
                    </w:rPr>
                    <w:t>迁建项目</w:t>
                  </w:r>
                  <w:r>
                    <w:rPr>
                      <w:rFonts w:hint="default" w:ascii="Times New Roman" w:hAnsi="Times New Roman" w:eastAsia="宋体" w:cs="Times New Roman"/>
                      <w:color w:val="auto"/>
                      <w:kern w:val="0"/>
                      <w:sz w:val="21"/>
                      <w:szCs w:val="21"/>
                      <w:highlight w:val="none"/>
                      <w:vertAlign w:val="baseline"/>
                      <w:lang w:val="en-US" w:eastAsia="zh-CN"/>
                    </w:rPr>
                    <w:t>主要新增污染物为</w:t>
                  </w:r>
                  <w:r>
                    <w:rPr>
                      <w:rFonts w:hint="eastAsia" w:ascii="Times New Roman" w:hAnsi="Times New Roman" w:eastAsia="宋体" w:cs="Times New Roman"/>
                      <w:color w:val="auto"/>
                      <w:kern w:val="0"/>
                      <w:sz w:val="21"/>
                      <w:szCs w:val="21"/>
                      <w:highlight w:val="none"/>
                      <w:vertAlign w:val="baseline"/>
                      <w:lang w:val="en-US" w:eastAsia="zh-CN"/>
                    </w:rPr>
                    <w:t>颗粒物</w:t>
                  </w:r>
                  <w:r>
                    <w:rPr>
                      <w:rFonts w:hint="default" w:ascii="Times New Roman" w:hAnsi="Times New Roman" w:eastAsia="宋体" w:cs="Times New Roman"/>
                      <w:color w:val="auto"/>
                      <w:kern w:val="0"/>
                      <w:sz w:val="21"/>
                      <w:szCs w:val="21"/>
                      <w:highlight w:val="none"/>
                      <w:vertAlign w:val="baseline"/>
                      <w:lang w:val="en-US" w:eastAsia="zh-CN"/>
                    </w:rPr>
                    <w:t>；</w:t>
                  </w:r>
                </w:p>
                <w:p w14:paraId="01EF0AC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3、</w:t>
                  </w:r>
                  <w:r>
                    <w:rPr>
                      <w:rFonts w:hint="eastAsia" w:eastAsia="宋体" w:cs="Times New Roman"/>
                      <w:color w:val="auto"/>
                      <w:kern w:val="0"/>
                      <w:sz w:val="21"/>
                      <w:szCs w:val="21"/>
                      <w:highlight w:val="none"/>
                      <w:vertAlign w:val="baseline"/>
                      <w:lang w:val="en-US" w:eastAsia="zh-CN"/>
                    </w:rPr>
                    <w:t>迁建项目</w:t>
                  </w:r>
                  <w:r>
                    <w:rPr>
                      <w:rFonts w:hint="default" w:ascii="Times New Roman" w:hAnsi="Times New Roman" w:eastAsia="宋体" w:cs="Times New Roman"/>
                      <w:color w:val="auto"/>
                      <w:kern w:val="0"/>
                      <w:sz w:val="21"/>
                      <w:szCs w:val="21"/>
                      <w:highlight w:val="none"/>
                      <w:vertAlign w:val="baseline"/>
                      <w:lang w:val="en-US" w:eastAsia="zh-CN"/>
                    </w:rPr>
                    <w:t>无生产废水外排，生活污水全部纳管进入</w:t>
                  </w:r>
                  <w:r>
                    <w:rPr>
                      <w:rFonts w:hint="eastAsia" w:ascii="Times New Roman" w:hAnsi="Times New Roman" w:eastAsia="宋体" w:cs="Times New Roman"/>
                      <w:color w:val="auto"/>
                      <w:kern w:val="0"/>
                      <w:sz w:val="21"/>
                      <w:szCs w:val="21"/>
                      <w:highlight w:val="none"/>
                      <w:vertAlign w:val="baseline"/>
                      <w:lang w:val="en-US" w:eastAsia="zh-CN"/>
                    </w:rPr>
                    <w:t>江阴污水处理厂</w:t>
                  </w:r>
                  <w:r>
                    <w:rPr>
                      <w:rFonts w:hint="default" w:ascii="Times New Roman" w:hAnsi="Times New Roman" w:eastAsia="宋体" w:cs="Times New Roman"/>
                      <w:color w:val="auto"/>
                      <w:kern w:val="0"/>
                      <w:sz w:val="21"/>
                      <w:szCs w:val="21"/>
                      <w:highlight w:val="none"/>
                      <w:vertAlign w:val="baseline"/>
                      <w:lang w:val="en-US" w:eastAsia="zh-CN"/>
                    </w:rPr>
                    <w:t>集中处理后达标排放</w:t>
                  </w:r>
                </w:p>
              </w:tc>
              <w:tc>
                <w:tcPr>
                  <w:tcW w:w="0" w:type="auto"/>
                  <w:tcBorders>
                    <w:tl2br w:val="nil"/>
                    <w:tr2bl w:val="nil"/>
                  </w:tcBorders>
                  <w:shd w:val="clear" w:color="auto" w:fill="auto"/>
                  <w:vAlign w:val="center"/>
                </w:tcPr>
                <w:p w14:paraId="5AD8898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符合</w:t>
                  </w:r>
                </w:p>
              </w:tc>
            </w:tr>
            <w:tr w14:paraId="10F48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1039430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178209C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环境风险防控</w:t>
                  </w:r>
                </w:p>
              </w:tc>
              <w:tc>
                <w:tcPr>
                  <w:tcW w:w="0" w:type="auto"/>
                  <w:tcBorders>
                    <w:tl2br w:val="nil"/>
                    <w:tr2bl w:val="nil"/>
                  </w:tcBorders>
                  <w:vAlign w:val="center"/>
                </w:tcPr>
                <w:p w14:paraId="715B0C0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color w:val="auto"/>
                      <w:kern w:val="2"/>
                      <w:sz w:val="21"/>
                      <w:szCs w:val="21"/>
                    </w:rPr>
                  </w:pPr>
                  <w:r>
                    <w:rPr>
                      <w:rFonts w:hint="eastAsia" w:ascii="Times New Roman" w:hAnsi="Times New Roman" w:eastAsia="宋体"/>
                      <w:color w:val="auto"/>
                      <w:kern w:val="2"/>
                      <w:sz w:val="21"/>
                      <w:szCs w:val="21"/>
                      <w:lang w:eastAsia="zh-CN"/>
                    </w:rPr>
                    <w:t>无</w:t>
                  </w:r>
                </w:p>
              </w:tc>
              <w:tc>
                <w:tcPr>
                  <w:tcW w:w="0" w:type="auto"/>
                  <w:tcBorders>
                    <w:tl2br w:val="nil"/>
                    <w:tr2bl w:val="nil"/>
                  </w:tcBorders>
                  <w:shd w:val="clear" w:color="auto" w:fill="auto"/>
                  <w:vAlign w:val="center"/>
                </w:tcPr>
                <w:p w14:paraId="749DA7B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eastAsia" w:eastAsia="宋体"/>
                      <w:color w:val="auto"/>
                      <w:sz w:val="21"/>
                      <w:szCs w:val="21"/>
                      <w:lang w:val="en-US" w:eastAsia="zh-CN"/>
                    </w:rPr>
                    <w:t>/</w:t>
                  </w:r>
                </w:p>
              </w:tc>
              <w:tc>
                <w:tcPr>
                  <w:tcW w:w="0" w:type="auto"/>
                  <w:tcBorders>
                    <w:tl2br w:val="nil"/>
                    <w:tr2bl w:val="nil"/>
                  </w:tcBorders>
                  <w:shd w:val="clear" w:color="auto" w:fill="auto"/>
                  <w:vAlign w:val="center"/>
                </w:tcPr>
                <w:p w14:paraId="7E88941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olor w:val="auto"/>
                      <w:sz w:val="21"/>
                      <w:szCs w:val="21"/>
                    </w:rPr>
                  </w:pPr>
                  <w:r>
                    <w:rPr>
                      <w:rFonts w:hint="eastAsia" w:ascii="Times New Roman" w:hAnsi="Times New Roman"/>
                      <w:color w:val="auto"/>
                      <w:kern w:val="2"/>
                      <w:sz w:val="21"/>
                      <w:szCs w:val="21"/>
                      <w:lang w:val="en-US" w:eastAsia="zh-CN"/>
                    </w:rPr>
                    <w:t>/</w:t>
                  </w:r>
                </w:p>
              </w:tc>
            </w:tr>
            <w:tr w14:paraId="66D4B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14:paraId="0AB8495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p>
              </w:tc>
              <w:tc>
                <w:tcPr>
                  <w:tcW w:w="0" w:type="auto"/>
                  <w:tcBorders>
                    <w:tl2br w:val="nil"/>
                    <w:tr2bl w:val="nil"/>
                  </w:tcBorders>
                  <w:vAlign w:val="center"/>
                </w:tcPr>
                <w:p w14:paraId="119C760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ascii="Times New Roman" w:hAnsi="Times New Roman"/>
                      <w:color w:val="auto"/>
                      <w:kern w:val="2"/>
                      <w:sz w:val="21"/>
                      <w:szCs w:val="21"/>
                    </w:rPr>
                  </w:pPr>
                  <w:r>
                    <w:rPr>
                      <w:rFonts w:hint="eastAsia" w:ascii="Times New Roman" w:hAnsi="Times New Roman"/>
                      <w:color w:val="auto"/>
                      <w:kern w:val="2"/>
                      <w:sz w:val="21"/>
                      <w:szCs w:val="21"/>
                    </w:rPr>
                    <w:t>资源开发效率要求</w:t>
                  </w:r>
                </w:p>
              </w:tc>
              <w:tc>
                <w:tcPr>
                  <w:tcW w:w="0" w:type="auto"/>
                  <w:tcBorders>
                    <w:tl2br w:val="nil"/>
                    <w:tr2bl w:val="nil"/>
                  </w:tcBorders>
                  <w:vAlign w:val="center"/>
                </w:tcPr>
                <w:p w14:paraId="7A6DA627">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s="Times New Roman"/>
                      <w:color w:val="auto"/>
                      <w:kern w:val="2"/>
                      <w:sz w:val="21"/>
                      <w:szCs w:val="21"/>
                      <w:lang w:val="en-US" w:eastAsia="zh-CN" w:bidi="ar-SA"/>
                    </w:rPr>
                    <w:t>1.</w:t>
                  </w:r>
                  <w:r>
                    <w:rPr>
                      <w:rFonts w:hint="eastAsia" w:ascii="Times New Roman" w:hAnsi="Times New Roman" w:eastAsia="宋体"/>
                      <w:color w:val="auto"/>
                      <w:kern w:val="2"/>
                      <w:sz w:val="21"/>
                      <w:szCs w:val="21"/>
                      <w:lang w:eastAsia="zh-CN"/>
                    </w:rPr>
                    <w:t>实施能源消耗总量和强度双控。</w:t>
                  </w:r>
                </w:p>
                <w:p w14:paraId="11A9D221">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2.强化产业园区单位土地面积投资强度和效用指标的刚性约束，提高土地利用效率。</w:t>
                  </w:r>
                </w:p>
                <w:p w14:paraId="1014E0A2">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3.具备使用再生水条件但未充分利用的钢铁、火电、化工、制浆造纸、印染等项目，不得批准其新增取水许可。在沿海地区电力、化工、石化等行业，推行直接利用海水作为循环冷却等工业用水。</w:t>
                  </w:r>
                </w:p>
                <w:p w14:paraId="3BDB98A0">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p w14:paraId="09628470">
                  <w:pPr>
                    <w:pStyle w:val="31"/>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color w:val="auto"/>
                      <w:kern w:val="2"/>
                      <w:sz w:val="21"/>
                      <w:szCs w:val="21"/>
                    </w:rPr>
                  </w:pPr>
                  <w:r>
                    <w:rPr>
                      <w:rFonts w:hint="eastAsia" w:ascii="Times New Roman" w:hAnsi="Times New Roman" w:eastAsia="宋体"/>
                      <w:color w:val="auto"/>
                      <w:kern w:val="2"/>
                      <w:sz w:val="21"/>
                      <w:szCs w:val="21"/>
                      <w:lang w:eastAsia="zh-CN"/>
                    </w:rPr>
                    <w:t>5.落实“闽环保大气〔2023〕5号”文件要求，按照“提气、转电、控煤”的发展思路，推动陶瓷行业进一步优化用能结构，实现能源消费清洁低碳化。</w:t>
                  </w:r>
                </w:p>
              </w:tc>
              <w:tc>
                <w:tcPr>
                  <w:tcW w:w="0" w:type="auto"/>
                  <w:tcBorders>
                    <w:tl2br w:val="nil"/>
                    <w:tr2bl w:val="nil"/>
                  </w:tcBorders>
                  <w:shd w:val="clear" w:color="auto" w:fill="auto"/>
                  <w:vAlign w:val="center"/>
                </w:tcPr>
                <w:p w14:paraId="3760373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2"/>
                      <w:sz w:val="21"/>
                      <w:szCs w:val="21"/>
                      <w:lang w:val="en-US" w:eastAsia="zh-CN"/>
                    </w:rPr>
                    <w:t>迁建</w:t>
                  </w:r>
                  <w:r>
                    <w:rPr>
                      <w:rFonts w:ascii="Times New Roman" w:hAnsi="Times New Roman"/>
                      <w:color w:val="auto"/>
                      <w:sz w:val="21"/>
                      <w:szCs w:val="21"/>
                    </w:rPr>
                    <w:t>项目不涉及</w:t>
                  </w:r>
                  <w:r>
                    <w:rPr>
                      <w:rFonts w:hint="eastAsia" w:ascii="Times New Roman" w:hAnsi="Times New Roman"/>
                      <w:color w:val="auto"/>
                      <w:sz w:val="21"/>
                      <w:szCs w:val="21"/>
                    </w:rPr>
                    <w:t>高污染燃料及其设施</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不涉及锅炉的使用</w:t>
                  </w:r>
                  <w:r>
                    <w:rPr>
                      <w:rFonts w:hint="eastAsia" w:ascii="Times New Roman" w:hAnsi="Times New Roman"/>
                      <w:color w:val="auto"/>
                      <w:sz w:val="21"/>
                      <w:szCs w:val="21"/>
                    </w:rPr>
                    <w:t>。</w:t>
                  </w:r>
                </w:p>
              </w:tc>
              <w:tc>
                <w:tcPr>
                  <w:tcW w:w="0" w:type="auto"/>
                  <w:tcBorders>
                    <w:tl2br w:val="nil"/>
                    <w:tr2bl w:val="nil"/>
                  </w:tcBorders>
                  <w:shd w:val="clear" w:color="auto" w:fill="auto"/>
                  <w:vAlign w:val="center"/>
                </w:tcPr>
                <w:p w14:paraId="67A5954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eastAsia"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符合</w:t>
                  </w:r>
                </w:p>
              </w:tc>
            </w:tr>
          </w:tbl>
          <w:p w14:paraId="684EA64B">
            <w:pPr>
              <w:spacing w:line="360" w:lineRule="auto"/>
              <w:jc w:val="center"/>
              <w:rPr>
                <w:color w:val="auto"/>
                <w:kern w:val="0"/>
                <w:sz w:val="24"/>
              </w:rPr>
            </w:pPr>
          </w:p>
        </w:tc>
      </w:tr>
    </w:tbl>
    <w:p w14:paraId="0483B551">
      <w:pPr>
        <w:rPr>
          <w:color w:val="auto"/>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numberInDash"/>
          <w:cols w:space="720" w:num="1"/>
          <w:docGrid w:linePitch="312" w:charSpace="0"/>
        </w:sectPr>
      </w:pPr>
    </w:p>
    <w:tbl>
      <w:tblPr>
        <w:tblStyle w:val="36"/>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155"/>
      </w:tblGrid>
      <w:tr w14:paraId="740FB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49" w:type="dxa"/>
            <w:vAlign w:val="center"/>
          </w:tcPr>
          <w:p w14:paraId="57E7537C">
            <w:pPr>
              <w:autoSpaceDE w:val="0"/>
              <w:autoSpaceDN w:val="0"/>
              <w:jc w:val="center"/>
              <w:rPr>
                <w:color w:val="auto"/>
                <w:kern w:val="0"/>
                <w:sz w:val="24"/>
              </w:rPr>
            </w:pPr>
            <w:r>
              <w:rPr>
                <w:color w:val="auto"/>
                <w:kern w:val="0"/>
                <w:sz w:val="24"/>
              </w:rPr>
              <w:t>其他符合性分析</w:t>
            </w:r>
          </w:p>
        </w:tc>
        <w:tc>
          <w:tcPr>
            <w:tcW w:w="7155" w:type="dxa"/>
            <w:vAlign w:val="center"/>
          </w:tcPr>
          <w:p w14:paraId="06EFD127">
            <w:pPr>
              <w:pStyle w:val="141"/>
              <w:spacing w:beforeLines="0" w:afterLines="0"/>
              <w:ind w:firstLine="0" w:firstLineChars="0"/>
              <w:rPr>
                <w:b/>
                <w:bCs/>
                <w:color w:val="auto"/>
              </w:rPr>
            </w:pPr>
            <w:r>
              <w:rPr>
                <w:rFonts w:hint="eastAsia"/>
                <w:b/>
                <w:bCs/>
                <w:color w:val="auto"/>
                <w:shd w:val="clear" w:fill="FFFFFF"/>
                <w:lang w:eastAsia="zh-CN"/>
              </w:rPr>
              <w:t>(</w:t>
            </w:r>
            <w:r>
              <w:rPr>
                <w:b/>
                <w:bCs/>
                <w:color w:val="auto"/>
              </w:rPr>
              <w:t>二</w:t>
            </w:r>
            <w:r>
              <w:rPr>
                <w:rFonts w:hint="eastAsia"/>
                <w:b/>
                <w:bCs/>
                <w:color w:val="auto"/>
                <w:shd w:val="clear" w:fill="FFFFFF"/>
                <w:lang w:eastAsia="zh-CN"/>
              </w:rPr>
              <w:t>)</w:t>
            </w:r>
            <w:r>
              <w:rPr>
                <w:b/>
                <w:bCs/>
                <w:color w:val="auto"/>
              </w:rPr>
              <w:t>产业政策的符合性分析</w:t>
            </w:r>
          </w:p>
          <w:p w14:paraId="50FC2077">
            <w:pPr>
              <w:pStyle w:val="143"/>
              <w:spacing w:after="0" w:line="360" w:lineRule="auto"/>
              <w:ind w:firstLine="480" w:firstLineChars="200"/>
              <w:rPr>
                <w:bCs/>
                <w:color w:val="auto"/>
                <w:sz w:val="24"/>
                <w:szCs w:val="24"/>
              </w:rPr>
            </w:pPr>
            <w:bookmarkStart w:id="18" w:name="_Hlk490420179"/>
            <w:r>
              <w:rPr>
                <w:rFonts w:hint="eastAsia"/>
                <w:color w:val="auto"/>
                <w:kern w:val="28"/>
                <w:sz w:val="24"/>
                <w:szCs w:val="24"/>
                <w:lang w:eastAsia="zh-CN"/>
              </w:rPr>
              <w:t>迁建项目</w:t>
            </w:r>
            <w:r>
              <w:rPr>
                <w:rFonts w:hint="eastAsia"/>
                <w:color w:val="auto"/>
                <w:kern w:val="28"/>
                <w:sz w:val="24"/>
                <w:szCs w:val="24"/>
              </w:rPr>
              <w:t>属于C3021水泥制品，不属于《产业结构调整指导目录</w:t>
            </w:r>
            <w:r>
              <w:rPr>
                <w:rFonts w:hint="eastAsia"/>
                <w:color w:val="auto"/>
                <w:kern w:val="28"/>
                <w:sz w:val="24"/>
                <w:szCs w:val="24"/>
                <w:shd w:val="clear" w:fill="FFFFFF"/>
                <w:lang w:eastAsia="zh-CN"/>
              </w:rPr>
              <w:t>(</w:t>
            </w:r>
            <w:r>
              <w:rPr>
                <w:rFonts w:hint="eastAsia"/>
                <w:color w:val="auto"/>
                <w:kern w:val="28"/>
                <w:sz w:val="24"/>
                <w:szCs w:val="24"/>
              </w:rPr>
              <w:t>2024年本</w:t>
            </w:r>
            <w:r>
              <w:rPr>
                <w:rFonts w:hint="eastAsia"/>
                <w:color w:val="auto"/>
                <w:kern w:val="28"/>
                <w:sz w:val="24"/>
                <w:szCs w:val="24"/>
                <w:shd w:val="clear" w:fill="FFFFFF"/>
                <w:lang w:eastAsia="zh-CN"/>
              </w:rPr>
              <w:t>)</w:t>
            </w:r>
            <w:r>
              <w:rPr>
                <w:rFonts w:hint="eastAsia"/>
                <w:color w:val="auto"/>
                <w:kern w:val="28"/>
                <w:sz w:val="24"/>
                <w:szCs w:val="24"/>
              </w:rPr>
              <w:t>》中的鼓励、限制和淘汰类项目，属于允许建设类项目，且项目已于2024年11月6日通过福清市发展和改革局备案，备案编号：</w:t>
            </w:r>
            <w:r>
              <w:rPr>
                <w:color w:val="auto"/>
                <w:sz w:val="24"/>
              </w:rPr>
              <w:t>闽发改备</w:t>
            </w:r>
            <w:r>
              <w:rPr>
                <w:color w:val="auto"/>
                <w:sz w:val="24"/>
                <w:shd w:val="clear" w:fill="FFFFFF"/>
              </w:rPr>
              <w:t>[202</w:t>
            </w:r>
            <w:r>
              <w:rPr>
                <w:rFonts w:hint="eastAsia"/>
                <w:color w:val="auto"/>
                <w:sz w:val="24"/>
                <w:shd w:val="clear" w:fill="FFFFFF"/>
              </w:rPr>
              <w:t>2</w:t>
            </w:r>
            <w:r>
              <w:rPr>
                <w:color w:val="auto"/>
                <w:sz w:val="24"/>
                <w:shd w:val="clear" w:fill="FFFFFF"/>
              </w:rPr>
              <w:t>]</w:t>
            </w:r>
            <w:r>
              <w:rPr>
                <w:rFonts w:hint="eastAsia"/>
                <w:color w:val="auto"/>
                <w:sz w:val="24"/>
              </w:rPr>
              <w:t>A</w:t>
            </w:r>
            <w:r>
              <w:rPr>
                <w:color w:val="auto"/>
                <w:sz w:val="24"/>
              </w:rPr>
              <w:t>0</w:t>
            </w:r>
            <w:r>
              <w:rPr>
                <w:rFonts w:hint="eastAsia"/>
                <w:color w:val="auto"/>
                <w:sz w:val="24"/>
              </w:rPr>
              <w:t>6</w:t>
            </w:r>
            <w:r>
              <w:rPr>
                <w:color w:val="auto"/>
                <w:sz w:val="24"/>
              </w:rPr>
              <w:t>0</w:t>
            </w:r>
            <w:r>
              <w:rPr>
                <w:rFonts w:hint="eastAsia"/>
                <w:color w:val="auto"/>
                <w:sz w:val="24"/>
              </w:rPr>
              <w:t>248</w:t>
            </w:r>
            <w:r>
              <w:rPr>
                <w:color w:val="auto"/>
                <w:sz w:val="24"/>
              </w:rPr>
              <w:t>号</w:t>
            </w:r>
            <w:r>
              <w:rPr>
                <w:bCs/>
                <w:color w:val="auto"/>
                <w:sz w:val="24"/>
                <w:szCs w:val="24"/>
              </w:rPr>
              <w:t>，</w:t>
            </w:r>
            <w:r>
              <w:rPr>
                <w:rFonts w:hint="eastAsia"/>
                <w:bCs/>
                <w:color w:val="auto"/>
                <w:sz w:val="24"/>
                <w:szCs w:val="24"/>
              </w:rPr>
              <w:t>因此，</w:t>
            </w:r>
            <w:r>
              <w:rPr>
                <w:rFonts w:hint="eastAsia"/>
                <w:bCs/>
                <w:color w:val="auto"/>
                <w:sz w:val="24"/>
                <w:szCs w:val="24"/>
                <w:lang w:eastAsia="zh-CN"/>
              </w:rPr>
              <w:t>迁建项目</w:t>
            </w:r>
            <w:r>
              <w:rPr>
                <w:bCs/>
                <w:color w:val="auto"/>
                <w:sz w:val="24"/>
                <w:szCs w:val="24"/>
              </w:rPr>
              <w:t>符合当前国家产业政策</w:t>
            </w:r>
            <w:r>
              <w:rPr>
                <w:rFonts w:hint="eastAsia"/>
                <w:bCs/>
                <w:color w:val="auto"/>
                <w:sz w:val="24"/>
                <w:szCs w:val="24"/>
              </w:rPr>
              <w:t>要求</w:t>
            </w:r>
            <w:r>
              <w:rPr>
                <w:bCs/>
                <w:color w:val="auto"/>
                <w:sz w:val="24"/>
                <w:szCs w:val="24"/>
              </w:rPr>
              <w:t>。</w:t>
            </w:r>
          </w:p>
          <w:bookmarkEnd w:id="18"/>
          <w:p w14:paraId="04B1A354">
            <w:pPr>
              <w:pStyle w:val="141"/>
              <w:spacing w:beforeLines="0" w:afterLines="0"/>
              <w:ind w:firstLine="0" w:firstLineChars="0"/>
              <w:rPr>
                <w:b/>
                <w:bCs/>
                <w:color w:val="auto"/>
              </w:rPr>
            </w:pPr>
            <w:r>
              <w:rPr>
                <w:rFonts w:hint="eastAsia"/>
                <w:b/>
                <w:bCs/>
                <w:color w:val="auto"/>
                <w:shd w:val="clear" w:fill="FFFFFF"/>
                <w:lang w:eastAsia="zh-CN"/>
              </w:rPr>
              <w:t>(</w:t>
            </w:r>
            <w:r>
              <w:rPr>
                <w:b/>
                <w:bCs/>
                <w:color w:val="auto"/>
              </w:rPr>
              <w:t>三</w:t>
            </w:r>
            <w:r>
              <w:rPr>
                <w:rFonts w:hint="eastAsia"/>
                <w:b/>
                <w:bCs/>
                <w:color w:val="auto"/>
                <w:shd w:val="clear" w:fill="FFFFFF"/>
                <w:lang w:eastAsia="zh-CN"/>
              </w:rPr>
              <w:t>)</w:t>
            </w:r>
            <w:r>
              <w:rPr>
                <w:b/>
                <w:bCs/>
                <w:color w:val="auto"/>
              </w:rPr>
              <w:t>与相关生态环境保护法律法规政策、生态环境保护规划的符合性</w:t>
            </w:r>
          </w:p>
          <w:p w14:paraId="2E128618">
            <w:pPr>
              <w:pStyle w:val="143"/>
              <w:spacing w:after="0" w:line="360" w:lineRule="auto"/>
              <w:ind w:firstLine="480" w:firstLineChars="200"/>
              <w:rPr>
                <w:bCs/>
                <w:color w:val="auto"/>
                <w:sz w:val="24"/>
                <w:szCs w:val="24"/>
              </w:rPr>
            </w:pPr>
            <w:r>
              <w:rPr>
                <w:rFonts w:hint="eastAsia"/>
                <w:bCs/>
                <w:color w:val="auto"/>
                <w:sz w:val="24"/>
                <w:szCs w:val="24"/>
                <w:shd w:val="clear" w:fill="FFFFFF"/>
              </w:rPr>
              <w:t>(</w:t>
            </w:r>
            <w:r>
              <w:rPr>
                <w:rFonts w:hint="eastAsia"/>
                <w:bCs/>
                <w:color w:val="auto"/>
                <w:sz w:val="24"/>
                <w:szCs w:val="24"/>
              </w:rPr>
              <w:t>1</w:t>
            </w:r>
            <w:r>
              <w:rPr>
                <w:rFonts w:hint="eastAsia"/>
                <w:bCs/>
                <w:color w:val="auto"/>
                <w:sz w:val="24"/>
                <w:szCs w:val="24"/>
                <w:shd w:val="clear" w:fill="FFFFFF"/>
              </w:rPr>
              <w:t>)</w:t>
            </w:r>
            <w:r>
              <w:rPr>
                <w:bCs/>
                <w:color w:val="auto"/>
                <w:sz w:val="24"/>
                <w:szCs w:val="24"/>
              </w:rPr>
              <w:t>与《福建省水污染防治条例》的符合性分析</w:t>
            </w:r>
          </w:p>
          <w:p w14:paraId="7A0DB9A6">
            <w:pPr>
              <w:pStyle w:val="143"/>
              <w:spacing w:after="0" w:line="360" w:lineRule="auto"/>
              <w:ind w:firstLine="480" w:firstLineChars="200"/>
              <w:rPr>
                <w:bCs/>
                <w:color w:val="auto"/>
                <w:sz w:val="24"/>
                <w:szCs w:val="24"/>
              </w:rPr>
            </w:pPr>
            <w:r>
              <w:rPr>
                <w:bCs/>
                <w:color w:val="auto"/>
                <w:sz w:val="24"/>
                <w:szCs w:val="24"/>
              </w:rPr>
              <w:t>2021年7月29日福建省第十三届人民代表大会常务委员会第二十八次会议通过《福建省水污染防治条例》，</w:t>
            </w:r>
            <w:r>
              <w:rPr>
                <w:rFonts w:hint="eastAsia"/>
                <w:bCs/>
                <w:color w:val="auto"/>
                <w:sz w:val="24"/>
                <w:szCs w:val="24"/>
                <w:lang w:eastAsia="zh-CN"/>
              </w:rPr>
              <w:t>迁建项目</w:t>
            </w:r>
            <w:r>
              <w:rPr>
                <w:bCs/>
                <w:color w:val="auto"/>
                <w:sz w:val="24"/>
                <w:szCs w:val="24"/>
              </w:rPr>
              <w:t>与条例的符合性分析如下</w:t>
            </w:r>
            <w:r>
              <w:rPr>
                <w:rFonts w:hint="eastAsia"/>
                <w:bCs/>
                <w:color w:val="auto"/>
                <w:sz w:val="24"/>
                <w:szCs w:val="24"/>
              </w:rPr>
              <w:t>表1.1-3。</w:t>
            </w:r>
          </w:p>
          <w:p w14:paraId="428E1A31">
            <w:pPr>
              <w:pStyle w:val="144"/>
              <w:rPr>
                <w:color w:val="auto"/>
              </w:rPr>
            </w:pPr>
            <w:r>
              <w:rPr>
                <w:rFonts w:eastAsia="宋体"/>
                <w:bCs/>
                <w:color w:val="auto"/>
              </w:rPr>
              <w:t>表1.</w:t>
            </w:r>
            <w:r>
              <w:rPr>
                <w:rFonts w:hint="eastAsia" w:eastAsia="宋体"/>
                <w:bCs/>
                <w:color w:val="auto"/>
              </w:rPr>
              <w:t>1-3</w:t>
            </w:r>
            <w:r>
              <w:rPr>
                <w:rFonts w:eastAsia="宋体"/>
                <w:bCs/>
                <w:color w:val="auto"/>
              </w:rPr>
              <w:t xml:space="preserve"> </w:t>
            </w:r>
            <w:r>
              <w:rPr>
                <w:rFonts w:hint="eastAsia" w:eastAsia="宋体"/>
                <w:bCs/>
                <w:color w:val="auto"/>
              </w:rPr>
              <w:t xml:space="preserve"> </w:t>
            </w:r>
            <w:r>
              <w:rPr>
                <w:rFonts w:eastAsia="宋体"/>
                <w:bCs/>
                <w:color w:val="auto"/>
              </w:rPr>
              <w:t>与《福建省水污染防治条例》的符合性分析一览表</w:t>
            </w:r>
          </w:p>
          <w:tbl>
            <w:tblPr>
              <w:tblStyle w:val="36"/>
              <w:tblW w:w="7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9"/>
              <w:gridCol w:w="3426"/>
              <w:gridCol w:w="782"/>
            </w:tblGrid>
            <w:tr w14:paraId="39179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9" w:type="dxa"/>
                  <w:tcBorders>
                    <w:tl2br w:val="nil"/>
                    <w:tr2bl w:val="nil"/>
                  </w:tcBorders>
                  <w:vAlign w:val="center"/>
                </w:tcPr>
                <w:p w14:paraId="3EF7D826">
                  <w:pPr>
                    <w:pStyle w:val="135"/>
                    <w:keepNext w:val="0"/>
                    <w:keepLines w:val="0"/>
                    <w:pageBreakBefore w:val="0"/>
                    <w:widowControl w:val="0"/>
                    <w:kinsoku/>
                    <w:wordWrap/>
                    <w:overflowPunct/>
                    <w:topLinePunct w:val="0"/>
                    <w:autoSpaceDE/>
                    <w:autoSpaceDN/>
                    <w:bidi w:val="0"/>
                    <w:adjustRightInd w:val="0"/>
                    <w:snapToGrid w:val="0"/>
                    <w:spacing w:line="264" w:lineRule="auto"/>
                    <w:textAlignment w:val="auto"/>
                    <w:rPr>
                      <w:color w:val="auto"/>
                      <w:szCs w:val="21"/>
                    </w:rPr>
                  </w:pPr>
                  <w:r>
                    <w:rPr>
                      <w:color w:val="auto"/>
                      <w:szCs w:val="21"/>
                    </w:rPr>
                    <w:t>《福建省水污染防治条例》</w:t>
                  </w:r>
                </w:p>
                <w:p w14:paraId="4452F836">
                  <w:pPr>
                    <w:pStyle w:val="135"/>
                    <w:keepNext w:val="0"/>
                    <w:keepLines w:val="0"/>
                    <w:pageBreakBefore w:val="0"/>
                    <w:widowControl w:val="0"/>
                    <w:kinsoku/>
                    <w:wordWrap/>
                    <w:overflowPunct/>
                    <w:topLinePunct w:val="0"/>
                    <w:autoSpaceDE/>
                    <w:autoSpaceDN/>
                    <w:bidi w:val="0"/>
                    <w:adjustRightInd w:val="0"/>
                    <w:snapToGrid w:val="0"/>
                    <w:spacing w:line="264" w:lineRule="auto"/>
                    <w:textAlignment w:val="auto"/>
                    <w:rPr>
                      <w:color w:val="auto"/>
                      <w:szCs w:val="21"/>
                    </w:rPr>
                  </w:pPr>
                  <w:r>
                    <w:rPr>
                      <w:color w:val="auto"/>
                      <w:szCs w:val="21"/>
                    </w:rPr>
                    <w:t>相关内容</w:t>
                  </w:r>
                </w:p>
              </w:tc>
              <w:tc>
                <w:tcPr>
                  <w:tcW w:w="3426" w:type="dxa"/>
                  <w:tcBorders>
                    <w:tl2br w:val="nil"/>
                    <w:tr2bl w:val="nil"/>
                  </w:tcBorders>
                  <w:vAlign w:val="center"/>
                </w:tcPr>
                <w:p w14:paraId="42198012">
                  <w:pPr>
                    <w:pStyle w:val="135"/>
                    <w:keepNext w:val="0"/>
                    <w:keepLines w:val="0"/>
                    <w:pageBreakBefore w:val="0"/>
                    <w:widowControl w:val="0"/>
                    <w:kinsoku/>
                    <w:wordWrap/>
                    <w:overflowPunct/>
                    <w:topLinePunct w:val="0"/>
                    <w:autoSpaceDE/>
                    <w:autoSpaceDN/>
                    <w:bidi w:val="0"/>
                    <w:adjustRightInd w:val="0"/>
                    <w:snapToGrid w:val="0"/>
                    <w:spacing w:line="264" w:lineRule="auto"/>
                    <w:textAlignment w:val="auto"/>
                    <w:rPr>
                      <w:color w:val="auto"/>
                      <w:szCs w:val="21"/>
                    </w:rPr>
                  </w:pPr>
                  <w:r>
                    <w:rPr>
                      <w:rFonts w:hint="eastAsia"/>
                      <w:color w:val="auto"/>
                      <w:szCs w:val="21"/>
                      <w:lang w:eastAsia="zh-CN"/>
                    </w:rPr>
                    <w:t>迁建项目</w:t>
                  </w:r>
                  <w:r>
                    <w:rPr>
                      <w:color w:val="auto"/>
                      <w:szCs w:val="21"/>
                    </w:rPr>
                    <w:t>落实情况</w:t>
                  </w:r>
                </w:p>
              </w:tc>
              <w:tc>
                <w:tcPr>
                  <w:tcW w:w="782" w:type="dxa"/>
                  <w:tcBorders>
                    <w:tl2br w:val="nil"/>
                    <w:tr2bl w:val="nil"/>
                  </w:tcBorders>
                  <w:vAlign w:val="center"/>
                </w:tcPr>
                <w:p w14:paraId="52BCAC16">
                  <w:pPr>
                    <w:pStyle w:val="135"/>
                    <w:keepNext w:val="0"/>
                    <w:keepLines w:val="0"/>
                    <w:pageBreakBefore w:val="0"/>
                    <w:widowControl w:val="0"/>
                    <w:kinsoku/>
                    <w:wordWrap/>
                    <w:overflowPunct/>
                    <w:topLinePunct w:val="0"/>
                    <w:autoSpaceDE/>
                    <w:autoSpaceDN/>
                    <w:bidi w:val="0"/>
                    <w:adjustRightInd w:val="0"/>
                    <w:snapToGrid w:val="0"/>
                    <w:spacing w:line="264" w:lineRule="auto"/>
                    <w:textAlignment w:val="auto"/>
                    <w:rPr>
                      <w:color w:val="auto"/>
                      <w:szCs w:val="21"/>
                    </w:rPr>
                  </w:pPr>
                  <w:r>
                    <w:rPr>
                      <w:color w:val="auto"/>
                      <w:szCs w:val="21"/>
                    </w:rPr>
                    <w:t>是否符合</w:t>
                  </w:r>
                </w:p>
              </w:tc>
            </w:tr>
            <w:tr w14:paraId="7F683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9" w:type="dxa"/>
                  <w:tcBorders>
                    <w:tl2br w:val="nil"/>
                    <w:tr2bl w:val="nil"/>
                  </w:tcBorders>
                  <w:vAlign w:val="center"/>
                </w:tcPr>
                <w:p w14:paraId="33817147">
                  <w:pPr>
                    <w:pStyle w:val="135"/>
                    <w:keepNext w:val="0"/>
                    <w:keepLines w:val="0"/>
                    <w:pageBreakBefore w:val="0"/>
                    <w:widowControl w:val="0"/>
                    <w:kinsoku/>
                    <w:wordWrap/>
                    <w:overflowPunct/>
                    <w:topLinePunct w:val="0"/>
                    <w:autoSpaceDE/>
                    <w:autoSpaceDN/>
                    <w:bidi w:val="0"/>
                    <w:adjustRightInd w:val="0"/>
                    <w:snapToGrid w:val="0"/>
                    <w:spacing w:line="264" w:lineRule="auto"/>
                    <w:jc w:val="left"/>
                    <w:textAlignment w:val="auto"/>
                    <w:rPr>
                      <w:color w:val="auto"/>
                      <w:szCs w:val="21"/>
                    </w:rPr>
                  </w:pPr>
                  <w:r>
                    <w:rPr>
                      <w:rFonts w:hint="eastAsia"/>
                      <w:color w:val="auto"/>
                      <w:szCs w:val="21"/>
                    </w:rPr>
                    <w:t>1.</w:t>
                  </w:r>
                  <w:r>
                    <w:rPr>
                      <w:color w:val="auto"/>
                      <w:szCs w:val="21"/>
                    </w:rPr>
                    <w:t>县级以上地方人民政府应当按照国家有关规定规划建设工业集聚区，引导工业企业入驻工业集聚区。</w:t>
                  </w:r>
                </w:p>
                <w:p w14:paraId="7D8F2876">
                  <w:pPr>
                    <w:pStyle w:val="135"/>
                    <w:keepNext w:val="0"/>
                    <w:keepLines w:val="0"/>
                    <w:pageBreakBefore w:val="0"/>
                    <w:widowControl w:val="0"/>
                    <w:kinsoku/>
                    <w:wordWrap/>
                    <w:overflowPunct/>
                    <w:topLinePunct w:val="0"/>
                    <w:autoSpaceDE/>
                    <w:autoSpaceDN/>
                    <w:bidi w:val="0"/>
                    <w:adjustRightInd w:val="0"/>
                    <w:snapToGrid w:val="0"/>
                    <w:spacing w:line="264" w:lineRule="auto"/>
                    <w:jc w:val="left"/>
                    <w:textAlignment w:val="auto"/>
                    <w:rPr>
                      <w:color w:val="auto"/>
                      <w:szCs w:val="21"/>
                    </w:rPr>
                  </w:pPr>
                  <w:r>
                    <w:rPr>
                      <w:rFonts w:hint="eastAsia"/>
                      <w:color w:val="auto"/>
                      <w:szCs w:val="21"/>
                    </w:rPr>
                    <w:t>2.</w:t>
                  </w:r>
                  <w:r>
                    <w:rPr>
                      <w:color w:val="auto"/>
                      <w:szCs w:val="21"/>
                    </w:rPr>
                    <w:t>工业集聚区应当配套建设污水集中处理设施及其管网，安装污染源自动监测设备，与生态环境主管部门的监控设备联网并保证正常运行；对不符合要求的，生态环境主管部门应当暂停审批该工业集聚区新增水污染物排放总量的建设项目环境影响评价文件。</w:t>
                  </w:r>
                </w:p>
                <w:p w14:paraId="6C7AD803">
                  <w:pPr>
                    <w:pStyle w:val="135"/>
                    <w:keepNext w:val="0"/>
                    <w:keepLines w:val="0"/>
                    <w:pageBreakBefore w:val="0"/>
                    <w:widowControl w:val="0"/>
                    <w:kinsoku/>
                    <w:wordWrap/>
                    <w:overflowPunct/>
                    <w:topLinePunct w:val="0"/>
                    <w:autoSpaceDE/>
                    <w:autoSpaceDN/>
                    <w:bidi w:val="0"/>
                    <w:adjustRightInd w:val="0"/>
                    <w:snapToGrid w:val="0"/>
                    <w:spacing w:line="264" w:lineRule="auto"/>
                    <w:jc w:val="left"/>
                    <w:textAlignment w:val="auto"/>
                    <w:rPr>
                      <w:color w:val="auto"/>
                      <w:szCs w:val="21"/>
                    </w:rPr>
                  </w:pPr>
                  <w:r>
                    <w:rPr>
                      <w:rFonts w:hint="eastAsia"/>
                      <w:color w:val="auto"/>
                      <w:szCs w:val="21"/>
                    </w:rPr>
                    <w:t>3.</w:t>
                  </w:r>
                  <w:r>
                    <w:rPr>
                      <w:color w:val="auto"/>
                      <w:szCs w:val="21"/>
                    </w:rPr>
                    <w:t>化工、电镀、制革、印染等行业企业产生的废水应当按照分质分流的要求进行预处理，达到污水集中处理设施处理工艺要求后方可向处理设施排放。</w:t>
                  </w:r>
                </w:p>
              </w:tc>
              <w:tc>
                <w:tcPr>
                  <w:tcW w:w="3426" w:type="dxa"/>
                  <w:tcBorders>
                    <w:tl2br w:val="nil"/>
                    <w:tr2bl w:val="nil"/>
                  </w:tcBorders>
                  <w:vAlign w:val="center"/>
                </w:tcPr>
                <w:p w14:paraId="37A538AE">
                  <w:pPr>
                    <w:pStyle w:val="135"/>
                    <w:keepNext w:val="0"/>
                    <w:keepLines w:val="0"/>
                    <w:pageBreakBefore w:val="0"/>
                    <w:widowControl w:val="0"/>
                    <w:kinsoku/>
                    <w:wordWrap/>
                    <w:overflowPunct/>
                    <w:topLinePunct w:val="0"/>
                    <w:autoSpaceDE/>
                    <w:autoSpaceDN/>
                    <w:bidi w:val="0"/>
                    <w:adjustRightInd w:val="0"/>
                    <w:snapToGrid w:val="0"/>
                    <w:spacing w:line="264" w:lineRule="auto"/>
                    <w:jc w:val="both"/>
                    <w:textAlignment w:val="auto"/>
                    <w:rPr>
                      <w:color w:val="auto"/>
                      <w:szCs w:val="21"/>
                    </w:rPr>
                  </w:pPr>
                  <w:r>
                    <w:rPr>
                      <w:rFonts w:hint="eastAsia"/>
                      <w:color w:val="auto"/>
                      <w:szCs w:val="21"/>
                    </w:rPr>
                    <w:t>1.</w:t>
                  </w:r>
                  <w:r>
                    <w:rPr>
                      <w:rFonts w:hint="eastAsia"/>
                      <w:color w:val="auto"/>
                      <w:szCs w:val="21"/>
                      <w:lang w:eastAsia="zh-CN"/>
                    </w:rPr>
                    <w:t>迁建项目</w:t>
                  </w:r>
                  <w:r>
                    <w:rPr>
                      <w:color w:val="auto"/>
                      <w:szCs w:val="21"/>
                    </w:rPr>
                    <w:t>选址于福州江阴港城经济区东部临港产业区，属规划建设的工业集聚区。</w:t>
                  </w:r>
                </w:p>
                <w:p w14:paraId="7E221A07">
                  <w:pPr>
                    <w:pStyle w:val="135"/>
                    <w:keepNext w:val="0"/>
                    <w:keepLines w:val="0"/>
                    <w:pageBreakBefore w:val="0"/>
                    <w:widowControl w:val="0"/>
                    <w:kinsoku/>
                    <w:wordWrap/>
                    <w:overflowPunct/>
                    <w:topLinePunct w:val="0"/>
                    <w:autoSpaceDE/>
                    <w:autoSpaceDN/>
                    <w:bidi w:val="0"/>
                    <w:adjustRightInd w:val="0"/>
                    <w:snapToGrid w:val="0"/>
                    <w:spacing w:line="264" w:lineRule="auto"/>
                    <w:jc w:val="both"/>
                    <w:textAlignment w:val="auto"/>
                    <w:rPr>
                      <w:color w:val="auto"/>
                      <w:szCs w:val="21"/>
                    </w:rPr>
                  </w:pPr>
                  <w:r>
                    <w:rPr>
                      <w:rFonts w:hint="eastAsia"/>
                      <w:color w:val="auto"/>
                      <w:szCs w:val="21"/>
                    </w:rPr>
                    <w:t>2.</w:t>
                  </w:r>
                  <w:r>
                    <w:rPr>
                      <w:rFonts w:hint="eastAsia"/>
                      <w:color w:val="auto"/>
                      <w:szCs w:val="21"/>
                      <w:lang w:eastAsia="zh-CN"/>
                    </w:rPr>
                    <w:t>迁建项目</w:t>
                  </w:r>
                  <w:r>
                    <w:rPr>
                      <w:color w:val="auto"/>
                      <w:szCs w:val="21"/>
                    </w:rPr>
                    <w:t>实施</w:t>
                  </w:r>
                  <w:r>
                    <w:rPr>
                      <w:rFonts w:hint="eastAsia"/>
                      <w:color w:val="auto"/>
                      <w:szCs w:val="21"/>
                    </w:rPr>
                    <w:t>雨</w:t>
                  </w:r>
                  <w:r>
                    <w:rPr>
                      <w:color w:val="auto"/>
                      <w:szCs w:val="21"/>
                    </w:rPr>
                    <w:t>污分流、污污分流，</w:t>
                  </w:r>
                  <w:r>
                    <w:rPr>
                      <w:rFonts w:hint="eastAsia"/>
                      <w:color w:val="auto"/>
                      <w:szCs w:val="21"/>
                    </w:rPr>
                    <w:t>不排放生产废水，生活污水经厂区内化粪池处理</w:t>
                  </w:r>
                  <w:r>
                    <w:rPr>
                      <w:color w:val="auto"/>
                      <w:szCs w:val="21"/>
                    </w:rPr>
                    <w:t>达标后</w:t>
                  </w:r>
                  <w:r>
                    <w:rPr>
                      <w:rFonts w:hint="eastAsia"/>
                      <w:color w:val="auto"/>
                      <w:szCs w:val="21"/>
                    </w:rPr>
                    <w:t>排入市政污水管网接入</w:t>
                  </w:r>
                  <w:r>
                    <w:rPr>
                      <w:color w:val="auto"/>
                      <w:szCs w:val="21"/>
                    </w:rPr>
                    <w:t>园区污水处理厂</w:t>
                  </w:r>
                  <w:r>
                    <w:rPr>
                      <w:rFonts w:hint="eastAsia"/>
                      <w:color w:val="auto"/>
                      <w:szCs w:val="21"/>
                      <w:shd w:val="clear" w:fill="FFFFFF"/>
                      <w:lang w:eastAsia="zh-CN"/>
                    </w:rPr>
                    <w:t>(</w:t>
                  </w:r>
                  <w:r>
                    <w:rPr>
                      <w:color w:val="auto"/>
                      <w:szCs w:val="21"/>
                    </w:rPr>
                    <w:t>江阴污水处理厂</w:t>
                  </w:r>
                  <w:r>
                    <w:rPr>
                      <w:rFonts w:hint="eastAsia"/>
                      <w:color w:val="auto"/>
                      <w:szCs w:val="21"/>
                      <w:shd w:val="clear" w:fill="FFFFFF"/>
                      <w:lang w:eastAsia="zh-CN"/>
                    </w:rPr>
                    <w:t>)</w:t>
                  </w:r>
                  <w:r>
                    <w:rPr>
                      <w:color w:val="auto"/>
                      <w:szCs w:val="21"/>
                    </w:rPr>
                    <w:t>进一步处理后排放</w:t>
                  </w:r>
                  <w:r>
                    <w:rPr>
                      <w:rFonts w:hint="eastAsia"/>
                      <w:color w:val="auto"/>
                      <w:szCs w:val="21"/>
                    </w:rPr>
                    <w:t>至兴化湾</w:t>
                  </w:r>
                  <w:r>
                    <w:rPr>
                      <w:color w:val="auto"/>
                      <w:szCs w:val="21"/>
                    </w:rPr>
                    <w:t>，</w:t>
                  </w:r>
                  <w:r>
                    <w:rPr>
                      <w:rFonts w:hint="eastAsia"/>
                      <w:color w:val="auto"/>
                      <w:szCs w:val="21"/>
                    </w:rPr>
                    <w:t>园区</w:t>
                  </w:r>
                  <w:r>
                    <w:rPr>
                      <w:color w:val="auto"/>
                      <w:szCs w:val="21"/>
                    </w:rPr>
                    <w:t>污水处理厂安装</w:t>
                  </w:r>
                  <w:r>
                    <w:rPr>
                      <w:rFonts w:hint="eastAsia"/>
                      <w:color w:val="auto"/>
                      <w:szCs w:val="21"/>
                    </w:rPr>
                    <w:t>了</w:t>
                  </w:r>
                  <w:r>
                    <w:rPr>
                      <w:color w:val="auto"/>
                      <w:szCs w:val="21"/>
                    </w:rPr>
                    <w:t>污染源自动监测设备并与</w:t>
                  </w:r>
                  <w:r>
                    <w:rPr>
                      <w:rFonts w:hint="eastAsia"/>
                      <w:color w:val="auto"/>
                      <w:szCs w:val="21"/>
                    </w:rPr>
                    <w:t>生态环境主管部门</w:t>
                  </w:r>
                  <w:r>
                    <w:rPr>
                      <w:color w:val="auto"/>
                      <w:szCs w:val="21"/>
                    </w:rPr>
                    <w:t>联网</w:t>
                  </w:r>
                  <w:r>
                    <w:rPr>
                      <w:rFonts w:hint="eastAsia"/>
                      <w:color w:val="auto"/>
                      <w:szCs w:val="21"/>
                    </w:rPr>
                    <w:t>。</w:t>
                  </w:r>
                </w:p>
                <w:p w14:paraId="06D1B7F0">
                  <w:pPr>
                    <w:pStyle w:val="135"/>
                    <w:keepNext w:val="0"/>
                    <w:keepLines w:val="0"/>
                    <w:pageBreakBefore w:val="0"/>
                    <w:widowControl w:val="0"/>
                    <w:kinsoku/>
                    <w:wordWrap/>
                    <w:overflowPunct/>
                    <w:topLinePunct w:val="0"/>
                    <w:autoSpaceDE/>
                    <w:autoSpaceDN/>
                    <w:bidi w:val="0"/>
                    <w:adjustRightInd w:val="0"/>
                    <w:snapToGrid w:val="0"/>
                    <w:spacing w:line="264" w:lineRule="auto"/>
                    <w:jc w:val="both"/>
                    <w:textAlignment w:val="auto"/>
                    <w:rPr>
                      <w:color w:val="auto"/>
                      <w:szCs w:val="21"/>
                    </w:rPr>
                  </w:pPr>
                  <w:r>
                    <w:rPr>
                      <w:rFonts w:hint="eastAsia"/>
                      <w:color w:val="auto"/>
                      <w:szCs w:val="21"/>
                    </w:rPr>
                    <w:t>3.</w:t>
                  </w:r>
                  <w:r>
                    <w:rPr>
                      <w:rFonts w:hint="eastAsia"/>
                      <w:color w:val="auto"/>
                      <w:szCs w:val="21"/>
                      <w:lang w:eastAsia="zh-CN"/>
                    </w:rPr>
                    <w:t>迁建项目</w:t>
                  </w:r>
                  <w:r>
                    <w:rPr>
                      <w:rFonts w:hint="eastAsia"/>
                      <w:color w:val="auto"/>
                      <w:szCs w:val="21"/>
                    </w:rPr>
                    <w:t>属于C3021水泥制品</w:t>
                  </w:r>
                  <w:r>
                    <w:rPr>
                      <w:color w:val="auto"/>
                      <w:szCs w:val="21"/>
                    </w:rPr>
                    <w:t>，</w:t>
                  </w:r>
                  <w:r>
                    <w:rPr>
                      <w:rFonts w:hint="eastAsia"/>
                      <w:color w:val="auto"/>
                      <w:szCs w:val="21"/>
                    </w:rPr>
                    <w:t>不属于化工、电镀、制革、印染等行业企业。</w:t>
                  </w:r>
                </w:p>
              </w:tc>
              <w:tc>
                <w:tcPr>
                  <w:tcW w:w="782" w:type="dxa"/>
                  <w:tcBorders>
                    <w:tl2br w:val="nil"/>
                    <w:tr2bl w:val="nil"/>
                  </w:tcBorders>
                  <w:vAlign w:val="center"/>
                </w:tcPr>
                <w:p w14:paraId="1CE293AA">
                  <w:pPr>
                    <w:pStyle w:val="135"/>
                    <w:keepNext w:val="0"/>
                    <w:keepLines w:val="0"/>
                    <w:pageBreakBefore w:val="0"/>
                    <w:widowControl w:val="0"/>
                    <w:kinsoku/>
                    <w:wordWrap/>
                    <w:overflowPunct/>
                    <w:topLinePunct w:val="0"/>
                    <w:autoSpaceDE/>
                    <w:autoSpaceDN/>
                    <w:bidi w:val="0"/>
                    <w:adjustRightInd w:val="0"/>
                    <w:snapToGrid w:val="0"/>
                    <w:spacing w:line="264" w:lineRule="auto"/>
                    <w:textAlignment w:val="auto"/>
                    <w:rPr>
                      <w:color w:val="auto"/>
                      <w:szCs w:val="21"/>
                    </w:rPr>
                  </w:pPr>
                  <w:r>
                    <w:rPr>
                      <w:color w:val="auto"/>
                      <w:szCs w:val="21"/>
                    </w:rPr>
                    <w:t>基本</w:t>
                  </w:r>
                </w:p>
                <w:p w14:paraId="557B5988">
                  <w:pPr>
                    <w:pStyle w:val="135"/>
                    <w:keepNext w:val="0"/>
                    <w:keepLines w:val="0"/>
                    <w:pageBreakBefore w:val="0"/>
                    <w:widowControl w:val="0"/>
                    <w:kinsoku/>
                    <w:wordWrap/>
                    <w:overflowPunct/>
                    <w:topLinePunct w:val="0"/>
                    <w:autoSpaceDE/>
                    <w:autoSpaceDN/>
                    <w:bidi w:val="0"/>
                    <w:adjustRightInd w:val="0"/>
                    <w:snapToGrid w:val="0"/>
                    <w:spacing w:line="264" w:lineRule="auto"/>
                    <w:textAlignment w:val="auto"/>
                    <w:rPr>
                      <w:color w:val="auto"/>
                      <w:szCs w:val="21"/>
                    </w:rPr>
                  </w:pPr>
                  <w:r>
                    <w:rPr>
                      <w:color w:val="auto"/>
                      <w:szCs w:val="21"/>
                    </w:rPr>
                    <w:t>符合</w:t>
                  </w:r>
                </w:p>
              </w:tc>
            </w:tr>
          </w:tbl>
          <w:p w14:paraId="1ACC0739">
            <w:pPr>
              <w:pStyle w:val="143"/>
              <w:spacing w:after="0" w:line="360" w:lineRule="auto"/>
              <w:ind w:firstLine="480" w:firstLineChars="200"/>
              <w:rPr>
                <w:bCs/>
                <w:color w:val="auto"/>
                <w:sz w:val="24"/>
                <w:szCs w:val="24"/>
              </w:rPr>
            </w:pPr>
            <w:r>
              <w:rPr>
                <w:rFonts w:hint="eastAsia"/>
                <w:bCs/>
                <w:color w:val="auto"/>
                <w:sz w:val="24"/>
                <w:szCs w:val="24"/>
              </w:rPr>
              <w:t>(2</w:t>
            </w:r>
            <w:r>
              <w:rPr>
                <w:rFonts w:hint="eastAsia"/>
                <w:bCs/>
                <w:color w:val="auto"/>
                <w:sz w:val="24"/>
                <w:szCs w:val="24"/>
                <w:shd w:val="clear" w:fill="FFFFFF"/>
              </w:rPr>
              <w:t>)</w:t>
            </w:r>
            <w:r>
              <w:rPr>
                <w:bCs/>
                <w:color w:val="auto"/>
                <w:sz w:val="24"/>
                <w:szCs w:val="24"/>
              </w:rPr>
              <w:t>与《福建省土壤污染防治行动计划实施方案》的符合性</w:t>
            </w:r>
          </w:p>
          <w:p w14:paraId="16C9B862">
            <w:pPr>
              <w:pStyle w:val="143"/>
              <w:spacing w:after="0" w:line="360" w:lineRule="auto"/>
              <w:ind w:firstLine="480" w:firstLineChars="200"/>
              <w:rPr>
                <w:bCs/>
                <w:color w:val="auto"/>
                <w:sz w:val="24"/>
                <w:szCs w:val="24"/>
              </w:rPr>
            </w:pPr>
            <w:r>
              <w:rPr>
                <w:bCs/>
                <w:color w:val="auto"/>
                <w:sz w:val="24"/>
                <w:szCs w:val="24"/>
              </w:rPr>
              <w:t>2016年10月15日福建省人民政府发布《福建省土壤污染防治行动计划实施方案》</w:t>
            </w:r>
            <w:r>
              <w:rPr>
                <w:rFonts w:hint="eastAsia"/>
                <w:bCs/>
                <w:color w:val="auto"/>
                <w:sz w:val="24"/>
                <w:szCs w:val="24"/>
                <w:shd w:val="clear" w:fill="FFFFFF"/>
                <w:lang w:eastAsia="zh-CN"/>
              </w:rPr>
              <w:t>(</w:t>
            </w:r>
            <w:r>
              <w:rPr>
                <w:bCs/>
                <w:color w:val="auto"/>
                <w:sz w:val="24"/>
                <w:szCs w:val="24"/>
              </w:rPr>
              <w:t>闽政</w:t>
            </w:r>
            <w:r>
              <w:rPr>
                <w:bCs/>
                <w:color w:val="auto"/>
                <w:sz w:val="24"/>
                <w:szCs w:val="24"/>
                <w:shd w:val="clear" w:fill="FFFFFF"/>
              </w:rPr>
              <w:t>[2016]45号</w:t>
            </w:r>
            <w:r>
              <w:rPr>
                <w:rFonts w:hint="eastAsia"/>
                <w:bCs/>
                <w:color w:val="auto"/>
                <w:sz w:val="24"/>
                <w:szCs w:val="24"/>
                <w:shd w:val="clear" w:fill="FFFFFF"/>
                <w:lang w:eastAsia="zh-CN"/>
              </w:rPr>
              <w:t>)</w:t>
            </w:r>
            <w:r>
              <w:rPr>
                <w:bCs/>
                <w:color w:val="auto"/>
                <w:sz w:val="24"/>
                <w:szCs w:val="24"/>
              </w:rPr>
              <w:t>。</w:t>
            </w:r>
            <w:r>
              <w:rPr>
                <w:rFonts w:hint="eastAsia"/>
                <w:bCs/>
                <w:color w:val="auto"/>
                <w:sz w:val="24"/>
                <w:szCs w:val="24"/>
                <w:lang w:eastAsia="zh-CN"/>
              </w:rPr>
              <w:t>迁建项目</w:t>
            </w:r>
            <w:r>
              <w:rPr>
                <w:bCs/>
                <w:color w:val="auto"/>
                <w:sz w:val="24"/>
                <w:szCs w:val="24"/>
              </w:rPr>
              <w:t>与《福建省土壤污染防治行动计划实施方案》符合性分别见表1.</w:t>
            </w:r>
            <w:r>
              <w:rPr>
                <w:rFonts w:hint="eastAsia"/>
                <w:bCs/>
                <w:color w:val="auto"/>
                <w:sz w:val="24"/>
                <w:szCs w:val="24"/>
              </w:rPr>
              <w:t>1-4</w:t>
            </w:r>
            <w:r>
              <w:rPr>
                <w:bCs/>
                <w:color w:val="auto"/>
                <w:sz w:val="24"/>
                <w:szCs w:val="24"/>
              </w:rPr>
              <w:t>。</w:t>
            </w:r>
          </w:p>
          <w:p w14:paraId="5A7B0CB8">
            <w:pPr>
              <w:jc w:val="center"/>
              <w:rPr>
                <w:rFonts w:eastAsia="黑体"/>
                <w:b/>
                <w:color w:val="auto"/>
                <w:sz w:val="24"/>
              </w:rPr>
            </w:pPr>
            <w:r>
              <w:rPr>
                <w:rFonts w:eastAsia="黑体"/>
                <w:b/>
                <w:color w:val="auto"/>
                <w:sz w:val="24"/>
              </w:rPr>
              <w:t>表1.</w:t>
            </w:r>
            <w:r>
              <w:rPr>
                <w:rFonts w:hint="eastAsia" w:eastAsia="黑体"/>
                <w:b/>
                <w:color w:val="auto"/>
                <w:sz w:val="24"/>
              </w:rPr>
              <w:t>1-4</w:t>
            </w:r>
            <w:r>
              <w:rPr>
                <w:rFonts w:eastAsia="黑体"/>
                <w:b/>
                <w:color w:val="auto"/>
                <w:sz w:val="24"/>
              </w:rPr>
              <w:t xml:space="preserve"> </w:t>
            </w:r>
            <w:r>
              <w:rPr>
                <w:rFonts w:hint="eastAsia" w:eastAsia="黑体"/>
                <w:b/>
                <w:color w:val="auto"/>
                <w:sz w:val="24"/>
              </w:rPr>
              <w:t xml:space="preserve"> </w:t>
            </w:r>
            <w:r>
              <w:rPr>
                <w:rFonts w:eastAsia="黑体"/>
                <w:b/>
                <w:color w:val="auto"/>
                <w:sz w:val="24"/>
              </w:rPr>
              <w:t>与福建省土壤污染防治行动计划实施方案的符合性分析</w:t>
            </w:r>
          </w:p>
          <w:tbl>
            <w:tblPr>
              <w:tblStyle w:val="36"/>
              <w:tblW w:w="7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846"/>
              <w:gridCol w:w="1968"/>
              <w:gridCol w:w="584"/>
            </w:tblGrid>
            <w:tr w14:paraId="1BD03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tcBorders>
                    <w:tl2br w:val="nil"/>
                    <w:tr2bl w:val="nil"/>
                  </w:tcBorders>
                  <w:tcMar>
                    <w:left w:w="28" w:type="dxa"/>
                    <w:right w:w="28" w:type="dxa"/>
                  </w:tcMar>
                  <w:vAlign w:val="center"/>
                </w:tcPr>
                <w:p w14:paraId="087D1224">
                  <w:pPr>
                    <w:ind w:right="17" w:rightChars="8"/>
                    <w:jc w:val="center"/>
                    <w:rPr>
                      <w:color w:val="auto"/>
                      <w:szCs w:val="21"/>
                    </w:rPr>
                  </w:pPr>
                  <w:r>
                    <w:rPr>
                      <w:color w:val="auto"/>
                      <w:szCs w:val="21"/>
                    </w:rPr>
                    <w:t>闽政</w:t>
                  </w:r>
                  <w:r>
                    <w:rPr>
                      <w:color w:val="auto"/>
                      <w:szCs w:val="21"/>
                      <w:shd w:val="clear" w:fill="FFFFFF"/>
                    </w:rPr>
                    <w:t>[2016]45号</w:t>
                  </w:r>
                </w:p>
              </w:tc>
              <w:tc>
                <w:tcPr>
                  <w:tcW w:w="1968" w:type="dxa"/>
                  <w:tcBorders>
                    <w:tl2br w:val="nil"/>
                    <w:tr2bl w:val="nil"/>
                  </w:tcBorders>
                  <w:tcMar>
                    <w:left w:w="28" w:type="dxa"/>
                    <w:right w:w="28" w:type="dxa"/>
                  </w:tcMar>
                  <w:vAlign w:val="center"/>
                </w:tcPr>
                <w:p w14:paraId="3948C1BD">
                  <w:pPr>
                    <w:ind w:right="17" w:rightChars="8"/>
                    <w:jc w:val="center"/>
                    <w:rPr>
                      <w:rFonts w:hint="eastAsia" w:eastAsia="宋体"/>
                      <w:color w:val="auto"/>
                      <w:szCs w:val="21"/>
                      <w:lang w:eastAsia="zh-CN"/>
                    </w:rPr>
                  </w:pPr>
                  <w:r>
                    <w:rPr>
                      <w:rFonts w:hint="eastAsia"/>
                      <w:color w:val="auto"/>
                      <w:szCs w:val="21"/>
                      <w:lang w:eastAsia="zh-CN"/>
                    </w:rPr>
                    <w:t>迁建项目</w:t>
                  </w:r>
                </w:p>
              </w:tc>
              <w:tc>
                <w:tcPr>
                  <w:tcW w:w="584" w:type="dxa"/>
                  <w:tcBorders>
                    <w:tl2br w:val="nil"/>
                    <w:tr2bl w:val="nil"/>
                  </w:tcBorders>
                  <w:tcMar>
                    <w:left w:w="28" w:type="dxa"/>
                    <w:right w:w="28" w:type="dxa"/>
                  </w:tcMar>
                  <w:vAlign w:val="center"/>
                </w:tcPr>
                <w:p w14:paraId="447B6228">
                  <w:pPr>
                    <w:ind w:right="17" w:rightChars="8"/>
                    <w:jc w:val="center"/>
                    <w:rPr>
                      <w:color w:val="auto"/>
                      <w:szCs w:val="21"/>
                    </w:rPr>
                  </w:pPr>
                  <w:r>
                    <w:rPr>
                      <w:color w:val="auto"/>
                      <w:szCs w:val="21"/>
                    </w:rPr>
                    <w:t>符合性</w:t>
                  </w:r>
                </w:p>
              </w:tc>
            </w:tr>
            <w:tr w14:paraId="63D85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tcBorders>
                    <w:tl2br w:val="nil"/>
                    <w:tr2bl w:val="nil"/>
                  </w:tcBorders>
                  <w:tcMar>
                    <w:left w:w="28" w:type="dxa"/>
                    <w:right w:w="28" w:type="dxa"/>
                  </w:tcMar>
                  <w:vAlign w:val="center"/>
                </w:tcPr>
                <w:p w14:paraId="230A9B23">
                  <w:pPr>
                    <w:ind w:right="17" w:rightChars="8"/>
                    <w:jc w:val="center"/>
                    <w:rPr>
                      <w:color w:val="auto"/>
                      <w:szCs w:val="21"/>
                    </w:rPr>
                  </w:pPr>
                  <w:r>
                    <w:rPr>
                      <w:color w:val="auto"/>
                      <w:szCs w:val="21"/>
                    </w:rPr>
                    <w:t>规范废物处理处置活动</w:t>
                  </w:r>
                </w:p>
              </w:tc>
              <w:tc>
                <w:tcPr>
                  <w:tcW w:w="3846" w:type="dxa"/>
                  <w:tcBorders>
                    <w:tl2br w:val="nil"/>
                    <w:tr2bl w:val="nil"/>
                  </w:tcBorders>
                  <w:tcMar>
                    <w:left w:w="28" w:type="dxa"/>
                    <w:right w:w="28" w:type="dxa"/>
                  </w:tcMar>
                  <w:vAlign w:val="center"/>
                </w:tcPr>
                <w:p w14:paraId="0E1C2940">
                  <w:pPr>
                    <w:ind w:right="17" w:rightChars="8"/>
                    <w:jc w:val="center"/>
                    <w:rPr>
                      <w:color w:val="auto"/>
                      <w:szCs w:val="21"/>
                    </w:rPr>
                  </w:pPr>
                  <w:r>
                    <w:rPr>
                      <w:color w:val="auto"/>
                      <w:szCs w:val="21"/>
                    </w:rPr>
                    <w:t>由各市、县负责开展重点行业企业及大宗固体废物的堆存场所排查和整治，完善防扬散、防流失、防渗漏等设施，2017年底前制定完成整治方案并有序实施。进一步健全危险废物源头管控、规范化管理和处置等工作机制，科学规划和建设危险废物处置设施。在大型石化产业基地、以化工为主导行业的工业园区，以及规模化的皮革、合成革、电镀专业集中区，配套建设危险废物贮存处置设施。</w:t>
                  </w:r>
                </w:p>
              </w:tc>
              <w:tc>
                <w:tcPr>
                  <w:tcW w:w="1968" w:type="dxa"/>
                  <w:tcBorders>
                    <w:tl2br w:val="nil"/>
                    <w:tr2bl w:val="nil"/>
                  </w:tcBorders>
                  <w:tcMar>
                    <w:left w:w="28" w:type="dxa"/>
                    <w:right w:w="28" w:type="dxa"/>
                  </w:tcMar>
                  <w:vAlign w:val="center"/>
                </w:tcPr>
                <w:p w14:paraId="295402E1">
                  <w:pPr>
                    <w:ind w:right="17" w:rightChars="8"/>
                    <w:jc w:val="center"/>
                    <w:rPr>
                      <w:color w:val="auto"/>
                      <w:szCs w:val="21"/>
                    </w:rPr>
                  </w:pPr>
                  <w:r>
                    <w:rPr>
                      <w:color w:val="auto"/>
                      <w:szCs w:val="21"/>
                    </w:rPr>
                    <w:t>厂区内</w:t>
                  </w:r>
                  <w:r>
                    <w:rPr>
                      <w:rFonts w:hint="eastAsia"/>
                      <w:color w:val="auto"/>
                      <w:szCs w:val="21"/>
                    </w:rPr>
                    <w:t>拟</w:t>
                  </w:r>
                  <w:r>
                    <w:rPr>
                      <w:color w:val="auto"/>
                      <w:szCs w:val="21"/>
                    </w:rPr>
                    <w:t>设置一般工业固废仓库、并按要求采取了防风、防雨、防日晒和防渗措施。</w:t>
                  </w:r>
                </w:p>
              </w:tc>
              <w:tc>
                <w:tcPr>
                  <w:tcW w:w="584" w:type="dxa"/>
                  <w:tcBorders>
                    <w:tl2br w:val="nil"/>
                    <w:tr2bl w:val="nil"/>
                  </w:tcBorders>
                  <w:tcMar>
                    <w:left w:w="28" w:type="dxa"/>
                    <w:right w:w="28" w:type="dxa"/>
                  </w:tcMar>
                  <w:vAlign w:val="center"/>
                </w:tcPr>
                <w:p w14:paraId="7700D819">
                  <w:pPr>
                    <w:ind w:right="17" w:rightChars="8"/>
                    <w:jc w:val="center"/>
                    <w:rPr>
                      <w:color w:val="auto"/>
                      <w:szCs w:val="21"/>
                    </w:rPr>
                  </w:pPr>
                  <w:r>
                    <w:rPr>
                      <w:color w:val="auto"/>
                      <w:szCs w:val="21"/>
                    </w:rPr>
                    <w:t>符合</w:t>
                  </w:r>
                </w:p>
              </w:tc>
            </w:tr>
            <w:tr w14:paraId="3D063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tcBorders>
                    <w:tl2br w:val="nil"/>
                    <w:tr2bl w:val="nil"/>
                  </w:tcBorders>
                  <w:tcMar>
                    <w:left w:w="28" w:type="dxa"/>
                    <w:right w:w="28" w:type="dxa"/>
                  </w:tcMar>
                  <w:vAlign w:val="center"/>
                </w:tcPr>
                <w:p w14:paraId="30CF4AA5">
                  <w:pPr>
                    <w:ind w:right="17" w:rightChars="8"/>
                    <w:jc w:val="center"/>
                    <w:rPr>
                      <w:color w:val="auto"/>
                      <w:szCs w:val="21"/>
                    </w:rPr>
                  </w:pPr>
                  <w:r>
                    <w:rPr>
                      <w:color w:val="auto"/>
                      <w:szCs w:val="21"/>
                    </w:rPr>
                    <w:t>加强空间布局管控</w:t>
                  </w:r>
                </w:p>
              </w:tc>
              <w:tc>
                <w:tcPr>
                  <w:tcW w:w="3846" w:type="dxa"/>
                  <w:tcBorders>
                    <w:tl2br w:val="nil"/>
                    <w:tr2bl w:val="nil"/>
                  </w:tcBorders>
                  <w:tcMar>
                    <w:left w:w="28" w:type="dxa"/>
                    <w:right w:w="28" w:type="dxa"/>
                  </w:tcMar>
                  <w:vAlign w:val="center"/>
                </w:tcPr>
                <w:p w14:paraId="58F8C0D9">
                  <w:pPr>
                    <w:ind w:right="17" w:rightChars="8"/>
                    <w:jc w:val="center"/>
                    <w:rPr>
                      <w:color w:val="auto"/>
                      <w:szCs w:val="21"/>
                    </w:rPr>
                  </w:pPr>
                  <w:r>
                    <w:rPr>
                      <w:color w:val="auto"/>
                      <w:szCs w:val="21"/>
                    </w:rPr>
                    <w:t>严守生态保护红线，在红线区域实施最严格的土地用途管制和产业退出制度。全面落实主体功能区规划，合理布局重点行业企业，实行规划环评与建设项目环评联动机制，加强规划区划和建设项目布局论证，根据土壤环境等资源环境承载能力，合理确定区域功能定位和空间布局。</w:t>
                  </w:r>
                </w:p>
              </w:tc>
              <w:tc>
                <w:tcPr>
                  <w:tcW w:w="1968" w:type="dxa"/>
                  <w:tcBorders>
                    <w:tl2br w:val="nil"/>
                    <w:tr2bl w:val="nil"/>
                  </w:tcBorders>
                  <w:tcMar>
                    <w:left w:w="28" w:type="dxa"/>
                    <w:right w:w="28" w:type="dxa"/>
                  </w:tcMar>
                  <w:vAlign w:val="center"/>
                </w:tcPr>
                <w:p w14:paraId="288DE9AB">
                  <w:pPr>
                    <w:ind w:right="17" w:rightChars="8"/>
                    <w:jc w:val="center"/>
                    <w:rPr>
                      <w:color w:val="auto"/>
                      <w:szCs w:val="21"/>
                    </w:rPr>
                  </w:pPr>
                  <w:r>
                    <w:rPr>
                      <w:rFonts w:hint="eastAsia"/>
                      <w:color w:val="auto"/>
                      <w:szCs w:val="21"/>
                      <w:lang w:eastAsia="zh-CN"/>
                    </w:rPr>
                    <w:t>迁建项目</w:t>
                  </w:r>
                  <w:r>
                    <w:rPr>
                      <w:color w:val="auto"/>
                      <w:szCs w:val="21"/>
                    </w:rPr>
                    <w:t>位于福州江阴港城经济区东部临港产业区，用地未占用生态保护红线。</w:t>
                  </w:r>
                </w:p>
              </w:tc>
              <w:tc>
                <w:tcPr>
                  <w:tcW w:w="584" w:type="dxa"/>
                  <w:tcBorders>
                    <w:tl2br w:val="nil"/>
                    <w:tr2bl w:val="nil"/>
                  </w:tcBorders>
                  <w:tcMar>
                    <w:left w:w="28" w:type="dxa"/>
                    <w:right w:w="28" w:type="dxa"/>
                  </w:tcMar>
                  <w:vAlign w:val="center"/>
                </w:tcPr>
                <w:p w14:paraId="1485A313">
                  <w:pPr>
                    <w:ind w:right="17" w:rightChars="8"/>
                    <w:jc w:val="center"/>
                    <w:rPr>
                      <w:color w:val="auto"/>
                      <w:szCs w:val="21"/>
                    </w:rPr>
                  </w:pPr>
                  <w:r>
                    <w:rPr>
                      <w:color w:val="auto"/>
                      <w:szCs w:val="21"/>
                    </w:rPr>
                    <w:t>符合</w:t>
                  </w:r>
                </w:p>
              </w:tc>
            </w:tr>
          </w:tbl>
          <w:p w14:paraId="3DF19B52">
            <w:pPr>
              <w:keepNext/>
              <w:keepLines/>
              <w:numPr>
                <w:ilvl w:val="3"/>
                <w:numId w:val="0"/>
              </w:numPr>
              <w:spacing w:line="360" w:lineRule="auto"/>
              <w:ind w:left="220" w:leftChars="105" w:firstLine="76" w:firstLineChars="32"/>
              <w:outlineLvl w:val="3"/>
              <w:rPr>
                <w:color w:val="auto"/>
                <w:sz w:val="24"/>
                <w:szCs w:val="28"/>
              </w:rPr>
            </w:pPr>
            <w:bookmarkStart w:id="19" w:name="_Toc40028181"/>
            <w:bookmarkStart w:id="20" w:name="_Toc37888111"/>
            <w:bookmarkStart w:id="21" w:name="_Toc42004097"/>
            <w:r>
              <w:rPr>
                <w:rFonts w:hint="eastAsia"/>
                <w:color w:val="auto"/>
                <w:sz w:val="24"/>
                <w:szCs w:val="28"/>
              </w:rPr>
              <w:t>(3</w:t>
            </w:r>
            <w:r>
              <w:rPr>
                <w:rFonts w:hint="eastAsia"/>
                <w:color w:val="auto"/>
                <w:sz w:val="24"/>
                <w:szCs w:val="28"/>
                <w:shd w:val="clear" w:fill="FFFFFF"/>
              </w:rPr>
              <w:t>)</w:t>
            </w:r>
            <w:r>
              <w:rPr>
                <w:color w:val="auto"/>
                <w:sz w:val="24"/>
                <w:szCs w:val="28"/>
              </w:rPr>
              <w:t>与《大气污染防治行动计划》符合性分析</w:t>
            </w:r>
          </w:p>
          <w:p w14:paraId="634293CE">
            <w:pPr>
              <w:spacing w:line="360" w:lineRule="auto"/>
              <w:ind w:firstLine="480" w:firstLineChars="200"/>
              <w:rPr>
                <w:color w:val="auto"/>
                <w:kern w:val="0"/>
                <w:sz w:val="24"/>
              </w:rPr>
            </w:pPr>
            <w:r>
              <w:rPr>
                <w:color w:val="auto"/>
                <w:kern w:val="0"/>
                <w:sz w:val="24"/>
              </w:rPr>
              <w:t>2013年9月10日，国务院以国发</w:t>
            </w:r>
            <w:r>
              <w:rPr>
                <w:color w:val="auto"/>
                <w:kern w:val="0"/>
                <w:sz w:val="24"/>
                <w:shd w:val="clear" w:fill="FFFFFF"/>
              </w:rPr>
              <w:t>[2013]37号</w:t>
            </w:r>
            <w:r>
              <w:rPr>
                <w:color w:val="auto"/>
                <w:kern w:val="0"/>
                <w:sz w:val="24"/>
              </w:rPr>
              <w:t>《国务院关于印发大气污染防治行动计划的通知》印发了大气污染防治行动计划。《大气污染防治行动计划》中“京津冀、长三角、珠三角区域以及辽宁中部、山东、武汉及其周边、长株潭、成渝、海峡西岸、山西中北部、陕西关中、甘宁、乌鲁木齐城市群等</w:t>
            </w:r>
            <w:r>
              <w:rPr>
                <w:color w:val="auto"/>
                <w:kern w:val="0"/>
                <w:sz w:val="24"/>
                <w:shd w:val="clear" w:fill="FFFFFF"/>
              </w:rPr>
              <w:t>“</w:t>
            </w:r>
            <w:r>
              <w:rPr>
                <w:color w:val="auto"/>
                <w:kern w:val="0"/>
                <w:sz w:val="24"/>
              </w:rPr>
              <w:t>三区十群”的47个城市，新建火电、钢铁、石化、水泥、有色、化工等企业以及燃煤锅炉项目要执行大气污染物特别排放限值”的要求。</w:t>
            </w:r>
          </w:p>
          <w:p w14:paraId="7FFE2DF5">
            <w:pPr>
              <w:spacing w:line="360" w:lineRule="auto"/>
              <w:ind w:firstLine="480" w:firstLineChars="200"/>
              <w:rPr>
                <w:color w:val="auto"/>
                <w:kern w:val="0"/>
                <w:sz w:val="24"/>
              </w:rPr>
            </w:pPr>
            <w:r>
              <w:rPr>
                <w:color w:val="auto"/>
                <w:kern w:val="0"/>
                <w:sz w:val="24"/>
              </w:rPr>
              <w:t>本工程拟选址于</w:t>
            </w:r>
            <w:r>
              <w:rPr>
                <w:rFonts w:hint="eastAsia"/>
                <w:color w:val="auto"/>
                <w:kern w:val="0"/>
                <w:sz w:val="24"/>
              </w:rPr>
              <w:t>福</w:t>
            </w:r>
            <w:r>
              <w:rPr>
                <w:rFonts w:hint="eastAsia"/>
                <w:color w:val="auto"/>
                <w:kern w:val="0"/>
                <w:sz w:val="24"/>
                <w:shd w:val="clear" w:fill="FFFFFF"/>
              </w:rPr>
              <w:t>州</w:t>
            </w:r>
            <w:r>
              <w:rPr>
                <w:rFonts w:hint="eastAsia"/>
                <w:color w:val="auto"/>
                <w:kern w:val="0"/>
                <w:sz w:val="24"/>
              </w:rPr>
              <w:t>江阴港城经济区东部临港产业区，属于C3021水泥制品，不属于</w:t>
            </w:r>
            <w:r>
              <w:rPr>
                <w:color w:val="auto"/>
                <w:kern w:val="0"/>
                <w:sz w:val="24"/>
              </w:rPr>
              <w:t>新建火电、钢铁、石化、水泥、有色、化工等企业以及燃煤锅炉项目</w:t>
            </w:r>
            <w:r>
              <w:rPr>
                <w:rFonts w:hint="eastAsia"/>
                <w:color w:val="auto"/>
                <w:kern w:val="0"/>
                <w:sz w:val="24"/>
              </w:rPr>
              <w:t>，大气污染物不需要执行特别排放限值要求，</w:t>
            </w:r>
            <w:r>
              <w:rPr>
                <w:rFonts w:hint="eastAsia"/>
                <w:color w:val="auto"/>
                <w:kern w:val="0"/>
                <w:sz w:val="24"/>
                <w:lang w:eastAsia="zh-CN"/>
              </w:rPr>
              <w:t>迁建项目</w:t>
            </w:r>
            <w:r>
              <w:rPr>
                <w:color w:val="auto"/>
                <w:kern w:val="0"/>
                <w:sz w:val="24"/>
              </w:rPr>
              <w:t>产生的</w:t>
            </w:r>
            <w:r>
              <w:rPr>
                <w:rFonts w:hint="eastAsia"/>
                <w:color w:val="auto"/>
                <w:kern w:val="0"/>
                <w:sz w:val="24"/>
              </w:rPr>
              <w:t>粉尘</w:t>
            </w:r>
            <w:r>
              <w:rPr>
                <w:color w:val="auto"/>
                <w:kern w:val="0"/>
                <w:sz w:val="24"/>
              </w:rPr>
              <w:t>废气通过处理均能满足排放限值要求</w:t>
            </w:r>
            <w:r>
              <w:rPr>
                <w:rFonts w:hint="eastAsia"/>
                <w:color w:val="auto"/>
                <w:kern w:val="0"/>
                <w:sz w:val="24"/>
              </w:rPr>
              <w:t>。</w:t>
            </w:r>
            <w:r>
              <w:rPr>
                <w:color w:val="auto"/>
                <w:kern w:val="0"/>
                <w:sz w:val="24"/>
              </w:rPr>
              <w:t>综上所述，</w:t>
            </w:r>
            <w:r>
              <w:rPr>
                <w:rFonts w:hint="eastAsia"/>
                <w:color w:val="auto"/>
                <w:kern w:val="0"/>
                <w:sz w:val="24"/>
                <w:lang w:eastAsia="zh-CN"/>
              </w:rPr>
              <w:t>迁建项目</w:t>
            </w:r>
            <w:r>
              <w:rPr>
                <w:color w:val="auto"/>
                <w:kern w:val="0"/>
                <w:sz w:val="24"/>
              </w:rPr>
              <w:t>实施符合大气污染防治行动计划相关要求。</w:t>
            </w:r>
          </w:p>
          <w:p w14:paraId="42CC3F5C">
            <w:pPr>
              <w:keepNext/>
              <w:keepLines/>
              <w:numPr>
                <w:ilvl w:val="3"/>
                <w:numId w:val="0"/>
              </w:numPr>
              <w:spacing w:line="360" w:lineRule="auto"/>
              <w:ind w:left="220" w:leftChars="105" w:firstLine="314" w:firstLineChars="131"/>
              <w:outlineLvl w:val="3"/>
              <w:rPr>
                <w:b/>
                <w:bCs/>
                <w:color w:val="auto"/>
                <w:sz w:val="24"/>
                <w:szCs w:val="28"/>
              </w:rPr>
            </w:pPr>
            <w:r>
              <w:rPr>
                <w:rFonts w:hint="eastAsia"/>
                <w:color w:val="auto"/>
                <w:sz w:val="24"/>
                <w:szCs w:val="28"/>
                <w:shd w:val="clear" w:fill="FFFFFF"/>
              </w:rPr>
              <w:t>(</w:t>
            </w:r>
            <w:r>
              <w:rPr>
                <w:rFonts w:hint="eastAsia"/>
                <w:color w:val="auto"/>
                <w:sz w:val="24"/>
                <w:szCs w:val="28"/>
              </w:rPr>
              <w:t>4</w:t>
            </w:r>
            <w:r>
              <w:rPr>
                <w:rFonts w:hint="eastAsia"/>
                <w:color w:val="auto"/>
                <w:sz w:val="24"/>
                <w:szCs w:val="28"/>
                <w:shd w:val="clear" w:fill="FFFFFF"/>
              </w:rPr>
              <w:t>)</w:t>
            </w:r>
            <w:r>
              <w:rPr>
                <w:color w:val="auto"/>
                <w:sz w:val="24"/>
                <w:szCs w:val="28"/>
              </w:rPr>
              <w:t>与《福建省大气污染防治行动计划实施细则》符合性分析</w:t>
            </w:r>
          </w:p>
          <w:p w14:paraId="1321598D">
            <w:pPr>
              <w:spacing w:line="360" w:lineRule="auto"/>
              <w:ind w:firstLine="480" w:firstLineChars="200"/>
              <w:rPr>
                <w:color w:val="auto"/>
                <w:kern w:val="0"/>
                <w:sz w:val="24"/>
              </w:rPr>
            </w:pPr>
            <w:r>
              <w:rPr>
                <w:color w:val="auto"/>
                <w:kern w:val="0"/>
                <w:sz w:val="24"/>
              </w:rPr>
              <w:t>福建省人民政府于2014年1月5日以闽政〔2014〕1号印发了《福建省大气污染防治行动计划实施细则》。细则在严格节能环保准入，优化产业空间布局中提出：石化、冶金等产业应选择大气扩散条件好、远期城镇发展区、生态环境敏感度不高、排水条件较理想的沿海地区布局。</w:t>
            </w:r>
          </w:p>
          <w:p w14:paraId="16F4915D">
            <w:pPr>
              <w:spacing w:line="360" w:lineRule="auto"/>
              <w:ind w:firstLine="480" w:firstLineChars="200"/>
              <w:rPr>
                <w:color w:val="auto"/>
                <w:kern w:val="0"/>
                <w:sz w:val="24"/>
              </w:rPr>
            </w:pPr>
            <w:r>
              <w:rPr>
                <w:color w:val="auto"/>
                <w:kern w:val="0"/>
                <w:sz w:val="24"/>
              </w:rPr>
              <w:t>本工程位于</w:t>
            </w:r>
            <w:r>
              <w:rPr>
                <w:rFonts w:hint="eastAsia"/>
                <w:color w:val="auto"/>
                <w:kern w:val="0"/>
                <w:sz w:val="24"/>
              </w:rPr>
              <w:t>福州江阴港城经济区东部临港产业区</w:t>
            </w:r>
            <w:r>
              <w:rPr>
                <w:color w:val="auto"/>
                <w:kern w:val="0"/>
                <w:sz w:val="24"/>
              </w:rPr>
              <w:t>，大气扩散条件好，工业区远离城镇发展区、生态环境敏感度不高。因此，项目的选址布局符合细则中对产业空间布局的要求。</w:t>
            </w:r>
          </w:p>
          <w:p w14:paraId="61D4C1B3">
            <w:pPr>
              <w:topLinePunct/>
              <w:spacing w:line="360" w:lineRule="auto"/>
              <w:ind w:firstLine="482" w:firstLineChars="200"/>
              <w:rPr>
                <w:b/>
                <w:bCs/>
                <w:color w:val="auto"/>
                <w:sz w:val="24"/>
              </w:rPr>
            </w:pPr>
            <w:r>
              <w:rPr>
                <w:rFonts w:hint="eastAsia"/>
                <w:b/>
                <w:bCs/>
                <w:color w:val="auto"/>
                <w:sz w:val="24"/>
                <w:shd w:val="clear" w:fill="FFFFFF"/>
                <w:lang w:eastAsia="zh-CN"/>
              </w:rPr>
              <w:t>(</w:t>
            </w:r>
            <w:r>
              <w:rPr>
                <w:rFonts w:hint="eastAsia"/>
                <w:b/>
                <w:bCs/>
                <w:color w:val="auto"/>
                <w:sz w:val="24"/>
              </w:rPr>
              <w:t>四</w:t>
            </w:r>
            <w:r>
              <w:rPr>
                <w:rFonts w:hint="eastAsia"/>
                <w:b/>
                <w:bCs/>
                <w:color w:val="auto"/>
                <w:sz w:val="24"/>
                <w:shd w:val="clear" w:fill="FFFFFF"/>
                <w:lang w:eastAsia="zh-CN"/>
              </w:rPr>
              <w:t>)</w:t>
            </w:r>
            <w:r>
              <w:rPr>
                <w:b/>
                <w:bCs/>
                <w:color w:val="auto"/>
                <w:sz w:val="24"/>
              </w:rPr>
              <w:t>项目选址合理性分析</w:t>
            </w:r>
          </w:p>
          <w:p w14:paraId="28E9D1F7">
            <w:pPr>
              <w:spacing w:line="360" w:lineRule="auto"/>
              <w:ind w:firstLine="480" w:firstLineChars="200"/>
              <w:contextualSpacing/>
              <w:rPr>
                <w:color w:val="auto"/>
                <w:sz w:val="24"/>
              </w:rPr>
            </w:pPr>
            <w:r>
              <w:rPr>
                <w:rFonts w:hint="eastAsia"/>
                <w:color w:val="auto"/>
                <w:sz w:val="24"/>
                <w:lang w:eastAsia="zh-CN"/>
              </w:rPr>
              <w:t>迁建项目</w:t>
            </w:r>
            <w:r>
              <w:rPr>
                <w:color w:val="auto"/>
                <w:sz w:val="24"/>
              </w:rPr>
              <w:t>位于</w:t>
            </w:r>
            <w:r>
              <w:rPr>
                <w:rFonts w:hint="eastAsia"/>
                <w:color w:val="auto"/>
                <w:kern w:val="0"/>
                <w:sz w:val="24"/>
              </w:rPr>
              <w:t>福州江阴港城经济区东部临港产业区</w:t>
            </w:r>
            <w:r>
              <w:rPr>
                <w:color w:val="auto"/>
                <w:sz w:val="24"/>
              </w:rPr>
              <w:t>，属规划建设的工业集聚区。</w:t>
            </w:r>
            <w:r>
              <w:rPr>
                <w:rFonts w:hint="eastAsia"/>
                <w:color w:val="auto"/>
                <w:sz w:val="24"/>
              </w:rPr>
              <w:t>根据《</w:t>
            </w:r>
            <w:bookmarkStart w:id="22" w:name="OLE_LINK1"/>
            <w:r>
              <w:rPr>
                <w:rFonts w:hint="eastAsia"/>
                <w:color w:val="auto"/>
                <w:sz w:val="24"/>
              </w:rPr>
              <w:t>江阴港城总体规划</w:t>
            </w:r>
            <w:r>
              <w:rPr>
                <w:rFonts w:hint="eastAsia"/>
                <w:color w:val="auto"/>
                <w:sz w:val="24"/>
                <w:shd w:val="clear" w:fill="FFFFFF"/>
                <w:lang w:eastAsia="zh-CN"/>
              </w:rPr>
              <w:t>(</w:t>
            </w:r>
            <w:r>
              <w:rPr>
                <w:rFonts w:hint="eastAsia"/>
                <w:color w:val="auto"/>
                <w:sz w:val="24"/>
              </w:rPr>
              <w:t>2018-2035</w:t>
            </w:r>
            <w:bookmarkEnd w:id="22"/>
            <w:r>
              <w:rPr>
                <w:rFonts w:hint="eastAsia"/>
                <w:color w:val="auto"/>
                <w:sz w:val="24"/>
                <w:shd w:val="clear" w:fill="FFFFFF"/>
                <w:lang w:eastAsia="zh-CN"/>
              </w:rPr>
              <w:t>)</w:t>
            </w:r>
            <w:r>
              <w:rPr>
                <w:rFonts w:hint="eastAsia"/>
                <w:color w:val="auto"/>
                <w:sz w:val="24"/>
              </w:rPr>
              <w:t>环境影响报告书》，本次规划环评要求以东部产业区化工区</w:t>
            </w:r>
            <w:r>
              <w:rPr>
                <w:rFonts w:hint="eastAsia"/>
                <w:color w:val="auto"/>
                <w:sz w:val="24"/>
                <w:shd w:val="clear" w:fill="FFFFFF"/>
                <w:lang w:eastAsia="zh-CN"/>
              </w:rPr>
              <w:t>(</w:t>
            </w:r>
            <w:r>
              <w:rPr>
                <w:rFonts w:hint="eastAsia"/>
                <w:color w:val="auto"/>
                <w:sz w:val="24"/>
              </w:rPr>
              <w:t>张厝路以南、江阴东路以东地块</w:t>
            </w:r>
            <w:r>
              <w:rPr>
                <w:rFonts w:hint="eastAsia"/>
                <w:color w:val="auto"/>
                <w:sz w:val="24"/>
                <w:shd w:val="clear" w:fill="FFFFFF"/>
                <w:lang w:eastAsia="zh-CN"/>
              </w:rPr>
              <w:t>)</w:t>
            </w:r>
            <w:r>
              <w:rPr>
                <w:rFonts w:hint="eastAsia"/>
                <w:color w:val="auto"/>
                <w:sz w:val="24"/>
              </w:rPr>
              <w:t>北侧边界以外500m范围</w:t>
            </w:r>
            <w:r>
              <w:rPr>
                <w:rFonts w:hint="eastAsia"/>
                <w:color w:val="auto"/>
                <w:sz w:val="24"/>
                <w:lang w:eastAsia="zh-CN"/>
              </w:rPr>
              <w:t>设置</w:t>
            </w:r>
            <w:r>
              <w:rPr>
                <w:rFonts w:hint="eastAsia"/>
                <w:color w:val="auto"/>
                <w:sz w:val="24"/>
              </w:rPr>
              <w:t>环保隔离带，该范围均位于东部产业区内，要求环保隔离带内不涉及敏感目标；在东部产业区环保隔离带以外，至东部产业区化工区风险事故应急疏散范围</w:t>
            </w:r>
            <w:r>
              <w:rPr>
                <w:rFonts w:hint="eastAsia"/>
                <w:color w:val="auto"/>
                <w:sz w:val="24"/>
                <w:shd w:val="clear" w:fill="FFFFFF"/>
                <w:lang w:eastAsia="zh-CN"/>
              </w:rPr>
              <w:t>(</w:t>
            </w:r>
            <w:r>
              <w:rPr>
                <w:rFonts w:hint="eastAsia"/>
                <w:color w:val="auto"/>
                <w:sz w:val="24"/>
              </w:rPr>
              <w:t>东部化工区有害车间外2000m范围</w:t>
            </w:r>
            <w:r>
              <w:rPr>
                <w:rFonts w:hint="eastAsia"/>
                <w:color w:val="auto"/>
                <w:sz w:val="24"/>
                <w:shd w:val="clear" w:fill="FFFFFF"/>
                <w:lang w:eastAsia="zh-CN"/>
              </w:rPr>
              <w:t>)</w:t>
            </w:r>
            <w:r>
              <w:rPr>
                <w:rFonts w:hint="eastAsia"/>
                <w:color w:val="auto"/>
                <w:sz w:val="24"/>
              </w:rPr>
              <w:t>之间，</w:t>
            </w:r>
            <w:r>
              <w:rPr>
                <w:rFonts w:hint="eastAsia"/>
                <w:color w:val="auto"/>
                <w:sz w:val="24"/>
                <w:lang w:eastAsia="zh-CN"/>
              </w:rPr>
              <w:t>设置</w:t>
            </w:r>
            <w:r>
              <w:rPr>
                <w:rFonts w:hint="eastAsia"/>
                <w:color w:val="auto"/>
                <w:sz w:val="24"/>
              </w:rPr>
              <w:t>环保控制带，要求环保控制带内不得新增居住建筑，规划用地可作为港口及产业区配套的商业、办公、宿舍、研发、测试等用地。</w:t>
            </w:r>
          </w:p>
          <w:p w14:paraId="723EF16F">
            <w:pPr>
              <w:spacing w:line="360" w:lineRule="auto"/>
              <w:ind w:firstLine="480" w:firstLineChars="200"/>
              <w:contextualSpacing/>
              <w:rPr>
                <w:color w:val="auto"/>
                <w:sz w:val="24"/>
              </w:rPr>
            </w:pPr>
            <w:r>
              <w:rPr>
                <w:rFonts w:hint="eastAsia"/>
                <w:color w:val="auto"/>
                <w:sz w:val="24"/>
                <w:lang w:eastAsia="zh-CN"/>
              </w:rPr>
              <w:t>迁建项目</w:t>
            </w:r>
            <w:r>
              <w:rPr>
                <w:rFonts w:hint="eastAsia"/>
                <w:color w:val="auto"/>
                <w:sz w:val="24"/>
              </w:rPr>
              <w:t>用地不涉及环保控制带和环保隔离带，且</w:t>
            </w:r>
            <w:r>
              <w:rPr>
                <w:rFonts w:hint="eastAsia"/>
                <w:color w:val="auto"/>
                <w:sz w:val="24"/>
                <w:lang w:eastAsia="zh-CN"/>
              </w:rPr>
              <w:t>迁建项目</w:t>
            </w:r>
            <w:r>
              <w:rPr>
                <w:rFonts w:hint="eastAsia"/>
                <w:color w:val="auto"/>
                <w:sz w:val="24"/>
              </w:rPr>
              <w:t>不属于重污染行业，产生的废气经治理后均能达标排放；不排放生产废水，生活污水经厂内化粪池处理后排入江阴污水处理厂进一步处理；选用低噪声设备，厂房隔声、高噪声设备基础减振处理后对周围环境影响小，</w:t>
            </w:r>
            <w:r>
              <w:rPr>
                <w:color w:val="auto"/>
                <w:sz w:val="24"/>
              </w:rPr>
              <w:t>项目建设运营后对周边的环境现状影响较小</w:t>
            </w:r>
            <w:r>
              <w:rPr>
                <w:rFonts w:hint="eastAsia"/>
                <w:color w:val="auto"/>
                <w:sz w:val="24"/>
              </w:rPr>
              <w:t>，与规划环评要求不冲突</w:t>
            </w:r>
            <w:r>
              <w:rPr>
                <w:color w:val="auto"/>
                <w:sz w:val="24"/>
              </w:rPr>
              <w:t>；项目周边区域水、大气、声环境质量现状均能达到相关标准要求，均有一定环境容量；项目建设与周围环境相容。项目选址较为合理</w:t>
            </w:r>
            <w:r>
              <w:rPr>
                <w:rFonts w:hint="eastAsia"/>
                <w:color w:val="auto"/>
                <w:sz w:val="24"/>
              </w:rPr>
              <w:t>。</w:t>
            </w:r>
          </w:p>
          <w:p w14:paraId="420713B6">
            <w:pPr>
              <w:pStyle w:val="143"/>
              <w:spacing w:after="0" w:line="360" w:lineRule="auto"/>
              <w:ind w:firstLineChars="200"/>
              <w:rPr>
                <w:bCs/>
                <w:color w:val="auto"/>
                <w:sz w:val="24"/>
                <w:szCs w:val="24"/>
              </w:rPr>
            </w:pPr>
            <w:r>
              <w:rPr>
                <w:rFonts w:hint="eastAsia"/>
                <w:b/>
                <w:bCs/>
                <w:color w:val="auto"/>
                <w:sz w:val="24"/>
                <w:szCs w:val="24"/>
                <w:shd w:val="clear" w:fill="FFFFFF"/>
                <w:lang w:eastAsia="zh-CN"/>
              </w:rPr>
              <w:t>(</w:t>
            </w:r>
            <w:r>
              <w:rPr>
                <w:rFonts w:hint="eastAsia"/>
                <w:b/>
                <w:bCs/>
                <w:color w:val="auto"/>
                <w:sz w:val="24"/>
                <w:szCs w:val="24"/>
              </w:rPr>
              <w:t>五</w:t>
            </w:r>
            <w:r>
              <w:rPr>
                <w:rFonts w:hint="eastAsia"/>
                <w:b/>
                <w:bCs/>
                <w:color w:val="auto"/>
                <w:sz w:val="24"/>
                <w:szCs w:val="24"/>
                <w:shd w:val="clear" w:fill="FFFFFF"/>
                <w:lang w:eastAsia="zh-CN"/>
              </w:rPr>
              <w:t>)</w:t>
            </w:r>
            <w:r>
              <w:rPr>
                <w:bCs/>
                <w:color w:val="auto"/>
                <w:sz w:val="24"/>
                <w:szCs w:val="24"/>
              </w:rPr>
              <w:t>小结</w:t>
            </w:r>
            <w:bookmarkEnd w:id="19"/>
            <w:bookmarkEnd w:id="20"/>
            <w:bookmarkEnd w:id="21"/>
          </w:p>
          <w:p w14:paraId="76D0C1A8">
            <w:pPr>
              <w:pStyle w:val="143"/>
              <w:spacing w:after="0" w:line="360" w:lineRule="auto"/>
              <w:ind w:firstLine="480" w:firstLineChars="200"/>
              <w:rPr>
                <w:bCs/>
                <w:color w:val="auto"/>
                <w:sz w:val="24"/>
                <w:szCs w:val="24"/>
              </w:rPr>
            </w:pPr>
            <w:r>
              <w:rPr>
                <w:rFonts w:hint="eastAsia"/>
                <w:bCs/>
                <w:color w:val="auto"/>
                <w:sz w:val="24"/>
                <w:szCs w:val="24"/>
                <w:lang w:eastAsia="zh-CN"/>
              </w:rPr>
              <w:t>迁建项目</w:t>
            </w:r>
            <w:r>
              <w:rPr>
                <w:bCs/>
                <w:color w:val="auto"/>
                <w:sz w:val="24"/>
                <w:szCs w:val="24"/>
              </w:rPr>
              <w:t>的建设符合当前国家产业政策，符合</w:t>
            </w:r>
            <w:r>
              <w:rPr>
                <w:color w:val="auto"/>
                <w:kern w:val="28"/>
                <w:sz w:val="24"/>
                <w:szCs w:val="24"/>
              </w:rPr>
              <w:t>福州江阴港城总体规划</w:t>
            </w:r>
            <w:r>
              <w:rPr>
                <w:bCs/>
                <w:color w:val="auto"/>
                <w:sz w:val="24"/>
                <w:szCs w:val="24"/>
              </w:rPr>
              <w:t>及其规划环评审查意见的要求，符合福建省水污染防治条例、福建省土壤污染防治行动计划实施方案等环保政策及“三线一单”的要求。</w:t>
            </w:r>
          </w:p>
          <w:p w14:paraId="07147A98">
            <w:pPr>
              <w:pStyle w:val="143"/>
              <w:spacing w:after="0" w:line="360" w:lineRule="auto"/>
              <w:ind w:firstLineChars="200"/>
              <w:rPr>
                <w:bCs/>
                <w:color w:val="auto"/>
                <w:sz w:val="24"/>
                <w:szCs w:val="24"/>
              </w:rPr>
            </w:pPr>
            <w:r>
              <w:rPr>
                <w:rFonts w:hint="eastAsia"/>
                <w:b/>
                <w:bCs/>
                <w:color w:val="auto"/>
                <w:sz w:val="24"/>
                <w:szCs w:val="24"/>
                <w:shd w:val="clear" w:fill="FFFFFF"/>
                <w:lang w:eastAsia="zh-CN"/>
              </w:rPr>
              <w:t>(</w:t>
            </w:r>
            <w:r>
              <w:rPr>
                <w:rFonts w:hint="eastAsia"/>
                <w:b/>
                <w:bCs/>
                <w:color w:val="auto"/>
                <w:sz w:val="24"/>
                <w:szCs w:val="24"/>
                <w:lang w:val="en-US" w:eastAsia="zh-CN"/>
              </w:rPr>
              <w:t>六</w:t>
            </w:r>
            <w:r>
              <w:rPr>
                <w:rFonts w:hint="eastAsia"/>
                <w:b/>
                <w:bCs/>
                <w:color w:val="auto"/>
                <w:sz w:val="24"/>
                <w:szCs w:val="24"/>
                <w:shd w:val="clear" w:fill="FFFFFF"/>
                <w:lang w:eastAsia="zh-CN"/>
              </w:rPr>
              <w:t>)</w:t>
            </w:r>
            <w:r>
              <w:rPr>
                <w:rFonts w:hint="eastAsia"/>
                <w:b/>
                <w:bCs/>
                <w:color w:val="auto"/>
                <w:sz w:val="24"/>
                <w:szCs w:val="24"/>
              </w:rPr>
              <w:t>周围环境相容性</w:t>
            </w:r>
          </w:p>
          <w:p w14:paraId="787C24F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eastAsia="宋体" w:cs="Times New Roman"/>
                <w:color w:val="auto"/>
                <w:kern w:val="0"/>
                <w:sz w:val="24"/>
                <w:szCs w:val="24"/>
                <w:lang w:eastAsia="zh-CN"/>
              </w:rPr>
              <w:t>迁建项目</w:t>
            </w:r>
            <w:r>
              <w:rPr>
                <w:rFonts w:hint="default" w:ascii="Times New Roman" w:hAnsi="Times New Roman" w:eastAsia="宋体" w:cs="Times New Roman"/>
                <w:color w:val="auto"/>
                <w:kern w:val="0"/>
                <w:sz w:val="24"/>
                <w:szCs w:val="24"/>
              </w:rPr>
              <w:t>周边无名胜古迹、旅游景点、文物保护等重点保护目标。根据环境现状监测资料可知，</w:t>
            </w:r>
            <w:r>
              <w:rPr>
                <w:rFonts w:hint="eastAsia" w:eastAsia="宋体" w:cs="Times New Roman"/>
                <w:color w:val="auto"/>
                <w:kern w:val="0"/>
                <w:sz w:val="24"/>
                <w:szCs w:val="24"/>
                <w:lang w:eastAsia="zh-CN"/>
              </w:rPr>
              <w:t>迁建项目</w:t>
            </w:r>
            <w:r>
              <w:rPr>
                <w:rFonts w:hint="default" w:ascii="Times New Roman" w:hAnsi="Times New Roman" w:eastAsia="宋体" w:cs="Times New Roman"/>
                <w:color w:val="auto"/>
                <w:kern w:val="0"/>
                <w:sz w:val="24"/>
                <w:szCs w:val="24"/>
              </w:rPr>
              <w:t>所在区域环境质量较好，满足其相应的功能区规划要求</w:t>
            </w:r>
            <w:r>
              <w:rPr>
                <w:rFonts w:hint="default" w:ascii="Times New Roman" w:hAnsi="Times New Roman" w:eastAsia="宋体" w:cs="Times New Roman"/>
                <w:color w:val="auto"/>
                <w:kern w:val="0"/>
                <w:sz w:val="24"/>
                <w:szCs w:val="24"/>
                <w:lang w:eastAsia="zh-CN"/>
              </w:rPr>
              <w:t>；</w:t>
            </w:r>
            <w:r>
              <w:rPr>
                <w:rFonts w:hint="eastAsia" w:eastAsia="宋体" w:cs="Times New Roman"/>
                <w:color w:val="auto"/>
                <w:kern w:val="0"/>
                <w:sz w:val="24"/>
                <w:szCs w:val="24"/>
                <w:highlight w:val="none"/>
                <w:lang w:eastAsia="zh-CN"/>
              </w:rPr>
              <w:t>迁建项目</w:t>
            </w:r>
            <w:r>
              <w:rPr>
                <w:rFonts w:hint="eastAsia" w:cs="Times New Roman"/>
                <w:color w:val="auto"/>
                <w:kern w:val="0"/>
                <w:sz w:val="24"/>
                <w:szCs w:val="24"/>
                <w:highlight w:val="none"/>
                <w:lang w:val="en-US" w:eastAsia="zh-CN"/>
              </w:rPr>
              <w:t>位于</w:t>
            </w:r>
            <w:r>
              <w:rPr>
                <w:rFonts w:hint="eastAsia"/>
                <w:color w:val="auto"/>
                <w:sz w:val="24"/>
              </w:rPr>
              <w:t>福建省福州市福清市江阴镇江阴港城经济区三峡路与兴林路交叉口东南侧</w:t>
            </w:r>
            <w:r>
              <w:rPr>
                <w:rFonts w:hint="eastAsia"/>
                <w:color w:val="auto"/>
                <w:sz w:val="24"/>
                <w:lang w:val="en-US" w:eastAsia="zh-CN"/>
              </w:rPr>
              <w:t>拟建的厂房</w:t>
            </w:r>
            <w:r>
              <w:rPr>
                <w:rFonts w:hint="default" w:ascii="Times New Roman" w:hAnsi="Times New Roman" w:eastAsia="宋体" w:cs="Times New Roman"/>
                <w:color w:val="auto"/>
                <w:spacing w:val="0"/>
                <w:position w:val="0"/>
                <w:sz w:val="24"/>
                <w:szCs w:val="24"/>
                <w:highlight w:val="none"/>
              </w:rPr>
              <w:t>进行生产活动</w:t>
            </w:r>
            <w:r>
              <w:rPr>
                <w:rFonts w:hint="default" w:ascii="Times New Roman" w:hAnsi="Times New Roman" w:eastAsia="宋体" w:cs="Times New Roman"/>
                <w:color w:val="auto"/>
                <w:kern w:val="0"/>
                <w:sz w:val="24"/>
                <w:szCs w:val="24"/>
                <w:highlight w:val="none"/>
                <w:lang w:val="en-US" w:eastAsia="zh-CN"/>
              </w:rPr>
              <w:t>。</w:t>
            </w:r>
          </w:p>
          <w:p w14:paraId="658C5DD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rPr>
            </w:pPr>
            <w:r>
              <w:rPr>
                <w:rFonts w:hint="eastAsia" w:eastAsia="宋体" w:cs="Times New Roman"/>
                <w:color w:val="auto"/>
                <w:kern w:val="0"/>
                <w:sz w:val="24"/>
                <w:szCs w:val="24"/>
                <w:lang w:eastAsia="zh-CN"/>
              </w:rPr>
              <w:t>迁建项目</w:t>
            </w:r>
            <w:r>
              <w:rPr>
                <w:rFonts w:hint="default" w:ascii="Times New Roman" w:hAnsi="Times New Roman" w:eastAsia="宋体" w:cs="Times New Roman"/>
                <w:color w:val="auto"/>
                <w:kern w:val="0"/>
                <w:sz w:val="24"/>
                <w:szCs w:val="24"/>
              </w:rPr>
              <w:t>周边为工业厂房</w:t>
            </w:r>
            <w:r>
              <w:rPr>
                <w:rFonts w:hint="default" w:ascii="Times New Roman" w:hAnsi="Times New Roman"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规划用地</w:t>
            </w:r>
            <w:r>
              <w:rPr>
                <w:rFonts w:hint="default" w:ascii="Times New Roman" w:hAnsi="Times New Roman" w:cs="Times New Roman"/>
                <w:color w:val="auto"/>
                <w:kern w:val="0"/>
                <w:sz w:val="24"/>
                <w:szCs w:val="24"/>
                <w:lang w:val="en-US" w:eastAsia="zh-CN"/>
              </w:rPr>
              <w:t>和居民自然村</w:t>
            </w:r>
            <w:r>
              <w:rPr>
                <w:rFonts w:hint="default" w:ascii="Times New Roman" w:hAnsi="Times New Roman" w:eastAsia="宋体" w:cs="Times New Roman"/>
                <w:color w:val="auto"/>
                <w:kern w:val="0"/>
                <w:sz w:val="24"/>
                <w:szCs w:val="24"/>
              </w:rPr>
              <w:t>，因此，</w:t>
            </w:r>
            <w:r>
              <w:rPr>
                <w:rFonts w:hint="eastAsia" w:eastAsia="宋体" w:cs="Times New Roman"/>
                <w:color w:val="auto"/>
                <w:kern w:val="0"/>
                <w:sz w:val="24"/>
                <w:szCs w:val="24"/>
                <w:lang w:eastAsia="zh-CN"/>
              </w:rPr>
              <w:t>迁建项目</w:t>
            </w:r>
            <w:r>
              <w:rPr>
                <w:rFonts w:hint="default" w:ascii="Times New Roman" w:hAnsi="Times New Roman" w:eastAsia="宋体" w:cs="Times New Roman"/>
                <w:color w:val="auto"/>
                <w:kern w:val="0"/>
                <w:sz w:val="24"/>
                <w:szCs w:val="24"/>
              </w:rPr>
              <w:t>产生的废气对其影响不大。</w:t>
            </w:r>
            <w:r>
              <w:rPr>
                <w:rFonts w:hint="eastAsia" w:cs="Times New Roman"/>
                <w:color w:val="auto"/>
                <w:kern w:val="0"/>
                <w:sz w:val="24"/>
                <w:szCs w:val="24"/>
                <w:lang w:eastAsia="zh-CN"/>
              </w:rPr>
              <w:t>迁建项目</w:t>
            </w:r>
            <w:r>
              <w:rPr>
                <w:rFonts w:hint="default" w:ascii="Times New Roman" w:hAnsi="Times New Roman" w:cs="Times New Roman"/>
                <w:color w:val="auto"/>
                <w:kern w:val="0"/>
                <w:sz w:val="24"/>
                <w:szCs w:val="24"/>
                <w:lang w:eastAsia="zh-CN"/>
              </w:rPr>
              <w:t>生活污水经化粪池处理后排入市政污水管网进入</w:t>
            </w:r>
            <w:r>
              <w:rPr>
                <w:rFonts w:hint="eastAsia" w:ascii="Times New Roman" w:hAnsi="Times New Roman" w:cs="Times New Roman"/>
                <w:color w:val="auto"/>
                <w:kern w:val="0"/>
                <w:sz w:val="24"/>
                <w:szCs w:val="24"/>
                <w:lang w:eastAsia="zh-CN"/>
              </w:rPr>
              <w:t>江阴污水处理厂</w:t>
            </w:r>
            <w:r>
              <w:rPr>
                <w:rFonts w:hint="default" w:ascii="Times New Roman" w:hAnsi="Times New Roman" w:eastAsia="宋体" w:cs="Times New Roman"/>
                <w:color w:val="auto"/>
                <w:kern w:val="0"/>
                <w:sz w:val="24"/>
                <w:szCs w:val="24"/>
              </w:rPr>
              <w:t>，对周围水环境影响不大。</w:t>
            </w:r>
            <w:r>
              <w:rPr>
                <w:rFonts w:hint="default" w:ascii="Times New Roman" w:hAnsi="Times New Roman" w:eastAsia="宋体" w:cs="Times New Roman"/>
                <w:color w:val="auto"/>
                <w:kern w:val="0"/>
                <w:sz w:val="24"/>
                <w:szCs w:val="24"/>
                <w:lang w:val="en-US" w:eastAsia="zh-CN"/>
              </w:rPr>
              <w:t>一般</w:t>
            </w:r>
            <w:r>
              <w:rPr>
                <w:rFonts w:hint="default" w:ascii="Times New Roman" w:hAnsi="Times New Roman" w:eastAsia="宋体" w:cs="Times New Roman"/>
                <w:color w:val="auto"/>
                <w:kern w:val="0"/>
                <w:sz w:val="24"/>
                <w:szCs w:val="24"/>
              </w:rPr>
              <w:t>固废设置一般固废</w:t>
            </w:r>
            <w:r>
              <w:rPr>
                <w:rFonts w:hint="default" w:ascii="Times New Roman" w:hAnsi="Times New Roman" w:cs="Times New Roman"/>
                <w:color w:val="auto"/>
                <w:kern w:val="0"/>
                <w:sz w:val="24"/>
                <w:szCs w:val="24"/>
                <w:lang w:eastAsia="zh-CN"/>
              </w:rPr>
              <w:t>贮存</w:t>
            </w:r>
            <w:r>
              <w:rPr>
                <w:rFonts w:hint="default" w:ascii="Times New Roman" w:hAnsi="Times New Roman" w:eastAsia="宋体" w:cs="Times New Roman"/>
                <w:color w:val="auto"/>
                <w:kern w:val="0"/>
                <w:sz w:val="24"/>
                <w:szCs w:val="24"/>
              </w:rPr>
              <w:t>间，集中收集后外售</w:t>
            </w:r>
            <w:r>
              <w:rPr>
                <w:rFonts w:hint="default" w:ascii="Times New Roman" w:hAnsi="Times New Roman" w:eastAsia="宋体" w:cs="Times New Roman"/>
                <w:color w:val="auto"/>
                <w:kern w:val="0"/>
                <w:sz w:val="24"/>
                <w:szCs w:val="24"/>
                <w:lang w:val="en-US" w:eastAsia="zh-CN"/>
              </w:rPr>
              <w:t>有资质</w:t>
            </w:r>
            <w:r>
              <w:rPr>
                <w:rFonts w:hint="default" w:ascii="Times New Roman" w:hAnsi="Times New Roman" w:eastAsia="宋体" w:cs="Times New Roman"/>
                <w:color w:val="auto"/>
                <w:kern w:val="0"/>
                <w:sz w:val="24"/>
                <w:szCs w:val="24"/>
              </w:rPr>
              <w:t>单位</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生活垃圾统一收集后委托环卫部门定期清运。设备产生的噪声均采用隔声</w:t>
            </w:r>
            <w:r>
              <w:rPr>
                <w:rFonts w:hint="default" w:ascii="Times New Roman" w:hAnsi="Times New Roman" w:eastAsia="宋体" w:cs="Times New Roman"/>
                <w:color w:val="auto"/>
                <w:kern w:val="0"/>
                <w:sz w:val="24"/>
                <w:szCs w:val="24"/>
                <w:lang w:eastAsia="zh-CN"/>
              </w:rPr>
              <w:t>减振</w:t>
            </w:r>
            <w:r>
              <w:rPr>
                <w:rFonts w:hint="default" w:ascii="Times New Roman" w:hAnsi="Times New Roman" w:eastAsia="宋体" w:cs="Times New Roman"/>
                <w:color w:val="auto"/>
                <w:kern w:val="0"/>
                <w:sz w:val="24"/>
                <w:szCs w:val="24"/>
              </w:rPr>
              <w:t>措施。</w:t>
            </w:r>
            <w:r>
              <w:rPr>
                <w:rFonts w:hint="eastAsia" w:eastAsia="宋体" w:cs="Times New Roman"/>
                <w:color w:val="auto"/>
                <w:kern w:val="0"/>
                <w:sz w:val="24"/>
                <w:szCs w:val="24"/>
                <w:lang w:eastAsia="zh-CN"/>
              </w:rPr>
              <w:t>迁建项目</w:t>
            </w:r>
            <w:r>
              <w:rPr>
                <w:rFonts w:hint="default" w:ascii="Times New Roman" w:hAnsi="Times New Roman" w:eastAsia="宋体" w:cs="Times New Roman"/>
                <w:color w:val="auto"/>
                <w:kern w:val="0"/>
                <w:sz w:val="24"/>
                <w:szCs w:val="24"/>
              </w:rPr>
              <w:t>运营期产生的“三废”及噪声对周边环境影响较小，</w:t>
            </w:r>
            <w:r>
              <w:rPr>
                <w:rFonts w:hint="eastAsia" w:eastAsia="宋体" w:cs="Times New Roman"/>
                <w:color w:val="auto"/>
                <w:kern w:val="0"/>
                <w:sz w:val="24"/>
                <w:szCs w:val="24"/>
                <w:lang w:eastAsia="zh-CN"/>
              </w:rPr>
              <w:t>迁建项目</w:t>
            </w:r>
            <w:r>
              <w:rPr>
                <w:rFonts w:hint="default" w:ascii="Times New Roman" w:hAnsi="Times New Roman" w:eastAsia="宋体" w:cs="Times New Roman"/>
                <w:color w:val="auto"/>
                <w:kern w:val="0"/>
                <w:sz w:val="24"/>
                <w:szCs w:val="24"/>
              </w:rPr>
              <w:t>与周围环境是相容且相互适应的。因此，</w:t>
            </w:r>
            <w:r>
              <w:rPr>
                <w:rFonts w:hint="eastAsia" w:eastAsia="宋体" w:cs="Times New Roman"/>
                <w:color w:val="auto"/>
                <w:kern w:val="0"/>
                <w:sz w:val="24"/>
                <w:szCs w:val="24"/>
                <w:lang w:eastAsia="zh-CN"/>
              </w:rPr>
              <w:t>迁建项目</w:t>
            </w:r>
            <w:r>
              <w:rPr>
                <w:rFonts w:hint="default" w:ascii="Times New Roman" w:hAnsi="Times New Roman" w:eastAsia="宋体" w:cs="Times New Roman"/>
                <w:color w:val="auto"/>
                <w:kern w:val="0"/>
                <w:sz w:val="24"/>
                <w:szCs w:val="24"/>
              </w:rPr>
              <w:t>选址环境功能符合要求。</w:t>
            </w:r>
          </w:p>
          <w:p w14:paraId="42B75B2A">
            <w:pPr>
              <w:pStyle w:val="143"/>
              <w:spacing w:after="0" w:line="360" w:lineRule="auto"/>
              <w:ind w:firstLineChars="200"/>
              <w:rPr>
                <w:bCs/>
                <w:color w:val="auto"/>
                <w:sz w:val="24"/>
                <w:szCs w:val="24"/>
              </w:rPr>
            </w:pPr>
            <w:r>
              <w:rPr>
                <w:rFonts w:hint="eastAsia"/>
                <w:b/>
                <w:bCs/>
                <w:color w:val="auto"/>
                <w:sz w:val="24"/>
                <w:szCs w:val="24"/>
                <w:shd w:val="clear" w:fill="FFFFFF"/>
                <w:lang w:eastAsia="zh-CN"/>
              </w:rPr>
              <w:t>(</w:t>
            </w:r>
            <w:r>
              <w:rPr>
                <w:rFonts w:hint="eastAsia"/>
                <w:b/>
                <w:bCs/>
                <w:color w:val="auto"/>
                <w:sz w:val="24"/>
                <w:szCs w:val="24"/>
                <w:lang w:val="en-US" w:eastAsia="zh-CN"/>
              </w:rPr>
              <w:t>七</w:t>
            </w:r>
            <w:r>
              <w:rPr>
                <w:rFonts w:hint="eastAsia"/>
                <w:b/>
                <w:bCs/>
                <w:color w:val="auto"/>
                <w:sz w:val="24"/>
                <w:szCs w:val="24"/>
                <w:shd w:val="clear" w:fill="FFFFFF"/>
                <w:lang w:eastAsia="zh-CN"/>
              </w:rPr>
              <w:t>)</w:t>
            </w:r>
            <w:r>
              <w:rPr>
                <w:rFonts w:hint="eastAsia"/>
                <w:b/>
                <w:bCs/>
                <w:color w:val="auto"/>
                <w:sz w:val="24"/>
                <w:szCs w:val="24"/>
              </w:rPr>
              <w:t>与“三区三线”的符合性分析</w:t>
            </w:r>
          </w:p>
          <w:p w14:paraId="122682D1">
            <w:pPr>
              <w:pStyle w:val="143"/>
              <w:spacing w:after="0" w:line="360" w:lineRule="auto"/>
              <w:ind w:firstLine="480" w:firstLineChars="200"/>
              <w:rPr>
                <w:rFonts w:hint="eastAsia" w:eastAsia="宋体"/>
                <w:color w:val="auto"/>
                <w:kern w:val="0"/>
                <w:lang w:eastAsia="zh-CN"/>
              </w:rPr>
            </w:pPr>
            <w:r>
              <w:rPr>
                <w:rFonts w:hint="eastAsia" w:eastAsia="宋体" w:cs="Times New Roman"/>
                <w:color w:val="auto"/>
                <w:kern w:val="21"/>
                <w:sz w:val="24"/>
                <w:szCs w:val="24"/>
                <w:highlight w:val="none"/>
                <w:lang w:eastAsia="zh-CN"/>
              </w:rPr>
              <w:t>迁建项目</w:t>
            </w:r>
            <w:r>
              <w:rPr>
                <w:rFonts w:hint="default" w:ascii="Times New Roman" w:hAnsi="Times New Roman" w:eastAsia="宋体" w:cs="Times New Roman"/>
                <w:color w:val="auto"/>
                <w:kern w:val="21"/>
                <w:sz w:val="24"/>
                <w:szCs w:val="24"/>
                <w:highlight w:val="none"/>
                <w:lang w:eastAsia="zh-CN"/>
              </w:rPr>
              <w:t>位于</w:t>
            </w:r>
            <w:r>
              <w:rPr>
                <w:rFonts w:hint="eastAsia" w:eastAsia="宋体" w:cs="Times New Roman"/>
                <w:color w:val="auto"/>
                <w:kern w:val="21"/>
                <w:sz w:val="24"/>
                <w:szCs w:val="24"/>
                <w:highlight w:val="none"/>
                <w:lang w:eastAsia="zh-CN"/>
              </w:rPr>
              <w:t>福建省福州市福清市江阴镇江阴港城经济区三峡路与兴林路交叉口东南侧</w:t>
            </w:r>
            <w:r>
              <w:rPr>
                <w:rFonts w:hint="default" w:ascii="Times New Roman" w:hAnsi="Times New Roman" w:eastAsia="宋体" w:cs="Times New Roman"/>
                <w:color w:val="auto"/>
                <w:kern w:val="21"/>
                <w:sz w:val="24"/>
                <w:szCs w:val="24"/>
                <w:highlight w:val="none"/>
                <w:lang w:eastAsia="zh-CN"/>
              </w:rPr>
              <w:t>，</w:t>
            </w:r>
            <w:r>
              <w:rPr>
                <w:rFonts w:hint="eastAsia" w:eastAsia="宋体" w:cs="Times New Roman"/>
                <w:color w:val="auto"/>
                <w:kern w:val="21"/>
                <w:sz w:val="24"/>
                <w:szCs w:val="24"/>
                <w:highlight w:val="none"/>
                <w:lang w:eastAsia="zh-CN"/>
              </w:rPr>
              <w:t>迁建项目</w:t>
            </w:r>
            <w:r>
              <w:rPr>
                <w:rFonts w:hint="default" w:ascii="Times New Roman" w:hAnsi="Times New Roman" w:eastAsia="宋体" w:cs="Times New Roman"/>
                <w:color w:val="auto"/>
                <w:kern w:val="21"/>
                <w:sz w:val="24"/>
                <w:szCs w:val="24"/>
                <w:highlight w:val="none"/>
                <w:lang w:eastAsia="zh-CN"/>
              </w:rPr>
              <w:t>用地范围</w:t>
            </w:r>
            <w:r>
              <w:rPr>
                <w:rFonts w:hint="default" w:ascii="Times New Roman" w:hAnsi="Times New Roman" w:eastAsia="宋体" w:cs="Times New Roman"/>
                <w:color w:val="auto"/>
                <w:kern w:val="21"/>
                <w:sz w:val="24"/>
                <w:szCs w:val="24"/>
                <w:highlight w:val="none"/>
                <w:lang w:val="en-US" w:eastAsia="zh-CN"/>
              </w:rPr>
              <w:t>属于开发区红线内，</w:t>
            </w:r>
            <w:r>
              <w:rPr>
                <w:rFonts w:hint="default" w:ascii="Times New Roman" w:hAnsi="Times New Roman" w:eastAsia="宋体" w:cs="Times New Roman"/>
                <w:color w:val="auto"/>
                <w:kern w:val="21"/>
                <w:sz w:val="24"/>
                <w:szCs w:val="24"/>
                <w:highlight w:val="none"/>
                <w:lang w:eastAsia="zh-CN"/>
              </w:rPr>
              <w:t>不占用“三区三线”规划的永久基本农田，对基本农田的保有率无影响，不占用“三区三线”成果划定的生态保护红线区，</w:t>
            </w:r>
            <w:r>
              <w:rPr>
                <w:rFonts w:hint="eastAsia" w:eastAsia="宋体" w:cs="Times New Roman"/>
                <w:color w:val="auto"/>
                <w:kern w:val="21"/>
                <w:sz w:val="24"/>
                <w:szCs w:val="24"/>
                <w:highlight w:val="none"/>
                <w:lang w:val="en-US" w:eastAsia="zh-CN"/>
              </w:rPr>
              <w:t>迁建项目</w:t>
            </w:r>
            <w:r>
              <w:rPr>
                <w:rFonts w:hint="default" w:ascii="Times New Roman" w:hAnsi="Times New Roman" w:eastAsia="宋体" w:cs="Times New Roman"/>
                <w:color w:val="auto"/>
                <w:kern w:val="21"/>
                <w:sz w:val="24"/>
                <w:szCs w:val="24"/>
                <w:highlight w:val="none"/>
                <w:lang w:eastAsia="zh-CN"/>
              </w:rPr>
              <w:t>符合</w:t>
            </w:r>
            <w:r>
              <w:rPr>
                <w:rFonts w:hint="default" w:ascii="Times New Roman" w:hAnsi="Times New Roman" w:eastAsia="宋体" w:cs="Times New Roman"/>
                <w:color w:val="auto"/>
                <w:kern w:val="21"/>
                <w:sz w:val="24"/>
                <w:szCs w:val="24"/>
                <w:highlight w:val="none"/>
                <w:lang w:val="en-US" w:eastAsia="zh-CN"/>
              </w:rPr>
              <w:t>福清市</w:t>
            </w:r>
            <w:r>
              <w:rPr>
                <w:rFonts w:hint="default" w:ascii="Times New Roman" w:hAnsi="Times New Roman" w:eastAsia="宋体" w:cs="Times New Roman"/>
                <w:color w:val="auto"/>
                <w:kern w:val="21"/>
                <w:sz w:val="24"/>
                <w:szCs w:val="24"/>
                <w:highlight w:val="none"/>
                <w:lang w:eastAsia="zh-CN"/>
              </w:rPr>
              <w:t>的土地利用总体规划，能够符合城镇集中建设区的功能定位</w:t>
            </w:r>
            <w:r>
              <w:rPr>
                <w:rFonts w:hint="eastAsia" w:cs="Times New Roman"/>
                <w:color w:val="auto"/>
                <w:kern w:val="21"/>
                <w:sz w:val="24"/>
                <w:szCs w:val="24"/>
                <w:highlight w:val="none"/>
                <w:lang w:eastAsia="zh-CN"/>
              </w:rPr>
              <w:t>。</w:t>
            </w:r>
          </w:p>
        </w:tc>
      </w:tr>
    </w:tbl>
    <w:p w14:paraId="4CCE00CE">
      <w:pPr>
        <w:rPr>
          <w:color w:val="auto"/>
        </w:rPr>
      </w:pPr>
    </w:p>
    <w:p w14:paraId="5C530AB7">
      <w:pPr>
        <w:spacing w:line="360" w:lineRule="auto"/>
        <w:outlineLvl w:val="0"/>
        <w:rPr>
          <w:rFonts w:eastAsia="黑体"/>
          <w:color w:val="auto"/>
          <w:kern w:val="21"/>
          <w:sz w:val="30"/>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14:paraId="54D462DC">
      <w:pPr>
        <w:pStyle w:val="31"/>
        <w:jc w:val="center"/>
        <w:outlineLvl w:val="0"/>
        <w:rPr>
          <w:rFonts w:ascii="黑体" w:hAnsi="黑体" w:eastAsia="黑体"/>
          <w:snapToGrid w:val="0"/>
          <w:color w:val="auto"/>
          <w:kern w:val="21"/>
          <w:sz w:val="30"/>
          <w:szCs w:val="30"/>
        </w:rPr>
      </w:pPr>
      <w:bookmarkStart w:id="23" w:name="_Toc22845"/>
      <w:r>
        <w:rPr>
          <w:rFonts w:hint="eastAsia" w:ascii="黑体" w:hAnsi="黑体" w:eastAsia="黑体"/>
          <w:snapToGrid w:val="0"/>
          <w:color w:val="auto"/>
          <w:kern w:val="21"/>
          <w:sz w:val="30"/>
          <w:szCs w:val="30"/>
        </w:rPr>
        <w:t>二、建设项目工程分析</w:t>
      </w:r>
      <w:bookmarkEnd w:id="23"/>
    </w:p>
    <w:tbl>
      <w:tblPr>
        <w:tblStyle w:val="3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8436"/>
      </w:tblGrid>
      <w:tr w14:paraId="4571A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780" w:type="dxa"/>
            <w:vAlign w:val="center"/>
          </w:tcPr>
          <w:p w14:paraId="6AD92C66">
            <w:pPr>
              <w:pStyle w:val="31"/>
              <w:spacing w:before="0" w:beforeAutospacing="0" w:after="0" w:afterAutospacing="0"/>
              <w:jc w:val="center"/>
              <w:rPr>
                <w:rFonts w:cs="宋体"/>
                <w:color w:val="auto"/>
                <w:kern w:val="21"/>
                <w:sz w:val="21"/>
                <w:szCs w:val="21"/>
              </w:rPr>
            </w:pPr>
            <w:r>
              <w:rPr>
                <w:rFonts w:hint="eastAsia" w:cs="宋体"/>
                <w:color w:val="auto"/>
                <w:kern w:val="21"/>
                <w:szCs w:val="24"/>
              </w:rPr>
              <w:t>建设内容</w:t>
            </w:r>
          </w:p>
        </w:tc>
        <w:tc>
          <w:tcPr>
            <w:tcW w:w="8280" w:type="dxa"/>
            <w:vAlign w:val="center"/>
          </w:tcPr>
          <w:p w14:paraId="0AE603CA">
            <w:pPr>
              <w:autoSpaceDE w:val="0"/>
              <w:autoSpaceDN w:val="0"/>
              <w:spacing w:line="360" w:lineRule="auto"/>
              <w:rPr>
                <w:b/>
                <w:bCs/>
                <w:color w:val="auto"/>
                <w:kern w:val="21"/>
                <w:sz w:val="24"/>
              </w:rPr>
            </w:pPr>
            <w:r>
              <w:rPr>
                <w:rFonts w:hint="eastAsia"/>
                <w:b/>
                <w:bCs/>
                <w:color w:val="auto"/>
                <w:kern w:val="21"/>
                <w:sz w:val="24"/>
              </w:rPr>
              <w:t>2.1 项目背景介绍</w:t>
            </w:r>
          </w:p>
          <w:p w14:paraId="107A5F73">
            <w:pPr>
              <w:pStyle w:val="15"/>
              <w:spacing w:beforeLines="0" w:line="360" w:lineRule="auto"/>
              <w:ind w:firstLine="480" w:firstLineChars="200"/>
              <w:jc w:val="left"/>
              <w:rPr>
                <w:rFonts w:ascii="Times New Roman" w:eastAsia="宋体"/>
                <w:color w:val="auto"/>
              </w:rPr>
            </w:pPr>
            <w:r>
              <w:rPr>
                <w:rFonts w:ascii="Times New Roman" w:eastAsia="宋体"/>
                <w:color w:val="auto"/>
              </w:rPr>
              <w:t>福清市融大水泥制品有限公司成立于</w:t>
            </w:r>
            <w:r>
              <w:rPr>
                <w:rFonts w:hint="eastAsia" w:ascii="Times New Roman" w:eastAsia="宋体"/>
                <w:color w:val="auto"/>
              </w:rPr>
              <w:t>2010年5月21日</w:t>
            </w:r>
            <w:r>
              <w:rPr>
                <w:rFonts w:hint="eastAsia" w:ascii="Times New Roman" w:eastAsia="宋体"/>
                <w:color w:val="auto"/>
                <w:shd w:val="clear" w:fill="FFFFFF"/>
                <w:lang w:eastAsia="zh-CN"/>
              </w:rPr>
              <w:t>(</w:t>
            </w:r>
            <w:r>
              <w:rPr>
                <w:rFonts w:ascii="Times New Roman" w:eastAsia="宋体"/>
                <w:color w:val="auto"/>
              </w:rPr>
              <w:t>营业执照见附件2</w:t>
            </w:r>
            <w:r>
              <w:rPr>
                <w:rFonts w:hint="eastAsia" w:ascii="Times New Roman" w:eastAsia="宋体"/>
                <w:color w:val="auto"/>
                <w:shd w:val="clear" w:fill="FFFFFF"/>
                <w:lang w:eastAsia="zh-CN"/>
              </w:rPr>
              <w:t>)</w:t>
            </w:r>
            <w:r>
              <w:rPr>
                <w:rFonts w:hint="eastAsia" w:ascii="Times New Roman" w:eastAsia="宋体"/>
                <w:color w:val="auto"/>
                <w:lang w:eastAsia="zh-CN"/>
              </w:rPr>
              <w:t>，</w:t>
            </w:r>
            <w:r>
              <w:rPr>
                <w:rFonts w:hint="eastAsia" w:ascii="Times New Roman" w:eastAsia="宋体"/>
                <w:color w:val="auto"/>
                <w:lang w:val="en-US" w:eastAsia="zh-CN"/>
              </w:rPr>
              <w:t>法人代表：方秀文</w:t>
            </w:r>
            <w:r>
              <w:rPr>
                <w:rFonts w:hint="eastAsia" w:ascii="Times New Roman" w:eastAsia="宋体"/>
                <w:color w:val="auto"/>
                <w:shd w:val="clear" w:fill="FFFFFF"/>
                <w:lang w:val="en-US" w:eastAsia="zh-CN"/>
              </w:rPr>
              <w:t>(</w:t>
            </w:r>
            <w:r>
              <w:rPr>
                <w:rFonts w:hint="eastAsia" w:ascii="Times New Roman" w:eastAsia="宋体"/>
                <w:color w:val="auto"/>
                <w:lang w:val="en-US" w:eastAsia="zh-CN"/>
              </w:rPr>
              <w:t>法人身份证见附件3</w:t>
            </w:r>
            <w:r>
              <w:rPr>
                <w:rFonts w:hint="eastAsia" w:ascii="Times New Roman" w:eastAsia="宋体"/>
                <w:color w:val="auto"/>
                <w:shd w:val="clear" w:fill="FFFFFF"/>
                <w:lang w:val="en-US" w:eastAsia="zh-CN"/>
              </w:rPr>
              <w:t>)</w:t>
            </w:r>
            <w:r>
              <w:rPr>
                <w:rFonts w:ascii="Times New Roman" w:eastAsia="宋体"/>
                <w:color w:val="auto"/>
              </w:rPr>
              <w:t>，主要从事</w:t>
            </w:r>
            <w:r>
              <w:rPr>
                <w:rFonts w:hint="eastAsia" w:ascii="Times New Roman" w:eastAsia="宋体"/>
                <w:color w:val="auto"/>
              </w:rPr>
              <w:t>混凝土管道、透水砖、隔热板、水泥制品生产、销售</w:t>
            </w:r>
            <w:r>
              <w:rPr>
                <w:rFonts w:ascii="Times New Roman" w:eastAsia="宋体"/>
                <w:color w:val="auto"/>
              </w:rPr>
              <w:t>。福清市融大水泥制品有限公司</w:t>
            </w:r>
            <w:r>
              <w:rPr>
                <w:rFonts w:hint="eastAsia" w:ascii="Times New Roman" w:eastAsia="宋体"/>
                <w:color w:val="auto"/>
              </w:rPr>
              <w:t>于2018年12月委托湖南大自然环保科技有限公司编制完成了《福清市融大水泥制品有限公司年产钢筋混凝土排水管1万立方项目环境影响报告表》，且于2019年3月8日通过福州市福清生态环境局的审批</w:t>
            </w:r>
            <w:r>
              <w:rPr>
                <w:rFonts w:hint="eastAsia" w:ascii="Times New Roman" w:eastAsia="宋体"/>
                <w:color w:val="auto"/>
                <w:shd w:val="clear" w:fill="FFFFFF"/>
                <w:lang w:eastAsia="zh-CN"/>
              </w:rPr>
              <w:t>(</w:t>
            </w:r>
            <w:r>
              <w:rPr>
                <w:rFonts w:hint="eastAsia" w:ascii="Times New Roman" w:eastAsia="宋体"/>
                <w:color w:val="auto"/>
              </w:rPr>
              <w:t>融环评表</w:t>
            </w:r>
            <w:r>
              <w:rPr>
                <w:rFonts w:hint="eastAsia" w:ascii="Times New Roman" w:eastAsia="宋体"/>
                <w:color w:val="auto"/>
                <w:shd w:val="clear" w:fill="FFFFFF"/>
              </w:rPr>
              <w:t>[2019]19号</w:t>
            </w:r>
            <w:r>
              <w:rPr>
                <w:rFonts w:hint="eastAsia" w:ascii="Times New Roman" w:eastAsia="宋体"/>
                <w:color w:val="auto"/>
              </w:rPr>
              <w:t>，见附件9</w:t>
            </w:r>
            <w:r>
              <w:rPr>
                <w:rFonts w:hint="eastAsia" w:ascii="Times New Roman" w:eastAsia="宋体"/>
                <w:color w:val="auto"/>
                <w:shd w:val="clear" w:fill="FFFFFF"/>
                <w:lang w:eastAsia="zh-CN"/>
              </w:rPr>
              <w:t>)</w:t>
            </w:r>
            <w:r>
              <w:rPr>
                <w:rFonts w:hint="eastAsia" w:ascii="Times New Roman" w:eastAsia="宋体"/>
                <w:color w:val="auto"/>
              </w:rPr>
              <w:t>。该项目位于福清市上迳镇官元村，建成后年产钢筋混凝土排水管1万立方，2020年11月，建设单位对该项目进行验收，2020年12月16日通过专家组验收，取得了《福清市融大水泥制品有限公司年产钢筋混凝土排水管1万立方项目竣工环境保护验收意见》</w:t>
            </w:r>
            <w:r>
              <w:rPr>
                <w:rFonts w:hint="eastAsia" w:ascii="Times New Roman" w:eastAsia="宋体"/>
                <w:color w:val="auto"/>
                <w:shd w:val="clear" w:fill="FFFFFF"/>
                <w:lang w:eastAsia="zh-CN"/>
              </w:rPr>
              <w:t>(</w:t>
            </w:r>
            <w:r>
              <w:rPr>
                <w:rFonts w:hint="eastAsia" w:ascii="Times New Roman" w:eastAsia="宋体"/>
                <w:color w:val="auto"/>
              </w:rPr>
              <w:t>验收意见见附件10</w:t>
            </w:r>
            <w:r>
              <w:rPr>
                <w:rFonts w:hint="eastAsia" w:ascii="Times New Roman" w:eastAsia="宋体"/>
                <w:color w:val="auto"/>
                <w:shd w:val="clear" w:fill="FFFFFF"/>
                <w:lang w:eastAsia="zh-CN"/>
              </w:rPr>
              <w:t>)</w:t>
            </w:r>
            <w:r>
              <w:rPr>
                <w:rFonts w:hint="eastAsia" w:ascii="Times New Roman" w:eastAsia="宋体"/>
                <w:color w:val="auto"/>
              </w:rPr>
              <w:t>。</w:t>
            </w:r>
          </w:p>
          <w:p w14:paraId="19CC61B7">
            <w:pPr>
              <w:pStyle w:val="35"/>
              <w:ind w:leftChars="0" w:firstLine="480"/>
              <w:rPr>
                <w:color w:val="auto"/>
              </w:rPr>
            </w:pPr>
            <w:r>
              <w:rPr>
                <w:rFonts w:hint="eastAsia"/>
                <w:color w:val="auto"/>
              </w:rPr>
              <w:t>由于市场的需求扩大，建设单位拟增加产品种类及产能，建设单位拟进行搬迁建设，搬迁至福建省福州市福清市江阴镇江阴港城经济区三峡路与兴林路交叉口东南侧，该地块为工业储备地2022-021号，占地面积40000平方米，于2022年10月28日签订该建设地块使用权出让合同</w:t>
            </w:r>
            <w:r>
              <w:rPr>
                <w:rFonts w:hint="eastAsia"/>
                <w:color w:val="auto"/>
                <w:shd w:val="clear" w:fill="FFFFFF"/>
                <w:lang w:eastAsia="zh-CN"/>
              </w:rPr>
              <w:t>(</w:t>
            </w:r>
            <w:r>
              <w:rPr>
                <w:rFonts w:hint="eastAsia"/>
                <w:color w:val="auto"/>
              </w:rPr>
              <w:t>见附件5</w:t>
            </w:r>
            <w:r>
              <w:rPr>
                <w:rFonts w:hint="eastAsia"/>
                <w:color w:val="auto"/>
                <w:shd w:val="clear" w:fill="FFFFFF"/>
                <w:lang w:eastAsia="zh-CN"/>
              </w:rPr>
              <w:t>)</w:t>
            </w:r>
            <w:r>
              <w:rPr>
                <w:rFonts w:hint="eastAsia"/>
                <w:color w:val="auto"/>
              </w:rPr>
              <w:t>，于2023年取得该建设地块使用权</w:t>
            </w:r>
            <w:r>
              <w:rPr>
                <w:rFonts w:hint="eastAsia"/>
                <w:color w:val="auto"/>
                <w:shd w:val="clear" w:fill="FFFFFF"/>
                <w:lang w:eastAsia="zh-CN"/>
              </w:rPr>
              <w:t>(</w:t>
            </w:r>
            <w:r>
              <w:rPr>
                <w:rFonts w:hint="eastAsia"/>
                <w:color w:val="auto"/>
              </w:rPr>
              <w:t>闽</w:t>
            </w:r>
            <w:r>
              <w:rPr>
                <w:rFonts w:hint="eastAsia"/>
                <w:color w:val="auto"/>
                <w:shd w:val="clear" w:fill="FFFFFF"/>
                <w:lang w:eastAsia="zh-CN"/>
              </w:rPr>
              <w:t>(</w:t>
            </w:r>
            <w:r>
              <w:rPr>
                <w:rFonts w:hint="eastAsia"/>
                <w:color w:val="auto"/>
              </w:rPr>
              <w:t>2023</w:t>
            </w:r>
            <w:r>
              <w:rPr>
                <w:rFonts w:hint="eastAsia"/>
                <w:color w:val="auto"/>
                <w:shd w:val="clear" w:fill="FFFFFF"/>
                <w:lang w:eastAsia="zh-CN"/>
              </w:rPr>
              <w:t>)</w:t>
            </w:r>
            <w:r>
              <w:rPr>
                <w:rFonts w:hint="eastAsia"/>
                <w:color w:val="auto"/>
              </w:rPr>
              <w:t>福清市</w:t>
            </w:r>
            <w:r>
              <w:rPr>
                <w:rFonts w:hint="eastAsia"/>
                <w:color w:val="auto"/>
                <w:lang w:eastAsia="zh-CN"/>
              </w:rPr>
              <w:t>不动产</w:t>
            </w:r>
            <w:r>
              <w:rPr>
                <w:rFonts w:hint="eastAsia"/>
                <w:color w:val="auto"/>
              </w:rPr>
              <w:t>权第0048992号</w:t>
            </w:r>
            <w:r>
              <w:rPr>
                <w:rFonts w:hint="eastAsia"/>
                <w:color w:val="auto"/>
                <w:shd w:val="clear" w:fill="FFFFFF"/>
                <w:lang w:val="en-US" w:eastAsia="zh-CN"/>
              </w:rPr>
              <w:t>)</w:t>
            </w:r>
            <w:r>
              <w:rPr>
                <w:rFonts w:hint="eastAsia"/>
                <w:color w:val="auto"/>
              </w:rPr>
              <w:t>，不动产权证见附件6。搬迁后设备、原辅材料、产品设计产能均发生变化，搬迁前的项目场地均已恢复原状</w:t>
            </w:r>
            <w:r>
              <w:rPr>
                <w:rFonts w:hint="eastAsia"/>
                <w:color w:val="auto"/>
                <w:shd w:val="clear" w:fill="FFFFFF"/>
                <w:lang w:eastAsia="zh-CN"/>
              </w:rPr>
              <w:t>(</w:t>
            </w:r>
            <w:r>
              <w:rPr>
                <w:rFonts w:hint="eastAsia"/>
                <w:color w:val="auto"/>
              </w:rPr>
              <w:t>搬迁前项目场地现状照片见附图3</w:t>
            </w:r>
            <w:r>
              <w:rPr>
                <w:rFonts w:hint="eastAsia"/>
                <w:color w:val="auto"/>
                <w:shd w:val="clear" w:fill="FFFFFF"/>
                <w:lang w:eastAsia="zh-CN"/>
              </w:rPr>
              <w:t>)</w:t>
            </w:r>
            <w:r>
              <w:rPr>
                <w:rFonts w:hint="eastAsia"/>
                <w:color w:val="auto"/>
              </w:rPr>
              <w:t>。</w:t>
            </w:r>
          </w:p>
          <w:p w14:paraId="3AD70C0E">
            <w:pPr>
              <w:autoSpaceDE w:val="0"/>
              <w:autoSpaceDN w:val="0"/>
              <w:spacing w:line="360" w:lineRule="auto"/>
              <w:rPr>
                <w:b/>
                <w:bCs/>
                <w:color w:val="auto"/>
                <w:kern w:val="21"/>
                <w:sz w:val="24"/>
              </w:rPr>
            </w:pPr>
            <w:r>
              <w:rPr>
                <w:rFonts w:hint="eastAsia"/>
                <w:b/>
                <w:bCs/>
                <w:color w:val="auto"/>
                <w:kern w:val="21"/>
                <w:sz w:val="24"/>
              </w:rPr>
              <w:t>2.2 项目由来</w:t>
            </w:r>
          </w:p>
          <w:p w14:paraId="0DE61756">
            <w:pPr>
              <w:pStyle w:val="35"/>
              <w:ind w:leftChars="0" w:firstLine="480"/>
              <w:rPr>
                <w:color w:val="auto"/>
              </w:rPr>
            </w:pPr>
            <w:r>
              <w:rPr>
                <w:color w:val="auto"/>
              </w:rPr>
              <w:t>福清市融大水泥制品有限公司拟投资30200万元</w:t>
            </w:r>
            <w:r>
              <w:rPr>
                <w:rFonts w:hint="eastAsia"/>
                <w:color w:val="auto"/>
              </w:rPr>
              <w:t>在福建省福州市福清市江阴镇江阴港城经济区三峡路与兴林路交叉口东南侧</w:t>
            </w:r>
            <w:r>
              <w:rPr>
                <w:color w:val="auto"/>
              </w:rPr>
              <w:t>建设</w:t>
            </w:r>
            <w:r>
              <w:rPr>
                <w:rFonts w:hint="eastAsia"/>
                <w:color w:val="auto"/>
                <w:lang w:eastAsia="zh-CN"/>
              </w:rPr>
              <w:t>福清市融大水泥制品有限公司年产30万米水泥预制管</w:t>
            </w:r>
            <w:r>
              <w:rPr>
                <w:color w:val="auto"/>
              </w:rPr>
              <w:t>项目</w:t>
            </w:r>
            <w:r>
              <w:rPr>
                <w:rFonts w:hint="eastAsia"/>
                <w:color w:val="auto"/>
                <w:shd w:val="clear" w:fill="FFFFFF"/>
                <w:lang w:eastAsia="zh-CN"/>
              </w:rPr>
              <w:t>(</w:t>
            </w:r>
            <w:r>
              <w:rPr>
                <w:color w:val="auto"/>
              </w:rPr>
              <w:t>以下简称“</w:t>
            </w:r>
            <w:r>
              <w:rPr>
                <w:rFonts w:hint="eastAsia"/>
                <w:color w:val="auto"/>
                <w:lang w:eastAsia="zh-CN"/>
              </w:rPr>
              <w:t>迁建项目</w:t>
            </w:r>
            <w:r>
              <w:rPr>
                <w:color w:val="auto"/>
              </w:rPr>
              <w:t>”</w:t>
            </w:r>
            <w:r>
              <w:rPr>
                <w:rFonts w:hint="eastAsia"/>
                <w:color w:val="auto"/>
                <w:shd w:val="clear" w:fill="FFFFFF"/>
                <w:lang w:eastAsia="zh-CN"/>
              </w:rPr>
              <w:t>)</w:t>
            </w:r>
            <w:r>
              <w:rPr>
                <w:rFonts w:hint="eastAsia"/>
                <w:color w:val="auto"/>
              </w:rPr>
              <w:t>，建设水泥预制管生产线及相应的配套设施等，建成后年产水泥预制管30万米。项目</w:t>
            </w:r>
            <w:r>
              <w:rPr>
                <w:color w:val="auto"/>
              </w:rPr>
              <w:t>已于2024年11月6日经福清市发展和改革局备案</w:t>
            </w:r>
            <w:r>
              <w:rPr>
                <w:rFonts w:hint="eastAsia"/>
                <w:color w:val="auto"/>
                <w:shd w:val="clear" w:fill="FFFFFF"/>
                <w:lang w:eastAsia="zh-CN"/>
              </w:rPr>
              <w:t>(</w:t>
            </w:r>
            <w:r>
              <w:rPr>
                <w:color w:val="auto"/>
              </w:rPr>
              <w:t>闽发改备</w:t>
            </w:r>
            <w:r>
              <w:rPr>
                <w:color w:val="auto"/>
                <w:shd w:val="clear" w:fill="FFFFFF"/>
              </w:rPr>
              <w:t>[2022]</w:t>
            </w:r>
            <w:r>
              <w:rPr>
                <w:color w:val="auto"/>
              </w:rPr>
              <w:t>A060248号，见附件</w:t>
            </w:r>
            <w:r>
              <w:rPr>
                <w:rFonts w:hint="eastAsia"/>
                <w:color w:val="auto"/>
              </w:rPr>
              <w:t>4</w:t>
            </w:r>
            <w:r>
              <w:rPr>
                <w:rFonts w:hint="eastAsia"/>
                <w:color w:val="auto"/>
                <w:shd w:val="clear" w:fill="FFFFFF"/>
                <w:lang w:eastAsia="zh-CN"/>
              </w:rPr>
              <w:t>)</w:t>
            </w:r>
            <w:r>
              <w:rPr>
                <w:color w:val="auto"/>
              </w:rPr>
              <w:t>，项目代码</w:t>
            </w:r>
            <w:r>
              <w:rPr>
                <w:rFonts w:hint="eastAsia"/>
                <w:color w:val="auto"/>
              </w:rPr>
              <w:t>2209-350181-04-01-222735。</w:t>
            </w:r>
          </w:p>
          <w:p w14:paraId="429B789C">
            <w:pPr>
              <w:spacing w:line="360" w:lineRule="auto"/>
              <w:ind w:firstLine="480" w:firstLineChars="200"/>
              <w:rPr>
                <w:color w:val="auto"/>
                <w:sz w:val="24"/>
              </w:rPr>
            </w:pPr>
            <w:r>
              <w:rPr>
                <w:color w:val="auto"/>
                <w:sz w:val="24"/>
              </w:rPr>
              <w:t>根据《中华人民共和国环境保护法》</w:t>
            </w:r>
            <w:r>
              <w:rPr>
                <w:rFonts w:hint="eastAsia"/>
                <w:color w:val="auto"/>
                <w:sz w:val="24"/>
                <w:lang w:eastAsia="zh-CN"/>
              </w:rPr>
              <w:t>(</w:t>
            </w:r>
            <w:r>
              <w:rPr>
                <w:color w:val="auto"/>
                <w:sz w:val="24"/>
              </w:rPr>
              <w:t>2015年</w:t>
            </w:r>
            <w:r>
              <w:rPr>
                <w:rFonts w:hint="eastAsia"/>
                <w:color w:val="auto"/>
                <w:sz w:val="24"/>
                <w:shd w:val="clear" w:fill="FFFFFF"/>
                <w:lang w:eastAsia="zh-CN"/>
              </w:rPr>
              <w:t>)</w:t>
            </w:r>
            <w:r>
              <w:rPr>
                <w:color w:val="auto"/>
                <w:sz w:val="24"/>
              </w:rPr>
              <w:t>、《中华人民共和国环境影响评价法》</w:t>
            </w:r>
            <w:r>
              <w:rPr>
                <w:rFonts w:hint="eastAsia"/>
                <w:color w:val="auto"/>
                <w:sz w:val="24"/>
                <w:lang w:eastAsia="zh-CN"/>
              </w:rPr>
              <w:t>(</w:t>
            </w:r>
            <w:r>
              <w:rPr>
                <w:color w:val="auto"/>
                <w:sz w:val="24"/>
              </w:rPr>
              <w:t>2018年修正</w:t>
            </w:r>
            <w:r>
              <w:rPr>
                <w:rFonts w:hint="eastAsia"/>
                <w:color w:val="auto"/>
                <w:sz w:val="24"/>
                <w:shd w:val="clear" w:fill="FFFFFF"/>
                <w:lang w:eastAsia="zh-CN"/>
              </w:rPr>
              <w:t>)</w:t>
            </w:r>
            <w:r>
              <w:rPr>
                <w:color w:val="auto"/>
                <w:sz w:val="24"/>
              </w:rPr>
              <w:t>、《建设项目环境保护管理条例》</w:t>
            </w:r>
            <w:r>
              <w:rPr>
                <w:rFonts w:hint="eastAsia"/>
                <w:color w:val="auto"/>
                <w:sz w:val="24"/>
                <w:lang w:eastAsia="zh-CN"/>
              </w:rPr>
              <w:t>(</w:t>
            </w:r>
            <w:r>
              <w:rPr>
                <w:color w:val="auto"/>
                <w:sz w:val="24"/>
              </w:rPr>
              <w:t>2017年</w:t>
            </w:r>
            <w:r>
              <w:rPr>
                <w:rFonts w:hint="eastAsia"/>
                <w:color w:val="auto"/>
                <w:sz w:val="24"/>
                <w:shd w:val="clear" w:fill="FFFFFF"/>
                <w:lang w:eastAsia="zh-CN"/>
              </w:rPr>
              <w:t>)</w:t>
            </w:r>
            <w:r>
              <w:rPr>
                <w:color w:val="auto"/>
                <w:sz w:val="24"/>
              </w:rPr>
              <w:t>以及《建设项目环境影响评价分类管理名录</w:t>
            </w:r>
            <w:r>
              <w:rPr>
                <w:rFonts w:hint="eastAsia"/>
                <w:color w:val="auto"/>
                <w:sz w:val="24"/>
                <w:shd w:val="clear" w:fill="FFFFFF"/>
                <w:lang w:eastAsia="zh-CN"/>
              </w:rPr>
              <w:t>(</w:t>
            </w:r>
            <w:r>
              <w:rPr>
                <w:color w:val="auto"/>
                <w:sz w:val="24"/>
              </w:rPr>
              <w:t>2021年</w:t>
            </w:r>
            <w:r>
              <w:rPr>
                <w:rFonts w:hint="eastAsia"/>
                <w:color w:val="auto"/>
                <w:sz w:val="24"/>
                <w:shd w:val="clear" w:fill="FFFFFF"/>
                <w:lang w:eastAsia="zh-CN"/>
              </w:rPr>
              <w:t>)</w:t>
            </w:r>
            <w:r>
              <w:rPr>
                <w:color w:val="auto"/>
                <w:sz w:val="24"/>
              </w:rPr>
              <w:t>》等规定，</w:t>
            </w:r>
            <w:r>
              <w:rPr>
                <w:rFonts w:hint="eastAsia"/>
                <w:color w:val="auto"/>
                <w:sz w:val="24"/>
                <w:lang w:eastAsia="zh-CN"/>
              </w:rPr>
              <w:t>迁建项目</w:t>
            </w:r>
            <w:r>
              <w:rPr>
                <w:color w:val="auto"/>
                <w:sz w:val="24"/>
              </w:rPr>
              <w:t>产品水泥预制管属于水泥制品，属于名录中“二十七、非金属矿物制品业30—55石膏、水泥制品及类似制品制造302—商品混凝土；砼结构构件制造；水泥制品制造”，具体详见表2.1-1，应编制环境影响报告表。因此，福清市融大水泥制品有限公司于202</w:t>
            </w:r>
            <w:r>
              <w:rPr>
                <w:rFonts w:hint="eastAsia"/>
                <w:color w:val="auto"/>
                <w:sz w:val="24"/>
              </w:rPr>
              <w:t>4</w:t>
            </w:r>
            <w:r>
              <w:rPr>
                <w:color w:val="auto"/>
                <w:sz w:val="24"/>
              </w:rPr>
              <w:t>年</w:t>
            </w:r>
            <w:r>
              <w:rPr>
                <w:rFonts w:hint="eastAsia"/>
                <w:color w:val="auto"/>
                <w:sz w:val="24"/>
              </w:rPr>
              <w:t>11</w:t>
            </w:r>
            <w:r>
              <w:rPr>
                <w:color w:val="auto"/>
                <w:sz w:val="24"/>
              </w:rPr>
              <w:t>月委托</w:t>
            </w:r>
            <w:r>
              <w:rPr>
                <w:rFonts w:hint="eastAsia"/>
                <w:color w:val="auto"/>
                <w:sz w:val="24"/>
              </w:rPr>
              <w:t>深圳市达源生态环境工程有限公司</w:t>
            </w:r>
            <w:r>
              <w:rPr>
                <w:color w:val="auto"/>
                <w:sz w:val="24"/>
              </w:rPr>
              <w:t>对</w:t>
            </w:r>
            <w:r>
              <w:rPr>
                <w:rFonts w:hint="eastAsia"/>
                <w:color w:val="auto"/>
                <w:sz w:val="24"/>
                <w:lang w:eastAsia="zh-CN"/>
              </w:rPr>
              <w:t>迁建项目</w:t>
            </w:r>
            <w:r>
              <w:rPr>
                <w:color w:val="auto"/>
                <w:sz w:val="24"/>
              </w:rPr>
              <w:t>进行环境影响评价</w:t>
            </w:r>
            <w:r>
              <w:rPr>
                <w:rFonts w:hint="eastAsia"/>
                <w:color w:val="auto"/>
                <w:sz w:val="24"/>
                <w:shd w:val="clear" w:fill="FFFFFF"/>
                <w:lang w:eastAsia="zh-CN"/>
              </w:rPr>
              <w:t>(</w:t>
            </w:r>
            <w:r>
              <w:rPr>
                <w:color w:val="auto"/>
                <w:sz w:val="24"/>
              </w:rPr>
              <w:t>委托书见附件1</w:t>
            </w:r>
            <w:r>
              <w:rPr>
                <w:rFonts w:hint="eastAsia"/>
                <w:color w:val="auto"/>
                <w:sz w:val="24"/>
                <w:shd w:val="clear" w:fill="FFFFFF"/>
                <w:lang w:eastAsia="zh-CN"/>
              </w:rPr>
              <w:t>)</w:t>
            </w:r>
            <w:r>
              <w:rPr>
                <w:color w:val="auto"/>
                <w:sz w:val="24"/>
              </w:rPr>
              <w:t>。</w:t>
            </w:r>
            <w:r>
              <w:rPr>
                <w:rFonts w:hint="eastAsia"/>
                <w:color w:val="auto"/>
                <w:sz w:val="24"/>
              </w:rPr>
              <w:t>深圳市达源生态环境工程有限公司</w:t>
            </w:r>
            <w:r>
              <w:rPr>
                <w:color w:val="auto"/>
                <w:sz w:val="24"/>
              </w:rPr>
              <w:t>接受委托后，立即进行现场踏勘、收集分析有关资料，并</w:t>
            </w:r>
            <w:r>
              <w:rPr>
                <w:color w:val="auto"/>
                <w:sz w:val="24"/>
                <w:shd w:val="clear" w:fill="FFFFFF"/>
              </w:rPr>
              <w:t>按</w:t>
            </w:r>
            <w:r>
              <w:rPr>
                <w:color w:val="auto"/>
                <w:sz w:val="24"/>
              </w:rPr>
              <w:t>环评有关技术规范编制了《</w:t>
            </w:r>
            <w:r>
              <w:rPr>
                <w:rFonts w:hint="eastAsia"/>
                <w:color w:val="auto"/>
                <w:sz w:val="24"/>
                <w:lang w:eastAsia="zh-CN"/>
              </w:rPr>
              <w:t>福清市融大水泥制品有限公司年产30万米水泥预制管</w:t>
            </w:r>
            <w:r>
              <w:rPr>
                <w:color w:val="auto"/>
                <w:sz w:val="24"/>
              </w:rPr>
              <w:t>项目环境影响报告表》，供建设单位上报审批。</w:t>
            </w:r>
          </w:p>
          <w:p w14:paraId="44E6601F">
            <w:pPr>
              <w:pStyle w:val="80"/>
              <w:rPr>
                <w:rFonts w:hint="eastAsia" w:eastAsia="宋体"/>
                <w:color w:val="auto"/>
                <w:sz w:val="24"/>
                <w:szCs w:val="24"/>
                <w:lang w:eastAsia="zh-CN"/>
              </w:rPr>
            </w:pPr>
            <w:r>
              <w:rPr>
                <w:rFonts w:hint="eastAsia"/>
                <w:color w:val="auto"/>
                <w:sz w:val="24"/>
                <w:szCs w:val="24"/>
              </w:rPr>
              <w:t>表2.2-1  建设项目环境影响评价分类管理名录</w:t>
            </w:r>
            <w:r>
              <w:rPr>
                <w:rFonts w:hint="eastAsia"/>
                <w:color w:val="auto"/>
                <w:sz w:val="24"/>
                <w:szCs w:val="24"/>
                <w:shd w:val="clear" w:fill="FFFFFF"/>
                <w:lang w:eastAsia="zh-CN"/>
              </w:rPr>
              <w:t>(</w:t>
            </w:r>
            <w:r>
              <w:rPr>
                <w:rFonts w:hint="eastAsia"/>
                <w:color w:val="auto"/>
                <w:sz w:val="24"/>
                <w:szCs w:val="24"/>
              </w:rPr>
              <w:t>摘录</w:t>
            </w:r>
            <w:r>
              <w:rPr>
                <w:rFonts w:hint="eastAsia"/>
                <w:color w:val="auto"/>
                <w:sz w:val="24"/>
                <w:szCs w:val="24"/>
                <w:shd w:val="clear" w:fill="FFFFFF"/>
                <w:lang w:eastAsia="zh-CN"/>
              </w:rPr>
              <w:t>)</w:t>
            </w:r>
          </w:p>
          <w:tbl>
            <w:tblPr>
              <w:tblStyle w:val="37"/>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3331"/>
              <w:gridCol w:w="900"/>
              <w:gridCol w:w="2370"/>
              <w:gridCol w:w="996"/>
            </w:tblGrid>
            <w:tr w14:paraId="5123B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4" w:type="dxa"/>
                  <w:gridSpan w:val="2"/>
                  <w:tcBorders>
                    <w:tl2br w:val="single" w:color="auto" w:sz="4" w:space="0"/>
                  </w:tcBorders>
                  <w:vAlign w:val="center"/>
                </w:tcPr>
                <w:p w14:paraId="1392B340">
                  <w:pPr>
                    <w:pStyle w:val="122"/>
                    <w:keepNext w:val="0"/>
                    <w:keepLines w:val="0"/>
                    <w:pageBreakBefore w:val="0"/>
                    <w:widowControl w:val="0"/>
                    <w:kinsoku/>
                    <w:wordWrap/>
                    <w:overflowPunct/>
                    <w:topLinePunct w:val="0"/>
                    <w:autoSpaceDE/>
                    <w:autoSpaceDN/>
                    <w:bidi w:val="0"/>
                    <w:adjustRightInd w:val="0"/>
                    <w:snapToGrid w:val="0"/>
                    <w:spacing w:line="340" w:lineRule="exact"/>
                    <w:jc w:val="right"/>
                    <w:textAlignment w:val="auto"/>
                    <w:rPr>
                      <w:color w:val="auto"/>
                      <w:szCs w:val="21"/>
                    </w:rPr>
                  </w:pPr>
                  <w:r>
                    <w:rPr>
                      <w:rFonts w:hint="eastAsia"/>
                      <w:color w:val="auto"/>
                      <w:szCs w:val="21"/>
                    </w:rPr>
                    <w:t>项目</w:t>
                  </w:r>
                  <w:r>
                    <w:rPr>
                      <w:color w:val="auto"/>
                      <w:szCs w:val="21"/>
                    </w:rPr>
                    <w:t>类别</w:t>
                  </w:r>
                </w:p>
                <w:p w14:paraId="4A41A441">
                  <w:pPr>
                    <w:pStyle w:val="122"/>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color w:val="auto"/>
                      <w:szCs w:val="21"/>
                    </w:rPr>
                  </w:pPr>
                  <w:r>
                    <w:rPr>
                      <w:rFonts w:hint="eastAsia"/>
                      <w:color w:val="auto"/>
                      <w:szCs w:val="21"/>
                    </w:rPr>
                    <w:t>环评类别</w:t>
                  </w:r>
                </w:p>
              </w:tc>
              <w:tc>
                <w:tcPr>
                  <w:tcW w:w="900" w:type="dxa"/>
                  <w:tcBorders>
                    <w:tl2br w:val="nil"/>
                    <w:tr2bl w:val="nil"/>
                  </w:tcBorders>
                  <w:vAlign w:val="center"/>
                </w:tcPr>
                <w:p w14:paraId="62F32E3E">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报告</w:t>
                  </w:r>
                  <w:r>
                    <w:rPr>
                      <w:color w:val="auto"/>
                      <w:szCs w:val="21"/>
                    </w:rPr>
                    <w:t>书</w:t>
                  </w:r>
                </w:p>
              </w:tc>
              <w:tc>
                <w:tcPr>
                  <w:tcW w:w="2370" w:type="dxa"/>
                  <w:tcBorders>
                    <w:tl2br w:val="nil"/>
                    <w:tr2bl w:val="nil"/>
                  </w:tcBorders>
                  <w:vAlign w:val="center"/>
                </w:tcPr>
                <w:p w14:paraId="5328490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报告</w:t>
                  </w:r>
                  <w:r>
                    <w:rPr>
                      <w:color w:val="auto"/>
                      <w:szCs w:val="21"/>
                    </w:rPr>
                    <w:t>表</w:t>
                  </w:r>
                </w:p>
              </w:tc>
              <w:tc>
                <w:tcPr>
                  <w:tcW w:w="996" w:type="dxa"/>
                  <w:tcBorders>
                    <w:tl2br w:val="nil"/>
                    <w:tr2bl w:val="nil"/>
                  </w:tcBorders>
                  <w:vAlign w:val="center"/>
                </w:tcPr>
                <w:p w14:paraId="4904895A">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登记表</w:t>
                  </w:r>
                </w:p>
              </w:tc>
            </w:tr>
            <w:tr w14:paraId="5B138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tl2br w:val="nil"/>
                    <w:tr2bl w:val="nil"/>
                  </w:tcBorders>
                  <w:vAlign w:val="center"/>
                </w:tcPr>
                <w:p w14:paraId="7F48541A">
                  <w:pPr>
                    <w:pStyle w:val="122"/>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color w:val="auto"/>
                      <w:szCs w:val="21"/>
                    </w:rPr>
                  </w:pPr>
                  <w:r>
                    <w:rPr>
                      <w:rFonts w:hint="eastAsia"/>
                      <w:color w:val="auto"/>
                      <w:szCs w:val="21"/>
                    </w:rPr>
                    <w:t>二十七、非金属矿物制品业30</w:t>
                  </w:r>
                </w:p>
              </w:tc>
            </w:tr>
            <w:tr w14:paraId="7918D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3" w:type="dxa"/>
                  <w:tcBorders>
                    <w:tl2br w:val="nil"/>
                    <w:tr2bl w:val="nil"/>
                  </w:tcBorders>
                  <w:shd w:val="clear" w:color="auto" w:fill="auto"/>
                  <w:vAlign w:val="center"/>
                </w:tcPr>
                <w:p w14:paraId="1DD17D5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55</w:t>
                  </w:r>
                </w:p>
              </w:tc>
              <w:tc>
                <w:tcPr>
                  <w:tcW w:w="3331" w:type="dxa"/>
                  <w:tcBorders>
                    <w:tl2br w:val="nil"/>
                    <w:tr2bl w:val="nil"/>
                  </w:tcBorders>
                  <w:shd w:val="clear" w:color="auto" w:fill="auto"/>
                  <w:vAlign w:val="center"/>
                </w:tcPr>
                <w:p w14:paraId="12A54AF7">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石膏、水泥制品及类似制品制造302</w:t>
                  </w:r>
                </w:p>
              </w:tc>
              <w:tc>
                <w:tcPr>
                  <w:tcW w:w="900" w:type="dxa"/>
                  <w:tcBorders>
                    <w:tl2br w:val="nil"/>
                    <w:tr2bl w:val="nil"/>
                  </w:tcBorders>
                  <w:shd w:val="clear" w:color="auto" w:fill="auto"/>
                  <w:vAlign w:val="center"/>
                </w:tcPr>
                <w:p w14:paraId="4339953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w:t>
                  </w:r>
                </w:p>
              </w:tc>
              <w:tc>
                <w:tcPr>
                  <w:tcW w:w="2370" w:type="dxa"/>
                  <w:tcBorders>
                    <w:tl2br w:val="nil"/>
                    <w:tr2bl w:val="nil"/>
                  </w:tcBorders>
                  <w:shd w:val="clear" w:color="auto" w:fill="auto"/>
                  <w:vAlign w:val="center"/>
                </w:tcPr>
                <w:p w14:paraId="45E9F73B">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商品混凝土；砼结构构件制造；水泥制品制造</w:t>
                  </w:r>
                </w:p>
              </w:tc>
              <w:tc>
                <w:tcPr>
                  <w:tcW w:w="996" w:type="dxa"/>
                  <w:tcBorders>
                    <w:tl2br w:val="nil"/>
                    <w:tr2bl w:val="nil"/>
                  </w:tcBorders>
                  <w:shd w:val="clear" w:color="auto" w:fill="auto"/>
                  <w:vAlign w:val="center"/>
                </w:tcPr>
                <w:p w14:paraId="6D03D5B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rFonts w:hint="eastAsia"/>
                      <w:color w:val="auto"/>
                      <w:szCs w:val="21"/>
                    </w:rPr>
                    <w:t>/</w:t>
                  </w:r>
                </w:p>
              </w:tc>
            </w:tr>
          </w:tbl>
          <w:p w14:paraId="3E17A9A5">
            <w:pPr>
              <w:autoSpaceDE w:val="0"/>
              <w:autoSpaceDN w:val="0"/>
              <w:spacing w:line="360" w:lineRule="auto"/>
              <w:rPr>
                <w:b/>
                <w:bCs/>
                <w:color w:val="auto"/>
                <w:kern w:val="21"/>
                <w:sz w:val="24"/>
              </w:rPr>
            </w:pPr>
            <w:r>
              <w:rPr>
                <w:rFonts w:hint="eastAsia"/>
                <w:b/>
                <w:bCs/>
                <w:color w:val="auto"/>
                <w:kern w:val="21"/>
                <w:sz w:val="24"/>
              </w:rPr>
              <w:t>2.3 项目基本情况</w:t>
            </w:r>
          </w:p>
          <w:p w14:paraId="6451D872">
            <w:pPr>
              <w:autoSpaceDE w:val="0"/>
              <w:autoSpaceDN w:val="0"/>
              <w:spacing w:line="360" w:lineRule="auto"/>
              <w:ind w:firstLine="480" w:firstLineChars="200"/>
              <w:rPr>
                <w:rFonts w:hint="eastAsia" w:eastAsia="宋体"/>
                <w:color w:val="auto"/>
                <w:sz w:val="24"/>
                <w:lang w:eastAsia="zh-CN"/>
              </w:rPr>
            </w:pPr>
            <w:r>
              <w:rPr>
                <w:rFonts w:hint="eastAsia"/>
                <w:color w:val="auto"/>
                <w:sz w:val="24"/>
                <w:shd w:val="clear" w:fill="FFFFFF"/>
              </w:rPr>
              <w:t>(</w:t>
            </w:r>
            <w:r>
              <w:rPr>
                <w:rFonts w:hint="eastAsia"/>
                <w:color w:val="auto"/>
                <w:sz w:val="24"/>
              </w:rPr>
              <w:t>1</w:t>
            </w:r>
            <w:r>
              <w:rPr>
                <w:rFonts w:hint="eastAsia"/>
                <w:color w:val="auto"/>
                <w:sz w:val="24"/>
                <w:shd w:val="clear" w:fill="FFFFFF"/>
              </w:rPr>
              <w:t>)</w:t>
            </w:r>
            <w:r>
              <w:rPr>
                <w:rFonts w:hint="eastAsia"/>
                <w:color w:val="auto"/>
                <w:sz w:val="24"/>
              </w:rPr>
              <w:t>项目名称：</w:t>
            </w:r>
            <w:r>
              <w:rPr>
                <w:rFonts w:hint="eastAsia"/>
                <w:color w:val="auto"/>
                <w:sz w:val="24"/>
                <w:lang w:eastAsia="zh-CN"/>
              </w:rPr>
              <w:t>福清市融大水泥制品有限公司年产30万米水泥预制管</w:t>
            </w:r>
          </w:p>
          <w:p w14:paraId="38D4CAAF">
            <w:pPr>
              <w:autoSpaceDE w:val="0"/>
              <w:autoSpaceDN w:val="0"/>
              <w:spacing w:line="360" w:lineRule="auto"/>
              <w:ind w:firstLine="480" w:firstLineChars="200"/>
              <w:rPr>
                <w:color w:val="auto"/>
                <w:sz w:val="24"/>
              </w:rPr>
            </w:pPr>
            <w:r>
              <w:rPr>
                <w:rFonts w:hint="eastAsia"/>
                <w:color w:val="auto"/>
                <w:sz w:val="24"/>
                <w:shd w:val="clear" w:fill="FFFFFF"/>
              </w:rPr>
              <w:t>(</w:t>
            </w:r>
            <w:r>
              <w:rPr>
                <w:rFonts w:hint="eastAsia"/>
                <w:color w:val="auto"/>
                <w:sz w:val="24"/>
              </w:rPr>
              <w:t>2</w:t>
            </w:r>
            <w:r>
              <w:rPr>
                <w:rFonts w:hint="eastAsia"/>
                <w:color w:val="auto"/>
                <w:sz w:val="24"/>
                <w:shd w:val="clear" w:fill="FFFFFF"/>
              </w:rPr>
              <w:t>)</w:t>
            </w:r>
            <w:r>
              <w:rPr>
                <w:rFonts w:hint="eastAsia"/>
                <w:color w:val="auto"/>
                <w:sz w:val="24"/>
              </w:rPr>
              <w:t>建设单位：福清市融大水泥制品有限公司</w:t>
            </w:r>
          </w:p>
          <w:p w14:paraId="7F39ECBE">
            <w:pPr>
              <w:autoSpaceDE w:val="0"/>
              <w:autoSpaceDN w:val="0"/>
              <w:spacing w:line="360" w:lineRule="auto"/>
              <w:ind w:firstLine="480" w:firstLineChars="200"/>
              <w:rPr>
                <w:color w:val="auto"/>
                <w:sz w:val="24"/>
              </w:rPr>
            </w:pPr>
            <w:r>
              <w:rPr>
                <w:rFonts w:hint="eastAsia"/>
                <w:color w:val="auto"/>
                <w:sz w:val="24"/>
                <w:shd w:val="clear" w:fill="FFFFFF"/>
              </w:rPr>
              <w:t>(</w:t>
            </w:r>
            <w:r>
              <w:rPr>
                <w:rFonts w:hint="eastAsia"/>
                <w:color w:val="auto"/>
                <w:sz w:val="24"/>
              </w:rPr>
              <w:t>3</w:t>
            </w:r>
            <w:r>
              <w:rPr>
                <w:rFonts w:hint="eastAsia"/>
                <w:color w:val="auto"/>
                <w:sz w:val="24"/>
                <w:shd w:val="clear" w:fill="FFFFFF"/>
              </w:rPr>
              <w:t>)</w:t>
            </w:r>
            <w:r>
              <w:rPr>
                <w:rFonts w:hint="eastAsia"/>
                <w:color w:val="auto"/>
                <w:sz w:val="24"/>
              </w:rPr>
              <w:t>建设地点：福建省福州市福清市江阴镇江阴港城经济区三峡路与兴林路交叉口东南侧</w:t>
            </w:r>
          </w:p>
          <w:p w14:paraId="6A2B9FF7">
            <w:pPr>
              <w:autoSpaceDE w:val="0"/>
              <w:autoSpaceDN w:val="0"/>
              <w:spacing w:line="360" w:lineRule="auto"/>
              <w:ind w:firstLine="480" w:firstLineChars="200"/>
              <w:rPr>
                <w:rFonts w:hint="default" w:eastAsia="宋体"/>
                <w:color w:val="auto"/>
                <w:sz w:val="24"/>
                <w:lang w:val="en-US" w:eastAsia="zh-CN"/>
              </w:rPr>
            </w:pPr>
            <w:r>
              <w:rPr>
                <w:rFonts w:hint="eastAsia"/>
                <w:color w:val="auto"/>
                <w:sz w:val="24"/>
                <w:shd w:val="clear" w:fill="FFFFFF"/>
              </w:rPr>
              <w:t>(</w:t>
            </w:r>
            <w:r>
              <w:rPr>
                <w:rFonts w:hint="eastAsia"/>
                <w:color w:val="auto"/>
                <w:sz w:val="24"/>
              </w:rPr>
              <w:t>4</w:t>
            </w:r>
            <w:r>
              <w:rPr>
                <w:rFonts w:hint="eastAsia"/>
                <w:color w:val="auto"/>
                <w:sz w:val="24"/>
                <w:shd w:val="clear" w:fill="FFFFFF"/>
              </w:rPr>
              <w:t>)</w:t>
            </w:r>
            <w:r>
              <w:rPr>
                <w:rFonts w:hint="eastAsia"/>
                <w:color w:val="auto"/>
                <w:sz w:val="24"/>
                <w:lang w:val="en-US" w:eastAsia="zh-CN"/>
              </w:rPr>
              <w:t>项目性质：迁建</w:t>
            </w:r>
          </w:p>
          <w:p w14:paraId="42292F01">
            <w:pPr>
              <w:autoSpaceDE w:val="0"/>
              <w:autoSpaceDN w:val="0"/>
              <w:spacing w:line="360" w:lineRule="auto"/>
              <w:ind w:firstLine="480" w:firstLineChars="200"/>
              <w:rPr>
                <w:rFonts w:hint="eastAsia"/>
                <w:color w:val="auto"/>
                <w:sz w:val="24"/>
              </w:rPr>
            </w:pPr>
            <w:r>
              <w:rPr>
                <w:rFonts w:hint="eastAsia"/>
                <w:color w:val="auto"/>
                <w:sz w:val="24"/>
                <w:shd w:val="clear" w:fill="FFFFFF"/>
              </w:rPr>
              <w:t>(</w:t>
            </w:r>
            <w:r>
              <w:rPr>
                <w:rFonts w:hint="eastAsia"/>
                <w:color w:val="auto"/>
                <w:sz w:val="24"/>
              </w:rPr>
              <w:t>5</w:t>
            </w:r>
            <w:r>
              <w:rPr>
                <w:rFonts w:hint="eastAsia"/>
                <w:color w:val="auto"/>
                <w:sz w:val="24"/>
                <w:shd w:val="clear" w:fill="FFFFFF"/>
              </w:rPr>
              <w:t>)</w:t>
            </w:r>
            <w:r>
              <w:rPr>
                <w:rFonts w:hint="eastAsia"/>
                <w:color w:val="auto"/>
                <w:sz w:val="24"/>
              </w:rPr>
              <w:t>项目总投资：30200万元</w:t>
            </w:r>
          </w:p>
          <w:p w14:paraId="0E848F86">
            <w:pPr>
              <w:autoSpaceDE w:val="0"/>
              <w:autoSpaceDN w:val="0"/>
              <w:spacing w:line="360" w:lineRule="auto"/>
              <w:ind w:firstLine="480" w:firstLineChars="200"/>
              <w:rPr>
                <w:color w:val="auto"/>
                <w:sz w:val="24"/>
              </w:rPr>
            </w:pPr>
            <w:r>
              <w:rPr>
                <w:rFonts w:hint="eastAsia"/>
                <w:color w:val="auto"/>
                <w:sz w:val="24"/>
                <w:shd w:val="clear" w:fill="FFFFFF"/>
              </w:rPr>
              <w:t>(</w:t>
            </w:r>
            <w:r>
              <w:rPr>
                <w:rFonts w:hint="eastAsia"/>
                <w:color w:val="auto"/>
                <w:sz w:val="24"/>
              </w:rPr>
              <w:t>6</w:t>
            </w:r>
            <w:r>
              <w:rPr>
                <w:rFonts w:hint="eastAsia"/>
                <w:color w:val="auto"/>
                <w:sz w:val="24"/>
                <w:shd w:val="clear" w:fill="FFFFFF"/>
              </w:rPr>
              <w:t>)</w:t>
            </w:r>
            <w:r>
              <w:rPr>
                <w:rFonts w:hint="eastAsia"/>
                <w:color w:val="auto"/>
                <w:sz w:val="24"/>
              </w:rPr>
              <w:t>建设规模：占地面积40000m</w:t>
            </w:r>
            <w:r>
              <w:rPr>
                <w:rFonts w:hint="eastAsia"/>
                <w:color w:val="auto"/>
                <w:sz w:val="24"/>
                <w:vertAlign w:val="superscript"/>
              </w:rPr>
              <w:t>2</w:t>
            </w:r>
            <w:r>
              <w:rPr>
                <w:rFonts w:hint="eastAsia"/>
                <w:color w:val="auto"/>
                <w:sz w:val="24"/>
              </w:rPr>
              <w:t>，建筑面积21098.55m</w:t>
            </w:r>
            <w:r>
              <w:rPr>
                <w:rFonts w:hint="eastAsia"/>
                <w:color w:val="auto"/>
                <w:sz w:val="24"/>
                <w:vertAlign w:val="superscript"/>
              </w:rPr>
              <w:t>2</w:t>
            </w:r>
          </w:p>
          <w:p w14:paraId="1852941D">
            <w:pPr>
              <w:autoSpaceDE w:val="0"/>
              <w:autoSpaceDN w:val="0"/>
              <w:spacing w:line="360" w:lineRule="auto"/>
              <w:ind w:firstLine="480" w:firstLineChars="200"/>
              <w:rPr>
                <w:color w:val="auto"/>
                <w:sz w:val="24"/>
              </w:rPr>
            </w:pPr>
            <w:r>
              <w:rPr>
                <w:rFonts w:hint="eastAsia"/>
                <w:color w:val="auto"/>
                <w:sz w:val="24"/>
                <w:shd w:val="clear" w:fill="FFFFFF"/>
              </w:rPr>
              <w:t>(</w:t>
            </w:r>
            <w:r>
              <w:rPr>
                <w:rFonts w:hint="eastAsia"/>
                <w:color w:val="auto"/>
                <w:sz w:val="24"/>
              </w:rPr>
              <w:t>7</w:t>
            </w:r>
            <w:r>
              <w:rPr>
                <w:rFonts w:hint="eastAsia"/>
                <w:color w:val="auto"/>
                <w:sz w:val="24"/>
                <w:shd w:val="clear" w:fill="FFFFFF"/>
              </w:rPr>
              <w:t>)</w:t>
            </w:r>
            <w:r>
              <w:rPr>
                <w:rFonts w:hint="eastAsia"/>
                <w:color w:val="auto"/>
                <w:sz w:val="24"/>
              </w:rPr>
              <w:t>建设工期：6个月</w:t>
            </w:r>
          </w:p>
          <w:p w14:paraId="7BDBBE70">
            <w:pPr>
              <w:autoSpaceDE w:val="0"/>
              <w:autoSpaceDN w:val="0"/>
              <w:spacing w:line="360" w:lineRule="auto"/>
              <w:ind w:firstLine="480" w:firstLineChars="200"/>
              <w:rPr>
                <w:color w:val="auto"/>
                <w:sz w:val="24"/>
              </w:rPr>
            </w:pPr>
            <w:r>
              <w:rPr>
                <w:rFonts w:hint="eastAsia"/>
                <w:color w:val="auto"/>
                <w:sz w:val="24"/>
                <w:shd w:val="clear" w:fill="FFFFFF"/>
              </w:rPr>
              <w:t>(</w:t>
            </w:r>
            <w:r>
              <w:rPr>
                <w:rFonts w:hint="eastAsia"/>
                <w:color w:val="auto"/>
                <w:sz w:val="24"/>
              </w:rPr>
              <w:t>8</w:t>
            </w:r>
            <w:r>
              <w:rPr>
                <w:rFonts w:hint="eastAsia"/>
                <w:color w:val="auto"/>
                <w:sz w:val="24"/>
                <w:shd w:val="clear" w:fill="FFFFFF"/>
              </w:rPr>
              <w:t>)</w:t>
            </w:r>
            <w:r>
              <w:rPr>
                <w:rFonts w:hint="eastAsia"/>
                <w:color w:val="auto"/>
                <w:sz w:val="24"/>
              </w:rPr>
              <w:t>生产规模：年产30万米水泥预制管</w:t>
            </w:r>
          </w:p>
          <w:p w14:paraId="1E7B7BFE">
            <w:pPr>
              <w:autoSpaceDE w:val="0"/>
              <w:autoSpaceDN w:val="0"/>
              <w:spacing w:line="360" w:lineRule="auto"/>
              <w:ind w:firstLine="480" w:firstLineChars="200"/>
              <w:rPr>
                <w:color w:val="auto"/>
                <w:sz w:val="24"/>
              </w:rPr>
            </w:pPr>
            <w:r>
              <w:rPr>
                <w:rFonts w:hint="eastAsia"/>
                <w:color w:val="auto"/>
                <w:sz w:val="24"/>
                <w:shd w:val="clear" w:fill="FFFFFF"/>
              </w:rPr>
              <w:t>(</w:t>
            </w:r>
            <w:r>
              <w:rPr>
                <w:rFonts w:hint="eastAsia"/>
                <w:color w:val="auto"/>
                <w:sz w:val="24"/>
              </w:rPr>
              <w:t>9</w:t>
            </w:r>
            <w:r>
              <w:rPr>
                <w:rFonts w:hint="eastAsia"/>
                <w:color w:val="auto"/>
                <w:sz w:val="24"/>
                <w:shd w:val="clear" w:fill="FFFFFF"/>
              </w:rPr>
              <w:t>)</w:t>
            </w:r>
            <w:r>
              <w:rPr>
                <w:rFonts w:hint="eastAsia"/>
                <w:color w:val="auto"/>
                <w:sz w:val="24"/>
              </w:rPr>
              <w:t>职工人数：职工人数80人，其中30人在厂区内食宿</w:t>
            </w:r>
          </w:p>
          <w:p w14:paraId="2E397431">
            <w:pPr>
              <w:autoSpaceDE w:val="0"/>
              <w:autoSpaceDN w:val="0"/>
              <w:spacing w:line="360" w:lineRule="auto"/>
              <w:ind w:firstLine="480" w:firstLineChars="200"/>
              <w:rPr>
                <w:rFonts w:hint="eastAsia"/>
                <w:color w:val="auto"/>
                <w:sz w:val="24"/>
              </w:rPr>
            </w:pPr>
            <w:r>
              <w:rPr>
                <w:rFonts w:hint="eastAsia"/>
                <w:color w:val="auto"/>
                <w:sz w:val="24"/>
                <w:shd w:val="clear" w:fill="FFFFFF"/>
              </w:rPr>
              <w:t>(</w:t>
            </w:r>
            <w:r>
              <w:rPr>
                <w:rFonts w:hint="eastAsia"/>
                <w:color w:val="auto"/>
                <w:sz w:val="24"/>
                <w:lang w:val="en-US" w:eastAsia="zh-CN"/>
              </w:rPr>
              <w:t>10</w:t>
            </w:r>
            <w:r>
              <w:rPr>
                <w:rFonts w:hint="eastAsia"/>
                <w:color w:val="auto"/>
                <w:sz w:val="24"/>
                <w:shd w:val="clear" w:fill="FFFFFF"/>
              </w:rPr>
              <w:t>)</w:t>
            </w:r>
            <w:r>
              <w:rPr>
                <w:rFonts w:hint="eastAsia"/>
                <w:color w:val="auto"/>
                <w:sz w:val="24"/>
              </w:rPr>
              <w:t>工作制度：年工作300天，实行</w:t>
            </w:r>
            <w:r>
              <w:rPr>
                <w:rFonts w:hint="eastAsia"/>
                <w:color w:val="auto"/>
                <w:sz w:val="24"/>
                <w:lang w:eastAsia="zh-CN"/>
              </w:rPr>
              <w:t>单班制</w:t>
            </w:r>
            <w:r>
              <w:rPr>
                <w:rFonts w:hint="eastAsia"/>
                <w:color w:val="auto"/>
                <w:sz w:val="24"/>
              </w:rPr>
              <w:t>，每班工作8小时，昼间生产</w:t>
            </w:r>
          </w:p>
          <w:p w14:paraId="2C83302B">
            <w:pPr>
              <w:autoSpaceDE w:val="0"/>
              <w:autoSpaceDN w:val="0"/>
              <w:spacing w:line="360" w:lineRule="auto"/>
              <w:rPr>
                <w:color w:val="auto"/>
                <w:sz w:val="24"/>
              </w:rPr>
            </w:pPr>
            <w:r>
              <w:rPr>
                <w:rFonts w:hint="eastAsia"/>
                <w:b/>
                <w:bCs/>
                <w:color w:val="auto"/>
                <w:kern w:val="21"/>
                <w:sz w:val="24"/>
              </w:rPr>
              <w:t>2.</w:t>
            </w:r>
            <w:r>
              <w:rPr>
                <w:rFonts w:hint="eastAsia"/>
                <w:b/>
                <w:bCs/>
                <w:color w:val="auto"/>
                <w:kern w:val="21"/>
                <w:sz w:val="24"/>
                <w:lang w:val="en-US" w:eastAsia="zh-CN"/>
              </w:rPr>
              <w:t>4</w:t>
            </w:r>
            <w:r>
              <w:rPr>
                <w:rFonts w:hint="eastAsia"/>
                <w:b/>
                <w:bCs/>
                <w:color w:val="auto"/>
                <w:kern w:val="21"/>
                <w:sz w:val="24"/>
              </w:rPr>
              <w:t xml:space="preserve"> 项目组成</w:t>
            </w:r>
          </w:p>
          <w:p w14:paraId="5E2A8641">
            <w:pPr>
              <w:pStyle w:val="68"/>
              <w:ind w:firstLine="480"/>
              <w:rPr>
                <w:color w:val="auto"/>
                <w:kern w:val="2"/>
                <w:sz w:val="24"/>
                <w:szCs w:val="24"/>
              </w:rPr>
            </w:pPr>
            <w:r>
              <w:rPr>
                <w:rFonts w:hint="eastAsia"/>
                <w:color w:val="auto"/>
                <w:kern w:val="2"/>
                <w:sz w:val="24"/>
                <w:szCs w:val="24"/>
                <w:lang w:eastAsia="zh-CN"/>
              </w:rPr>
              <w:t>迁建项目</w:t>
            </w:r>
            <w:r>
              <w:rPr>
                <w:rFonts w:hint="eastAsia"/>
                <w:color w:val="auto"/>
                <w:sz w:val="24"/>
              </w:rPr>
              <w:t>占地面积40000m</w:t>
            </w:r>
            <w:r>
              <w:rPr>
                <w:rFonts w:hint="eastAsia"/>
                <w:color w:val="auto"/>
                <w:sz w:val="24"/>
                <w:vertAlign w:val="superscript"/>
              </w:rPr>
              <w:t>2</w:t>
            </w:r>
            <w:r>
              <w:rPr>
                <w:rFonts w:hint="eastAsia"/>
                <w:color w:val="auto"/>
                <w:sz w:val="24"/>
              </w:rPr>
              <w:t>，建筑面积21098.55m</w:t>
            </w:r>
            <w:r>
              <w:rPr>
                <w:rFonts w:hint="eastAsia"/>
                <w:color w:val="auto"/>
                <w:sz w:val="24"/>
                <w:vertAlign w:val="superscript"/>
              </w:rPr>
              <w:t>2</w:t>
            </w:r>
            <w:r>
              <w:rPr>
                <w:rFonts w:hint="eastAsia"/>
                <w:color w:val="auto"/>
                <w:kern w:val="2"/>
                <w:sz w:val="24"/>
                <w:szCs w:val="24"/>
              </w:rPr>
              <w:t>，主要由主体工程、辅助工程、公用工程、环保工程等组成，项目主要组成一览表见表2.</w:t>
            </w:r>
            <w:r>
              <w:rPr>
                <w:rFonts w:hint="eastAsia"/>
                <w:color w:val="auto"/>
                <w:kern w:val="2"/>
                <w:sz w:val="24"/>
                <w:szCs w:val="24"/>
                <w:lang w:val="en-US" w:eastAsia="zh-CN"/>
              </w:rPr>
              <w:t>4</w:t>
            </w:r>
            <w:r>
              <w:rPr>
                <w:rFonts w:hint="eastAsia"/>
                <w:color w:val="auto"/>
                <w:kern w:val="2"/>
                <w:sz w:val="24"/>
                <w:szCs w:val="24"/>
              </w:rPr>
              <w:t>-1。</w:t>
            </w:r>
          </w:p>
          <w:p w14:paraId="52234AA7">
            <w:pPr>
              <w:pStyle w:val="77"/>
              <w:rPr>
                <w:color w:val="auto"/>
                <w:sz w:val="24"/>
              </w:rPr>
            </w:pPr>
            <w:r>
              <w:rPr>
                <w:rFonts w:hint="eastAsia"/>
                <w:color w:val="auto"/>
                <w:sz w:val="24"/>
              </w:rPr>
              <w:t>表2.</w:t>
            </w:r>
            <w:r>
              <w:rPr>
                <w:rFonts w:hint="eastAsia"/>
                <w:color w:val="auto"/>
                <w:sz w:val="24"/>
                <w:lang w:val="en-US" w:eastAsia="zh-CN"/>
              </w:rPr>
              <w:t>4</w:t>
            </w:r>
            <w:r>
              <w:rPr>
                <w:rFonts w:hint="eastAsia"/>
                <w:color w:val="auto"/>
                <w:sz w:val="24"/>
              </w:rPr>
              <w:t>-1</w:t>
            </w:r>
            <w:r>
              <w:rPr>
                <w:color w:val="auto"/>
                <w:sz w:val="24"/>
              </w:rPr>
              <w:t xml:space="preserve"> </w:t>
            </w:r>
            <w:r>
              <w:rPr>
                <w:rFonts w:hint="eastAsia"/>
                <w:color w:val="auto"/>
                <w:sz w:val="24"/>
              </w:rPr>
              <w:t xml:space="preserve"> 项目主要工程组成一览表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1"/>
              <w:gridCol w:w="551"/>
              <w:gridCol w:w="7118"/>
            </w:tblGrid>
            <w:tr w14:paraId="26EE83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gridSpan w:val="2"/>
                  <w:vAlign w:val="center"/>
                </w:tcPr>
                <w:p w14:paraId="2FE13BB7">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项目组成</w:t>
                  </w:r>
                </w:p>
              </w:tc>
              <w:tc>
                <w:tcPr>
                  <w:tcW w:w="0" w:type="auto"/>
                  <w:vAlign w:val="center"/>
                </w:tcPr>
                <w:p w14:paraId="025E7242">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主要建设内容及规模</w:t>
                  </w:r>
                </w:p>
              </w:tc>
            </w:tr>
            <w:tr w14:paraId="6513CC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72246966">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主体工程</w:t>
                  </w:r>
                </w:p>
              </w:tc>
              <w:tc>
                <w:tcPr>
                  <w:tcW w:w="0" w:type="auto"/>
                  <w:vAlign w:val="center"/>
                </w:tcPr>
                <w:p w14:paraId="0AF57D6E">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生产车间</w:t>
                  </w:r>
                </w:p>
              </w:tc>
              <w:tc>
                <w:tcPr>
                  <w:tcW w:w="0" w:type="auto"/>
                  <w:vAlign w:val="center"/>
                </w:tcPr>
                <w:p w14:paraId="24721223">
                  <w:pPr>
                    <w:keepNext w:val="0"/>
                    <w:keepLines w:val="0"/>
                    <w:pageBreakBefore w:val="0"/>
                    <w:widowControl w:val="0"/>
                    <w:kinsoku/>
                    <w:wordWrap/>
                    <w:overflowPunct/>
                    <w:topLinePunct w:val="0"/>
                    <w:autoSpaceDE/>
                    <w:autoSpaceDN/>
                    <w:bidi w:val="0"/>
                    <w:spacing w:line="340" w:lineRule="atLeast"/>
                    <w:jc w:val="center"/>
                    <w:textAlignment w:val="auto"/>
                    <w:rPr>
                      <w:rFonts w:hint="eastAsia"/>
                      <w:color w:val="auto"/>
                      <w:sz w:val="21"/>
                      <w:szCs w:val="21"/>
                    </w:rPr>
                  </w:pPr>
                  <w:r>
                    <w:rPr>
                      <w:rFonts w:hint="eastAsia"/>
                      <w:color w:val="auto"/>
                      <w:sz w:val="21"/>
                      <w:szCs w:val="21"/>
                    </w:rPr>
                    <w:t>①</w:t>
                  </w:r>
                  <w:r>
                    <w:rPr>
                      <w:rFonts w:hint="eastAsia"/>
                      <w:color w:val="auto"/>
                      <w:sz w:val="21"/>
                      <w:szCs w:val="21"/>
                      <w:lang w:val="en-US" w:eastAsia="zh-CN"/>
                    </w:rPr>
                    <w:t>生产车间</w:t>
                  </w:r>
                  <w:r>
                    <w:rPr>
                      <w:rFonts w:hint="eastAsia"/>
                      <w:color w:val="auto"/>
                      <w:sz w:val="21"/>
                      <w:szCs w:val="21"/>
                    </w:rPr>
                    <w:t>建筑层数1层，建筑高度</w:t>
                  </w:r>
                  <w:r>
                    <w:rPr>
                      <w:rFonts w:hint="eastAsia"/>
                      <w:color w:val="auto"/>
                      <w:sz w:val="21"/>
                      <w:szCs w:val="21"/>
                      <w:lang w:eastAsia="zh-CN"/>
                    </w:rPr>
                    <w:t>：</w:t>
                  </w:r>
                  <w:r>
                    <w:rPr>
                      <w:rFonts w:hint="eastAsia"/>
                      <w:color w:val="auto"/>
                      <w:sz w:val="21"/>
                      <w:szCs w:val="21"/>
                    </w:rPr>
                    <w:t>13.1m</w:t>
                  </w:r>
                  <w:r>
                    <w:rPr>
                      <w:rFonts w:hint="eastAsia"/>
                      <w:color w:val="auto"/>
                      <w:sz w:val="21"/>
                      <w:szCs w:val="21"/>
                      <w:lang w:eastAsia="zh-CN"/>
                    </w:rPr>
                    <w:t>，</w:t>
                  </w:r>
                  <w:r>
                    <w:rPr>
                      <w:rFonts w:hint="eastAsia"/>
                      <w:color w:val="auto"/>
                      <w:sz w:val="21"/>
                      <w:szCs w:val="21"/>
                    </w:rPr>
                    <w:t>总建筑面积</w:t>
                  </w:r>
                  <w:r>
                    <w:rPr>
                      <w:rFonts w:hint="eastAsia"/>
                      <w:color w:val="auto"/>
                      <w:sz w:val="21"/>
                      <w:szCs w:val="21"/>
                      <w:lang w:eastAsia="zh-CN"/>
                    </w:rPr>
                    <w:t>：</w:t>
                  </w:r>
                  <w:r>
                    <w:rPr>
                      <w:rFonts w:hint="eastAsia"/>
                      <w:color w:val="auto"/>
                      <w:sz w:val="21"/>
                      <w:szCs w:val="21"/>
                    </w:rPr>
                    <w:t>16705.45</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rPr>
                    <w:t>地上建筑面积</w:t>
                  </w:r>
                  <w:r>
                    <w:rPr>
                      <w:rFonts w:hint="eastAsia"/>
                      <w:color w:val="auto"/>
                      <w:sz w:val="21"/>
                      <w:szCs w:val="21"/>
                      <w:lang w:eastAsia="zh-CN"/>
                    </w:rPr>
                    <w:t>：</w:t>
                  </w:r>
                  <w:r>
                    <w:rPr>
                      <w:rFonts w:hint="eastAsia"/>
                      <w:color w:val="auto"/>
                      <w:sz w:val="21"/>
                      <w:szCs w:val="21"/>
                    </w:rPr>
                    <w:t>16705.45</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，地下建筑面积</w:t>
                  </w:r>
                  <w:r>
                    <w:rPr>
                      <w:rFonts w:hint="eastAsia"/>
                      <w:color w:val="auto"/>
                      <w:sz w:val="21"/>
                      <w:szCs w:val="21"/>
                      <w:lang w:eastAsia="zh-CN"/>
                    </w:rPr>
                    <w:t>：</w:t>
                  </w:r>
                  <w:r>
                    <w:rPr>
                      <w:rFonts w:hint="eastAsia"/>
                      <w:color w:val="auto"/>
                      <w:sz w:val="21"/>
                      <w:szCs w:val="21"/>
                    </w:rPr>
                    <w:t>0</w:t>
                  </w:r>
                  <w:r>
                    <w:rPr>
                      <w:rFonts w:hint="eastAsia"/>
                      <w:color w:val="auto"/>
                      <w:sz w:val="21"/>
                      <w:szCs w:val="21"/>
                      <w:lang w:val="en-US" w:eastAsia="zh-CN"/>
                    </w:rPr>
                    <w:t>m</w:t>
                  </w:r>
                  <w:r>
                    <w:rPr>
                      <w:rFonts w:hint="eastAsia"/>
                      <w:color w:val="auto"/>
                      <w:sz w:val="21"/>
                      <w:szCs w:val="21"/>
                      <w:vertAlign w:val="superscript"/>
                      <w:lang w:val="en-US" w:eastAsia="zh-CN"/>
                    </w:rPr>
                    <w:t>2</w:t>
                  </w:r>
                </w:p>
                <w:p w14:paraId="566E7F20">
                  <w:pPr>
                    <w:keepNext w:val="0"/>
                    <w:keepLines w:val="0"/>
                    <w:pageBreakBefore w:val="0"/>
                    <w:widowControl w:val="0"/>
                    <w:kinsoku/>
                    <w:wordWrap/>
                    <w:overflowPunct/>
                    <w:topLinePunct w:val="0"/>
                    <w:autoSpaceDE/>
                    <w:autoSpaceDN/>
                    <w:bidi w:val="0"/>
                    <w:spacing w:line="340" w:lineRule="atLeast"/>
                    <w:jc w:val="center"/>
                    <w:textAlignment w:val="auto"/>
                    <w:rPr>
                      <w:rFonts w:hint="default"/>
                      <w:color w:val="auto"/>
                      <w:sz w:val="21"/>
                      <w:szCs w:val="21"/>
                      <w:lang w:val="en-US"/>
                    </w:rPr>
                  </w:pPr>
                  <w:r>
                    <w:rPr>
                      <w:rFonts w:hint="eastAsia"/>
                      <w:color w:val="auto"/>
                      <w:sz w:val="21"/>
                      <w:szCs w:val="21"/>
                    </w:rPr>
                    <w:t>②</w:t>
                  </w:r>
                  <w:r>
                    <w:rPr>
                      <w:rFonts w:hint="eastAsia"/>
                      <w:color w:val="auto"/>
                      <w:sz w:val="21"/>
                      <w:szCs w:val="21"/>
                      <w:lang w:val="en-US" w:eastAsia="zh-CN"/>
                    </w:rPr>
                    <w:t>生产车间内共设置5个生产区域，每个生产区域设置1个</w:t>
                  </w:r>
                  <w:r>
                    <w:rPr>
                      <w:rFonts w:hint="eastAsia"/>
                      <w:color w:val="auto"/>
                      <w:sz w:val="21"/>
                      <w:szCs w:val="21"/>
                    </w:rPr>
                    <w:t>砂子、石子堆放区、</w:t>
                  </w:r>
                  <w:r>
                    <w:rPr>
                      <w:rFonts w:hint="eastAsia"/>
                      <w:color w:val="auto"/>
                      <w:sz w:val="21"/>
                      <w:szCs w:val="21"/>
                      <w:lang w:val="en-US" w:eastAsia="zh-CN"/>
                    </w:rPr>
                    <w:t>1个</w:t>
                  </w:r>
                  <w:r>
                    <w:rPr>
                      <w:rFonts w:hint="eastAsia"/>
                      <w:color w:val="auto"/>
                      <w:sz w:val="21"/>
                      <w:szCs w:val="21"/>
                    </w:rPr>
                    <w:t>配料仓</w:t>
                  </w:r>
                  <w:r>
                    <w:rPr>
                      <w:rFonts w:hint="eastAsia"/>
                      <w:color w:val="auto"/>
                      <w:sz w:val="21"/>
                      <w:szCs w:val="21"/>
                      <w:lang w:eastAsia="zh-CN"/>
                    </w:rPr>
                    <w:t>、</w:t>
                  </w:r>
                  <w:r>
                    <w:rPr>
                      <w:rFonts w:hint="eastAsia"/>
                      <w:color w:val="auto"/>
                      <w:sz w:val="21"/>
                      <w:szCs w:val="21"/>
                      <w:lang w:val="en-US" w:eastAsia="zh-CN"/>
                    </w:rPr>
                    <w:t>2个水泥罐、1个搅拌机，其余区域作为振动机、滚焊机、点焊机的区域</w:t>
                  </w:r>
                  <w:r>
                    <w:rPr>
                      <w:rFonts w:hint="eastAsia"/>
                      <w:color w:val="auto"/>
                      <w:sz w:val="21"/>
                      <w:szCs w:val="21"/>
                      <w:shd w:val="clear" w:fill="FFFFFF"/>
                      <w:lang w:val="en-US" w:eastAsia="zh-CN"/>
                    </w:rPr>
                    <w:t>(</w:t>
                  </w:r>
                  <w:r>
                    <w:rPr>
                      <w:rFonts w:hint="eastAsia"/>
                      <w:lang w:val="en-US" w:eastAsia="zh-CN"/>
                    </w:rPr>
                    <w:t>钢筋加工区</w:t>
                  </w:r>
                  <w:r>
                    <w:rPr>
                      <w:rFonts w:hint="eastAsia"/>
                      <w:color w:val="auto"/>
                      <w:sz w:val="21"/>
                      <w:szCs w:val="21"/>
                      <w:shd w:val="clear" w:fill="FFFFFF"/>
                      <w:lang w:val="en-US" w:eastAsia="zh-CN"/>
                    </w:rPr>
                    <w:t>)</w:t>
                  </w:r>
                  <w:r>
                    <w:rPr>
                      <w:rFonts w:hint="eastAsia"/>
                      <w:color w:val="auto"/>
                      <w:sz w:val="21"/>
                      <w:szCs w:val="21"/>
                      <w:lang w:val="en-US" w:eastAsia="zh-CN"/>
                    </w:rPr>
                    <w:t>以及养护区等</w:t>
                  </w:r>
                </w:p>
              </w:tc>
            </w:tr>
            <w:tr w14:paraId="380280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73BAC394">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辅助工程</w:t>
                  </w:r>
                </w:p>
              </w:tc>
              <w:tc>
                <w:tcPr>
                  <w:tcW w:w="0" w:type="auto"/>
                  <w:vAlign w:val="center"/>
                </w:tcPr>
                <w:p w14:paraId="0BC90CDC">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办公楼</w:t>
                  </w:r>
                </w:p>
              </w:tc>
              <w:tc>
                <w:tcPr>
                  <w:tcW w:w="0" w:type="auto"/>
                  <w:vAlign w:val="center"/>
                </w:tcPr>
                <w:p w14:paraId="585FBCDF">
                  <w:pPr>
                    <w:keepNext w:val="0"/>
                    <w:keepLines w:val="0"/>
                    <w:pageBreakBefore w:val="0"/>
                    <w:widowControl w:val="0"/>
                    <w:kinsoku/>
                    <w:wordWrap/>
                    <w:overflowPunct/>
                    <w:topLinePunct w:val="0"/>
                    <w:autoSpaceDE/>
                    <w:autoSpaceDN/>
                    <w:bidi w:val="0"/>
                    <w:spacing w:line="340" w:lineRule="atLeast"/>
                    <w:jc w:val="center"/>
                    <w:textAlignment w:val="auto"/>
                    <w:rPr>
                      <w:rFonts w:hint="eastAsia"/>
                      <w:color w:val="auto"/>
                      <w:sz w:val="21"/>
                      <w:szCs w:val="21"/>
                    </w:rPr>
                  </w:pPr>
                  <w:r>
                    <w:rPr>
                      <w:rFonts w:hint="eastAsia"/>
                      <w:color w:val="auto"/>
                      <w:sz w:val="21"/>
                      <w:szCs w:val="21"/>
                    </w:rPr>
                    <w:t>①</w:t>
                  </w:r>
                  <w:r>
                    <w:rPr>
                      <w:rFonts w:hint="eastAsia"/>
                      <w:color w:val="auto"/>
                      <w:sz w:val="21"/>
                      <w:szCs w:val="21"/>
                      <w:lang w:val="en-US" w:eastAsia="zh-CN"/>
                    </w:rPr>
                    <w:t>办公楼</w:t>
                  </w:r>
                  <w:r>
                    <w:rPr>
                      <w:rFonts w:hint="eastAsia"/>
                      <w:color w:val="auto"/>
                      <w:sz w:val="21"/>
                      <w:szCs w:val="21"/>
                    </w:rPr>
                    <w:t>建筑层数5层，建筑高度</w:t>
                  </w:r>
                  <w:r>
                    <w:rPr>
                      <w:rFonts w:hint="eastAsia"/>
                      <w:color w:val="auto"/>
                      <w:sz w:val="21"/>
                      <w:szCs w:val="21"/>
                      <w:lang w:eastAsia="zh-CN"/>
                    </w:rPr>
                    <w:t>：</w:t>
                  </w:r>
                  <w:r>
                    <w:rPr>
                      <w:rFonts w:hint="eastAsia"/>
                      <w:color w:val="auto"/>
                      <w:sz w:val="21"/>
                      <w:szCs w:val="21"/>
                    </w:rPr>
                    <w:t>21.3m，总建筑面积</w:t>
                  </w:r>
                  <w:r>
                    <w:rPr>
                      <w:rFonts w:hint="eastAsia"/>
                      <w:color w:val="auto"/>
                      <w:sz w:val="21"/>
                      <w:szCs w:val="21"/>
                      <w:lang w:eastAsia="zh-CN"/>
                    </w:rPr>
                    <w:t>：</w:t>
                  </w:r>
                  <w:r>
                    <w:rPr>
                      <w:rFonts w:hint="eastAsia"/>
                      <w:color w:val="auto"/>
                      <w:sz w:val="21"/>
                      <w:szCs w:val="21"/>
                    </w:rPr>
                    <w:t>2122.23</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，地上建筑面积</w:t>
                  </w:r>
                  <w:r>
                    <w:rPr>
                      <w:rFonts w:hint="eastAsia"/>
                      <w:color w:val="auto"/>
                      <w:sz w:val="21"/>
                      <w:szCs w:val="21"/>
                      <w:lang w:eastAsia="zh-CN"/>
                    </w:rPr>
                    <w:t>：</w:t>
                  </w:r>
                  <w:r>
                    <w:rPr>
                      <w:rFonts w:hint="eastAsia"/>
                      <w:color w:val="auto"/>
                      <w:sz w:val="21"/>
                      <w:szCs w:val="21"/>
                    </w:rPr>
                    <w:t>2122.23</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，地下建筑面积</w:t>
                  </w:r>
                  <w:r>
                    <w:rPr>
                      <w:rFonts w:hint="eastAsia"/>
                      <w:color w:val="auto"/>
                      <w:sz w:val="21"/>
                      <w:szCs w:val="21"/>
                      <w:lang w:eastAsia="zh-CN"/>
                    </w:rPr>
                    <w:t>：</w:t>
                  </w:r>
                  <w:r>
                    <w:rPr>
                      <w:rFonts w:hint="eastAsia"/>
                      <w:color w:val="auto"/>
                      <w:sz w:val="21"/>
                      <w:szCs w:val="21"/>
                    </w:rPr>
                    <w:t>0</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w:t>
                  </w:r>
                </w:p>
                <w:p w14:paraId="6CC0882E">
                  <w:pPr>
                    <w:keepNext w:val="0"/>
                    <w:keepLines w:val="0"/>
                    <w:pageBreakBefore w:val="0"/>
                    <w:widowControl w:val="0"/>
                    <w:kinsoku/>
                    <w:wordWrap/>
                    <w:overflowPunct/>
                    <w:topLinePunct w:val="0"/>
                    <w:autoSpaceDE/>
                    <w:autoSpaceDN/>
                    <w:bidi w:val="0"/>
                    <w:spacing w:line="340" w:lineRule="atLeast"/>
                    <w:jc w:val="center"/>
                    <w:textAlignment w:val="auto"/>
                    <w:rPr>
                      <w:rFonts w:hint="eastAsia" w:eastAsia="宋体"/>
                      <w:color w:val="auto"/>
                      <w:sz w:val="21"/>
                      <w:szCs w:val="21"/>
                      <w:lang w:val="en-US" w:eastAsia="zh-CN"/>
                    </w:rPr>
                  </w:pPr>
                  <w:r>
                    <w:rPr>
                      <w:rFonts w:hint="eastAsia"/>
                      <w:color w:val="auto"/>
                      <w:sz w:val="21"/>
                      <w:szCs w:val="21"/>
                    </w:rPr>
                    <w:t>②</w:t>
                  </w:r>
                  <w:r>
                    <w:rPr>
                      <w:rFonts w:hint="eastAsia"/>
                      <w:color w:val="auto"/>
                      <w:sz w:val="21"/>
                      <w:szCs w:val="21"/>
                      <w:lang w:val="en-US" w:eastAsia="zh-CN"/>
                    </w:rPr>
                    <w:t>办公楼主要用于</w:t>
                  </w:r>
                  <w:r>
                    <w:rPr>
                      <w:rFonts w:hint="eastAsia"/>
                      <w:color w:val="auto"/>
                      <w:sz w:val="21"/>
                      <w:szCs w:val="21"/>
                    </w:rPr>
                    <w:t>职工办公</w:t>
                  </w:r>
                  <w:r>
                    <w:rPr>
                      <w:rFonts w:hint="eastAsia"/>
                      <w:color w:val="auto"/>
                      <w:sz w:val="21"/>
                      <w:szCs w:val="21"/>
                      <w:lang w:val="en-US" w:eastAsia="zh-CN"/>
                    </w:rPr>
                    <w:t>使用</w:t>
                  </w:r>
                </w:p>
              </w:tc>
            </w:tr>
            <w:tr w14:paraId="57E952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4C4DCB54">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p>
              </w:tc>
              <w:tc>
                <w:tcPr>
                  <w:tcW w:w="0" w:type="auto"/>
                  <w:vAlign w:val="center"/>
                </w:tcPr>
                <w:p w14:paraId="3C42A692">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宿舍楼</w:t>
                  </w:r>
                </w:p>
              </w:tc>
              <w:tc>
                <w:tcPr>
                  <w:tcW w:w="0" w:type="auto"/>
                  <w:vAlign w:val="center"/>
                </w:tcPr>
                <w:p w14:paraId="399BEE50">
                  <w:pPr>
                    <w:keepNext w:val="0"/>
                    <w:keepLines w:val="0"/>
                    <w:pageBreakBefore w:val="0"/>
                    <w:widowControl w:val="0"/>
                    <w:kinsoku/>
                    <w:wordWrap/>
                    <w:overflowPunct/>
                    <w:topLinePunct w:val="0"/>
                    <w:autoSpaceDE/>
                    <w:autoSpaceDN/>
                    <w:bidi w:val="0"/>
                    <w:spacing w:line="340" w:lineRule="atLeast"/>
                    <w:jc w:val="center"/>
                    <w:textAlignment w:val="auto"/>
                    <w:rPr>
                      <w:rFonts w:hint="eastAsia"/>
                      <w:color w:val="auto"/>
                      <w:sz w:val="21"/>
                      <w:szCs w:val="21"/>
                    </w:rPr>
                  </w:pPr>
                  <w:r>
                    <w:rPr>
                      <w:rFonts w:hint="eastAsia"/>
                      <w:color w:val="auto"/>
                      <w:sz w:val="21"/>
                      <w:szCs w:val="21"/>
                    </w:rPr>
                    <w:t>①建筑层数地上5层，地下1层，使用性质</w:t>
                  </w:r>
                  <w:r>
                    <w:rPr>
                      <w:rFonts w:hint="eastAsia"/>
                      <w:color w:val="auto"/>
                      <w:sz w:val="21"/>
                      <w:szCs w:val="21"/>
                      <w:lang w:eastAsia="zh-CN"/>
                    </w:rPr>
                    <w:t>：</w:t>
                  </w:r>
                  <w:r>
                    <w:rPr>
                      <w:rFonts w:hint="eastAsia"/>
                      <w:color w:val="auto"/>
                      <w:sz w:val="21"/>
                      <w:szCs w:val="21"/>
                    </w:rPr>
                    <w:t>宿舍、活动室，建筑高度</w:t>
                  </w:r>
                  <w:r>
                    <w:rPr>
                      <w:rFonts w:hint="eastAsia"/>
                      <w:color w:val="auto"/>
                      <w:sz w:val="21"/>
                      <w:szCs w:val="21"/>
                      <w:lang w:eastAsia="zh-CN"/>
                    </w:rPr>
                    <w:t>：</w:t>
                  </w:r>
                  <w:r>
                    <w:rPr>
                      <w:rFonts w:hint="eastAsia"/>
                      <w:color w:val="auto"/>
                      <w:sz w:val="21"/>
                      <w:szCs w:val="21"/>
                    </w:rPr>
                    <w:t>19.4m，总建筑面积</w:t>
                  </w:r>
                  <w:r>
                    <w:rPr>
                      <w:rFonts w:hint="eastAsia"/>
                      <w:color w:val="auto"/>
                      <w:sz w:val="21"/>
                      <w:szCs w:val="21"/>
                      <w:lang w:eastAsia="zh-CN"/>
                    </w:rPr>
                    <w:t>：</w:t>
                  </w:r>
                  <w:r>
                    <w:rPr>
                      <w:rFonts w:hint="eastAsia"/>
                      <w:color w:val="auto"/>
                      <w:sz w:val="21"/>
                      <w:szCs w:val="21"/>
                    </w:rPr>
                    <w:t>2246.47</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，地上建筑面积</w:t>
                  </w:r>
                  <w:r>
                    <w:rPr>
                      <w:rFonts w:hint="eastAsia"/>
                      <w:color w:val="auto"/>
                      <w:sz w:val="21"/>
                      <w:szCs w:val="21"/>
                      <w:lang w:eastAsia="zh-CN"/>
                    </w:rPr>
                    <w:t>：</w:t>
                  </w:r>
                  <w:r>
                    <w:rPr>
                      <w:rFonts w:hint="eastAsia"/>
                      <w:color w:val="auto"/>
                      <w:sz w:val="21"/>
                      <w:szCs w:val="21"/>
                    </w:rPr>
                    <w:t>2007.95</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，地下建筑面积</w:t>
                  </w:r>
                  <w:r>
                    <w:rPr>
                      <w:rFonts w:hint="eastAsia"/>
                      <w:color w:val="auto"/>
                      <w:sz w:val="21"/>
                      <w:szCs w:val="21"/>
                      <w:lang w:eastAsia="zh-CN"/>
                    </w:rPr>
                    <w:t>：</w:t>
                  </w:r>
                  <w:r>
                    <w:rPr>
                      <w:rFonts w:hint="eastAsia"/>
                      <w:color w:val="auto"/>
                      <w:sz w:val="21"/>
                      <w:szCs w:val="21"/>
                    </w:rPr>
                    <w:t>238.52</w:t>
                  </w:r>
                  <w:r>
                    <w:rPr>
                      <w:rFonts w:hint="eastAsia"/>
                      <w:color w:val="auto"/>
                      <w:sz w:val="21"/>
                      <w:szCs w:val="21"/>
                      <w:lang w:val="en-US" w:eastAsia="zh-CN"/>
                    </w:rPr>
                    <w:t>m</w:t>
                  </w:r>
                  <w:r>
                    <w:rPr>
                      <w:rFonts w:hint="eastAsia"/>
                      <w:color w:val="auto"/>
                      <w:sz w:val="21"/>
                      <w:szCs w:val="21"/>
                      <w:vertAlign w:val="superscript"/>
                      <w:lang w:val="en-US" w:eastAsia="zh-CN"/>
                    </w:rPr>
                    <w:t>2</w:t>
                  </w:r>
                </w:p>
                <w:p w14:paraId="4F3A1AAC">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②</w:t>
                  </w:r>
                  <w:r>
                    <w:rPr>
                      <w:rFonts w:hint="eastAsia"/>
                      <w:color w:val="auto"/>
                      <w:sz w:val="21"/>
                      <w:szCs w:val="21"/>
                      <w:lang w:val="en-US" w:eastAsia="zh-CN"/>
                    </w:rPr>
                    <w:t>宿舍楼主要用于职工</w:t>
                  </w:r>
                  <w:r>
                    <w:rPr>
                      <w:rFonts w:hint="eastAsia"/>
                      <w:color w:val="auto"/>
                      <w:sz w:val="21"/>
                      <w:szCs w:val="21"/>
                    </w:rPr>
                    <w:t>食宿</w:t>
                  </w:r>
                </w:p>
              </w:tc>
            </w:tr>
            <w:tr w14:paraId="5B9461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4F7316DF">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p>
              </w:tc>
              <w:tc>
                <w:tcPr>
                  <w:tcW w:w="0" w:type="auto"/>
                  <w:vAlign w:val="center"/>
                </w:tcPr>
                <w:p w14:paraId="2D1520DE">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门卫</w:t>
                  </w:r>
                </w:p>
              </w:tc>
              <w:tc>
                <w:tcPr>
                  <w:tcW w:w="0" w:type="auto"/>
                  <w:vAlign w:val="center"/>
                </w:tcPr>
                <w:p w14:paraId="14E818F8">
                  <w:pPr>
                    <w:keepNext w:val="0"/>
                    <w:keepLines w:val="0"/>
                    <w:pageBreakBefore w:val="0"/>
                    <w:widowControl w:val="0"/>
                    <w:kinsoku/>
                    <w:wordWrap/>
                    <w:overflowPunct/>
                    <w:topLinePunct w:val="0"/>
                    <w:autoSpaceDE/>
                    <w:autoSpaceDN/>
                    <w:bidi w:val="0"/>
                    <w:spacing w:line="340" w:lineRule="atLeast"/>
                    <w:jc w:val="center"/>
                    <w:textAlignment w:val="auto"/>
                    <w:rPr>
                      <w:rFonts w:hint="eastAsia"/>
                      <w:color w:val="auto"/>
                      <w:sz w:val="21"/>
                      <w:szCs w:val="21"/>
                    </w:rPr>
                  </w:pPr>
                  <w:r>
                    <w:rPr>
                      <w:rFonts w:hint="eastAsia"/>
                      <w:color w:val="auto"/>
                      <w:sz w:val="21"/>
                      <w:szCs w:val="21"/>
                    </w:rPr>
                    <w:t>①建筑层数1层，使用性质</w:t>
                  </w:r>
                  <w:r>
                    <w:rPr>
                      <w:rFonts w:hint="eastAsia"/>
                      <w:color w:val="auto"/>
                      <w:sz w:val="21"/>
                      <w:szCs w:val="21"/>
                      <w:lang w:eastAsia="zh-CN"/>
                    </w:rPr>
                    <w:t>：</w:t>
                  </w:r>
                  <w:r>
                    <w:rPr>
                      <w:rFonts w:hint="eastAsia"/>
                      <w:color w:val="auto"/>
                      <w:sz w:val="21"/>
                      <w:szCs w:val="21"/>
                    </w:rPr>
                    <w:t>门卫，建筑高度</w:t>
                  </w:r>
                  <w:r>
                    <w:rPr>
                      <w:rFonts w:hint="eastAsia"/>
                      <w:color w:val="auto"/>
                      <w:sz w:val="21"/>
                      <w:szCs w:val="21"/>
                      <w:lang w:eastAsia="zh-CN"/>
                    </w:rPr>
                    <w:t>：</w:t>
                  </w:r>
                  <w:r>
                    <w:rPr>
                      <w:rFonts w:hint="eastAsia"/>
                      <w:color w:val="auto"/>
                      <w:sz w:val="21"/>
                      <w:szCs w:val="21"/>
                    </w:rPr>
                    <w:t>4.4m，总建筑面积</w:t>
                  </w:r>
                  <w:r>
                    <w:rPr>
                      <w:rFonts w:hint="eastAsia"/>
                      <w:color w:val="auto"/>
                      <w:sz w:val="21"/>
                      <w:szCs w:val="21"/>
                      <w:lang w:eastAsia="zh-CN"/>
                    </w:rPr>
                    <w:t>：</w:t>
                  </w:r>
                  <w:r>
                    <w:rPr>
                      <w:rFonts w:hint="eastAsia"/>
                      <w:color w:val="auto"/>
                      <w:sz w:val="21"/>
                      <w:szCs w:val="21"/>
                    </w:rPr>
                    <w:t>24.4</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，地上建筑面积</w:t>
                  </w:r>
                  <w:r>
                    <w:rPr>
                      <w:rFonts w:hint="eastAsia"/>
                      <w:color w:val="auto"/>
                      <w:sz w:val="21"/>
                      <w:szCs w:val="21"/>
                      <w:lang w:eastAsia="zh-CN"/>
                    </w:rPr>
                    <w:t>：</w:t>
                  </w:r>
                  <w:r>
                    <w:rPr>
                      <w:rFonts w:hint="eastAsia"/>
                      <w:color w:val="auto"/>
                      <w:sz w:val="21"/>
                      <w:szCs w:val="21"/>
                    </w:rPr>
                    <w:t>24.4</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rPr>
                    <w:t>，地下建筑面积</w:t>
                  </w:r>
                  <w:r>
                    <w:rPr>
                      <w:rFonts w:hint="eastAsia"/>
                      <w:color w:val="auto"/>
                      <w:sz w:val="21"/>
                      <w:szCs w:val="21"/>
                      <w:lang w:eastAsia="zh-CN"/>
                    </w:rPr>
                    <w:t>：</w:t>
                  </w:r>
                  <w:r>
                    <w:rPr>
                      <w:rFonts w:hint="eastAsia"/>
                      <w:color w:val="auto"/>
                      <w:sz w:val="21"/>
                      <w:szCs w:val="21"/>
                    </w:rPr>
                    <w:t>0</w:t>
                  </w:r>
                  <w:r>
                    <w:rPr>
                      <w:rFonts w:hint="eastAsia"/>
                      <w:color w:val="auto"/>
                      <w:sz w:val="21"/>
                      <w:szCs w:val="21"/>
                      <w:lang w:val="en-US" w:eastAsia="zh-CN"/>
                    </w:rPr>
                    <w:t>m</w:t>
                  </w:r>
                  <w:r>
                    <w:rPr>
                      <w:rFonts w:hint="eastAsia"/>
                      <w:color w:val="auto"/>
                      <w:sz w:val="21"/>
                      <w:szCs w:val="21"/>
                      <w:vertAlign w:val="superscript"/>
                      <w:lang w:val="en-US" w:eastAsia="zh-CN"/>
                    </w:rPr>
                    <w:t>2</w:t>
                  </w:r>
                </w:p>
                <w:p w14:paraId="290E551D">
                  <w:pPr>
                    <w:keepNext w:val="0"/>
                    <w:keepLines w:val="0"/>
                    <w:pageBreakBefore w:val="0"/>
                    <w:widowControl w:val="0"/>
                    <w:kinsoku/>
                    <w:wordWrap/>
                    <w:overflowPunct/>
                    <w:topLinePunct w:val="0"/>
                    <w:autoSpaceDE/>
                    <w:autoSpaceDN/>
                    <w:bidi w:val="0"/>
                    <w:spacing w:line="340" w:lineRule="atLeast"/>
                    <w:jc w:val="center"/>
                    <w:textAlignment w:val="auto"/>
                    <w:rPr>
                      <w:rFonts w:hint="eastAsia" w:eastAsia="宋体"/>
                      <w:color w:val="auto"/>
                      <w:sz w:val="21"/>
                      <w:szCs w:val="21"/>
                      <w:lang w:eastAsia="zh-CN"/>
                    </w:rPr>
                  </w:pPr>
                  <w:r>
                    <w:rPr>
                      <w:rFonts w:hint="eastAsia"/>
                      <w:color w:val="auto"/>
                      <w:sz w:val="21"/>
                      <w:szCs w:val="21"/>
                    </w:rPr>
                    <w:t>②</w:t>
                  </w:r>
                  <w:r>
                    <w:rPr>
                      <w:rFonts w:hint="eastAsia"/>
                      <w:color w:val="auto"/>
                      <w:sz w:val="21"/>
                      <w:szCs w:val="21"/>
                      <w:lang w:val="en-US" w:eastAsia="zh-CN"/>
                    </w:rPr>
                    <w:t>门卫主要为门卫保安室</w:t>
                  </w:r>
                </w:p>
              </w:tc>
            </w:tr>
            <w:tr w14:paraId="6CBA76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3EA52A0E">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公用工程</w:t>
                  </w:r>
                </w:p>
              </w:tc>
              <w:tc>
                <w:tcPr>
                  <w:tcW w:w="0" w:type="auto"/>
                  <w:vAlign w:val="center"/>
                </w:tcPr>
                <w:p w14:paraId="137D71F9">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供水</w:t>
                  </w:r>
                </w:p>
              </w:tc>
              <w:tc>
                <w:tcPr>
                  <w:tcW w:w="0" w:type="auto"/>
                  <w:vAlign w:val="center"/>
                </w:tcPr>
                <w:p w14:paraId="74D4C068">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接市政给水管网</w:t>
                  </w:r>
                </w:p>
              </w:tc>
            </w:tr>
            <w:tr w14:paraId="12EBD2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0FD19B93">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p>
              </w:tc>
              <w:tc>
                <w:tcPr>
                  <w:tcW w:w="0" w:type="auto"/>
                  <w:vAlign w:val="center"/>
                </w:tcPr>
                <w:p w14:paraId="59F3C06A">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供电</w:t>
                  </w:r>
                </w:p>
              </w:tc>
              <w:tc>
                <w:tcPr>
                  <w:tcW w:w="0" w:type="auto"/>
                  <w:vAlign w:val="center"/>
                </w:tcPr>
                <w:p w14:paraId="7AE9B64E">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接市政供电系统</w:t>
                  </w:r>
                </w:p>
              </w:tc>
            </w:tr>
            <w:tr w14:paraId="5C474E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495AFF43">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highlight w:val="yellow"/>
                    </w:rPr>
                  </w:pPr>
                </w:p>
              </w:tc>
              <w:tc>
                <w:tcPr>
                  <w:tcW w:w="0" w:type="auto"/>
                  <w:vAlign w:val="center"/>
                </w:tcPr>
                <w:p w14:paraId="06F0765D">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排水</w:t>
                  </w:r>
                </w:p>
              </w:tc>
              <w:tc>
                <w:tcPr>
                  <w:tcW w:w="0" w:type="auto"/>
                  <w:vAlign w:val="center"/>
                </w:tcPr>
                <w:p w14:paraId="4CE9A20A">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采取雨污分流，雨水经雨水管网收集后汇入雨水井</w:t>
                  </w:r>
                  <w:r>
                    <w:rPr>
                      <w:rFonts w:hint="eastAsia"/>
                      <w:color w:val="auto"/>
                      <w:sz w:val="21"/>
                      <w:szCs w:val="21"/>
                      <w:lang w:eastAsia="zh-CN"/>
                    </w:rPr>
                    <w:t>；</w:t>
                  </w:r>
                  <w:r>
                    <w:rPr>
                      <w:rFonts w:hint="eastAsia"/>
                      <w:color w:val="auto"/>
                      <w:sz w:val="21"/>
                      <w:szCs w:val="21"/>
                    </w:rPr>
                    <w:t>生活污水经</w:t>
                  </w:r>
                  <w:r>
                    <w:rPr>
                      <w:color w:val="auto"/>
                      <w:sz w:val="21"/>
                      <w:szCs w:val="21"/>
                    </w:rPr>
                    <w:t>化粪池预处理后接入市政污水管网</w:t>
                  </w:r>
                  <w:r>
                    <w:rPr>
                      <w:rFonts w:hint="eastAsia"/>
                      <w:color w:val="auto"/>
                      <w:sz w:val="21"/>
                      <w:szCs w:val="21"/>
                    </w:rPr>
                    <w:t>进入江阴污水处理厂处理</w:t>
                  </w:r>
                  <w:r>
                    <w:rPr>
                      <w:rFonts w:hint="eastAsia"/>
                      <w:color w:val="auto"/>
                      <w:sz w:val="21"/>
                      <w:szCs w:val="21"/>
                      <w:lang w:eastAsia="zh-CN"/>
                    </w:rPr>
                    <w:t>；</w:t>
                  </w:r>
                  <w:r>
                    <w:rPr>
                      <w:rFonts w:hint="eastAsia"/>
                      <w:color w:val="auto"/>
                      <w:sz w:val="21"/>
                      <w:szCs w:val="21"/>
                      <w:lang w:val="en-US" w:eastAsia="zh-CN"/>
                    </w:rPr>
                    <w:t>生产废水经处理后回循环使用不外排</w:t>
                  </w:r>
                </w:p>
              </w:tc>
            </w:tr>
            <w:tr w14:paraId="27389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0" w:type="auto"/>
                  <w:vMerge w:val="restart"/>
                  <w:vAlign w:val="center"/>
                </w:tcPr>
                <w:p w14:paraId="3CCC5454">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highlight w:val="yellow"/>
                    </w:rPr>
                  </w:pPr>
                  <w:r>
                    <w:rPr>
                      <w:rFonts w:hint="eastAsia"/>
                      <w:color w:val="auto"/>
                      <w:sz w:val="21"/>
                      <w:szCs w:val="21"/>
                    </w:rPr>
                    <w:t>环保工程</w:t>
                  </w:r>
                </w:p>
              </w:tc>
              <w:tc>
                <w:tcPr>
                  <w:tcW w:w="0" w:type="auto"/>
                  <w:vAlign w:val="center"/>
                </w:tcPr>
                <w:p w14:paraId="3A02F771">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废水处理</w:t>
                  </w:r>
                </w:p>
              </w:tc>
              <w:tc>
                <w:tcPr>
                  <w:tcW w:w="0" w:type="auto"/>
                  <w:vAlign w:val="center"/>
                </w:tcPr>
                <w:p w14:paraId="75A66346">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初期雨水、生产废水</w:t>
                  </w:r>
                  <w:r>
                    <w:rPr>
                      <w:rFonts w:hint="eastAsia"/>
                      <w:color w:val="auto"/>
                      <w:sz w:val="21"/>
                      <w:szCs w:val="21"/>
                      <w:shd w:val="clear" w:fill="FFFFFF"/>
                      <w:lang w:eastAsia="zh-CN"/>
                    </w:rPr>
                    <w:t>(</w:t>
                  </w:r>
                  <w:r>
                    <w:rPr>
                      <w:rFonts w:hint="eastAsia"/>
                      <w:color w:val="auto"/>
                      <w:sz w:val="21"/>
                      <w:szCs w:val="21"/>
                    </w:rPr>
                    <w:t>搅拌机清洗废水、道路清洗废水</w:t>
                  </w:r>
                  <w:r>
                    <w:rPr>
                      <w:rFonts w:hint="eastAsia"/>
                      <w:color w:val="auto"/>
                      <w:sz w:val="21"/>
                      <w:szCs w:val="21"/>
                      <w:shd w:val="clear" w:fill="FFFFFF"/>
                      <w:lang w:eastAsia="zh-CN"/>
                    </w:rPr>
                    <w:t>)</w:t>
                  </w:r>
                  <w:r>
                    <w:rPr>
                      <w:rFonts w:hint="eastAsia"/>
                      <w:color w:val="auto"/>
                      <w:sz w:val="21"/>
                      <w:szCs w:val="21"/>
                    </w:rPr>
                    <w:t>经三级沉淀池沉淀后循环使用，不外排。生活污水经</w:t>
                  </w:r>
                  <w:r>
                    <w:rPr>
                      <w:color w:val="auto"/>
                      <w:sz w:val="21"/>
                      <w:szCs w:val="21"/>
                    </w:rPr>
                    <w:t>化粪池预处理后接入市政污水管网</w:t>
                  </w:r>
                  <w:r>
                    <w:rPr>
                      <w:rFonts w:hint="eastAsia"/>
                      <w:color w:val="auto"/>
                      <w:sz w:val="21"/>
                      <w:szCs w:val="21"/>
                    </w:rPr>
                    <w:t>进入江阴污水处理厂处理</w:t>
                  </w:r>
                </w:p>
              </w:tc>
            </w:tr>
            <w:tr w14:paraId="7EDA3B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357A1FB7">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highlight w:val="yellow"/>
                    </w:rPr>
                  </w:pPr>
                </w:p>
              </w:tc>
              <w:tc>
                <w:tcPr>
                  <w:tcW w:w="0" w:type="auto"/>
                  <w:vAlign w:val="center"/>
                </w:tcPr>
                <w:p w14:paraId="367F141C">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废气处理</w:t>
                  </w:r>
                </w:p>
              </w:tc>
              <w:tc>
                <w:tcPr>
                  <w:tcW w:w="0" w:type="auto"/>
                  <w:vAlign w:val="center"/>
                </w:tcPr>
                <w:p w14:paraId="21AF19EB">
                  <w:pPr>
                    <w:keepNext w:val="0"/>
                    <w:keepLines w:val="0"/>
                    <w:pageBreakBefore w:val="0"/>
                    <w:widowControl w:val="0"/>
                    <w:kinsoku/>
                    <w:wordWrap/>
                    <w:overflowPunct/>
                    <w:topLinePunct w:val="0"/>
                    <w:autoSpaceDE/>
                    <w:autoSpaceDN/>
                    <w:bidi w:val="0"/>
                    <w:spacing w:line="340" w:lineRule="atLeast"/>
                    <w:jc w:val="center"/>
                    <w:textAlignment w:val="auto"/>
                    <w:rPr>
                      <w:rFonts w:hint="default" w:eastAsia="宋体"/>
                      <w:color w:val="auto"/>
                      <w:sz w:val="21"/>
                      <w:szCs w:val="21"/>
                      <w:lang w:val="en-US" w:eastAsia="zh-CN"/>
                    </w:rPr>
                  </w:pPr>
                  <w:r>
                    <w:rPr>
                      <w:rFonts w:hint="eastAsia"/>
                      <w:color w:val="auto"/>
                      <w:sz w:val="21"/>
                      <w:szCs w:val="21"/>
                      <w:lang w:val="en-US" w:eastAsia="zh-CN"/>
                    </w:rPr>
                    <w:t>全厂项目共设置5根排气筒</w:t>
                  </w:r>
                  <w:r>
                    <w:rPr>
                      <w:rFonts w:hint="eastAsia"/>
                      <w:color w:val="auto"/>
                      <w:sz w:val="21"/>
                      <w:szCs w:val="21"/>
                      <w:shd w:val="clear" w:fill="FFFFFF"/>
                      <w:lang w:val="en-US" w:eastAsia="zh-CN"/>
                    </w:rPr>
                    <w:t>(</w:t>
                  </w:r>
                  <w:r>
                    <w:rPr>
                      <w:rFonts w:hint="eastAsia"/>
                      <w:color w:val="auto"/>
                      <w:sz w:val="21"/>
                      <w:szCs w:val="21"/>
                      <w:lang w:val="en-US" w:eastAsia="zh-CN"/>
                    </w:rPr>
                    <w:t>DA001~DA005</w:t>
                  </w:r>
                  <w:r>
                    <w:rPr>
                      <w:rFonts w:hint="eastAsia"/>
                      <w:color w:val="auto"/>
                      <w:sz w:val="21"/>
                      <w:szCs w:val="21"/>
                      <w:shd w:val="clear" w:fill="FFFFFF"/>
                      <w:lang w:val="en-US" w:eastAsia="zh-CN"/>
                    </w:rPr>
                    <w:t>)</w:t>
                  </w:r>
                  <w:r>
                    <w:rPr>
                      <w:rFonts w:hint="eastAsia"/>
                      <w:color w:val="auto"/>
                      <w:sz w:val="21"/>
                      <w:szCs w:val="21"/>
                      <w:lang w:val="en-US" w:eastAsia="zh-CN"/>
                    </w:rPr>
                    <w:t>；</w:t>
                  </w:r>
                </w:p>
                <w:p w14:paraId="10A172B2">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①水泥罐呼吸粉尘：项目全厂共设置10个水泥罐，水泥罐呼吸粉尘从每个水泥罐负压收集至罐顶的1套滤罐顶滤筒袋式除尘器</w:t>
                  </w:r>
                  <w:r>
                    <w:rPr>
                      <w:rFonts w:hint="eastAsia"/>
                      <w:color w:val="auto"/>
                      <w:sz w:val="21"/>
                      <w:szCs w:val="21"/>
                      <w:shd w:val="clear" w:fill="FFFFFF"/>
                    </w:rPr>
                    <w:t>(</w:t>
                  </w:r>
                  <w:r>
                    <w:rPr>
                      <w:rFonts w:hint="eastAsia"/>
                      <w:color w:val="auto"/>
                      <w:sz w:val="21"/>
                      <w:szCs w:val="21"/>
                    </w:rPr>
                    <w:t>共计10套废气处理设施</w:t>
                  </w:r>
                  <w:r>
                    <w:rPr>
                      <w:rFonts w:hint="eastAsia"/>
                      <w:color w:val="auto"/>
                      <w:sz w:val="21"/>
                      <w:szCs w:val="21"/>
                      <w:shd w:val="clear" w:fill="FFFFFF"/>
                    </w:rPr>
                    <w:t>)</w:t>
                  </w:r>
                  <w:r>
                    <w:rPr>
                      <w:rFonts w:hint="eastAsia"/>
                      <w:color w:val="auto"/>
                      <w:sz w:val="21"/>
                      <w:szCs w:val="21"/>
                    </w:rPr>
                    <w:t>处理后每2</w:t>
                  </w:r>
                  <w:r>
                    <w:rPr>
                      <w:rFonts w:hint="eastAsia"/>
                      <w:color w:val="auto"/>
                      <w:sz w:val="21"/>
                      <w:szCs w:val="21"/>
                      <w:lang w:eastAsia="zh-CN"/>
                    </w:rPr>
                    <w:t>套滤罐顶滤筒袋式除尘器设置管道相衔接后由1根15m高排气筒排放</w:t>
                  </w:r>
                  <w:r>
                    <w:rPr>
                      <w:rFonts w:hint="eastAsia"/>
                      <w:color w:val="auto"/>
                      <w:sz w:val="21"/>
                      <w:szCs w:val="21"/>
                    </w:rPr>
                    <w:t>，则生产车间内设置DA001~DA005共计5根水泥罐呼吸粉尘排气筒；</w:t>
                  </w:r>
                </w:p>
                <w:p w14:paraId="5AC81B14">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②输送粉尘：</w:t>
                  </w:r>
                  <w:r>
                    <w:rPr>
                      <w:rFonts w:hAnsi="宋体"/>
                      <w:color w:val="auto"/>
                      <w:sz w:val="21"/>
                      <w:szCs w:val="21"/>
                    </w:rPr>
                    <w:t>水泥输料系统、计量系统均采用密闭式管道输料；石</w:t>
                  </w:r>
                  <w:r>
                    <w:rPr>
                      <w:rFonts w:hint="eastAsia" w:hAnsi="宋体"/>
                      <w:color w:val="auto"/>
                      <w:sz w:val="21"/>
                      <w:szCs w:val="21"/>
                    </w:rPr>
                    <w:t>子、砂子</w:t>
                  </w:r>
                  <w:r>
                    <w:rPr>
                      <w:rFonts w:hAnsi="宋体"/>
                      <w:color w:val="auto"/>
                      <w:sz w:val="21"/>
                      <w:szCs w:val="21"/>
                    </w:rPr>
                    <w:t>均采用皮带传输系统，进料、下料和转运的上方加装半密闭的防尘罩</w:t>
                  </w:r>
                  <w:r>
                    <w:rPr>
                      <w:rFonts w:hint="eastAsia"/>
                      <w:color w:val="auto"/>
                      <w:sz w:val="21"/>
                      <w:szCs w:val="21"/>
                    </w:rPr>
                    <w:t>；</w:t>
                  </w:r>
                </w:p>
                <w:p w14:paraId="3E6C6EF9">
                  <w:pPr>
                    <w:keepNext w:val="0"/>
                    <w:keepLines w:val="0"/>
                    <w:pageBreakBefore w:val="0"/>
                    <w:widowControl w:val="0"/>
                    <w:kinsoku/>
                    <w:wordWrap/>
                    <w:overflowPunct/>
                    <w:topLinePunct w:val="0"/>
                    <w:autoSpaceDE/>
                    <w:autoSpaceDN/>
                    <w:bidi w:val="0"/>
                    <w:spacing w:line="340" w:lineRule="atLeast"/>
                    <w:jc w:val="center"/>
                    <w:textAlignment w:val="auto"/>
                    <w:rPr>
                      <w:rFonts w:hint="eastAsia"/>
                      <w:color w:val="auto"/>
                      <w:sz w:val="21"/>
                      <w:szCs w:val="21"/>
                    </w:rPr>
                  </w:pPr>
                  <w:r>
                    <w:rPr>
                      <w:rFonts w:hint="eastAsia"/>
                      <w:color w:val="auto"/>
                      <w:sz w:val="21"/>
                      <w:szCs w:val="21"/>
                    </w:rPr>
                    <w:t>③原料砂石装卸扬尘：对原料砂石堆场定期喷水；篷布遮盖；在车间砂石堆场进行卸车，并洒水抑尘；</w:t>
                  </w:r>
                </w:p>
                <w:p w14:paraId="33C7FCD6">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④搅拌粉尘：密闭湿法搅拌，喷淋降尘；</w:t>
                  </w:r>
                </w:p>
                <w:p w14:paraId="2FDB91F9">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⑤焊接烟尘：移动焊烟净化器处理后无组织排放；</w:t>
                  </w:r>
                </w:p>
                <w:p w14:paraId="1CA469DC">
                  <w:pPr>
                    <w:keepNext w:val="0"/>
                    <w:keepLines w:val="0"/>
                    <w:pageBreakBefore w:val="0"/>
                    <w:widowControl w:val="0"/>
                    <w:kinsoku/>
                    <w:wordWrap/>
                    <w:overflowPunct/>
                    <w:topLinePunct w:val="0"/>
                    <w:autoSpaceDE/>
                    <w:autoSpaceDN/>
                    <w:bidi w:val="0"/>
                    <w:spacing w:line="340" w:lineRule="atLeast"/>
                    <w:jc w:val="center"/>
                    <w:textAlignment w:val="auto"/>
                    <w:rPr>
                      <w:rFonts w:hint="eastAsia" w:eastAsia="宋体"/>
                      <w:color w:val="auto"/>
                      <w:sz w:val="21"/>
                      <w:szCs w:val="21"/>
                      <w:lang w:eastAsia="zh-CN"/>
                    </w:rPr>
                  </w:pPr>
                  <w:r>
                    <w:rPr>
                      <w:rFonts w:hint="eastAsia"/>
                      <w:color w:val="auto"/>
                      <w:sz w:val="21"/>
                      <w:szCs w:val="21"/>
                    </w:rPr>
                    <w:fldChar w:fldCharType="begin"/>
                  </w:r>
                  <w:r>
                    <w:rPr>
                      <w:rFonts w:hint="eastAsia"/>
                      <w:color w:val="auto"/>
                      <w:sz w:val="21"/>
                      <w:szCs w:val="21"/>
                    </w:rPr>
                    <w:instrText xml:space="preserve"> = 6 \* GB3 \* MERGEFORMAT </w:instrText>
                  </w:r>
                  <w:r>
                    <w:rPr>
                      <w:rFonts w:hint="eastAsia"/>
                      <w:color w:val="auto"/>
                      <w:sz w:val="21"/>
                      <w:szCs w:val="21"/>
                    </w:rPr>
                    <w:fldChar w:fldCharType="separate"/>
                  </w:r>
                  <w:r>
                    <w:rPr>
                      <w:color w:val="auto"/>
                      <w:sz w:val="21"/>
                      <w:szCs w:val="21"/>
                    </w:rPr>
                    <w:t>⑥</w:t>
                  </w:r>
                  <w:r>
                    <w:rPr>
                      <w:rFonts w:hint="eastAsia"/>
                      <w:color w:val="auto"/>
                      <w:sz w:val="21"/>
                      <w:szCs w:val="21"/>
                    </w:rPr>
                    <w:fldChar w:fldCharType="end"/>
                  </w:r>
                  <w:r>
                    <w:rPr>
                      <w:rFonts w:hint="eastAsia"/>
                      <w:color w:val="auto"/>
                      <w:sz w:val="21"/>
                      <w:szCs w:val="21"/>
                    </w:rPr>
                    <w:t>厨房油烟：</w:t>
                  </w:r>
                  <w:r>
                    <w:rPr>
                      <w:rFonts w:hint="eastAsia"/>
                      <w:color w:val="auto"/>
                      <w:sz w:val="21"/>
                      <w:szCs w:val="21"/>
                      <w:lang w:eastAsia="zh-CN"/>
                    </w:rPr>
                    <w:t>经油烟净化器后经烟道由1根15m高DA006排气筒排放</w:t>
                  </w:r>
                </w:p>
              </w:tc>
            </w:tr>
            <w:tr w14:paraId="42D0C7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1A5BB9">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highlight w:val="yellow"/>
                    </w:rPr>
                  </w:pPr>
                </w:p>
              </w:tc>
              <w:tc>
                <w:tcPr>
                  <w:tcW w:w="0" w:type="auto"/>
                  <w:vAlign w:val="center"/>
                </w:tcPr>
                <w:p w14:paraId="1A77E811">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噪声处置</w:t>
                  </w:r>
                </w:p>
              </w:tc>
              <w:tc>
                <w:tcPr>
                  <w:tcW w:w="0" w:type="auto"/>
                  <w:vAlign w:val="center"/>
                </w:tcPr>
                <w:p w14:paraId="3ED78BAD">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选用低噪声设备，厂房隔声、高噪声设备采取基础减振等降噪措施</w:t>
                  </w:r>
                </w:p>
              </w:tc>
            </w:tr>
            <w:tr w14:paraId="7D5634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2382F9D8">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highlight w:val="yellow"/>
                    </w:rPr>
                  </w:pPr>
                </w:p>
              </w:tc>
              <w:tc>
                <w:tcPr>
                  <w:tcW w:w="0" w:type="auto"/>
                  <w:vMerge w:val="restart"/>
                  <w:vAlign w:val="center"/>
                </w:tcPr>
                <w:p w14:paraId="00EF399E">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固废处置</w:t>
                  </w:r>
                </w:p>
              </w:tc>
              <w:tc>
                <w:tcPr>
                  <w:tcW w:w="0" w:type="auto"/>
                  <w:vAlign w:val="center"/>
                </w:tcPr>
                <w:p w14:paraId="769F6BDD">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eastAsia"/>
                      <w:color w:val="auto"/>
                      <w:sz w:val="21"/>
                      <w:szCs w:val="21"/>
                    </w:rPr>
                    <w:t>设生活垃圾桶，生活垃圾分类收集后委托环卫部门清运处置</w:t>
                  </w:r>
                </w:p>
              </w:tc>
            </w:tr>
            <w:tr w14:paraId="4FA1D6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613C3173">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highlight w:val="yellow"/>
                    </w:rPr>
                  </w:pPr>
                </w:p>
              </w:tc>
              <w:tc>
                <w:tcPr>
                  <w:tcW w:w="0" w:type="auto"/>
                  <w:vMerge w:val="continue"/>
                  <w:vAlign w:val="center"/>
                </w:tcPr>
                <w:p w14:paraId="44D9DE4E">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p>
              </w:tc>
              <w:tc>
                <w:tcPr>
                  <w:tcW w:w="0" w:type="auto"/>
                  <w:vAlign w:val="center"/>
                </w:tcPr>
                <w:p w14:paraId="48245005">
                  <w:pPr>
                    <w:keepNext w:val="0"/>
                    <w:keepLines w:val="0"/>
                    <w:pageBreakBefore w:val="0"/>
                    <w:widowControl w:val="0"/>
                    <w:kinsoku/>
                    <w:wordWrap/>
                    <w:overflowPunct/>
                    <w:topLinePunct w:val="0"/>
                    <w:autoSpaceDE/>
                    <w:autoSpaceDN/>
                    <w:bidi w:val="0"/>
                    <w:adjustRightInd/>
                    <w:snapToGrid/>
                    <w:spacing w:line="340" w:lineRule="atLeast"/>
                    <w:ind w:left="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①</w:t>
                  </w:r>
                  <w:r>
                    <w:rPr>
                      <w:rFonts w:hint="eastAsia" w:ascii="Times New Roman" w:hAnsi="Times New Roman" w:eastAsia="宋体" w:cs="Times New Roman"/>
                      <w:b w:val="0"/>
                      <w:bCs w:val="0"/>
                      <w:color w:val="auto"/>
                      <w:sz w:val="21"/>
                      <w:szCs w:val="21"/>
                      <w:lang w:val="en-US" w:eastAsia="zh-CN"/>
                    </w:rPr>
                    <w:t>项目设置一处一般工业固体废物贮存间</w:t>
                  </w:r>
                  <w:r>
                    <w:rPr>
                      <w:rFonts w:hint="eastAsia" w:ascii="Times New Roman" w:hAnsi="Times New Roman" w:cs="Times New Roman"/>
                      <w:b w:val="0"/>
                      <w:bCs w:val="0"/>
                      <w:color w:val="auto"/>
                      <w:sz w:val="21"/>
                      <w:szCs w:val="21"/>
                      <w:lang w:eastAsia="zh-CN"/>
                    </w:rPr>
                    <w:t>，</w:t>
                  </w:r>
                  <w:r>
                    <w:rPr>
                      <w:rFonts w:hint="eastAsia"/>
                      <w:color w:val="auto"/>
                      <w:sz w:val="21"/>
                      <w:szCs w:val="21"/>
                    </w:rPr>
                    <w:t>沉淀渣沉渣妥善收集后</w:t>
                  </w:r>
                  <w:r>
                    <w:rPr>
                      <w:rFonts w:hint="eastAsia"/>
                      <w:color w:val="auto"/>
                      <w:sz w:val="21"/>
                      <w:szCs w:val="21"/>
                      <w:lang w:eastAsia="zh-CN"/>
                    </w:rPr>
                    <w:t>回用于生产</w:t>
                  </w:r>
                  <w:r>
                    <w:rPr>
                      <w:rFonts w:hint="eastAsia"/>
                      <w:color w:val="auto"/>
                      <w:sz w:val="21"/>
                      <w:szCs w:val="21"/>
                      <w:shd w:val="clear" w:fill="FFFFFF"/>
                      <w:lang w:eastAsia="zh-CN"/>
                    </w:rPr>
                    <w:t>(</w:t>
                  </w:r>
                  <w:r>
                    <w:rPr>
                      <w:rFonts w:hint="eastAsia"/>
                      <w:color w:val="auto"/>
                      <w:sz w:val="21"/>
                      <w:szCs w:val="21"/>
                      <w:lang w:eastAsia="zh-CN"/>
                    </w:rPr>
                    <w:t>养护工序</w:t>
                  </w:r>
                  <w:r>
                    <w:rPr>
                      <w:rFonts w:hint="eastAsia"/>
                      <w:color w:val="auto"/>
                      <w:sz w:val="21"/>
                      <w:szCs w:val="21"/>
                      <w:shd w:val="clear" w:fill="FFFFFF"/>
                      <w:lang w:eastAsia="zh-CN"/>
                    </w:rPr>
                    <w:t>)</w:t>
                  </w:r>
                  <w:r>
                    <w:rPr>
                      <w:rFonts w:hint="eastAsia"/>
                      <w:color w:val="auto"/>
                      <w:sz w:val="21"/>
                      <w:szCs w:val="21"/>
                    </w:rPr>
                    <w:t>；钢筋边角料、焊渣、破损模具、不合格品收集暂存于一般固废暂存区，外售综合物质回收单位</w:t>
                  </w:r>
                  <w:r>
                    <w:rPr>
                      <w:rFonts w:hint="default" w:ascii="Times New Roman" w:hAnsi="Times New Roman" w:eastAsia="宋体" w:cs="Times New Roman"/>
                      <w:b w:val="0"/>
                      <w:bCs w:val="0"/>
                      <w:color w:val="auto"/>
                      <w:sz w:val="21"/>
                      <w:szCs w:val="21"/>
                      <w:lang w:eastAsia="zh-CN"/>
                    </w:rPr>
                    <w:t>；</w:t>
                  </w:r>
                </w:p>
                <w:p w14:paraId="779E9B55">
                  <w:pPr>
                    <w:keepNext w:val="0"/>
                    <w:keepLines w:val="0"/>
                    <w:pageBreakBefore w:val="0"/>
                    <w:widowControl w:val="0"/>
                    <w:kinsoku/>
                    <w:wordWrap/>
                    <w:overflowPunct/>
                    <w:topLinePunct w:val="0"/>
                    <w:autoSpaceDE/>
                    <w:autoSpaceDN/>
                    <w:bidi w:val="0"/>
                    <w:spacing w:line="340" w:lineRule="atLeast"/>
                    <w:jc w:val="center"/>
                    <w:textAlignment w:val="auto"/>
                    <w:rPr>
                      <w:color w:val="auto"/>
                      <w:sz w:val="21"/>
                      <w:szCs w:val="21"/>
                    </w:rPr>
                  </w:pPr>
                  <w:r>
                    <w:rPr>
                      <w:rFonts w:hint="default" w:ascii="Times New Roman" w:hAnsi="Times New Roman" w:eastAsia="宋体" w:cs="Times New Roman"/>
                      <w:b w:val="0"/>
                      <w:bCs w:val="0"/>
                      <w:color w:val="auto"/>
                      <w:sz w:val="21"/>
                      <w:szCs w:val="21"/>
                    </w:rPr>
                    <w:t>②生活垃圾委托环卫部门进行处置</w:t>
                  </w:r>
                </w:p>
              </w:tc>
            </w:tr>
          </w:tbl>
          <w:p w14:paraId="5847846B">
            <w:pPr>
              <w:pStyle w:val="31"/>
              <w:widowControl w:val="0"/>
              <w:adjustRightInd/>
              <w:snapToGrid/>
              <w:spacing w:beforeLines="50" w:beforeAutospacing="0" w:after="0" w:afterAutospacing="0"/>
              <w:jc w:val="both"/>
              <w:rPr>
                <w:rFonts w:ascii="Times New Roman" w:hAnsi="Times New Roman"/>
                <w:b/>
                <w:bCs/>
                <w:color w:val="auto"/>
                <w:kern w:val="21"/>
                <w:szCs w:val="24"/>
              </w:rPr>
            </w:pPr>
            <w:r>
              <w:rPr>
                <w:rFonts w:hint="eastAsia" w:ascii="Times New Roman" w:hAnsi="Times New Roman"/>
                <w:b/>
                <w:bCs/>
                <w:color w:val="auto"/>
                <w:kern w:val="21"/>
                <w:szCs w:val="24"/>
              </w:rPr>
              <w:t>2.</w:t>
            </w:r>
            <w:r>
              <w:rPr>
                <w:rFonts w:hint="eastAsia" w:ascii="Times New Roman" w:hAnsi="Times New Roman"/>
                <w:b/>
                <w:bCs/>
                <w:color w:val="auto"/>
                <w:kern w:val="21"/>
                <w:szCs w:val="24"/>
                <w:lang w:val="en-US" w:eastAsia="zh-CN"/>
              </w:rPr>
              <w:t>5</w:t>
            </w:r>
            <w:r>
              <w:rPr>
                <w:rFonts w:hint="eastAsia" w:ascii="Times New Roman" w:hAnsi="Times New Roman"/>
                <w:b/>
                <w:bCs/>
                <w:color w:val="auto"/>
                <w:kern w:val="21"/>
                <w:szCs w:val="24"/>
              </w:rPr>
              <w:t xml:space="preserve"> 项目产品与产能</w:t>
            </w:r>
          </w:p>
          <w:p w14:paraId="243AC0DE">
            <w:pPr>
              <w:pStyle w:val="31"/>
              <w:widowControl w:val="0"/>
              <w:adjustRightInd/>
              <w:snapToGrid/>
              <w:spacing w:beforeLines="50" w:beforeAutospacing="0" w:after="0" w:afterAutospacing="0"/>
              <w:ind w:firstLine="480"/>
              <w:jc w:val="both"/>
              <w:rPr>
                <w:rFonts w:ascii="Times New Roman" w:hAnsi="Times New Roman"/>
                <w:color w:val="auto"/>
                <w:kern w:val="21"/>
                <w:szCs w:val="24"/>
              </w:rPr>
            </w:pPr>
            <w:r>
              <w:rPr>
                <w:rFonts w:hint="eastAsia" w:ascii="Times New Roman" w:hAnsi="Times New Roman"/>
                <w:color w:val="auto"/>
                <w:kern w:val="21"/>
                <w:szCs w:val="24"/>
              </w:rPr>
              <w:t>项目产品方案见表2.</w:t>
            </w:r>
            <w:r>
              <w:rPr>
                <w:rFonts w:hint="eastAsia" w:ascii="Times New Roman" w:hAnsi="Times New Roman"/>
                <w:color w:val="auto"/>
                <w:kern w:val="21"/>
                <w:szCs w:val="24"/>
                <w:lang w:val="en-US" w:eastAsia="zh-CN"/>
              </w:rPr>
              <w:t>5</w:t>
            </w:r>
            <w:r>
              <w:rPr>
                <w:rFonts w:hint="eastAsia" w:ascii="Times New Roman" w:hAnsi="Times New Roman"/>
                <w:color w:val="auto"/>
                <w:kern w:val="21"/>
                <w:szCs w:val="24"/>
              </w:rPr>
              <w:t>-1。</w:t>
            </w:r>
          </w:p>
          <w:p w14:paraId="36E39595">
            <w:pPr>
              <w:pStyle w:val="77"/>
              <w:rPr>
                <w:color w:val="auto"/>
                <w:sz w:val="24"/>
              </w:rPr>
            </w:pPr>
            <w:r>
              <w:rPr>
                <w:rFonts w:hint="eastAsia"/>
                <w:color w:val="auto"/>
                <w:sz w:val="24"/>
              </w:rPr>
              <w:t>表2.</w:t>
            </w:r>
            <w:r>
              <w:rPr>
                <w:rFonts w:hint="eastAsia"/>
                <w:color w:val="auto"/>
                <w:sz w:val="24"/>
                <w:lang w:val="en-US" w:eastAsia="zh-CN"/>
              </w:rPr>
              <w:t>5</w:t>
            </w:r>
            <w:r>
              <w:rPr>
                <w:rFonts w:hint="eastAsia"/>
                <w:color w:val="auto"/>
                <w:sz w:val="24"/>
              </w:rPr>
              <w:t xml:space="preserve">-1 </w:t>
            </w:r>
            <w:r>
              <w:rPr>
                <w:color w:val="auto"/>
                <w:sz w:val="24"/>
              </w:rPr>
              <w:t xml:space="preserve"> </w:t>
            </w:r>
            <w:r>
              <w:rPr>
                <w:rFonts w:hint="eastAsia"/>
                <w:color w:val="auto"/>
                <w:sz w:val="24"/>
              </w:rPr>
              <w:t>项目主要产品方案</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2009"/>
              <w:gridCol w:w="1843"/>
              <w:gridCol w:w="1677"/>
              <w:gridCol w:w="1678"/>
            </w:tblGrid>
            <w:tr w14:paraId="55B17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4" w:type="pct"/>
                  <w:tcBorders>
                    <w:tl2br w:val="nil"/>
                    <w:tr2bl w:val="nil"/>
                  </w:tcBorders>
                  <w:vAlign w:val="center"/>
                </w:tcPr>
                <w:p w14:paraId="539F397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color w:val="auto"/>
                      <w:szCs w:val="21"/>
                    </w:rPr>
                    <w:t>序号</w:t>
                  </w:r>
                </w:p>
              </w:tc>
              <w:tc>
                <w:tcPr>
                  <w:tcW w:w="1222" w:type="pct"/>
                  <w:tcBorders>
                    <w:tl2br w:val="nil"/>
                    <w:tr2bl w:val="nil"/>
                  </w:tcBorders>
                  <w:vAlign w:val="center"/>
                </w:tcPr>
                <w:p w14:paraId="65DEDC0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color w:val="auto"/>
                      <w:szCs w:val="21"/>
                    </w:rPr>
                    <w:t>产品名称</w:t>
                  </w:r>
                </w:p>
              </w:tc>
              <w:tc>
                <w:tcPr>
                  <w:tcW w:w="1121" w:type="pct"/>
                  <w:tcBorders>
                    <w:tl2br w:val="nil"/>
                    <w:tr2bl w:val="nil"/>
                  </w:tcBorders>
                  <w:vAlign w:val="center"/>
                </w:tcPr>
                <w:p w14:paraId="243B56E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设计产能</w:t>
                  </w:r>
                </w:p>
              </w:tc>
              <w:tc>
                <w:tcPr>
                  <w:tcW w:w="1020" w:type="pct"/>
                  <w:tcBorders>
                    <w:tl2br w:val="nil"/>
                    <w:tr2bl w:val="nil"/>
                  </w:tcBorders>
                  <w:vAlign w:val="center"/>
                </w:tcPr>
                <w:p w14:paraId="6D6315E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储存方式</w:t>
                  </w:r>
                </w:p>
              </w:tc>
              <w:tc>
                <w:tcPr>
                  <w:tcW w:w="1020" w:type="pct"/>
                  <w:tcBorders>
                    <w:tl2br w:val="nil"/>
                    <w:tr2bl w:val="nil"/>
                  </w:tcBorders>
                  <w:vAlign w:val="center"/>
                </w:tcPr>
                <w:p w14:paraId="6EC7C1C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储存场所</w:t>
                  </w:r>
                </w:p>
              </w:tc>
            </w:tr>
            <w:tr w14:paraId="28ACA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4" w:type="pct"/>
                  <w:tcBorders>
                    <w:tl2br w:val="nil"/>
                    <w:tr2bl w:val="nil"/>
                  </w:tcBorders>
                  <w:vAlign w:val="center"/>
                </w:tcPr>
                <w:p w14:paraId="49378CE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color w:val="auto"/>
                      <w:szCs w:val="21"/>
                    </w:rPr>
                    <w:t>1</w:t>
                  </w:r>
                </w:p>
              </w:tc>
              <w:tc>
                <w:tcPr>
                  <w:tcW w:w="1222" w:type="pct"/>
                  <w:tcBorders>
                    <w:tl2br w:val="nil"/>
                    <w:tr2bl w:val="nil"/>
                  </w:tcBorders>
                  <w:vAlign w:val="center"/>
                </w:tcPr>
                <w:p w14:paraId="06203E0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水泥预制管</w:t>
                  </w:r>
                </w:p>
              </w:tc>
              <w:tc>
                <w:tcPr>
                  <w:tcW w:w="1121" w:type="pct"/>
                  <w:tcBorders>
                    <w:tl2br w:val="nil"/>
                    <w:tr2bl w:val="nil"/>
                  </w:tcBorders>
                  <w:vAlign w:val="center"/>
                </w:tcPr>
                <w:p w14:paraId="7A026FB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lang w:val="en-US" w:eastAsia="zh-CN"/>
                    </w:rPr>
                    <w:t>30</w:t>
                  </w:r>
                  <w:r>
                    <w:rPr>
                      <w:rFonts w:hint="eastAsia"/>
                      <w:color w:val="auto"/>
                    </w:rPr>
                    <w:t>万m</w:t>
                  </w:r>
                  <w:r>
                    <w:rPr>
                      <w:rFonts w:hint="eastAsia"/>
                      <w:color w:val="auto"/>
                      <w:sz w:val="21"/>
                      <w:vertAlign w:val="superscript"/>
                      <w:lang w:val="en-US" w:eastAsia="zh-CN"/>
                    </w:rPr>
                    <w:t>3</w:t>
                  </w:r>
                  <w:r>
                    <w:rPr>
                      <w:rFonts w:hint="eastAsia"/>
                      <w:color w:val="auto"/>
                    </w:rPr>
                    <w:t>/a</w:t>
                  </w:r>
                </w:p>
              </w:tc>
              <w:tc>
                <w:tcPr>
                  <w:tcW w:w="1020" w:type="pct"/>
                  <w:tcBorders>
                    <w:tl2br w:val="nil"/>
                    <w:tr2bl w:val="nil"/>
                  </w:tcBorders>
                  <w:vAlign w:val="center"/>
                </w:tcPr>
                <w:p w14:paraId="5CC6200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堆放</w:t>
                  </w:r>
                </w:p>
              </w:tc>
              <w:tc>
                <w:tcPr>
                  <w:tcW w:w="1020" w:type="pct"/>
                  <w:tcBorders>
                    <w:tl2br w:val="nil"/>
                    <w:tr2bl w:val="nil"/>
                  </w:tcBorders>
                  <w:vAlign w:val="center"/>
                </w:tcPr>
                <w:p w14:paraId="2A2C988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lang w:eastAsia="zh-CN"/>
                    </w:rPr>
                  </w:pPr>
                  <w:r>
                    <w:rPr>
                      <w:rFonts w:hint="eastAsia"/>
                      <w:color w:val="auto"/>
                      <w:lang w:val="en-US" w:eastAsia="zh-CN"/>
                    </w:rPr>
                    <w:t>养护区</w:t>
                  </w:r>
                </w:p>
              </w:tc>
            </w:tr>
          </w:tbl>
          <w:p w14:paraId="3F6D192D">
            <w:pPr>
              <w:pStyle w:val="31"/>
              <w:widowControl w:val="0"/>
              <w:adjustRightInd/>
              <w:snapToGrid/>
              <w:spacing w:beforeLines="50" w:beforeAutospacing="0" w:after="0" w:afterAutospacing="0"/>
              <w:jc w:val="both"/>
              <w:rPr>
                <w:rFonts w:ascii="Times New Roman" w:hAnsi="Times New Roman"/>
                <w:b/>
                <w:bCs/>
                <w:color w:val="auto"/>
                <w:kern w:val="21"/>
                <w:szCs w:val="24"/>
              </w:rPr>
            </w:pPr>
            <w:bookmarkStart w:id="24" w:name="_Toc7769_WPSOffice_Level2"/>
            <w:bookmarkStart w:id="25" w:name="_Toc23407_WPSOffice_Level3"/>
            <w:r>
              <w:rPr>
                <w:rFonts w:hint="eastAsia" w:ascii="Times New Roman" w:hAnsi="Times New Roman"/>
                <w:b/>
                <w:bCs/>
                <w:color w:val="auto"/>
                <w:kern w:val="21"/>
                <w:szCs w:val="24"/>
              </w:rPr>
              <w:t>2.</w:t>
            </w:r>
            <w:r>
              <w:rPr>
                <w:rFonts w:hint="eastAsia" w:ascii="Times New Roman" w:hAnsi="Times New Roman"/>
                <w:b/>
                <w:bCs/>
                <w:color w:val="auto"/>
                <w:kern w:val="21"/>
                <w:szCs w:val="24"/>
                <w:lang w:val="en-US" w:eastAsia="zh-CN"/>
              </w:rPr>
              <w:t>6</w:t>
            </w:r>
            <w:r>
              <w:rPr>
                <w:rFonts w:hint="eastAsia" w:ascii="Times New Roman" w:hAnsi="Times New Roman"/>
                <w:b/>
                <w:bCs/>
                <w:color w:val="auto"/>
                <w:kern w:val="21"/>
                <w:szCs w:val="24"/>
              </w:rPr>
              <w:t xml:space="preserve"> 项目主要原辅材料</w:t>
            </w:r>
            <w:bookmarkEnd w:id="24"/>
            <w:bookmarkEnd w:id="25"/>
          </w:p>
          <w:p w14:paraId="53209FF5">
            <w:pPr>
              <w:pStyle w:val="31"/>
              <w:widowControl w:val="0"/>
              <w:adjustRightInd/>
              <w:snapToGrid/>
              <w:spacing w:beforeLines="50" w:beforeAutospacing="0" w:after="0" w:afterAutospacing="0" w:line="360" w:lineRule="auto"/>
              <w:ind w:firstLine="480"/>
              <w:jc w:val="both"/>
              <w:rPr>
                <w:rFonts w:ascii="Times New Roman" w:hAnsi="Times New Roman"/>
                <w:color w:val="auto"/>
                <w:kern w:val="21"/>
                <w:szCs w:val="24"/>
              </w:rPr>
            </w:pPr>
            <w:r>
              <w:rPr>
                <w:rFonts w:hint="eastAsia" w:ascii="Times New Roman" w:hAnsi="Times New Roman"/>
                <w:color w:val="auto"/>
                <w:kern w:val="21"/>
                <w:szCs w:val="24"/>
              </w:rPr>
              <w:t>项目主要原辅材料见表2.</w:t>
            </w:r>
            <w:r>
              <w:rPr>
                <w:rFonts w:hint="eastAsia" w:ascii="Times New Roman" w:hAnsi="Times New Roman"/>
                <w:color w:val="auto"/>
                <w:kern w:val="21"/>
                <w:szCs w:val="24"/>
                <w:lang w:val="en-US" w:eastAsia="zh-CN"/>
              </w:rPr>
              <w:t>6</w:t>
            </w:r>
            <w:r>
              <w:rPr>
                <w:rFonts w:hint="eastAsia" w:ascii="Times New Roman" w:hAnsi="Times New Roman"/>
                <w:color w:val="auto"/>
                <w:kern w:val="21"/>
                <w:szCs w:val="24"/>
              </w:rPr>
              <w:t>-1。</w:t>
            </w:r>
          </w:p>
          <w:p w14:paraId="4072ABFB">
            <w:pPr>
              <w:pStyle w:val="77"/>
              <w:rPr>
                <w:color w:val="auto"/>
                <w:sz w:val="24"/>
              </w:rPr>
            </w:pPr>
            <w:bookmarkStart w:id="26" w:name="_Toc17000_WPSOffice_Level2"/>
            <w:r>
              <w:rPr>
                <w:color w:val="auto"/>
                <w:sz w:val="24"/>
              </w:rPr>
              <w:t>表</w:t>
            </w:r>
            <w:r>
              <w:rPr>
                <w:rFonts w:hint="eastAsia"/>
                <w:color w:val="auto"/>
                <w:sz w:val="24"/>
              </w:rPr>
              <w:t>2.</w:t>
            </w:r>
            <w:r>
              <w:rPr>
                <w:rFonts w:hint="eastAsia"/>
                <w:color w:val="auto"/>
                <w:sz w:val="24"/>
                <w:lang w:val="en-US" w:eastAsia="zh-CN"/>
              </w:rPr>
              <w:t>6</w:t>
            </w:r>
            <w:r>
              <w:rPr>
                <w:rFonts w:hint="eastAsia"/>
                <w:color w:val="auto"/>
                <w:sz w:val="24"/>
              </w:rPr>
              <w:t>-1</w:t>
            </w:r>
            <w:r>
              <w:rPr>
                <w:color w:val="auto"/>
                <w:sz w:val="24"/>
              </w:rPr>
              <w:t xml:space="preserve">  </w:t>
            </w:r>
            <w:r>
              <w:rPr>
                <w:rFonts w:hint="eastAsia"/>
                <w:color w:val="auto"/>
                <w:sz w:val="24"/>
              </w:rPr>
              <w:t>项目</w:t>
            </w:r>
            <w:r>
              <w:rPr>
                <w:color w:val="auto"/>
                <w:sz w:val="24"/>
              </w:rPr>
              <w:t>主要原辅材料</w:t>
            </w:r>
            <w:bookmarkEnd w:id="26"/>
            <w:r>
              <w:rPr>
                <w:rFonts w:hint="eastAsia"/>
                <w:color w:val="auto"/>
                <w:sz w:val="24"/>
              </w:rPr>
              <w:t>及能耗</w:t>
            </w:r>
          </w:p>
          <w:tbl>
            <w:tblPr>
              <w:tblStyle w:val="3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3175"/>
              <w:gridCol w:w="1376"/>
              <w:gridCol w:w="641"/>
              <w:gridCol w:w="1076"/>
              <w:gridCol w:w="1306"/>
            </w:tblGrid>
            <w:tr w14:paraId="76DB5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416DB54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序号</w:t>
                  </w:r>
                </w:p>
              </w:tc>
              <w:tc>
                <w:tcPr>
                  <w:tcW w:w="1933" w:type="pct"/>
                  <w:vAlign w:val="center"/>
                </w:tcPr>
                <w:p w14:paraId="46B064F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原料</w:t>
                  </w:r>
                  <w:r>
                    <w:rPr>
                      <w:bCs/>
                      <w:color w:val="auto"/>
                      <w:szCs w:val="21"/>
                    </w:rPr>
                    <w:t>名称</w:t>
                  </w:r>
                </w:p>
              </w:tc>
              <w:tc>
                <w:tcPr>
                  <w:tcW w:w="838" w:type="pct"/>
                  <w:vAlign w:val="center"/>
                </w:tcPr>
                <w:p w14:paraId="6E30D31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设计年用量</w:t>
                  </w:r>
                </w:p>
              </w:tc>
              <w:tc>
                <w:tcPr>
                  <w:tcW w:w="390" w:type="pct"/>
                  <w:vAlign w:val="center"/>
                </w:tcPr>
                <w:p w14:paraId="6B65BD3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状态</w:t>
                  </w:r>
                </w:p>
              </w:tc>
              <w:tc>
                <w:tcPr>
                  <w:tcW w:w="655" w:type="pct"/>
                  <w:vAlign w:val="center"/>
                </w:tcPr>
                <w:p w14:paraId="76FB0FD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储存方式</w:t>
                  </w:r>
                </w:p>
              </w:tc>
              <w:tc>
                <w:tcPr>
                  <w:tcW w:w="792" w:type="pct"/>
                  <w:vAlign w:val="center"/>
                </w:tcPr>
                <w:p w14:paraId="4473735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储存场所</w:t>
                  </w:r>
                </w:p>
              </w:tc>
            </w:tr>
            <w:tr w14:paraId="6F708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6"/>
                  <w:vAlign w:val="center"/>
                </w:tcPr>
                <w:p w14:paraId="3B116EE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原辅材料</w:t>
                  </w:r>
                </w:p>
              </w:tc>
            </w:tr>
            <w:tr w14:paraId="3C3B6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59A3183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1</w:t>
                  </w:r>
                </w:p>
              </w:tc>
              <w:tc>
                <w:tcPr>
                  <w:tcW w:w="1933" w:type="pct"/>
                  <w:vAlign w:val="center"/>
                </w:tcPr>
                <w:p w14:paraId="50178D6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rPr>
                  </w:pPr>
                  <w:r>
                    <w:rPr>
                      <w:rFonts w:hint="eastAsia"/>
                      <w:bCs/>
                      <w:color w:val="auto"/>
                    </w:rPr>
                    <w:t>石子</w:t>
                  </w:r>
                </w:p>
              </w:tc>
              <w:tc>
                <w:tcPr>
                  <w:tcW w:w="838" w:type="pct"/>
                  <w:vAlign w:val="center"/>
                </w:tcPr>
                <w:p w14:paraId="561B1BB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17万</w:t>
                  </w:r>
                  <w:r>
                    <w:rPr>
                      <w:bCs/>
                      <w:color w:val="auto"/>
                      <w:szCs w:val="21"/>
                    </w:rPr>
                    <w:t>t/a</w:t>
                  </w:r>
                </w:p>
              </w:tc>
              <w:tc>
                <w:tcPr>
                  <w:tcW w:w="390" w:type="pct"/>
                  <w:vAlign w:val="center"/>
                </w:tcPr>
                <w:p w14:paraId="51266A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固体</w:t>
                  </w:r>
                </w:p>
              </w:tc>
              <w:tc>
                <w:tcPr>
                  <w:tcW w:w="655" w:type="pct"/>
                  <w:vAlign w:val="center"/>
                </w:tcPr>
                <w:p w14:paraId="0180AA1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堆放</w:t>
                  </w:r>
                </w:p>
              </w:tc>
              <w:tc>
                <w:tcPr>
                  <w:tcW w:w="792" w:type="pct"/>
                  <w:vAlign w:val="center"/>
                </w:tcPr>
                <w:p w14:paraId="06B6CF7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原料</w:t>
                  </w:r>
                  <w:r>
                    <w:rPr>
                      <w:rFonts w:hint="eastAsia"/>
                      <w:bCs/>
                      <w:color w:val="auto"/>
                      <w:szCs w:val="21"/>
                    </w:rPr>
                    <w:t>堆场</w:t>
                  </w:r>
                </w:p>
              </w:tc>
            </w:tr>
            <w:tr w14:paraId="03D0D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0337A7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2</w:t>
                  </w:r>
                </w:p>
              </w:tc>
              <w:tc>
                <w:tcPr>
                  <w:tcW w:w="1933" w:type="pct"/>
                  <w:vAlign w:val="center"/>
                </w:tcPr>
                <w:p w14:paraId="3E3BD04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砂子</w:t>
                  </w:r>
                </w:p>
              </w:tc>
              <w:tc>
                <w:tcPr>
                  <w:tcW w:w="838" w:type="pct"/>
                  <w:vAlign w:val="center"/>
                </w:tcPr>
                <w:p w14:paraId="35DDE5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pacing w:val="-6"/>
                      <w:szCs w:val="21"/>
                    </w:rPr>
                  </w:pPr>
                  <w:r>
                    <w:rPr>
                      <w:rFonts w:hint="eastAsia"/>
                      <w:bCs/>
                      <w:color w:val="auto"/>
                      <w:szCs w:val="21"/>
                    </w:rPr>
                    <w:t>8万</w:t>
                  </w:r>
                  <w:r>
                    <w:rPr>
                      <w:bCs/>
                      <w:color w:val="auto"/>
                      <w:szCs w:val="21"/>
                    </w:rPr>
                    <w:t>t/a</w:t>
                  </w:r>
                </w:p>
              </w:tc>
              <w:tc>
                <w:tcPr>
                  <w:tcW w:w="390" w:type="pct"/>
                  <w:vAlign w:val="center"/>
                </w:tcPr>
                <w:p w14:paraId="351E428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固体</w:t>
                  </w:r>
                </w:p>
              </w:tc>
              <w:tc>
                <w:tcPr>
                  <w:tcW w:w="655" w:type="pct"/>
                  <w:vAlign w:val="center"/>
                </w:tcPr>
                <w:p w14:paraId="120BCD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堆放</w:t>
                  </w:r>
                </w:p>
              </w:tc>
              <w:tc>
                <w:tcPr>
                  <w:tcW w:w="792" w:type="pct"/>
                  <w:vAlign w:val="center"/>
                </w:tcPr>
                <w:p w14:paraId="138761F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原料</w:t>
                  </w:r>
                  <w:r>
                    <w:rPr>
                      <w:rFonts w:hint="eastAsia"/>
                      <w:bCs/>
                      <w:color w:val="auto"/>
                      <w:szCs w:val="21"/>
                    </w:rPr>
                    <w:t>堆场</w:t>
                  </w:r>
                </w:p>
              </w:tc>
            </w:tr>
            <w:tr w14:paraId="0EDA5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2FB77AF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3</w:t>
                  </w:r>
                </w:p>
              </w:tc>
              <w:tc>
                <w:tcPr>
                  <w:tcW w:w="1933" w:type="pct"/>
                  <w:vAlign w:val="center"/>
                </w:tcPr>
                <w:p w14:paraId="3669E2A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rPr>
                  </w:pPr>
                  <w:r>
                    <w:rPr>
                      <w:rFonts w:hint="eastAsia"/>
                      <w:bCs/>
                      <w:color w:val="auto"/>
                    </w:rPr>
                    <w:t>水泥</w:t>
                  </w:r>
                </w:p>
              </w:tc>
              <w:tc>
                <w:tcPr>
                  <w:tcW w:w="838" w:type="pct"/>
                  <w:vAlign w:val="center"/>
                </w:tcPr>
                <w:p w14:paraId="0C43F71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5</w:t>
                  </w:r>
                  <w:r>
                    <w:rPr>
                      <w:bCs/>
                      <w:color w:val="auto"/>
                      <w:szCs w:val="21"/>
                    </w:rPr>
                    <w:t>.8</w:t>
                  </w:r>
                  <w:r>
                    <w:rPr>
                      <w:rFonts w:hint="eastAsia"/>
                      <w:bCs/>
                      <w:color w:val="auto"/>
                      <w:szCs w:val="21"/>
                    </w:rPr>
                    <w:t>万</w:t>
                  </w:r>
                  <w:r>
                    <w:rPr>
                      <w:bCs/>
                      <w:color w:val="auto"/>
                      <w:szCs w:val="21"/>
                    </w:rPr>
                    <w:t>t/a</w:t>
                  </w:r>
                </w:p>
              </w:tc>
              <w:tc>
                <w:tcPr>
                  <w:tcW w:w="390" w:type="pct"/>
                  <w:vAlign w:val="center"/>
                </w:tcPr>
                <w:p w14:paraId="325EB54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固体</w:t>
                  </w:r>
                </w:p>
              </w:tc>
              <w:tc>
                <w:tcPr>
                  <w:tcW w:w="655" w:type="pct"/>
                  <w:vAlign w:val="center"/>
                </w:tcPr>
                <w:p w14:paraId="7F9B9D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密封</w:t>
                  </w:r>
                  <w:r>
                    <w:rPr>
                      <w:rFonts w:hint="eastAsia"/>
                      <w:bCs/>
                      <w:color w:val="auto"/>
                      <w:szCs w:val="21"/>
                    </w:rPr>
                    <w:t>罐装</w:t>
                  </w:r>
                </w:p>
              </w:tc>
              <w:tc>
                <w:tcPr>
                  <w:tcW w:w="792" w:type="pct"/>
                  <w:vAlign w:val="center"/>
                </w:tcPr>
                <w:p w14:paraId="3DA265A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水泥罐</w:t>
                  </w:r>
                </w:p>
              </w:tc>
            </w:tr>
            <w:tr w14:paraId="2A853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104C15E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bookmarkStart w:id="27" w:name="_Toc13619_WPSOffice_Level3"/>
                  <w:bookmarkStart w:id="28" w:name="_Toc31618_WPSOffice_Level2"/>
                  <w:r>
                    <w:rPr>
                      <w:rFonts w:hint="eastAsia"/>
                      <w:bCs/>
                      <w:color w:val="auto"/>
                      <w:szCs w:val="21"/>
                    </w:rPr>
                    <w:t>4</w:t>
                  </w:r>
                </w:p>
              </w:tc>
              <w:tc>
                <w:tcPr>
                  <w:tcW w:w="1933" w:type="pct"/>
                  <w:vAlign w:val="center"/>
                </w:tcPr>
                <w:p w14:paraId="0A133B5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rPr>
                  </w:pPr>
                  <w:r>
                    <w:rPr>
                      <w:rFonts w:hint="eastAsia"/>
                      <w:bCs/>
                      <w:color w:val="auto"/>
                    </w:rPr>
                    <w:t>钢筋</w:t>
                  </w:r>
                </w:p>
              </w:tc>
              <w:tc>
                <w:tcPr>
                  <w:tcW w:w="838" w:type="pct"/>
                  <w:vAlign w:val="center"/>
                </w:tcPr>
                <w:p w14:paraId="0493AF4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1.1万</w:t>
                  </w:r>
                  <w:r>
                    <w:rPr>
                      <w:bCs/>
                      <w:color w:val="auto"/>
                      <w:szCs w:val="21"/>
                    </w:rPr>
                    <w:t>t/a</w:t>
                  </w:r>
                </w:p>
              </w:tc>
              <w:tc>
                <w:tcPr>
                  <w:tcW w:w="390" w:type="pct"/>
                  <w:vAlign w:val="center"/>
                </w:tcPr>
                <w:p w14:paraId="5F466E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固体</w:t>
                  </w:r>
                </w:p>
              </w:tc>
              <w:tc>
                <w:tcPr>
                  <w:tcW w:w="655" w:type="pct"/>
                  <w:vAlign w:val="center"/>
                </w:tcPr>
                <w:p w14:paraId="31F96A9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堆放</w:t>
                  </w:r>
                </w:p>
              </w:tc>
              <w:tc>
                <w:tcPr>
                  <w:tcW w:w="792" w:type="pct"/>
                  <w:vAlign w:val="center"/>
                </w:tcPr>
                <w:p w14:paraId="4FFB667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钢筋加工区</w:t>
                  </w:r>
                </w:p>
              </w:tc>
            </w:tr>
            <w:tr w14:paraId="58682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30E8180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5</w:t>
                  </w:r>
                </w:p>
              </w:tc>
              <w:tc>
                <w:tcPr>
                  <w:tcW w:w="1933" w:type="pct"/>
                  <w:vAlign w:val="center"/>
                </w:tcPr>
                <w:p w14:paraId="0D2F84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rPr>
                  </w:pPr>
                  <w:r>
                    <w:rPr>
                      <w:rFonts w:hint="eastAsia"/>
                      <w:bCs/>
                      <w:color w:val="auto"/>
                    </w:rPr>
                    <w:t>水</w:t>
                  </w:r>
                </w:p>
              </w:tc>
              <w:tc>
                <w:tcPr>
                  <w:tcW w:w="838" w:type="pct"/>
                  <w:vAlign w:val="center"/>
                </w:tcPr>
                <w:p w14:paraId="07DE205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2.9万</w:t>
                  </w:r>
                  <w:r>
                    <w:rPr>
                      <w:bCs/>
                      <w:color w:val="auto"/>
                      <w:szCs w:val="21"/>
                    </w:rPr>
                    <w:t>t/a</w:t>
                  </w:r>
                </w:p>
              </w:tc>
              <w:tc>
                <w:tcPr>
                  <w:tcW w:w="390" w:type="pct"/>
                  <w:vAlign w:val="center"/>
                </w:tcPr>
                <w:p w14:paraId="64C5D7B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液体</w:t>
                  </w:r>
                </w:p>
              </w:tc>
              <w:tc>
                <w:tcPr>
                  <w:tcW w:w="655" w:type="pct"/>
                  <w:vAlign w:val="center"/>
                </w:tcPr>
                <w:p w14:paraId="470E58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w:t>
                  </w:r>
                </w:p>
              </w:tc>
              <w:tc>
                <w:tcPr>
                  <w:tcW w:w="792" w:type="pct"/>
                  <w:vAlign w:val="center"/>
                </w:tcPr>
                <w:p w14:paraId="3FF6B46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w:t>
                  </w:r>
                </w:p>
              </w:tc>
            </w:tr>
            <w:tr w14:paraId="03A49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587B257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6</w:t>
                  </w:r>
                </w:p>
              </w:tc>
              <w:tc>
                <w:tcPr>
                  <w:tcW w:w="1933" w:type="pct"/>
                  <w:vAlign w:val="center"/>
                </w:tcPr>
                <w:p w14:paraId="346098E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rPr>
                  </w:pPr>
                  <w:r>
                    <w:rPr>
                      <w:rFonts w:hint="eastAsia"/>
                      <w:bCs/>
                      <w:color w:val="auto"/>
                    </w:rPr>
                    <w:t>焊条</w:t>
                  </w:r>
                </w:p>
              </w:tc>
              <w:tc>
                <w:tcPr>
                  <w:tcW w:w="838" w:type="pct"/>
                  <w:vAlign w:val="center"/>
                </w:tcPr>
                <w:p w14:paraId="543269C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2t/a</w:t>
                  </w:r>
                </w:p>
              </w:tc>
              <w:tc>
                <w:tcPr>
                  <w:tcW w:w="390" w:type="pct"/>
                  <w:vAlign w:val="center"/>
                </w:tcPr>
                <w:p w14:paraId="171D09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bCs/>
                      <w:color w:val="auto"/>
                      <w:szCs w:val="21"/>
                    </w:rPr>
                    <w:t>固体</w:t>
                  </w:r>
                </w:p>
              </w:tc>
              <w:tc>
                <w:tcPr>
                  <w:tcW w:w="655" w:type="pct"/>
                  <w:vAlign w:val="center"/>
                </w:tcPr>
                <w:p w14:paraId="27D397B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箱装</w:t>
                  </w:r>
                </w:p>
              </w:tc>
              <w:tc>
                <w:tcPr>
                  <w:tcW w:w="792" w:type="pct"/>
                  <w:vAlign w:val="center"/>
                </w:tcPr>
                <w:p w14:paraId="553EAB2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Cs/>
                      <w:color w:val="auto"/>
                      <w:szCs w:val="21"/>
                    </w:rPr>
                  </w:pPr>
                  <w:r>
                    <w:rPr>
                      <w:rFonts w:hint="eastAsia"/>
                      <w:bCs/>
                      <w:color w:val="auto"/>
                      <w:szCs w:val="21"/>
                    </w:rPr>
                    <w:t>钢筋加工区</w:t>
                  </w:r>
                </w:p>
              </w:tc>
            </w:tr>
            <w:tr w14:paraId="5F8A4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6"/>
                  <w:vAlign w:val="center"/>
                </w:tcPr>
                <w:p w14:paraId="1461B5F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能源</w:t>
                  </w:r>
                </w:p>
              </w:tc>
            </w:tr>
            <w:tr w14:paraId="40F99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03B6208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7</w:t>
                  </w:r>
                </w:p>
              </w:tc>
              <w:tc>
                <w:tcPr>
                  <w:tcW w:w="1933" w:type="pct"/>
                  <w:vAlign w:val="center"/>
                </w:tcPr>
                <w:p w14:paraId="48FB75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bCs/>
                      <w:color w:val="auto"/>
                      <w:lang w:val="en-US" w:eastAsia="zh-CN"/>
                    </w:rPr>
                  </w:pPr>
                  <w:r>
                    <w:rPr>
                      <w:rFonts w:hint="eastAsia"/>
                      <w:bCs/>
                      <w:color w:val="auto"/>
                      <w:lang w:val="en-US" w:eastAsia="zh-CN"/>
                    </w:rPr>
                    <w:t>水</w:t>
                  </w:r>
                  <w:r>
                    <w:rPr>
                      <w:rFonts w:hint="eastAsia"/>
                      <w:bCs/>
                      <w:color w:val="auto"/>
                      <w:shd w:val="clear" w:fill="FFFFFF"/>
                      <w:lang w:val="en-US" w:eastAsia="zh-CN"/>
                    </w:rPr>
                    <w:t>(</w:t>
                  </w:r>
                  <w:r>
                    <w:rPr>
                      <w:rFonts w:hint="eastAsia"/>
                      <w:bCs/>
                      <w:color w:val="auto"/>
                      <w:lang w:val="en-US" w:eastAsia="zh-CN"/>
                    </w:rPr>
                    <w:t>含上述原辅材料中水的用量</w:t>
                  </w:r>
                  <w:r>
                    <w:rPr>
                      <w:rFonts w:hint="eastAsia"/>
                      <w:bCs/>
                      <w:color w:val="auto"/>
                      <w:shd w:val="clear" w:fill="FFFFFF"/>
                      <w:lang w:val="en-US" w:eastAsia="zh-CN"/>
                    </w:rPr>
                    <w:t>)</w:t>
                  </w:r>
                </w:p>
              </w:tc>
              <w:tc>
                <w:tcPr>
                  <w:tcW w:w="838" w:type="pct"/>
                  <w:vAlign w:val="center"/>
                </w:tcPr>
                <w:p w14:paraId="0E5EEEB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bCs/>
                      <w:color w:val="auto"/>
                      <w:szCs w:val="21"/>
                      <w:lang w:val="en-US" w:eastAsia="zh-CN"/>
                    </w:rPr>
                  </w:pPr>
                  <w:r>
                    <w:rPr>
                      <w:rFonts w:hint="eastAsia"/>
                      <w:bCs/>
                      <w:color w:val="auto"/>
                      <w:szCs w:val="21"/>
                      <w:lang w:val="en-US" w:eastAsia="zh-CN"/>
                    </w:rPr>
                    <w:t>35553t/a</w:t>
                  </w:r>
                </w:p>
              </w:tc>
              <w:tc>
                <w:tcPr>
                  <w:tcW w:w="390" w:type="pct"/>
                  <w:vAlign w:val="center"/>
                </w:tcPr>
                <w:p w14:paraId="3144B8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655" w:type="pct"/>
                  <w:vAlign w:val="center"/>
                </w:tcPr>
                <w:p w14:paraId="59DEC74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792" w:type="pct"/>
                  <w:vAlign w:val="center"/>
                </w:tcPr>
                <w:p w14:paraId="029443A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w:t>
                  </w:r>
                </w:p>
              </w:tc>
            </w:tr>
            <w:tr w14:paraId="69008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9" w:type="pct"/>
                  <w:vAlign w:val="center"/>
                </w:tcPr>
                <w:p w14:paraId="7435DF7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bCs/>
                      <w:color w:val="auto"/>
                      <w:szCs w:val="21"/>
                      <w:lang w:val="en-US" w:eastAsia="zh-CN"/>
                    </w:rPr>
                  </w:pPr>
                  <w:r>
                    <w:rPr>
                      <w:rFonts w:hint="eastAsia"/>
                      <w:bCs/>
                      <w:color w:val="auto"/>
                      <w:szCs w:val="21"/>
                      <w:lang w:val="en-US" w:eastAsia="zh-CN"/>
                    </w:rPr>
                    <w:t>8</w:t>
                  </w:r>
                </w:p>
              </w:tc>
              <w:tc>
                <w:tcPr>
                  <w:tcW w:w="1933" w:type="pct"/>
                  <w:vAlign w:val="center"/>
                </w:tcPr>
                <w:p w14:paraId="4388A0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lang w:val="en-US" w:eastAsia="zh-CN"/>
                    </w:rPr>
                  </w:pPr>
                  <w:r>
                    <w:rPr>
                      <w:rFonts w:hint="eastAsia"/>
                      <w:bCs/>
                      <w:color w:val="auto"/>
                      <w:lang w:val="en-US" w:eastAsia="zh-CN"/>
                    </w:rPr>
                    <w:t>电</w:t>
                  </w:r>
                </w:p>
              </w:tc>
              <w:tc>
                <w:tcPr>
                  <w:tcW w:w="838" w:type="pct"/>
                  <w:vAlign w:val="center"/>
                </w:tcPr>
                <w:p w14:paraId="65D0BC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bCs/>
                      <w:color w:val="auto"/>
                      <w:szCs w:val="21"/>
                      <w:lang w:val="en-US" w:eastAsia="zh-CN"/>
                    </w:rPr>
                  </w:pPr>
                  <w:r>
                    <w:rPr>
                      <w:rFonts w:hint="eastAsia"/>
                      <w:bCs/>
                      <w:color w:val="auto"/>
                      <w:szCs w:val="21"/>
                      <w:lang w:val="en-US" w:eastAsia="zh-CN"/>
                    </w:rPr>
                    <w:t>100万kwh/a</w:t>
                  </w:r>
                </w:p>
              </w:tc>
              <w:tc>
                <w:tcPr>
                  <w:tcW w:w="390" w:type="pct"/>
                  <w:vAlign w:val="center"/>
                </w:tcPr>
                <w:p w14:paraId="67F46F2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655" w:type="pct"/>
                  <w:vAlign w:val="center"/>
                </w:tcPr>
                <w:p w14:paraId="7E741E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w:t>
                  </w:r>
                </w:p>
              </w:tc>
              <w:tc>
                <w:tcPr>
                  <w:tcW w:w="792" w:type="pct"/>
                  <w:vAlign w:val="center"/>
                </w:tcPr>
                <w:p w14:paraId="50682C7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bCs/>
                      <w:color w:val="auto"/>
                      <w:szCs w:val="21"/>
                      <w:lang w:val="en-US" w:eastAsia="zh-CN"/>
                    </w:rPr>
                  </w:pPr>
                  <w:r>
                    <w:rPr>
                      <w:rFonts w:hint="eastAsia"/>
                      <w:bCs/>
                      <w:color w:val="auto"/>
                      <w:szCs w:val="21"/>
                      <w:lang w:val="en-US" w:eastAsia="zh-CN"/>
                    </w:rPr>
                    <w:t>/</w:t>
                  </w:r>
                </w:p>
              </w:tc>
            </w:tr>
            <w:tr w14:paraId="0CB0B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6"/>
                  <w:vAlign w:val="center"/>
                </w:tcPr>
                <w:p w14:paraId="473FFC8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eastAsia="宋体"/>
                      <w:bCs/>
                      <w:color w:val="auto"/>
                      <w:szCs w:val="21"/>
                      <w:lang w:val="en-US" w:eastAsia="zh-CN"/>
                    </w:rPr>
                  </w:pPr>
                  <w:r>
                    <w:rPr>
                      <w:rFonts w:hint="eastAsia"/>
                      <w:bCs/>
                      <w:color w:val="auto"/>
                      <w:szCs w:val="21"/>
                      <w:lang w:val="en-US" w:eastAsia="zh-CN"/>
                    </w:rPr>
                    <w:t>备注：项目使用的原辅材料均不属于装修、拆迁等活动的建筑垃圾等建筑废料；项目不涉及润滑油、机油等其他矿物油的使用，因此，不产生废矿物油。</w:t>
                  </w:r>
                </w:p>
              </w:tc>
            </w:tr>
          </w:tbl>
          <w:p w14:paraId="4D56B671">
            <w:pPr>
              <w:pStyle w:val="68"/>
              <w:ind w:firstLine="0" w:firstLineChars="0"/>
              <w:rPr>
                <w:b/>
                <w:bCs/>
                <w:color w:val="auto"/>
                <w:kern w:val="2"/>
                <w:sz w:val="24"/>
                <w:szCs w:val="24"/>
              </w:rPr>
            </w:pPr>
            <w:r>
              <w:rPr>
                <w:rFonts w:hint="eastAsia"/>
                <w:b/>
                <w:bCs/>
                <w:color w:val="auto"/>
                <w:kern w:val="2"/>
                <w:sz w:val="24"/>
                <w:szCs w:val="24"/>
              </w:rPr>
              <w:t>2.</w:t>
            </w:r>
            <w:r>
              <w:rPr>
                <w:rFonts w:hint="eastAsia"/>
                <w:b/>
                <w:bCs/>
                <w:color w:val="auto"/>
                <w:kern w:val="2"/>
                <w:sz w:val="24"/>
                <w:szCs w:val="24"/>
                <w:lang w:val="en-US" w:eastAsia="zh-CN"/>
              </w:rPr>
              <w:t>7</w:t>
            </w:r>
            <w:r>
              <w:rPr>
                <w:rFonts w:hint="eastAsia"/>
                <w:b/>
                <w:bCs/>
                <w:color w:val="auto"/>
                <w:kern w:val="2"/>
                <w:sz w:val="24"/>
                <w:szCs w:val="24"/>
              </w:rPr>
              <w:t>项目</w:t>
            </w:r>
            <w:r>
              <w:rPr>
                <w:b/>
                <w:bCs/>
                <w:color w:val="auto"/>
                <w:kern w:val="2"/>
                <w:sz w:val="24"/>
                <w:szCs w:val="24"/>
              </w:rPr>
              <w:t>主要生产设备</w:t>
            </w:r>
            <w:bookmarkEnd w:id="27"/>
            <w:bookmarkEnd w:id="28"/>
          </w:p>
          <w:p w14:paraId="1E7789D4">
            <w:pPr>
              <w:spacing w:line="360" w:lineRule="auto"/>
              <w:ind w:firstLine="420"/>
              <w:rPr>
                <w:color w:val="auto"/>
                <w:sz w:val="24"/>
              </w:rPr>
            </w:pPr>
            <w:r>
              <w:rPr>
                <w:color w:val="auto"/>
                <w:sz w:val="24"/>
              </w:rPr>
              <w:t>项目主要生产设备情况见表2.</w:t>
            </w:r>
            <w:r>
              <w:rPr>
                <w:rFonts w:hint="eastAsia"/>
                <w:color w:val="auto"/>
                <w:sz w:val="24"/>
                <w:lang w:val="en-US" w:eastAsia="zh-CN"/>
              </w:rPr>
              <w:t>7</w:t>
            </w:r>
            <w:r>
              <w:rPr>
                <w:color w:val="auto"/>
                <w:sz w:val="24"/>
              </w:rPr>
              <w:t>-1。</w:t>
            </w:r>
          </w:p>
          <w:p w14:paraId="63C9BFB0">
            <w:pPr>
              <w:pStyle w:val="80"/>
              <w:rPr>
                <w:color w:val="auto"/>
                <w:sz w:val="24"/>
                <w:szCs w:val="24"/>
              </w:rPr>
            </w:pPr>
            <w:r>
              <w:rPr>
                <w:color w:val="auto"/>
                <w:sz w:val="24"/>
                <w:szCs w:val="24"/>
              </w:rPr>
              <w:t>表2.</w:t>
            </w:r>
            <w:r>
              <w:rPr>
                <w:rFonts w:hint="eastAsia"/>
                <w:color w:val="auto"/>
                <w:sz w:val="24"/>
                <w:szCs w:val="24"/>
                <w:lang w:val="en-US" w:eastAsia="zh-CN"/>
              </w:rPr>
              <w:t>7</w:t>
            </w:r>
            <w:r>
              <w:rPr>
                <w:color w:val="auto"/>
                <w:sz w:val="24"/>
                <w:szCs w:val="24"/>
              </w:rPr>
              <w:t>-1  项目主要生产设备一览表</w:t>
            </w:r>
          </w:p>
          <w:tbl>
            <w:tblPr>
              <w:tblStyle w:val="36"/>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4"/>
              <w:gridCol w:w="1261"/>
              <w:gridCol w:w="1775"/>
              <w:gridCol w:w="815"/>
              <w:gridCol w:w="755"/>
              <w:gridCol w:w="1092"/>
              <w:gridCol w:w="1768"/>
            </w:tblGrid>
            <w:tr w14:paraId="6B1DE7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166B07C7">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color w:val="auto"/>
                    </w:rPr>
                    <w:t>序号</w:t>
                  </w:r>
                </w:p>
              </w:tc>
              <w:tc>
                <w:tcPr>
                  <w:tcW w:w="0" w:type="auto"/>
                  <w:tcBorders>
                    <w:tl2br w:val="nil"/>
                    <w:tr2bl w:val="nil"/>
                  </w:tcBorders>
                  <w:shd w:val="clear" w:color="auto" w:fill="auto"/>
                  <w:vAlign w:val="center"/>
                </w:tcPr>
                <w:p w14:paraId="68DB2F6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color w:val="auto"/>
                    </w:rPr>
                    <w:t>设备名称</w:t>
                  </w:r>
                </w:p>
              </w:tc>
              <w:tc>
                <w:tcPr>
                  <w:tcW w:w="0" w:type="auto"/>
                  <w:tcBorders>
                    <w:tl2br w:val="nil"/>
                    <w:tr2bl w:val="nil"/>
                  </w:tcBorders>
                  <w:shd w:val="clear" w:color="auto" w:fill="auto"/>
                  <w:vAlign w:val="center"/>
                </w:tcPr>
                <w:p w14:paraId="55B3DDE9">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规格/型号</w:t>
                  </w:r>
                </w:p>
              </w:tc>
              <w:tc>
                <w:tcPr>
                  <w:tcW w:w="0" w:type="auto"/>
                  <w:tcBorders>
                    <w:tl2br w:val="nil"/>
                    <w:tr2bl w:val="nil"/>
                  </w:tcBorders>
                  <w:shd w:val="clear" w:color="auto" w:fill="auto"/>
                  <w:vAlign w:val="center"/>
                </w:tcPr>
                <w:p w14:paraId="2C380145">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color w:val="auto"/>
                    </w:rPr>
                    <w:t>数量</w:t>
                  </w:r>
                </w:p>
              </w:tc>
              <w:tc>
                <w:tcPr>
                  <w:tcW w:w="0" w:type="auto"/>
                  <w:tcBorders>
                    <w:tl2br w:val="nil"/>
                    <w:tr2bl w:val="nil"/>
                  </w:tcBorders>
                  <w:shd w:val="clear" w:color="auto" w:fill="auto"/>
                  <w:vAlign w:val="center"/>
                </w:tcPr>
                <w:p w14:paraId="732D98ED">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单位</w:t>
                  </w:r>
                </w:p>
              </w:tc>
              <w:tc>
                <w:tcPr>
                  <w:tcW w:w="0" w:type="auto"/>
                  <w:tcBorders>
                    <w:tl2br w:val="nil"/>
                    <w:tr2bl w:val="nil"/>
                  </w:tcBorders>
                  <w:shd w:val="clear" w:color="auto" w:fill="auto"/>
                  <w:vAlign w:val="center"/>
                </w:tcPr>
                <w:p w14:paraId="369D532E">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工序</w:t>
                  </w:r>
                </w:p>
              </w:tc>
              <w:tc>
                <w:tcPr>
                  <w:tcW w:w="0" w:type="auto"/>
                  <w:tcBorders>
                    <w:tl2br w:val="nil"/>
                    <w:tr2bl w:val="nil"/>
                  </w:tcBorders>
                  <w:shd w:val="clear" w:color="auto" w:fill="auto"/>
                  <w:vAlign w:val="center"/>
                </w:tcPr>
                <w:p w14:paraId="29048A1A">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eastAsia="宋体"/>
                      <w:color w:val="auto"/>
                      <w:lang w:val="en-US" w:eastAsia="zh-CN"/>
                    </w:rPr>
                  </w:pPr>
                  <w:r>
                    <w:rPr>
                      <w:rFonts w:hint="eastAsia"/>
                      <w:color w:val="auto"/>
                      <w:lang w:val="en-US" w:eastAsia="zh-CN"/>
                    </w:rPr>
                    <w:t>备注</w:t>
                  </w:r>
                </w:p>
              </w:tc>
            </w:tr>
            <w:tr w14:paraId="7361A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23966207">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w:t>
                  </w:r>
                </w:p>
              </w:tc>
              <w:tc>
                <w:tcPr>
                  <w:tcW w:w="0" w:type="auto"/>
                  <w:tcBorders>
                    <w:tl2br w:val="nil"/>
                    <w:tr2bl w:val="nil"/>
                  </w:tcBorders>
                  <w:shd w:val="clear" w:color="auto" w:fill="auto"/>
                  <w:vAlign w:val="center"/>
                </w:tcPr>
                <w:p w14:paraId="779D006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水泥罐</w:t>
                  </w:r>
                </w:p>
              </w:tc>
              <w:tc>
                <w:tcPr>
                  <w:tcW w:w="0" w:type="auto"/>
                  <w:tcBorders>
                    <w:tl2br w:val="nil"/>
                    <w:tr2bl w:val="nil"/>
                  </w:tcBorders>
                  <w:shd w:val="clear" w:color="auto" w:fill="auto"/>
                  <w:vAlign w:val="center"/>
                </w:tcPr>
                <w:p w14:paraId="5652CFE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DN4800mm</w:t>
                  </w:r>
                </w:p>
              </w:tc>
              <w:tc>
                <w:tcPr>
                  <w:tcW w:w="0" w:type="auto"/>
                  <w:tcBorders>
                    <w:tl2br w:val="nil"/>
                    <w:tr2bl w:val="nil"/>
                  </w:tcBorders>
                  <w:shd w:val="clear" w:color="auto" w:fill="auto"/>
                  <w:vAlign w:val="center"/>
                </w:tcPr>
                <w:p w14:paraId="76B7BDCD">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eastAsia="宋体"/>
                      <w:color w:val="auto"/>
                      <w:lang w:val="en-US" w:eastAsia="zh-CN"/>
                    </w:rPr>
                  </w:pPr>
                  <w:r>
                    <w:rPr>
                      <w:rFonts w:hint="eastAsia"/>
                      <w:color w:val="auto"/>
                      <w:lang w:val="en-US" w:eastAsia="zh-CN"/>
                    </w:rPr>
                    <w:t>10</w:t>
                  </w:r>
                </w:p>
              </w:tc>
              <w:tc>
                <w:tcPr>
                  <w:tcW w:w="0" w:type="auto"/>
                  <w:tcBorders>
                    <w:tl2br w:val="nil"/>
                    <w:tr2bl w:val="nil"/>
                  </w:tcBorders>
                  <w:shd w:val="clear" w:color="auto" w:fill="auto"/>
                  <w:vAlign w:val="center"/>
                </w:tcPr>
                <w:p w14:paraId="034A2C9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41EA9B8A">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储存水泥</w:t>
                  </w:r>
                </w:p>
              </w:tc>
              <w:tc>
                <w:tcPr>
                  <w:tcW w:w="0" w:type="auto"/>
                  <w:vMerge w:val="restart"/>
                  <w:tcBorders>
                    <w:tl2br w:val="nil"/>
                    <w:tr2bl w:val="nil"/>
                  </w:tcBorders>
                  <w:shd w:val="clear" w:color="auto" w:fill="auto"/>
                  <w:vAlign w:val="center"/>
                </w:tcPr>
                <w:p w14:paraId="71AA1C5D">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eastAsia="宋体"/>
                      <w:color w:val="auto"/>
                      <w:lang w:val="en-US" w:eastAsia="zh-CN"/>
                    </w:rPr>
                  </w:pPr>
                  <w:r>
                    <w:rPr>
                      <w:rFonts w:hint="eastAsia"/>
                      <w:color w:val="auto"/>
                      <w:lang w:val="en-US" w:eastAsia="zh-CN"/>
                    </w:rPr>
                    <w:t>均为新购买的设备</w:t>
                  </w:r>
                </w:p>
              </w:tc>
            </w:tr>
            <w:tr w14:paraId="314C8F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096491E1">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2</w:t>
                  </w:r>
                </w:p>
              </w:tc>
              <w:tc>
                <w:tcPr>
                  <w:tcW w:w="0" w:type="auto"/>
                  <w:tcBorders>
                    <w:tl2br w:val="nil"/>
                    <w:tr2bl w:val="nil"/>
                  </w:tcBorders>
                  <w:shd w:val="clear" w:color="auto" w:fill="auto"/>
                  <w:vAlign w:val="center"/>
                </w:tcPr>
                <w:p w14:paraId="51A1F0F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配料斗</w:t>
                  </w:r>
                </w:p>
              </w:tc>
              <w:tc>
                <w:tcPr>
                  <w:tcW w:w="0" w:type="auto"/>
                  <w:tcBorders>
                    <w:tl2br w:val="nil"/>
                    <w:tr2bl w:val="nil"/>
                  </w:tcBorders>
                  <w:shd w:val="clear" w:color="auto" w:fill="auto"/>
                  <w:vAlign w:val="center"/>
                </w:tcPr>
                <w:p w14:paraId="3F4FDC4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23m</w:t>
                  </w:r>
                  <w:r>
                    <w:rPr>
                      <w:rFonts w:hint="eastAsia"/>
                      <w:color w:val="auto"/>
                      <w:vertAlign w:val="superscript"/>
                    </w:rPr>
                    <w:t>3</w:t>
                  </w:r>
                  <w:r>
                    <w:rPr>
                      <w:rFonts w:hint="eastAsia"/>
                      <w:color w:val="auto"/>
                    </w:rPr>
                    <w:t>、46m</w:t>
                  </w:r>
                  <w:r>
                    <w:rPr>
                      <w:rFonts w:hint="eastAsia"/>
                      <w:color w:val="auto"/>
                      <w:vertAlign w:val="superscript"/>
                    </w:rPr>
                    <w:t>3</w:t>
                  </w:r>
                </w:p>
              </w:tc>
              <w:tc>
                <w:tcPr>
                  <w:tcW w:w="0" w:type="auto"/>
                  <w:tcBorders>
                    <w:tl2br w:val="nil"/>
                    <w:tr2bl w:val="nil"/>
                  </w:tcBorders>
                  <w:shd w:val="clear" w:color="auto" w:fill="auto"/>
                  <w:vAlign w:val="center"/>
                </w:tcPr>
                <w:p w14:paraId="59ED017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5</w:t>
                  </w:r>
                </w:p>
              </w:tc>
              <w:tc>
                <w:tcPr>
                  <w:tcW w:w="0" w:type="auto"/>
                  <w:tcBorders>
                    <w:tl2br w:val="nil"/>
                    <w:tr2bl w:val="nil"/>
                  </w:tcBorders>
                  <w:shd w:val="clear" w:color="auto" w:fill="auto"/>
                  <w:vAlign w:val="center"/>
                </w:tcPr>
                <w:p w14:paraId="6C7A9FA5">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03B89D8C">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配料</w:t>
                  </w:r>
                </w:p>
              </w:tc>
              <w:tc>
                <w:tcPr>
                  <w:tcW w:w="0" w:type="auto"/>
                  <w:vMerge w:val="continue"/>
                  <w:tcBorders>
                    <w:tl2br w:val="nil"/>
                    <w:tr2bl w:val="nil"/>
                  </w:tcBorders>
                  <w:shd w:val="clear" w:color="auto" w:fill="auto"/>
                  <w:vAlign w:val="center"/>
                </w:tcPr>
                <w:p w14:paraId="311946C9">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7C704F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6A56C275">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3</w:t>
                  </w:r>
                </w:p>
              </w:tc>
              <w:tc>
                <w:tcPr>
                  <w:tcW w:w="0" w:type="auto"/>
                  <w:tcBorders>
                    <w:tl2br w:val="nil"/>
                    <w:tr2bl w:val="nil"/>
                  </w:tcBorders>
                  <w:shd w:val="clear" w:color="auto" w:fill="auto"/>
                  <w:vAlign w:val="center"/>
                </w:tcPr>
                <w:p w14:paraId="7AB2D891">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搅拌机</w:t>
                  </w:r>
                </w:p>
              </w:tc>
              <w:tc>
                <w:tcPr>
                  <w:tcW w:w="0" w:type="auto"/>
                  <w:tcBorders>
                    <w:tl2br w:val="nil"/>
                    <w:tr2bl w:val="nil"/>
                  </w:tcBorders>
                  <w:shd w:val="clear" w:color="auto" w:fill="auto"/>
                  <w:vAlign w:val="center"/>
                </w:tcPr>
                <w:p w14:paraId="21B0AAB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60T</w:t>
                  </w:r>
                </w:p>
              </w:tc>
              <w:tc>
                <w:tcPr>
                  <w:tcW w:w="0" w:type="auto"/>
                  <w:tcBorders>
                    <w:tl2br w:val="nil"/>
                    <w:tr2bl w:val="nil"/>
                  </w:tcBorders>
                  <w:shd w:val="clear" w:color="auto" w:fill="auto"/>
                  <w:vAlign w:val="center"/>
                </w:tcPr>
                <w:p w14:paraId="09D23C4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lang w:eastAsia="zh-CN"/>
                    </w:rPr>
                  </w:pPr>
                  <w:r>
                    <w:rPr>
                      <w:rFonts w:hint="eastAsia"/>
                      <w:color w:val="auto"/>
                      <w:lang w:val="en-US" w:eastAsia="zh-CN"/>
                    </w:rPr>
                    <w:t>5</w:t>
                  </w:r>
                </w:p>
              </w:tc>
              <w:tc>
                <w:tcPr>
                  <w:tcW w:w="0" w:type="auto"/>
                  <w:tcBorders>
                    <w:tl2br w:val="nil"/>
                    <w:tr2bl w:val="nil"/>
                  </w:tcBorders>
                  <w:shd w:val="clear" w:color="auto" w:fill="auto"/>
                  <w:vAlign w:val="center"/>
                </w:tcPr>
                <w:p w14:paraId="1853F22B">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1308E389">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搅拌</w:t>
                  </w:r>
                </w:p>
              </w:tc>
              <w:tc>
                <w:tcPr>
                  <w:tcW w:w="0" w:type="auto"/>
                  <w:vMerge w:val="continue"/>
                  <w:tcBorders>
                    <w:tl2br w:val="nil"/>
                    <w:tr2bl w:val="nil"/>
                  </w:tcBorders>
                  <w:shd w:val="clear" w:color="auto" w:fill="auto"/>
                  <w:vAlign w:val="center"/>
                </w:tcPr>
                <w:p w14:paraId="6AA59D6C">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721156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2529AD6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4</w:t>
                  </w:r>
                </w:p>
              </w:tc>
              <w:tc>
                <w:tcPr>
                  <w:tcW w:w="0" w:type="auto"/>
                  <w:tcBorders>
                    <w:tl2br w:val="nil"/>
                    <w:tr2bl w:val="nil"/>
                  </w:tcBorders>
                  <w:shd w:val="clear" w:color="auto" w:fill="auto"/>
                  <w:vAlign w:val="center"/>
                </w:tcPr>
                <w:p w14:paraId="167B7F8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芯模振动机</w:t>
                  </w:r>
                </w:p>
              </w:tc>
              <w:tc>
                <w:tcPr>
                  <w:tcW w:w="0" w:type="auto"/>
                  <w:tcBorders>
                    <w:tl2br w:val="nil"/>
                    <w:tr2bl w:val="nil"/>
                  </w:tcBorders>
                  <w:shd w:val="clear" w:color="auto" w:fill="auto"/>
                  <w:vAlign w:val="center"/>
                </w:tcPr>
                <w:p w14:paraId="637C00B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440T</w:t>
                  </w:r>
                </w:p>
              </w:tc>
              <w:tc>
                <w:tcPr>
                  <w:tcW w:w="0" w:type="auto"/>
                  <w:tcBorders>
                    <w:tl2br w:val="nil"/>
                    <w:tr2bl w:val="nil"/>
                  </w:tcBorders>
                  <w:shd w:val="clear" w:color="auto" w:fill="auto"/>
                  <w:vAlign w:val="center"/>
                </w:tcPr>
                <w:p w14:paraId="784FB05E">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2</w:t>
                  </w:r>
                </w:p>
              </w:tc>
              <w:tc>
                <w:tcPr>
                  <w:tcW w:w="0" w:type="auto"/>
                  <w:tcBorders>
                    <w:tl2br w:val="nil"/>
                    <w:tr2bl w:val="nil"/>
                  </w:tcBorders>
                  <w:shd w:val="clear" w:color="auto" w:fill="auto"/>
                  <w:vAlign w:val="center"/>
                </w:tcPr>
                <w:p w14:paraId="264A80D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43F3204E">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振动成型</w:t>
                  </w:r>
                </w:p>
              </w:tc>
              <w:tc>
                <w:tcPr>
                  <w:tcW w:w="0" w:type="auto"/>
                  <w:vMerge w:val="continue"/>
                  <w:tcBorders>
                    <w:tl2br w:val="nil"/>
                    <w:tr2bl w:val="nil"/>
                  </w:tcBorders>
                  <w:shd w:val="clear" w:color="auto" w:fill="auto"/>
                  <w:vAlign w:val="center"/>
                </w:tcPr>
                <w:p w14:paraId="7FDC579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382C35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418A3A01">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5</w:t>
                  </w:r>
                </w:p>
              </w:tc>
              <w:tc>
                <w:tcPr>
                  <w:tcW w:w="0" w:type="auto"/>
                  <w:tcBorders>
                    <w:tl2br w:val="nil"/>
                    <w:tr2bl w:val="nil"/>
                  </w:tcBorders>
                  <w:shd w:val="clear" w:color="auto" w:fill="auto"/>
                  <w:vAlign w:val="center"/>
                </w:tcPr>
                <w:p w14:paraId="5A327703">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升芯振动机</w:t>
                  </w:r>
                </w:p>
              </w:tc>
              <w:tc>
                <w:tcPr>
                  <w:tcW w:w="0" w:type="auto"/>
                  <w:tcBorders>
                    <w:tl2br w:val="nil"/>
                    <w:tr2bl w:val="nil"/>
                  </w:tcBorders>
                  <w:shd w:val="clear" w:color="auto" w:fill="auto"/>
                  <w:vAlign w:val="center"/>
                </w:tcPr>
                <w:p w14:paraId="10F1887B">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360t</w:t>
                  </w:r>
                </w:p>
              </w:tc>
              <w:tc>
                <w:tcPr>
                  <w:tcW w:w="0" w:type="auto"/>
                  <w:tcBorders>
                    <w:tl2br w:val="nil"/>
                    <w:tr2bl w:val="nil"/>
                  </w:tcBorders>
                  <w:shd w:val="clear" w:color="auto" w:fill="auto"/>
                  <w:vAlign w:val="center"/>
                </w:tcPr>
                <w:p w14:paraId="1BD28C2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2</w:t>
                  </w:r>
                </w:p>
              </w:tc>
              <w:tc>
                <w:tcPr>
                  <w:tcW w:w="0" w:type="auto"/>
                  <w:tcBorders>
                    <w:tl2br w:val="nil"/>
                    <w:tr2bl w:val="nil"/>
                  </w:tcBorders>
                  <w:shd w:val="clear" w:color="auto" w:fill="auto"/>
                  <w:vAlign w:val="center"/>
                </w:tcPr>
                <w:p w14:paraId="1ED2C54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0FB64A25">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振动成型</w:t>
                  </w:r>
                </w:p>
              </w:tc>
              <w:tc>
                <w:tcPr>
                  <w:tcW w:w="0" w:type="auto"/>
                  <w:vMerge w:val="continue"/>
                  <w:tcBorders>
                    <w:tl2br w:val="nil"/>
                    <w:tr2bl w:val="nil"/>
                  </w:tcBorders>
                  <w:shd w:val="clear" w:color="auto" w:fill="auto"/>
                  <w:vAlign w:val="center"/>
                </w:tcPr>
                <w:p w14:paraId="79BE220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22845F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482B7E47">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6</w:t>
                  </w:r>
                </w:p>
              </w:tc>
              <w:tc>
                <w:tcPr>
                  <w:tcW w:w="0" w:type="auto"/>
                  <w:tcBorders>
                    <w:tl2br w:val="nil"/>
                    <w:tr2bl w:val="nil"/>
                  </w:tcBorders>
                  <w:shd w:val="clear" w:color="auto" w:fill="auto"/>
                  <w:vAlign w:val="center"/>
                </w:tcPr>
                <w:p w14:paraId="176386D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立式振捣机</w:t>
                  </w:r>
                </w:p>
              </w:tc>
              <w:tc>
                <w:tcPr>
                  <w:tcW w:w="0" w:type="auto"/>
                  <w:tcBorders>
                    <w:tl2br w:val="nil"/>
                    <w:tr2bl w:val="nil"/>
                  </w:tcBorders>
                  <w:shd w:val="clear" w:color="auto" w:fill="auto"/>
                  <w:vAlign w:val="center"/>
                </w:tcPr>
                <w:p w14:paraId="750C8B09">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w:t>
                  </w:r>
                </w:p>
              </w:tc>
              <w:tc>
                <w:tcPr>
                  <w:tcW w:w="0" w:type="auto"/>
                  <w:tcBorders>
                    <w:tl2br w:val="nil"/>
                    <w:tr2bl w:val="nil"/>
                  </w:tcBorders>
                  <w:shd w:val="clear" w:color="auto" w:fill="auto"/>
                  <w:vAlign w:val="center"/>
                </w:tcPr>
                <w:p w14:paraId="2556786F">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w:t>
                  </w:r>
                </w:p>
              </w:tc>
              <w:tc>
                <w:tcPr>
                  <w:tcW w:w="0" w:type="auto"/>
                  <w:tcBorders>
                    <w:tl2br w:val="nil"/>
                    <w:tr2bl w:val="nil"/>
                  </w:tcBorders>
                  <w:shd w:val="clear" w:color="auto" w:fill="auto"/>
                  <w:vAlign w:val="center"/>
                </w:tcPr>
                <w:p w14:paraId="217C4B1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777B674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振捣成型</w:t>
                  </w:r>
                </w:p>
              </w:tc>
              <w:tc>
                <w:tcPr>
                  <w:tcW w:w="0" w:type="auto"/>
                  <w:vMerge w:val="continue"/>
                  <w:tcBorders>
                    <w:tl2br w:val="nil"/>
                    <w:tr2bl w:val="nil"/>
                  </w:tcBorders>
                  <w:shd w:val="clear" w:color="auto" w:fill="auto"/>
                  <w:vAlign w:val="center"/>
                </w:tcPr>
                <w:p w14:paraId="2FBA407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792378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7F9C899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7</w:t>
                  </w:r>
                </w:p>
              </w:tc>
              <w:tc>
                <w:tcPr>
                  <w:tcW w:w="0" w:type="auto"/>
                  <w:tcBorders>
                    <w:tl2br w:val="nil"/>
                    <w:tr2bl w:val="nil"/>
                  </w:tcBorders>
                  <w:shd w:val="clear" w:color="auto" w:fill="auto"/>
                  <w:vAlign w:val="center"/>
                </w:tcPr>
                <w:p w14:paraId="78ABA34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滚焊机</w:t>
                  </w:r>
                </w:p>
              </w:tc>
              <w:tc>
                <w:tcPr>
                  <w:tcW w:w="0" w:type="auto"/>
                  <w:tcBorders>
                    <w:tl2br w:val="nil"/>
                    <w:tr2bl w:val="nil"/>
                  </w:tcBorders>
                  <w:shd w:val="clear" w:color="auto" w:fill="auto"/>
                  <w:vAlign w:val="center"/>
                </w:tcPr>
                <w:p w14:paraId="2F93FA3F">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w:t>
                  </w:r>
                </w:p>
              </w:tc>
              <w:tc>
                <w:tcPr>
                  <w:tcW w:w="0" w:type="auto"/>
                  <w:tcBorders>
                    <w:tl2br w:val="nil"/>
                    <w:tr2bl w:val="nil"/>
                  </w:tcBorders>
                  <w:shd w:val="clear" w:color="auto" w:fill="auto"/>
                  <w:vAlign w:val="center"/>
                </w:tcPr>
                <w:p w14:paraId="64CF9E7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eastAsia="宋体"/>
                      <w:color w:val="auto"/>
                      <w:lang w:eastAsia="zh-CN"/>
                    </w:rPr>
                  </w:pPr>
                  <w:r>
                    <w:rPr>
                      <w:rFonts w:hint="eastAsia"/>
                      <w:color w:val="auto"/>
                      <w:lang w:val="en-US" w:eastAsia="zh-CN"/>
                    </w:rPr>
                    <w:t>3</w:t>
                  </w:r>
                </w:p>
              </w:tc>
              <w:tc>
                <w:tcPr>
                  <w:tcW w:w="0" w:type="auto"/>
                  <w:tcBorders>
                    <w:tl2br w:val="nil"/>
                    <w:tr2bl w:val="nil"/>
                  </w:tcBorders>
                  <w:shd w:val="clear" w:color="auto" w:fill="auto"/>
                  <w:vAlign w:val="center"/>
                </w:tcPr>
                <w:p w14:paraId="4A568D13">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5E299021">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滚焊</w:t>
                  </w:r>
                </w:p>
              </w:tc>
              <w:tc>
                <w:tcPr>
                  <w:tcW w:w="0" w:type="auto"/>
                  <w:vMerge w:val="continue"/>
                  <w:tcBorders>
                    <w:tl2br w:val="nil"/>
                    <w:tr2bl w:val="nil"/>
                  </w:tcBorders>
                  <w:shd w:val="clear" w:color="auto" w:fill="auto"/>
                  <w:vAlign w:val="center"/>
                </w:tcPr>
                <w:p w14:paraId="367C3F1B">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10B798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68A568E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8</w:t>
                  </w:r>
                </w:p>
              </w:tc>
              <w:tc>
                <w:tcPr>
                  <w:tcW w:w="0" w:type="auto"/>
                  <w:tcBorders>
                    <w:tl2br w:val="nil"/>
                    <w:tr2bl w:val="nil"/>
                  </w:tcBorders>
                  <w:shd w:val="clear" w:color="auto" w:fill="auto"/>
                  <w:vAlign w:val="center"/>
                </w:tcPr>
                <w:p w14:paraId="5908B4A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点焊机</w:t>
                  </w:r>
                </w:p>
              </w:tc>
              <w:tc>
                <w:tcPr>
                  <w:tcW w:w="0" w:type="auto"/>
                  <w:tcBorders>
                    <w:tl2br w:val="nil"/>
                    <w:tr2bl w:val="nil"/>
                  </w:tcBorders>
                  <w:shd w:val="clear" w:color="auto" w:fill="auto"/>
                  <w:vAlign w:val="center"/>
                </w:tcPr>
                <w:p w14:paraId="17D7644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w:t>
                  </w:r>
                </w:p>
              </w:tc>
              <w:tc>
                <w:tcPr>
                  <w:tcW w:w="0" w:type="auto"/>
                  <w:tcBorders>
                    <w:tl2br w:val="nil"/>
                    <w:tr2bl w:val="nil"/>
                  </w:tcBorders>
                  <w:shd w:val="clear" w:color="auto" w:fill="auto"/>
                  <w:vAlign w:val="center"/>
                </w:tcPr>
                <w:p w14:paraId="2142FCF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w:t>
                  </w:r>
                </w:p>
              </w:tc>
              <w:tc>
                <w:tcPr>
                  <w:tcW w:w="0" w:type="auto"/>
                  <w:tcBorders>
                    <w:tl2br w:val="nil"/>
                    <w:tr2bl w:val="nil"/>
                  </w:tcBorders>
                  <w:shd w:val="clear" w:color="auto" w:fill="auto"/>
                  <w:vAlign w:val="center"/>
                </w:tcPr>
                <w:p w14:paraId="300F0EDA">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43D5257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点焊</w:t>
                  </w:r>
                </w:p>
              </w:tc>
              <w:tc>
                <w:tcPr>
                  <w:tcW w:w="0" w:type="auto"/>
                  <w:vMerge w:val="continue"/>
                  <w:tcBorders>
                    <w:tl2br w:val="nil"/>
                    <w:tr2bl w:val="nil"/>
                  </w:tcBorders>
                  <w:shd w:val="clear" w:color="auto" w:fill="auto"/>
                  <w:vAlign w:val="center"/>
                </w:tcPr>
                <w:p w14:paraId="527673A5">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4AD47B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7159BCFC">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9</w:t>
                  </w:r>
                </w:p>
              </w:tc>
              <w:tc>
                <w:tcPr>
                  <w:tcW w:w="0" w:type="auto"/>
                  <w:tcBorders>
                    <w:tl2br w:val="nil"/>
                    <w:tr2bl w:val="nil"/>
                  </w:tcBorders>
                  <w:shd w:val="clear" w:color="auto" w:fill="auto"/>
                  <w:vAlign w:val="center"/>
                </w:tcPr>
                <w:p w14:paraId="2B9F05FD">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拉丝机</w:t>
                  </w:r>
                </w:p>
              </w:tc>
              <w:tc>
                <w:tcPr>
                  <w:tcW w:w="0" w:type="auto"/>
                  <w:tcBorders>
                    <w:tl2br w:val="nil"/>
                    <w:tr2bl w:val="nil"/>
                  </w:tcBorders>
                  <w:shd w:val="clear" w:color="auto" w:fill="auto"/>
                  <w:vAlign w:val="center"/>
                </w:tcPr>
                <w:p w14:paraId="3725F15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w:t>
                  </w:r>
                </w:p>
              </w:tc>
              <w:tc>
                <w:tcPr>
                  <w:tcW w:w="0" w:type="auto"/>
                  <w:tcBorders>
                    <w:tl2br w:val="nil"/>
                    <w:tr2bl w:val="nil"/>
                  </w:tcBorders>
                  <w:shd w:val="clear" w:color="auto" w:fill="auto"/>
                  <w:vAlign w:val="center"/>
                </w:tcPr>
                <w:p w14:paraId="7984C51E">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w:t>
                  </w:r>
                </w:p>
              </w:tc>
              <w:tc>
                <w:tcPr>
                  <w:tcW w:w="0" w:type="auto"/>
                  <w:tcBorders>
                    <w:tl2br w:val="nil"/>
                    <w:tr2bl w:val="nil"/>
                  </w:tcBorders>
                  <w:shd w:val="clear" w:color="auto" w:fill="auto"/>
                  <w:vAlign w:val="center"/>
                </w:tcPr>
                <w:p w14:paraId="3FB1A8B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1CE83B3D">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拉丝</w:t>
                  </w:r>
                </w:p>
              </w:tc>
              <w:tc>
                <w:tcPr>
                  <w:tcW w:w="0" w:type="auto"/>
                  <w:vMerge w:val="continue"/>
                  <w:tcBorders>
                    <w:tl2br w:val="nil"/>
                    <w:tr2bl w:val="nil"/>
                  </w:tcBorders>
                  <w:shd w:val="clear" w:color="auto" w:fill="auto"/>
                  <w:vAlign w:val="center"/>
                </w:tcPr>
                <w:p w14:paraId="6FE03BB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6984F3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137B4C46">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10</w:t>
                  </w:r>
                </w:p>
              </w:tc>
              <w:tc>
                <w:tcPr>
                  <w:tcW w:w="0" w:type="auto"/>
                  <w:tcBorders>
                    <w:tl2br w:val="nil"/>
                    <w:tr2bl w:val="nil"/>
                  </w:tcBorders>
                  <w:shd w:val="clear" w:color="auto" w:fill="auto"/>
                  <w:vAlign w:val="center"/>
                </w:tcPr>
                <w:p w14:paraId="4FFDF0F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圈板机</w:t>
                  </w:r>
                </w:p>
              </w:tc>
              <w:tc>
                <w:tcPr>
                  <w:tcW w:w="0" w:type="auto"/>
                  <w:tcBorders>
                    <w:tl2br w:val="nil"/>
                    <w:tr2bl w:val="nil"/>
                  </w:tcBorders>
                  <w:shd w:val="clear" w:color="auto" w:fill="auto"/>
                  <w:vAlign w:val="center"/>
                </w:tcPr>
                <w:p w14:paraId="77B5123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w:t>
                  </w:r>
                </w:p>
              </w:tc>
              <w:tc>
                <w:tcPr>
                  <w:tcW w:w="0" w:type="auto"/>
                  <w:tcBorders>
                    <w:tl2br w:val="nil"/>
                    <w:tr2bl w:val="nil"/>
                  </w:tcBorders>
                  <w:shd w:val="clear" w:color="auto" w:fill="auto"/>
                  <w:vAlign w:val="center"/>
                </w:tcPr>
                <w:p w14:paraId="2A45B593">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w:t>
                  </w:r>
                </w:p>
              </w:tc>
              <w:tc>
                <w:tcPr>
                  <w:tcW w:w="0" w:type="auto"/>
                  <w:tcBorders>
                    <w:tl2br w:val="nil"/>
                    <w:tr2bl w:val="nil"/>
                  </w:tcBorders>
                  <w:shd w:val="clear" w:color="auto" w:fill="auto"/>
                  <w:vAlign w:val="center"/>
                </w:tcPr>
                <w:p w14:paraId="0E0A4DDB">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3A39CC4E">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圈板</w:t>
                  </w:r>
                </w:p>
              </w:tc>
              <w:tc>
                <w:tcPr>
                  <w:tcW w:w="0" w:type="auto"/>
                  <w:vMerge w:val="continue"/>
                  <w:tcBorders>
                    <w:tl2br w:val="nil"/>
                    <w:tr2bl w:val="nil"/>
                  </w:tcBorders>
                  <w:shd w:val="clear" w:color="auto" w:fill="auto"/>
                  <w:vAlign w:val="center"/>
                </w:tcPr>
                <w:p w14:paraId="00A7D59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531D2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4C70048C">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11</w:t>
                  </w:r>
                </w:p>
              </w:tc>
              <w:tc>
                <w:tcPr>
                  <w:tcW w:w="0" w:type="auto"/>
                  <w:tcBorders>
                    <w:tl2br w:val="nil"/>
                    <w:tr2bl w:val="nil"/>
                  </w:tcBorders>
                  <w:shd w:val="clear" w:color="auto" w:fill="auto"/>
                  <w:vAlign w:val="center"/>
                </w:tcPr>
                <w:p w14:paraId="1F3BEBD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行吊</w:t>
                  </w:r>
                </w:p>
              </w:tc>
              <w:tc>
                <w:tcPr>
                  <w:tcW w:w="0" w:type="auto"/>
                  <w:tcBorders>
                    <w:tl2br w:val="nil"/>
                    <w:tr2bl w:val="nil"/>
                  </w:tcBorders>
                  <w:shd w:val="clear" w:color="auto" w:fill="auto"/>
                  <w:vAlign w:val="center"/>
                </w:tcPr>
                <w:p w14:paraId="3E847B1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w:t>
                  </w:r>
                </w:p>
              </w:tc>
              <w:tc>
                <w:tcPr>
                  <w:tcW w:w="0" w:type="auto"/>
                  <w:tcBorders>
                    <w:tl2br w:val="nil"/>
                    <w:tr2bl w:val="nil"/>
                  </w:tcBorders>
                  <w:shd w:val="clear" w:color="auto" w:fill="auto"/>
                  <w:vAlign w:val="center"/>
                </w:tcPr>
                <w:p w14:paraId="2B5DED57">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eastAsia="宋体"/>
                      <w:color w:val="auto"/>
                      <w:lang w:val="en-US" w:eastAsia="zh-CN"/>
                    </w:rPr>
                  </w:pPr>
                  <w:r>
                    <w:rPr>
                      <w:rFonts w:hint="eastAsia"/>
                      <w:color w:val="auto"/>
                    </w:rPr>
                    <w:t>1</w:t>
                  </w:r>
                  <w:r>
                    <w:rPr>
                      <w:rFonts w:hint="eastAsia"/>
                      <w:color w:val="auto"/>
                      <w:lang w:val="en-US" w:eastAsia="zh-CN"/>
                    </w:rPr>
                    <w:t>2</w:t>
                  </w:r>
                </w:p>
              </w:tc>
              <w:tc>
                <w:tcPr>
                  <w:tcW w:w="0" w:type="auto"/>
                  <w:tcBorders>
                    <w:tl2br w:val="nil"/>
                    <w:tr2bl w:val="nil"/>
                  </w:tcBorders>
                  <w:shd w:val="clear" w:color="auto" w:fill="auto"/>
                  <w:vAlign w:val="center"/>
                </w:tcPr>
                <w:p w14:paraId="025FB377">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4A8BE2C5">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吊装</w:t>
                  </w:r>
                </w:p>
              </w:tc>
              <w:tc>
                <w:tcPr>
                  <w:tcW w:w="0" w:type="auto"/>
                  <w:vMerge w:val="continue"/>
                  <w:tcBorders>
                    <w:tl2br w:val="nil"/>
                    <w:tr2bl w:val="nil"/>
                  </w:tcBorders>
                  <w:shd w:val="clear" w:color="auto" w:fill="auto"/>
                  <w:vAlign w:val="center"/>
                </w:tcPr>
                <w:p w14:paraId="43F9E0C7">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64009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2279351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12</w:t>
                  </w:r>
                </w:p>
              </w:tc>
              <w:tc>
                <w:tcPr>
                  <w:tcW w:w="0" w:type="auto"/>
                  <w:tcBorders>
                    <w:tl2br w:val="nil"/>
                    <w:tr2bl w:val="nil"/>
                  </w:tcBorders>
                  <w:shd w:val="clear" w:color="auto" w:fill="auto"/>
                  <w:vAlign w:val="center"/>
                </w:tcPr>
                <w:p w14:paraId="7D810783">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铲车</w:t>
                  </w:r>
                </w:p>
              </w:tc>
              <w:tc>
                <w:tcPr>
                  <w:tcW w:w="0" w:type="auto"/>
                  <w:tcBorders>
                    <w:tl2br w:val="nil"/>
                    <w:tr2bl w:val="nil"/>
                  </w:tcBorders>
                  <w:shd w:val="clear" w:color="auto" w:fill="auto"/>
                  <w:vAlign w:val="center"/>
                </w:tcPr>
                <w:p w14:paraId="5EAF2D9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w:t>
                  </w:r>
                </w:p>
              </w:tc>
              <w:tc>
                <w:tcPr>
                  <w:tcW w:w="0" w:type="auto"/>
                  <w:tcBorders>
                    <w:tl2br w:val="nil"/>
                    <w:tr2bl w:val="nil"/>
                  </w:tcBorders>
                  <w:shd w:val="clear" w:color="auto" w:fill="auto"/>
                  <w:vAlign w:val="center"/>
                </w:tcPr>
                <w:p w14:paraId="520EB82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1</w:t>
                  </w:r>
                </w:p>
              </w:tc>
              <w:tc>
                <w:tcPr>
                  <w:tcW w:w="0" w:type="auto"/>
                  <w:tcBorders>
                    <w:tl2br w:val="nil"/>
                    <w:tr2bl w:val="nil"/>
                  </w:tcBorders>
                  <w:shd w:val="clear" w:color="auto" w:fill="auto"/>
                  <w:vAlign w:val="center"/>
                </w:tcPr>
                <w:p w14:paraId="0D22F51C">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3C81BD5C">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原料下料</w:t>
                  </w:r>
                </w:p>
              </w:tc>
              <w:tc>
                <w:tcPr>
                  <w:tcW w:w="0" w:type="auto"/>
                  <w:vMerge w:val="continue"/>
                  <w:tcBorders>
                    <w:tl2br w:val="nil"/>
                    <w:tr2bl w:val="nil"/>
                  </w:tcBorders>
                  <w:shd w:val="clear" w:color="auto" w:fill="auto"/>
                  <w:vAlign w:val="center"/>
                </w:tcPr>
                <w:p w14:paraId="7B8D455D">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5F85D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6C443EC0">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13</w:t>
                  </w:r>
                </w:p>
              </w:tc>
              <w:tc>
                <w:tcPr>
                  <w:tcW w:w="0" w:type="auto"/>
                  <w:tcBorders>
                    <w:tl2br w:val="nil"/>
                    <w:tr2bl w:val="nil"/>
                  </w:tcBorders>
                  <w:shd w:val="clear" w:color="auto" w:fill="auto"/>
                  <w:vAlign w:val="center"/>
                </w:tcPr>
                <w:p w14:paraId="7934CE1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叉车</w:t>
                  </w:r>
                </w:p>
              </w:tc>
              <w:tc>
                <w:tcPr>
                  <w:tcW w:w="0" w:type="auto"/>
                  <w:tcBorders>
                    <w:tl2br w:val="nil"/>
                    <w:tr2bl w:val="nil"/>
                  </w:tcBorders>
                  <w:shd w:val="clear" w:color="auto" w:fill="auto"/>
                  <w:vAlign w:val="center"/>
                </w:tcPr>
                <w:p w14:paraId="4ED85E0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w:t>
                  </w:r>
                </w:p>
              </w:tc>
              <w:tc>
                <w:tcPr>
                  <w:tcW w:w="0" w:type="auto"/>
                  <w:tcBorders>
                    <w:tl2br w:val="nil"/>
                    <w:tr2bl w:val="nil"/>
                  </w:tcBorders>
                  <w:shd w:val="clear" w:color="auto" w:fill="auto"/>
                  <w:vAlign w:val="center"/>
                </w:tcPr>
                <w:p w14:paraId="3307788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1</w:t>
                  </w:r>
                </w:p>
              </w:tc>
              <w:tc>
                <w:tcPr>
                  <w:tcW w:w="0" w:type="auto"/>
                  <w:tcBorders>
                    <w:tl2br w:val="nil"/>
                    <w:tr2bl w:val="nil"/>
                  </w:tcBorders>
                  <w:shd w:val="clear" w:color="auto" w:fill="auto"/>
                  <w:vAlign w:val="center"/>
                </w:tcPr>
                <w:p w14:paraId="179D1294">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3A37412D">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装卸产品</w:t>
                  </w:r>
                </w:p>
              </w:tc>
              <w:tc>
                <w:tcPr>
                  <w:tcW w:w="0" w:type="auto"/>
                  <w:vMerge w:val="continue"/>
                  <w:tcBorders>
                    <w:tl2br w:val="nil"/>
                    <w:tr2bl w:val="nil"/>
                  </w:tcBorders>
                  <w:shd w:val="clear" w:color="auto" w:fill="auto"/>
                  <w:vAlign w:val="center"/>
                </w:tcPr>
                <w:p w14:paraId="00731BE3">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53EA55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vAlign w:val="center"/>
                </w:tcPr>
                <w:p w14:paraId="7977A22B">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14</w:t>
                  </w:r>
                </w:p>
              </w:tc>
              <w:tc>
                <w:tcPr>
                  <w:tcW w:w="0" w:type="auto"/>
                  <w:tcBorders>
                    <w:tl2br w:val="nil"/>
                    <w:tr2bl w:val="nil"/>
                  </w:tcBorders>
                  <w:shd w:val="clear" w:color="auto" w:fill="auto"/>
                  <w:vAlign w:val="center"/>
                </w:tcPr>
                <w:p w14:paraId="25F65F7C">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产品模具</w:t>
                  </w:r>
                </w:p>
              </w:tc>
              <w:tc>
                <w:tcPr>
                  <w:tcW w:w="0" w:type="auto"/>
                  <w:tcBorders>
                    <w:tl2br w:val="nil"/>
                    <w:tr2bl w:val="nil"/>
                  </w:tcBorders>
                  <w:shd w:val="clear" w:color="auto" w:fill="auto"/>
                  <w:vAlign w:val="center"/>
                </w:tcPr>
                <w:p w14:paraId="6196209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rPr>
                  </w:pPr>
                  <w:r>
                    <w:rPr>
                      <w:rFonts w:hint="eastAsia"/>
                      <w:color w:val="auto"/>
                    </w:rPr>
                    <w:t>/</w:t>
                  </w:r>
                </w:p>
              </w:tc>
              <w:tc>
                <w:tcPr>
                  <w:tcW w:w="0" w:type="auto"/>
                  <w:tcBorders>
                    <w:tl2br w:val="nil"/>
                    <w:tr2bl w:val="nil"/>
                  </w:tcBorders>
                  <w:shd w:val="clear" w:color="auto" w:fill="auto"/>
                  <w:vAlign w:val="center"/>
                </w:tcPr>
                <w:p w14:paraId="684E8DAB">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200</w:t>
                  </w:r>
                </w:p>
              </w:tc>
              <w:tc>
                <w:tcPr>
                  <w:tcW w:w="0" w:type="auto"/>
                  <w:tcBorders>
                    <w:tl2br w:val="nil"/>
                    <w:tr2bl w:val="nil"/>
                  </w:tcBorders>
                  <w:shd w:val="clear" w:color="auto" w:fill="auto"/>
                  <w:vAlign w:val="center"/>
                </w:tcPr>
                <w:p w14:paraId="487E6AF9">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台</w:t>
                  </w:r>
                </w:p>
              </w:tc>
              <w:tc>
                <w:tcPr>
                  <w:tcW w:w="0" w:type="auto"/>
                  <w:tcBorders>
                    <w:tl2br w:val="nil"/>
                    <w:tr2bl w:val="nil"/>
                  </w:tcBorders>
                  <w:shd w:val="clear" w:color="auto" w:fill="auto"/>
                  <w:vAlign w:val="center"/>
                </w:tcPr>
                <w:p w14:paraId="14FA75F5">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rPr>
                  </w:pPr>
                  <w:r>
                    <w:rPr>
                      <w:rFonts w:hint="eastAsia"/>
                      <w:color w:val="auto"/>
                    </w:rPr>
                    <w:t>模具</w:t>
                  </w:r>
                </w:p>
              </w:tc>
              <w:tc>
                <w:tcPr>
                  <w:tcW w:w="0" w:type="auto"/>
                  <w:vMerge w:val="continue"/>
                  <w:tcBorders>
                    <w:tl2br w:val="nil"/>
                    <w:tr2bl w:val="nil"/>
                  </w:tcBorders>
                  <w:shd w:val="clear" w:color="auto" w:fill="auto"/>
                  <w:vAlign w:val="center"/>
                </w:tcPr>
                <w:p w14:paraId="290A5262">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color w:val="auto"/>
                    </w:rPr>
                  </w:pPr>
                </w:p>
              </w:tc>
            </w:tr>
            <w:tr w14:paraId="11EA25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gridSpan w:val="7"/>
                  <w:tcBorders>
                    <w:tl2br w:val="nil"/>
                    <w:tr2bl w:val="nil"/>
                  </w:tcBorders>
                  <w:shd w:val="clear" w:color="auto" w:fill="auto"/>
                  <w:vAlign w:val="center"/>
                </w:tcPr>
                <w:p w14:paraId="35DBBDE8">
                  <w:pPr>
                    <w:pStyle w:val="122"/>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color w:val="auto"/>
                      <w:lang w:val="en-US" w:eastAsia="zh-CN"/>
                    </w:rPr>
                  </w:pPr>
                  <w:bookmarkStart w:id="29" w:name="_Toc29427_WPSOffice_Level3"/>
                  <w:bookmarkStart w:id="30" w:name="_Toc9394_WPSOffice_Level2"/>
                  <w:r>
                    <w:rPr>
                      <w:rFonts w:hint="eastAsia"/>
                      <w:color w:val="auto"/>
                      <w:lang w:val="en-US" w:eastAsia="zh-CN"/>
                    </w:rPr>
                    <w:t>备注：现有工程设备均已淘汰出售给回收单位，本次迁建项目的设备均为新设备，不涉及现有工程设备的使用，现有工程设备的取消报告详见附件13</w:t>
                  </w:r>
                </w:p>
              </w:tc>
            </w:tr>
          </w:tbl>
          <w:p w14:paraId="0E454994">
            <w:pPr>
              <w:pStyle w:val="68"/>
              <w:ind w:firstLine="0" w:firstLineChars="0"/>
              <w:rPr>
                <w:b/>
                <w:bCs/>
                <w:color w:val="auto"/>
                <w:kern w:val="2"/>
                <w:sz w:val="24"/>
                <w:szCs w:val="24"/>
              </w:rPr>
            </w:pPr>
            <w:r>
              <w:rPr>
                <w:rFonts w:hint="eastAsia"/>
                <w:b/>
                <w:bCs/>
                <w:color w:val="auto"/>
                <w:kern w:val="2"/>
                <w:sz w:val="24"/>
                <w:szCs w:val="24"/>
              </w:rPr>
              <w:t>2.</w:t>
            </w:r>
            <w:r>
              <w:rPr>
                <w:rFonts w:hint="eastAsia"/>
                <w:b/>
                <w:bCs/>
                <w:color w:val="auto"/>
                <w:kern w:val="2"/>
                <w:sz w:val="24"/>
                <w:szCs w:val="24"/>
                <w:lang w:val="en-US" w:eastAsia="zh-CN"/>
              </w:rPr>
              <w:t>8</w:t>
            </w:r>
            <w:r>
              <w:rPr>
                <w:rFonts w:hint="eastAsia"/>
                <w:b/>
                <w:bCs/>
                <w:color w:val="auto"/>
                <w:kern w:val="2"/>
                <w:sz w:val="24"/>
                <w:szCs w:val="24"/>
              </w:rPr>
              <w:t>公用工程</w:t>
            </w:r>
          </w:p>
          <w:p w14:paraId="3823A1AE">
            <w:pPr>
              <w:pStyle w:val="68"/>
              <w:ind w:firstLine="480"/>
              <w:rPr>
                <w:b/>
                <w:bCs/>
                <w:color w:val="auto"/>
                <w:kern w:val="2"/>
                <w:sz w:val="24"/>
                <w:szCs w:val="24"/>
              </w:rPr>
            </w:pPr>
            <w:r>
              <w:rPr>
                <w:rFonts w:hint="eastAsia"/>
                <w:color w:val="auto"/>
                <w:kern w:val="2"/>
                <w:sz w:val="24"/>
                <w:szCs w:val="24"/>
              </w:rPr>
              <w:t>1.供电工程</w:t>
            </w:r>
          </w:p>
          <w:p w14:paraId="135BE89C">
            <w:pPr>
              <w:pStyle w:val="68"/>
              <w:ind w:firstLine="480"/>
              <w:rPr>
                <w:color w:val="auto"/>
                <w:sz w:val="24"/>
                <w:szCs w:val="24"/>
              </w:rPr>
            </w:pPr>
            <w:r>
              <w:rPr>
                <w:rFonts w:hint="eastAsia"/>
                <w:color w:val="auto"/>
                <w:sz w:val="24"/>
                <w:szCs w:val="24"/>
                <w:lang w:eastAsia="zh-CN"/>
              </w:rPr>
              <w:t>迁建项目</w:t>
            </w:r>
            <w:r>
              <w:rPr>
                <w:color w:val="auto"/>
                <w:sz w:val="24"/>
                <w:szCs w:val="24"/>
              </w:rPr>
              <w:t>生产所用所需能耗主要为电能，由当地供电部门供给，每年用电量约为</w:t>
            </w:r>
            <w:r>
              <w:rPr>
                <w:rFonts w:hint="eastAsia"/>
                <w:color w:val="auto"/>
                <w:sz w:val="24"/>
                <w:szCs w:val="24"/>
              </w:rPr>
              <w:t>100</w:t>
            </w:r>
            <w:r>
              <w:rPr>
                <w:color w:val="auto"/>
                <w:sz w:val="24"/>
                <w:szCs w:val="24"/>
              </w:rPr>
              <w:t>万kW·h，不设备用发电机。</w:t>
            </w:r>
          </w:p>
          <w:p w14:paraId="6CA4AC25">
            <w:pPr>
              <w:pStyle w:val="68"/>
              <w:ind w:firstLine="480"/>
              <w:rPr>
                <w:color w:val="auto"/>
                <w:sz w:val="24"/>
                <w:szCs w:val="24"/>
              </w:rPr>
            </w:pPr>
            <w:r>
              <w:rPr>
                <w:rFonts w:hint="eastAsia"/>
                <w:color w:val="auto"/>
                <w:kern w:val="2"/>
                <w:sz w:val="24"/>
                <w:szCs w:val="24"/>
              </w:rPr>
              <w:t>2.给水工程</w:t>
            </w:r>
          </w:p>
          <w:bookmarkEnd w:id="29"/>
          <w:bookmarkEnd w:id="30"/>
          <w:p w14:paraId="6E2B534E">
            <w:pPr>
              <w:pStyle w:val="68"/>
              <w:ind w:firstLine="480"/>
              <w:rPr>
                <w:color w:val="auto"/>
                <w:kern w:val="2"/>
                <w:sz w:val="24"/>
                <w:szCs w:val="24"/>
              </w:rPr>
            </w:pPr>
            <w:r>
              <w:rPr>
                <w:rFonts w:hint="eastAsia"/>
                <w:color w:val="auto"/>
                <w:kern w:val="2"/>
                <w:sz w:val="24"/>
                <w:szCs w:val="24"/>
                <w:lang w:eastAsia="zh-CN"/>
              </w:rPr>
              <w:t>迁建项目</w:t>
            </w:r>
            <w:r>
              <w:rPr>
                <w:rFonts w:hint="eastAsia"/>
                <w:color w:val="auto"/>
                <w:kern w:val="2"/>
                <w:sz w:val="24"/>
                <w:szCs w:val="24"/>
              </w:rPr>
              <w:t>用水为员工生活用水及生产用水</w:t>
            </w:r>
            <w:r>
              <w:rPr>
                <w:rFonts w:hint="eastAsia"/>
                <w:color w:val="auto"/>
                <w:kern w:val="2"/>
                <w:sz w:val="24"/>
                <w:szCs w:val="24"/>
                <w:shd w:val="clear" w:fill="FFFFFF"/>
                <w:lang w:eastAsia="zh-CN"/>
              </w:rPr>
              <w:t>(</w:t>
            </w:r>
            <w:r>
              <w:rPr>
                <w:rFonts w:hint="eastAsia"/>
                <w:color w:val="auto"/>
                <w:kern w:val="2"/>
                <w:sz w:val="24"/>
                <w:szCs w:val="24"/>
              </w:rPr>
              <w:t>搅拌用水、搅拌机清洗用水、道路清洗用水、自然养护用水和降尘用水</w:t>
            </w:r>
            <w:r>
              <w:rPr>
                <w:rFonts w:hint="eastAsia"/>
                <w:color w:val="auto"/>
                <w:kern w:val="2"/>
                <w:sz w:val="24"/>
                <w:szCs w:val="24"/>
                <w:shd w:val="clear" w:fill="FFFFFF"/>
                <w:lang w:eastAsia="zh-CN"/>
              </w:rPr>
              <w:t>)</w:t>
            </w:r>
            <w:r>
              <w:rPr>
                <w:rFonts w:hint="eastAsia"/>
                <w:color w:val="auto"/>
                <w:kern w:val="2"/>
                <w:sz w:val="24"/>
                <w:szCs w:val="24"/>
              </w:rPr>
              <w:t>。</w:t>
            </w:r>
          </w:p>
          <w:p w14:paraId="4F6D9981">
            <w:pPr>
              <w:pStyle w:val="68"/>
              <w:ind w:firstLine="480"/>
              <w:rPr>
                <w:color w:val="auto"/>
                <w:kern w:val="2"/>
                <w:sz w:val="24"/>
                <w:szCs w:val="24"/>
              </w:rPr>
            </w:pPr>
            <w:r>
              <w:rPr>
                <w:rFonts w:hint="eastAsia"/>
                <w:color w:val="auto"/>
                <w:kern w:val="2"/>
                <w:sz w:val="24"/>
                <w:szCs w:val="24"/>
              </w:rPr>
              <w:t>①生活用水</w:t>
            </w:r>
          </w:p>
          <w:p w14:paraId="1C113E96">
            <w:pPr>
              <w:widowControl/>
              <w:spacing w:line="360" w:lineRule="auto"/>
              <w:ind w:firstLine="480" w:firstLineChars="200"/>
              <w:textAlignment w:val="bottom"/>
              <w:rPr>
                <w:color w:val="auto"/>
                <w:sz w:val="24"/>
              </w:rPr>
            </w:pPr>
            <w:r>
              <w:rPr>
                <w:rFonts w:hint="eastAsia"/>
                <w:color w:val="auto"/>
                <w:sz w:val="24"/>
              </w:rPr>
              <w:t>项目建成后劳动定员80人</w:t>
            </w:r>
            <w:r>
              <w:rPr>
                <w:rFonts w:hint="eastAsia"/>
                <w:color w:val="auto"/>
                <w:sz w:val="24"/>
                <w:shd w:val="clear" w:fill="FFFFFF"/>
              </w:rPr>
              <w:t>(</w:t>
            </w:r>
            <w:r>
              <w:rPr>
                <w:rFonts w:hint="eastAsia"/>
                <w:color w:val="auto"/>
                <w:sz w:val="24"/>
              </w:rPr>
              <w:t>包括生产人员、管理人员等</w:t>
            </w:r>
            <w:r>
              <w:rPr>
                <w:rFonts w:hint="eastAsia"/>
                <w:color w:val="auto"/>
                <w:sz w:val="24"/>
                <w:shd w:val="clear" w:fill="FFFFFF"/>
              </w:rPr>
              <w:t>)</w:t>
            </w:r>
            <w:r>
              <w:rPr>
                <w:rFonts w:hint="eastAsia"/>
                <w:color w:val="auto"/>
                <w:sz w:val="24"/>
              </w:rPr>
              <w:t>，其中30人食宿厂区，年工作时间为300天。根据</w:t>
            </w:r>
            <w:r>
              <w:rPr>
                <w:rFonts w:hint="eastAsia"/>
                <w:color w:val="auto"/>
                <w:sz w:val="24"/>
                <w:lang w:eastAsia="zh-CN"/>
              </w:rPr>
              <w:t>《建筑给水排水设计规范》(GB50016-2019)</w:t>
            </w:r>
            <w:r>
              <w:rPr>
                <w:rFonts w:hint="eastAsia"/>
                <w:color w:val="auto"/>
                <w:sz w:val="24"/>
              </w:rPr>
              <w:t>，不住厂员工生活用水量为50L/人，住厂员工生活用水量为150L/人，则全厂员工生活用水量约为7t/d(2100t/a)；</w:t>
            </w:r>
            <w:r>
              <w:rPr>
                <w:color w:val="auto"/>
                <w:sz w:val="24"/>
              </w:rPr>
              <w:t>排水系数取0.8，则</w:t>
            </w:r>
            <w:r>
              <w:rPr>
                <w:rFonts w:hint="eastAsia"/>
                <w:color w:val="auto"/>
                <w:sz w:val="24"/>
              </w:rPr>
              <w:t>员工</w:t>
            </w:r>
            <w:r>
              <w:rPr>
                <w:color w:val="auto"/>
                <w:sz w:val="24"/>
              </w:rPr>
              <w:t>生活污水</w:t>
            </w:r>
            <w:r>
              <w:rPr>
                <w:rFonts w:hint="eastAsia"/>
                <w:color w:val="auto"/>
                <w:sz w:val="24"/>
              </w:rPr>
              <w:t>产生</w:t>
            </w:r>
            <w:r>
              <w:rPr>
                <w:color w:val="auto"/>
                <w:sz w:val="24"/>
              </w:rPr>
              <w:t>量为</w:t>
            </w:r>
            <w:r>
              <w:rPr>
                <w:rFonts w:hint="eastAsia"/>
                <w:color w:val="auto"/>
                <w:sz w:val="24"/>
              </w:rPr>
              <w:t>5.6</w:t>
            </w:r>
            <w:r>
              <w:rPr>
                <w:color w:val="auto"/>
                <w:sz w:val="24"/>
              </w:rPr>
              <w:t>t/d(</w:t>
            </w:r>
            <w:r>
              <w:rPr>
                <w:rFonts w:hint="eastAsia"/>
                <w:color w:val="auto"/>
                <w:sz w:val="24"/>
              </w:rPr>
              <w:t>1680</w:t>
            </w:r>
            <w:r>
              <w:rPr>
                <w:color w:val="auto"/>
                <w:sz w:val="24"/>
              </w:rPr>
              <w:t>t/a)</w:t>
            </w:r>
            <w:r>
              <w:rPr>
                <w:rFonts w:hint="eastAsia"/>
                <w:color w:val="auto"/>
                <w:sz w:val="24"/>
              </w:rPr>
              <w:t>，经厂区西北侧化粪池处理后</w:t>
            </w:r>
            <w:r>
              <w:rPr>
                <w:color w:val="auto"/>
                <w:sz w:val="24"/>
              </w:rPr>
              <w:t>接入市政污水管网</w:t>
            </w:r>
            <w:r>
              <w:rPr>
                <w:rFonts w:hint="eastAsia"/>
                <w:color w:val="auto"/>
                <w:sz w:val="24"/>
              </w:rPr>
              <w:t>进入江阴污水处理厂处理</w:t>
            </w:r>
            <w:r>
              <w:rPr>
                <w:rFonts w:hint="eastAsia"/>
                <w:color w:val="auto"/>
                <w:sz w:val="24"/>
                <w:lang w:eastAsia="zh-CN"/>
              </w:rPr>
              <w:t>，</w:t>
            </w:r>
            <w:r>
              <w:rPr>
                <w:rFonts w:hint="eastAsia"/>
                <w:color w:val="auto"/>
                <w:sz w:val="24"/>
                <w:lang w:val="en-US" w:eastAsia="zh-CN"/>
              </w:rPr>
              <w:t>年工作天数300天</w:t>
            </w:r>
            <w:r>
              <w:rPr>
                <w:rFonts w:hint="eastAsia"/>
                <w:color w:val="auto"/>
                <w:sz w:val="24"/>
              </w:rPr>
              <w:t>。</w:t>
            </w:r>
          </w:p>
          <w:p w14:paraId="4DAB44A5">
            <w:pPr>
              <w:pStyle w:val="68"/>
              <w:ind w:firstLine="480"/>
              <w:rPr>
                <w:color w:val="auto"/>
                <w:kern w:val="2"/>
                <w:sz w:val="24"/>
                <w:szCs w:val="24"/>
              </w:rPr>
            </w:pPr>
            <w:r>
              <w:rPr>
                <w:rFonts w:hint="eastAsia"/>
                <w:color w:val="auto"/>
                <w:kern w:val="2"/>
                <w:sz w:val="24"/>
                <w:szCs w:val="24"/>
              </w:rPr>
              <w:t>②生产用水</w:t>
            </w:r>
          </w:p>
          <w:p w14:paraId="1E575D96">
            <w:pPr>
              <w:pStyle w:val="68"/>
              <w:numPr>
                <w:ilvl w:val="0"/>
                <w:numId w:val="4"/>
              </w:numPr>
              <w:ind w:firstLine="480"/>
              <w:rPr>
                <w:color w:val="auto"/>
                <w:kern w:val="2"/>
                <w:sz w:val="24"/>
                <w:szCs w:val="24"/>
              </w:rPr>
            </w:pPr>
            <w:r>
              <w:rPr>
                <w:rFonts w:hint="eastAsia"/>
                <w:color w:val="auto"/>
                <w:kern w:val="2"/>
                <w:sz w:val="24"/>
                <w:szCs w:val="24"/>
              </w:rPr>
              <w:t>搅拌用水：项目搅拌工序需要添加水，根据建设单位提供资料，搅拌用水量约为</w:t>
            </w:r>
            <w:r>
              <w:rPr>
                <w:rFonts w:hint="eastAsia"/>
                <w:color w:val="auto"/>
                <w:kern w:val="2"/>
                <w:sz w:val="24"/>
                <w:szCs w:val="24"/>
                <w:lang w:val="en-US" w:eastAsia="zh-CN"/>
              </w:rPr>
              <w:t>29010</w:t>
            </w:r>
            <w:r>
              <w:rPr>
                <w:rFonts w:hint="eastAsia"/>
                <w:color w:val="auto"/>
                <w:kern w:val="2"/>
                <w:sz w:val="24"/>
                <w:szCs w:val="24"/>
              </w:rPr>
              <w:t>t/a</w:t>
            </w:r>
            <w:r>
              <w:rPr>
                <w:rFonts w:hint="eastAsia"/>
                <w:color w:val="auto"/>
                <w:kern w:val="2"/>
                <w:sz w:val="24"/>
                <w:szCs w:val="24"/>
                <w:lang w:eastAsia="zh-CN"/>
              </w:rPr>
              <w:t>(</w:t>
            </w:r>
            <w:r>
              <w:rPr>
                <w:rFonts w:hint="eastAsia"/>
                <w:color w:val="auto"/>
                <w:kern w:val="2"/>
                <w:sz w:val="24"/>
                <w:szCs w:val="24"/>
              </w:rPr>
              <w:t>96.7t/d</w:t>
            </w:r>
            <w:r>
              <w:rPr>
                <w:rFonts w:hint="eastAsia"/>
                <w:color w:val="auto"/>
                <w:kern w:val="2"/>
                <w:sz w:val="24"/>
                <w:szCs w:val="24"/>
                <w:lang w:eastAsia="zh-CN"/>
              </w:rPr>
              <w:t>)</w:t>
            </w:r>
            <w:r>
              <w:rPr>
                <w:rFonts w:hint="eastAsia"/>
                <w:color w:val="auto"/>
                <w:kern w:val="2"/>
                <w:sz w:val="24"/>
                <w:szCs w:val="24"/>
              </w:rPr>
              <w:t>，该部分水进入产品中，在自然养护阶段蒸发损耗。</w:t>
            </w:r>
          </w:p>
          <w:p w14:paraId="5D8EE882">
            <w:pPr>
              <w:pStyle w:val="68"/>
              <w:ind w:firstLine="480"/>
              <w:rPr>
                <w:color w:val="auto"/>
                <w:kern w:val="2"/>
                <w:sz w:val="24"/>
                <w:szCs w:val="24"/>
              </w:rPr>
            </w:pPr>
            <w:r>
              <w:rPr>
                <w:rFonts w:hint="eastAsia"/>
                <w:color w:val="auto"/>
                <w:kern w:val="2"/>
                <w:sz w:val="24"/>
                <w:szCs w:val="24"/>
              </w:rPr>
              <w:t>B.搅拌机清洗用水</w:t>
            </w:r>
          </w:p>
          <w:p w14:paraId="12CE6697">
            <w:pPr>
              <w:pStyle w:val="68"/>
              <w:ind w:firstLine="480"/>
              <w:rPr>
                <w:color w:val="auto"/>
                <w:kern w:val="2"/>
                <w:sz w:val="24"/>
                <w:szCs w:val="24"/>
              </w:rPr>
            </w:pPr>
            <w:r>
              <w:rPr>
                <w:rFonts w:hint="eastAsia"/>
                <w:color w:val="auto"/>
                <w:kern w:val="2"/>
                <w:sz w:val="24"/>
                <w:szCs w:val="24"/>
              </w:rPr>
              <w:t>搅拌机为</w:t>
            </w:r>
            <w:r>
              <w:rPr>
                <w:rFonts w:hint="eastAsia"/>
                <w:color w:val="auto"/>
                <w:kern w:val="2"/>
                <w:sz w:val="24"/>
                <w:szCs w:val="24"/>
                <w:lang w:eastAsia="zh-CN"/>
              </w:rPr>
              <w:t>迁建项目</w:t>
            </w:r>
            <w:r>
              <w:rPr>
                <w:rFonts w:hint="eastAsia"/>
                <w:color w:val="auto"/>
                <w:kern w:val="2"/>
                <w:sz w:val="24"/>
                <w:szCs w:val="24"/>
              </w:rPr>
              <w:t>的主要生产设备，需进行冲洗以防止机内混凝土结块。</w:t>
            </w:r>
            <w:r>
              <w:rPr>
                <w:rFonts w:hint="eastAsia"/>
                <w:color w:val="auto"/>
                <w:kern w:val="2"/>
                <w:sz w:val="24"/>
                <w:szCs w:val="24"/>
                <w:lang w:eastAsia="zh-CN"/>
              </w:rPr>
              <w:t>迁建项目</w:t>
            </w:r>
            <w:r>
              <w:rPr>
                <w:rFonts w:hint="eastAsia"/>
                <w:color w:val="auto"/>
                <w:kern w:val="2"/>
                <w:sz w:val="24"/>
                <w:szCs w:val="24"/>
              </w:rPr>
              <w:t>设有4台60t搅拌机，每天搅拌机冲洗一次，每次用水量约为其容积的55%，即0.44t/d</w:t>
            </w:r>
            <w:r>
              <w:rPr>
                <w:rFonts w:hint="eastAsia"/>
                <w:color w:val="auto"/>
                <w:kern w:val="2"/>
                <w:sz w:val="24"/>
                <w:szCs w:val="24"/>
                <w:lang w:eastAsia="zh-CN"/>
              </w:rPr>
              <w:t>(</w:t>
            </w:r>
            <w:r>
              <w:rPr>
                <w:rFonts w:hint="eastAsia"/>
                <w:color w:val="auto"/>
                <w:kern w:val="2"/>
                <w:sz w:val="24"/>
                <w:szCs w:val="24"/>
              </w:rPr>
              <w:t>132t/a</w:t>
            </w:r>
            <w:r>
              <w:rPr>
                <w:rFonts w:hint="eastAsia"/>
                <w:color w:val="auto"/>
                <w:kern w:val="2"/>
                <w:sz w:val="24"/>
                <w:szCs w:val="24"/>
                <w:lang w:eastAsia="zh-CN"/>
              </w:rPr>
              <w:t>)</w:t>
            </w:r>
            <w:r>
              <w:rPr>
                <w:rFonts w:hint="eastAsia"/>
                <w:color w:val="auto"/>
                <w:kern w:val="2"/>
                <w:sz w:val="24"/>
                <w:szCs w:val="24"/>
              </w:rPr>
              <w:t>，产污系数按0.9计，则搅拌机清洗废水产生量约为0.396t/d</w:t>
            </w:r>
            <w:r>
              <w:rPr>
                <w:rFonts w:hint="eastAsia"/>
                <w:color w:val="auto"/>
                <w:kern w:val="2"/>
                <w:sz w:val="24"/>
                <w:szCs w:val="24"/>
                <w:lang w:eastAsia="zh-CN"/>
              </w:rPr>
              <w:t>(</w:t>
            </w:r>
            <w:r>
              <w:rPr>
                <w:rFonts w:hint="eastAsia"/>
                <w:color w:val="auto"/>
                <w:kern w:val="2"/>
                <w:sz w:val="24"/>
                <w:szCs w:val="24"/>
              </w:rPr>
              <w:t>118.8t/a</w:t>
            </w:r>
            <w:r>
              <w:rPr>
                <w:rFonts w:hint="eastAsia"/>
                <w:color w:val="auto"/>
                <w:kern w:val="2"/>
                <w:sz w:val="24"/>
                <w:szCs w:val="24"/>
                <w:lang w:eastAsia="zh-CN"/>
              </w:rPr>
              <w:t>)</w:t>
            </w:r>
            <w:r>
              <w:rPr>
                <w:rFonts w:hint="eastAsia"/>
                <w:color w:val="auto"/>
                <w:kern w:val="2"/>
                <w:sz w:val="24"/>
                <w:szCs w:val="24"/>
              </w:rPr>
              <w:t>，经三级沉淀池处理后回用于养护用水，不外排。</w:t>
            </w:r>
          </w:p>
          <w:p w14:paraId="4BF7FC94">
            <w:pPr>
              <w:pStyle w:val="68"/>
              <w:ind w:firstLine="480"/>
              <w:rPr>
                <w:color w:val="auto"/>
                <w:kern w:val="2"/>
                <w:sz w:val="24"/>
                <w:szCs w:val="24"/>
              </w:rPr>
            </w:pPr>
            <w:r>
              <w:rPr>
                <w:rFonts w:hint="eastAsia"/>
                <w:color w:val="auto"/>
                <w:kern w:val="2"/>
                <w:sz w:val="24"/>
                <w:szCs w:val="24"/>
              </w:rPr>
              <w:t>C.道路清洗用水</w:t>
            </w:r>
          </w:p>
          <w:p w14:paraId="2E81998B">
            <w:pPr>
              <w:pStyle w:val="68"/>
              <w:ind w:firstLine="480"/>
              <w:rPr>
                <w:color w:val="auto"/>
                <w:kern w:val="2"/>
                <w:sz w:val="24"/>
                <w:szCs w:val="24"/>
              </w:rPr>
            </w:pPr>
            <w:r>
              <w:rPr>
                <w:rFonts w:hint="eastAsia"/>
                <w:color w:val="auto"/>
                <w:kern w:val="2"/>
                <w:sz w:val="24"/>
                <w:szCs w:val="24"/>
              </w:rPr>
              <w:t>为保持生产场地清洁，项目每天对厂区道路进行一次冲洗，</w:t>
            </w:r>
            <w:r>
              <w:rPr>
                <w:rFonts w:hint="eastAsia"/>
                <w:color w:val="auto"/>
                <w:kern w:val="2"/>
                <w:sz w:val="24"/>
                <w:szCs w:val="24"/>
                <w:lang w:eastAsia="zh-CN"/>
              </w:rPr>
              <w:t>迁建项目</w:t>
            </w:r>
            <w:r>
              <w:rPr>
                <w:rFonts w:hint="eastAsia"/>
                <w:color w:val="auto"/>
                <w:kern w:val="2"/>
                <w:sz w:val="24"/>
                <w:szCs w:val="24"/>
              </w:rPr>
              <w:t>厂区道路面积约5000m</w:t>
            </w:r>
            <w:r>
              <w:rPr>
                <w:rFonts w:hint="eastAsia"/>
                <w:color w:val="auto"/>
                <w:kern w:val="2"/>
                <w:sz w:val="24"/>
                <w:szCs w:val="24"/>
                <w:vertAlign w:val="superscript"/>
              </w:rPr>
              <w:t>2</w:t>
            </w:r>
            <w:r>
              <w:rPr>
                <w:rFonts w:hint="eastAsia"/>
                <w:color w:val="auto"/>
                <w:kern w:val="2"/>
                <w:sz w:val="24"/>
                <w:szCs w:val="24"/>
              </w:rPr>
              <w:t>，根据《给水排水设计手册》，浇洒道路用水定额为1.0</w:t>
            </w:r>
            <w:r>
              <w:rPr>
                <w:rFonts w:hint="eastAsia"/>
                <w:color w:val="auto"/>
                <w:kern w:val="2"/>
                <w:sz w:val="24"/>
                <w:szCs w:val="24"/>
                <w:shd w:val="clear" w:fill="FFFFFF"/>
              </w:rPr>
              <w:t>~</w:t>
            </w:r>
            <w:r>
              <w:rPr>
                <w:rFonts w:hint="eastAsia"/>
                <w:color w:val="auto"/>
                <w:kern w:val="2"/>
                <w:sz w:val="24"/>
                <w:szCs w:val="24"/>
              </w:rPr>
              <w:t>1.5L/m</w:t>
            </w:r>
            <w:r>
              <w:rPr>
                <w:rFonts w:hint="eastAsia"/>
                <w:color w:val="auto"/>
                <w:kern w:val="2"/>
                <w:sz w:val="24"/>
                <w:szCs w:val="24"/>
                <w:vertAlign w:val="superscript"/>
              </w:rPr>
              <w:t>2</w:t>
            </w:r>
            <w:r>
              <w:rPr>
                <w:rFonts w:hint="eastAsia"/>
                <w:color w:val="auto"/>
                <w:kern w:val="2"/>
                <w:sz w:val="24"/>
                <w:szCs w:val="24"/>
              </w:rPr>
              <w:t>次，按每次用水量1.5L/m</w:t>
            </w:r>
            <w:r>
              <w:rPr>
                <w:rFonts w:hint="eastAsia"/>
                <w:color w:val="auto"/>
                <w:kern w:val="2"/>
                <w:sz w:val="24"/>
                <w:szCs w:val="24"/>
                <w:vertAlign w:val="superscript"/>
              </w:rPr>
              <w:t>2</w:t>
            </w:r>
            <w:r>
              <w:rPr>
                <w:rFonts w:hint="eastAsia"/>
                <w:color w:val="auto"/>
                <w:kern w:val="2"/>
                <w:sz w:val="24"/>
                <w:szCs w:val="24"/>
              </w:rPr>
              <w:t>次，则</w:t>
            </w:r>
            <w:r>
              <w:rPr>
                <w:rFonts w:hint="eastAsia"/>
                <w:color w:val="auto"/>
                <w:kern w:val="2"/>
                <w:sz w:val="24"/>
                <w:szCs w:val="24"/>
                <w:lang w:eastAsia="zh-CN"/>
              </w:rPr>
              <w:t>迁建项目</w:t>
            </w:r>
            <w:r>
              <w:rPr>
                <w:rFonts w:hint="eastAsia"/>
                <w:color w:val="auto"/>
                <w:kern w:val="2"/>
                <w:sz w:val="24"/>
                <w:szCs w:val="24"/>
              </w:rPr>
              <w:t>道路清洗用水量为7.5t/d</w:t>
            </w:r>
            <w:r>
              <w:rPr>
                <w:rFonts w:hint="eastAsia"/>
                <w:color w:val="auto"/>
                <w:kern w:val="2"/>
                <w:sz w:val="24"/>
                <w:szCs w:val="24"/>
                <w:lang w:eastAsia="zh-CN"/>
              </w:rPr>
              <w:t>(</w:t>
            </w:r>
            <w:r>
              <w:rPr>
                <w:rFonts w:hint="eastAsia"/>
                <w:color w:val="auto"/>
                <w:kern w:val="2"/>
                <w:sz w:val="24"/>
                <w:szCs w:val="24"/>
              </w:rPr>
              <w:t>2250t/a</w:t>
            </w:r>
            <w:r>
              <w:rPr>
                <w:rFonts w:hint="eastAsia"/>
                <w:color w:val="auto"/>
                <w:kern w:val="2"/>
                <w:sz w:val="24"/>
                <w:szCs w:val="24"/>
                <w:lang w:eastAsia="zh-CN"/>
              </w:rPr>
              <w:t>)</w:t>
            </w:r>
            <w:r>
              <w:rPr>
                <w:rFonts w:hint="eastAsia"/>
                <w:color w:val="auto"/>
                <w:kern w:val="2"/>
                <w:sz w:val="24"/>
                <w:szCs w:val="24"/>
              </w:rPr>
              <w:t>，废水排放系数按0.9计算，则道路清洗废水产生量为6.75t/d</w:t>
            </w:r>
            <w:r>
              <w:rPr>
                <w:rFonts w:hint="eastAsia"/>
                <w:color w:val="auto"/>
                <w:kern w:val="2"/>
                <w:sz w:val="24"/>
                <w:szCs w:val="24"/>
                <w:lang w:eastAsia="zh-CN"/>
              </w:rPr>
              <w:t>(</w:t>
            </w:r>
            <w:r>
              <w:rPr>
                <w:rFonts w:hint="eastAsia"/>
                <w:color w:val="auto"/>
                <w:kern w:val="2"/>
                <w:sz w:val="24"/>
                <w:szCs w:val="24"/>
              </w:rPr>
              <w:t>2025t/a</w:t>
            </w:r>
            <w:r>
              <w:rPr>
                <w:rFonts w:hint="eastAsia"/>
                <w:color w:val="auto"/>
                <w:kern w:val="2"/>
                <w:sz w:val="24"/>
                <w:szCs w:val="24"/>
                <w:lang w:eastAsia="zh-CN"/>
              </w:rPr>
              <w:t>)</w:t>
            </w:r>
            <w:r>
              <w:rPr>
                <w:rFonts w:hint="eastAsia"/>
                <w:color w:val="auto"/>
                <w:kern w:val="2"/>
                <w:sz w:val="24"/>
                <w:szCs w:val="24"/>
              </w:rPr>
              <w:t>。废水中的主要污染物为SS，道路清洗废水收集后经三级沉淀池处理后回用于养护工序，不外排。</w:t>
            </w:r>
          </w:p>
          <w:p w14:paraId="641B4BB6">
            <w:pPr>
              <w:pStyle w:val="68"/>
              <w:ind w:firstLine="480"/>
              <w:rPr>
                <w:color w:val="auto"/>
                <w:kern w:val="2"/>
                <w:sz w:val="24"/>
                <w:szCs w:val="24"/>
              </w:rPr>
            </w:pPr>
            <w:r>
              <w:rPr>
                <w:rFonts w:hint="eastAsia"/>
                <w:color w:val="auto"/>
                <w:kern w:val="2"/>
                <w:sz w:val="24"/>
                <w:szCs w:val="24"/>
              </w:rPr>
              <w:t>D.养护用水</w:t>
            </w:r>
          </w:p>
          <w:p w14:paraId="0F059F87">
            <w:pPr>
              <w:pStyle w:val="68"/>
              <w:ind w:firstLine="480"/>
              <w:rPr>
                <w:color w:val="auto"/>
                <w:kern w:val="2"/>
                <w:sz w:val="24"/>
                <w:szCs w:val="24"/>
              </w:rPr>
            </w:pPr>
            <w:r>
              <w:rPr>
                <w:rFonts w:hint="eastAsia"/>
                <w:color w:val="auto"/>
                <w:kern w:val="2"/>
                <w:sz w:val="24"/>
                <w:szCs w:val="24"/>
                <w:lang w:eastAsia="zh-CN"/>
              </w:rPr>
              <w:t>迁建项目</w:t>
            </w:r>
            <w:r>
              <w:rPr>
                <w:rFonts w:hint="eastAsia"/>
                <w:color w:val="auto"/>
                <w:kern w:val="2"/>
                <w:sz w:val="24"/>
                <w:szCs w:val="24"/>
              </w:rPr>
              <w:t>产品在成型后需人工洒水，对产品进行养护。根据企业设计生产情况，养护用水量约为15t/d</w:t>
            </w:r>
            <w:r>
              <w:rPr>
                <w:rFonts w:hint="eastAsia"/>
                <w:color w:val="auto"/>
                <w:kern w:val="2"/>
                <w:sz w:val="24"/>
                <w:szCs w:val="24"/>
                <w:lang w:eastAsia="zh-CN"/>
              </w:rPr>
              <w:t>(</w:t>
            </w:r>
            <w:r>
              <w:rPr>
                <w:rFonts w:hint="eastAsia"/>
                <w:color w:val="auto"/>
                <w:kern w:val="2"/>
                <w:sz w:val="24"/>
                <w:szCs w:val="24"/>
              </w:rPr>
              <w:t>4500t/a</w:t>
            </w:r>
            <w:r>
              <w:rPr>
                <w:rFonts w:hint="eastAsia"/>
                <w:color w:val="auto"/>
                <w:kern w:val="2"/>
                <w:sz w:val="24"/>
                <w:szCs w:val="24"/>
                <w:lang w:eastAsia="zh-CN"/>
              </w:rPr>
              <w:t>)</w:t>
            </w:r>
            <w:r>
              <w:rPr>
                <w:rFonts w:hint="eastAsia"/>
                <w:color w:val="auto"/>
                <w:kern w:val="2"/>
                <w:sz w:val="24"/>
                <w:szCs w:val="24"/>
              </w:rPr>
              <w:t>，</w:t>
            </w:r>
            <w:r>
              <w:rPr>
                <w:rFonts w:hint="eastAsia"/>
                <w:color w:val="auto"/>
                <w:kern w:val="2"/>
                <w:sz w:val="24"/>
                <w:szCs w:val="24"/>
                <w:lang w:val="en-US" w:eastAsia="zh-CN"/>
              </w:rPr>
              <w:t>项目拟将</w:t>
            </w:r>
            <w:r>
              <w:rPr>
                <w:rFonts w:hint="eastAsia"/>
                <w:color w:val="auto"/>
                <w:kern w:val="2"/>
                <w:sz w:val="24"/>
                <w:szCs w:val="24"/>
              </w:rPr>
              <w:t>搅拌机清洗废水、道路清洗废水以及初期雨水经三级沉淀池处理后</w:t>
            </w:r>
            <w:r>
              <w:rPr>
                <w:rFonts w:hint="eastAsia"/>
                <w:color w:val="auto"/>
                <w:kern w:val="2"/>
                <w:sz w:val="24"/>
                <w:szCs w:val="24"/>
                <w:lang w:val="en-US" w:eastAsia="zh-CN"/>
              </w:rPr>
              <w:t>用于养护用水的补充水，根据前文分析，项目</w:t>
            </w:r>
            <w:r>
              <w:rPr>
                <w:rFonts w:hint="eastAsia"/>
                <w:color w:val="auto"/>
                <w:kern w:val="2"/>
                <w:sz w:val="24"/>
                <w:szCs w:val="24"/>
              </w:rPr>
              <w:t>搅拌机清洗废水、道路清洗废水以及初期雨水</w:t>
            </w:r>
            <w:r>
              <w:rPr>
                <w:rFonts w:hint="eastAsia"/>
                <w:color w:val="auto"/>
                <w:kern w:val="2"/>
                <w:sz w:val="24"/>
                <w:szCs w:val="24"/>
                <w:lang w:val="en-US" w:eastAsia="zh-CN"/>
              </w:rPr>
              <w:t>的量为0.396+6.75+4.662=11.808t/d，根据分析沉淀池中挥发的回用水量约为1.178t/d，则共计养护用水的补充水为11.808-1.178=10.63t/a，</w:t>
            </w:r>
            <w:r>
              <w:rPr>
                <w:rFonts w:hint="eastAsia"/>
                <w:color w:val="auto"/>
                <w:kern w:val="2"/>
                <w:sz w:val="24"/>
                <w:szCs w:val="24"/>
              </w:rPr>
              <w:t>养护用水由员工每天以洒水方式养护，全部自然蒸发，无废水产生。</w:t>
            </w:r>
          </w:p>
          <w:p w14:paraId="72C83E83">
            <w:pPr>
              <w:pStyle w:val="68"/>
              <w:ind w:firstLine="480"/>
              <w:rPr>
                <w:rFonts w:hint="default" w:eastAsia="宋体"/>
                <w:color w:val="auto"/>
                <w:kern w:val="2"/>
                <w:sz w:val="24"/>
                <w:szCs w:val="24"/>
                <w:lang w:val="en-US" w:eastAsia="zh-CN"/>
              </w:rPr>
            </w:pPr>
            <w:r>
              <w:rPr>
                <w:rFonts w:hint="eastAsia"/>
                <w:color w:val="auto"/>
                <w:kern w:val="2"/>
                <w:sz w:val="24"/>
                <w:szCs w:val="24"/>
                <w:lang w:val="en-US" w:eastAsia="zh-CN"/>
              </w:rPr>
              <w:t>则养护用水需新增的用水量为15-10.63=4.37t/d(1311t/a，按300天计</w:t>
            </w:r>
            <w:r>
              <w:rPr>
                <w:rFonts w:hint="eastAsia"/>
                <w:color w:val="auto"/>
                <w:kern w:val="2"/>
                <w:sz w:val="24"/>
                <w:szCs w:val="24"/>
                <w:shd w:val="clear" w:fill="FFFFFF"/>
                <w:lang w:val="en-US" w:eastAsia="zh-CN"/>
              </w:rPr>
              <w:t>)</w:t>
            </w:r>
            <w:r>
              <w:rPr>
                <w:rFonts w:hint="eastAsia"/>
                <w:color w:val="auto"/>
                <w:kern w:val="2"/>
                <w:sz w:val="24"/>
                <w:szCs w:val="24"/>
                <w:lang w:val="en-US" w:eastAsia="zh-CN"/>
              </w:rPr>
              <w:t>。</w:t>
            </w:r>
          </w:p>
          <w:p w14:paraId="12125F79">
            <w:pPr>
              <w:pStyle w:val="68"/>
              <w:ind w:firstLine="480"/>
              <w:rPr>
                <w:color w:val="auto"/>
                <w:kern w:val="2"/>
                <w:sz w:val="24"/>
                <w:szCs w:val="24"/>
              </w:rPr>
            </w:pPr>
            <w:r>
              <w:rPr>
                <w:rFonts w:hint="eastAsia"/>
                <w:color w:val="auto"/>
                <w:kern w:val="2"/>
                <w:sz w:val="24"/>
                <w:szCs w:val="24"/>
              </w:rPr>
              <w:t>E.降尘用水</w:t>
            </w:r>
          </w:p>
          <w:p w14:paraId="6879D9E7">
            <w:pPr>
              <w:pStyle w:val="68"/>
              <w:ind w:firstLine="480"/>
              <w:rPr>
                <w:color w:val="auto"/>
                <w:kern w:val="2"/>
                <w:sz w:val="24"/>
                <w:szCs w:val="24"/>
              </w:rPr>
            </w:pPr>
            <w:r>
              <w:rPr>
                <w:rFonts w:hint="eastAsia"/>
                <w:color w:val="auto"/>
                <w:kern w:val="2"/>
                <w:sz w:val="24"/>
                <w:szCs w:val="24"/>
              </w:rPr>
              <w:t>项目石子、砂子堆料场设置喷雾系统进行喷雾降尘。根据建设单位提供资料，喷雾系统用水量约为2.5t/d</w:t>
            </w:r>
            <w:r>
              <w:rPr>
                <w:rFonts w:hint="eastAsia"/>
                <w:color w:val="auto"/>
                <w:kern w:val="2"/>
                <w:sz w:val="24"/>
                <w:szCs w:val="24"/>
                <w:lang w:eastAsia="zh-CN"/>
              </w:rPr>
              <w:t>(</w:t>
            </w:r>
            <w:r>
              <w:rPr>
                <w:rFonts w:hint="eastAsia"/>
                <w:color w:val="auto"/>
                <w:kern w:val="2"/>
                <w:sz w:val="24"/>
                <w:szCs w:val="24"/>
              </w:rPr>
              <w:t>750t/a</w:t>
            </w:r>
            <w:r>
              <w:rPr>
                <w:rFonts w:hint="eastAsia"/>
                <w:color w:val="auto"/>
                <w:kern w:val="2"/>
                <w:sz w:val="24"/>
                <w:szCs w:val="24"/>
                <w:lang w:eastAsia="zh-CN"/>
              </w:rPr>
              <w:t>)</w:t>
            </w:r>
            <w:r>
              <w:rPr>
                <w:rFonts w:hint="eastAsia"/>
                <w:color w:val="auto"/>
                <w:kern w:val="2"/>
                <w:sz w:val="24"/>
                <w:szCs w:val="24"/>
              </w:rPr>
              <w:t>，均渗入石子、砂子原料或蒸发，无生产废水产生。</w:t>
            </w:r>
          </w:p>
          <w:p w14:paraId="759EBA94">
            <w:pPr>
              <w:pStyle w:val="68"/>
              <w:ind w:firstLine="480"/>
              <w:rPr>
                <w:rFonts w:ascii="宋体" w:hAnsi="宋体" w:cs="宋体"/>
                <w:color w:val="auto"/>
                <w:sz w:val="24"/>
                <w:szCs w:val="24"/>
              </w:rPr>
            </w:pPr>
            <w:r>
              <w:rPr>
                <w:rFonts w:ascii="宋体" w:hAnsi="宋体" w:cs="宋体"/>
                <w:color w:val="auto"/>
                <w:sz w:val="24"/>
                <w:szCs w:val="24"/>
              </w:rPr>
              <w:t>③初期雨水</w:t>
            </w:r>
          </w:p>
          <w:p w14:paraId="504D2708">
            <w:pPr>
              <w:pStyle w:val="68"/>
              <w:ind w:firstLine="480"/>
              <w:rPr>
                <w:color w:val="auto"/>
                <w:sz w:val="24"/>
                <w:szCs w:val="24"/>
              </w:rPr>
            </w:pPr>
            <w:r>
              <w:rPr>
                <w:rFonts w:ascii="宋体" w:hAnsi="宋体" w:cs="宋体"/>
                <w:color w:val="auto"/>
                <w:sz w:val="24"/>
                <w:szCs w:val="24"/>
              </w:rPr>
              <w:t>项目将厂区降水通过雨水收集系统收集到初期雨水池中，后经三级沉淀池沉淀后回用。一般强度降雨很难形成地表径流，雨水通常被蒸发、下渗、吸收等消耗掉，只有大暴雨时，大量雨水短时间内汇集，才会形成地表径流，从而产生对地表冲刷。当遇到暴雨时厂区道路和硬化地面的污染物和泥沙被冲洗下来，使得径流雨水中含有一定浓度的污染物。</w:t>
            </w:r>
            <w:r>
              <w:rPr>
                <w:rFonts w:hint="eastAsia" w:ascii="宋体" w:hAnsi="宋体" w:cs="宋体"/>
                <w:color w:val="auto"/>
                <w:sz w:val="24"/>
                <w:szCs w:val="24"/>
                <w:lang w:eastAsia="zh-CN"/>
              </w:rPr>
              <w:t>迁建项目</w:t>
            </w:r>
            <w:r>
              <w:rPr>
                <w:rFonts w:ascii="宋体" w:hAnsi="宋体" w:cs="宋体"/>
                <w:color w:val="auto"/>
                <w:sz w:val="24"/>
                <w:szCs w:val="24"/>
              </w:rPr>
              <w:t>厂区采用雨污分流制，其中雨水管渠主要是收集厂区主要道路、硬化地面、部分厂房</w:t>
            </w:r>
            <w:r>
              <w:rPr>
                <w:rFonts w:hint="eastAsia" w:ascii="宋体" w:hAnsi="宋体" w:cs="宋体"/>
                <w:color w:val="auto"/>
                <w:sz w:val="24"/>
                <w:szCs w:val="24"/>
              </w:rPr>
              <w:t>屋</w:t>
            </w:r>
            <w:r>
              <w:rPr>
                <w:rFonts w:ascii="宋体" w:hAnsi="宋体" w:cs="宋体"/>
                <w:color w:val="auto"/>
                <w:sz w:val="24"/>
                <w:szCs w:val="24"/>
              </w:rPr>
              <w:t>面的雨水。厂区硬化地面、道路等的初期雨水经室外雨水管网收集至初期雨水池，后经三级沉淀池处理后，全部</w:t>
            </w:r>
            <w:r>
              <w:rPr>
                <w:rFonts w:hint="eastAsia" w:ascii="宋体" w:hAnsi="宋体" w:cs="宋体"/>
                <w:color w:val="auto"/>
                <w:sz w:val="24"/>
                <w:szCs w:val="24"/>
                <w:lang w:eastAsia="zh-CN"/>
              </w:rPr>
              <w:t>回用于生产</w:t>
            </w:r>
            <w:r>
              <w:rPr>
                <w:rFonts w:hint="eastAsia" w:ascii="宋体" w:hAnsi="宋体" w:cs="宋体"/>
                <w:color w:val="auto"/>
                <w:sz w:val="24"/>
                <w:szCs w:val="24"/>
                <w:shd w:val="clear" w:fill="FFFFFF"/>
                <w:lang w:eastAsia="zh-CN"/>
              </w:rPr>
              <w:t>(</w:t>
            </w:r>
            <w:r>
              <w:rPr>
                <w:rFonts w:hint="eastAsia" w:ascii="宋体" w:hAnsi="宋体" w:cs="宋体"/>
                <w:color w:val="auto"/>
                <w:sz w:val="24"/>
                <w:szCs w:val="24"/>
                <w:lang w:eastAsia="zh-CN"/>
              </w:rPr>
              <w:t>养护工序</w:t>
            </w:r>
            <w:r>
              <w:rPr>
                <w:rFonts w:hint="eastAsia" w:ascii="宋体" w:hAnsi="宋体" w:cs="宋体"/>
                <w:color w:val="auto"/>
                <w:sz w:val="24"/>
                <w:szCs w:val="24"/>
                <w:shd w:val="clear" w:fill="FFFFFF"/>
                <w:lang w:eastAsia="zh-CN"/>
              </w:rPr>
              <w:t>)</w:t>
            </w:r>
            <w:r>
              <w:rPr>
                <w:rFonts w:ascii="宋体" w:hAnsi="宋体" w:cs="宋体"/>
                <w:color w:val="auto"/>
                <w:sz w:val="24"/>
                <w:szCs w:val="24"/>
              </w:rPr>
              <w:t>；</w:t>
            </w:r>
            <w:r>
              <w:rPr>
                <w:color w:val="auto"/>
                <w:sz w:val="24"/>
                <w:szCs w:val="24"/>
              </w:rPr>
              <w:t>而15min之后的洁净雨水优先暂存初期雨水池，后经三级沉淀池处理后回用，多余的通过厂区雨水管网外排。</w:t>
            </w:r>
          </w:p>
          <w:p w14:paraId="2ECA5C2E">
            <w:pPr>
              <w:pStyle w:val="68"/>
              <w:ind w:firstLine="480"/>
              <w:rPr>
                <w:color w:val="auto"/>
                <w:kern w:val="2"/>
                <w:sz w:val="24"/>
                <w:szCs w:val="24"/>
                <w:highlight w:val="yellow"/>
              </w:rPr>
            </w:pPr>
            <w:r>
              <w:rPr>
                <w:color w:val="auto"/>
                <w:sz w:val="24"/>
                <w:szCs w:val="24"/>
              </w:rPr>
              <w:t>项目厂房的</w:t>
            </w:r>
            <w:r>
              <w:rPr>
                <w:rFonts w:hint="eastAsia"/>
                <w:color w:val="auto"/>
                <w:sz w:val="24"/>
                <w:szCs w:val="24"/>
              </w:rPr>
              <w:t>屋</w:t>
            </w:r>
            <w:r>
              <w:rPr>
                <w:color w:val="auto"/>
                <w:sz w:val="24"/>
                <w:szCs w:val="24"/>
              </w:rPr>
              <w:t>面雨水部分可直接引到厂外，故厂区露天硬化地面</w:t>
            </w:r>
            <w:r>
              <w:rPr>
                <w:rFonts w:hint="eastAsia"/>
                <w:color w:val="auto"/>
                <w:sz w:val="24"/>
                <w:szCs w:val="24"/>
              </w:rPr>
              <w:t>、道路</w:t>
            </w:r>
            <w:r>
              <w:rPr>
                <w:color w:val="auto"/>
                <w:sz w:val="24"/>
                <w:szCs w:val="24"/>
              </w:rPr>
              <w:t>等为</w:t>
            </w:r>
            <w:r>
              <w:rPr>
                <w:rFonts w:hint="eastAsia"/>
                <w:color w:val="auto"/>
                <w:sz w:val="24"/>
                <w:szCs w:val="24"/>
                <w:lang w:eastAsia="zh-CN"/>
              </w:rPr>
              <w:t>迁建项目</w:t>
            </w:r>
            <w:r>
              <w:rPr>
                <w:color w:val="auto"/>
                <w:sz w:val="24"/>
                <w:szCs w:val="24"/>
              </w:rPr>
              <w:t>收集初期雨水主要场地，约</w:t>
            </w:r>
            <w:r>
              <w:rPr>
                <w:rFonts w:hint="eastAsia"/>
                <w:color w:val="auto"/>
                <w:sz w:val="24"/>
                <w:szCs w:val="24"/>
              </w:rPr>
              <w:t>15000</w:t>
            </w:r>
            <w:r>
              <w:rPr>
                <w:color w:val="auto"/>
                <w:sz w:val="24"/>
                <w:szCs w:val="24"/>
              </w:rPr>
              <w:t>m</w:t>
            </w:r>
            <w:r>
              <w:rPr>
                <w:color w:val="auto"/>
                <w:sz w:val="24"/>
                <w:szCs w:val="24"/>
                <w:vertAlign w:val="superscript"/>
              </w:rPr>
              <w:t>2</w:t>
            </w:r>
            <w:r>
              <w:rPr>
                <w:color w:val="auto"/>
                <w:sz w:val="24"/>
                <w:szCs w:val="24"/>
              </w:rPr>
              <w:t>，约</w:t>
            </w:r>
            <w:r>
              <w:rPr>
                <w:rFonts w:hint="eastAsia"/>
                <w:color w:val="auto"/>
                <w:sz w:val="24"/>
                <w:szCs w:val="24"/>
              </w:rPr>
              <w:t>1.5</w:t>
            </w:r>
            <w:r>
              <w:rPr>
                <w:color w:val="auto"/>
                <w:sz w:val="24"/>
                <w:szCs w:val="24"/>
              </w:rPr>
              <w:t>ha。根据《城市排水工程规划规范</w:t>
            </w:r>
            <w:r>
              <w:rPr>
                <w:rFonts w:hint="eastAsia"/>
                <w:color w:val="auto"/>
                <w:sz w:val="24"/>
                <w:szCs w:val="24"/>
                <w:shd w:val="clear" w:fill="FFFFFF"/>
                <w:lang w:eastAsia="zh-CN"/>
              </w:rPr>
              <w:t>(</w:t>
            </w:r>
            <w:r>
              <w:rPr>
                <w:color w:val="auto"/>
                <w:sz w:val="24"/>
                <w:szCs w:val="24"/>
              </w:rPr>
              <w:t>GB50318－2017</w:t>
            </w:r>
            <w:r>
              <w:rPr>
                <w:rFonts w:hint="eastAsia"/>
                <w:color w:val="auto"/>
                <w:sz w:val="24"/>
                <w:szCs w:val="24"/>
                <w:shd w:val="clear" w:fill="FFFFFF"/>
                <w:lang w:eastAsia="zh-CN"/>
              </w:rPr>
              <w:t>)</w:t>
            </w:r>
            <w:r>
              <w:rPr>
                <w:color w:val="auto"/>
                <w:sz w:val="24"/>
                <w:szCs w:val="24"/>
              </w:rPr>
              <w:t>》中5.2 雨水量的计算，当汇水面积不超过2km</w:t>
            </w:r>
            <w:r>
              <w:rPr>
                <w:color w:val="auto"/>
                <w:sz w:val="24"/>
                <w:szCs w:val="24"/>
                <w:vertAlign w:val="superscript"/>
              </w:rPr>
              <w:t>2</w:t>
            </w:r>
            <w:r>
              <w:rPr>
                <w:color w:val="auto"/>
                <w:sz w:val="24"/>
                <w:szCs w:val="24"/>
              </w:rPr>
              <w:t>时，雨水量采用如下推理公式：</w:t>
            </w:r>
          </w:p>
          <w:p w14:paraId="5B3A6D18">
            <w:pPr>
              <w:pStyle w:val="15"/>
              <w:adjustRightInd/>
              <w:snapToGrid/>
              <w:spacing w:before="120" w:line="360" w:lineRule="auto"/>
              <w:rPr>
                <w:rFonts w:ascii="Times New Roman"/>
                <w:color w:val="auto"/>
              </w:rPr>
            </w:pPr>
            <w:r>
              <w:rPr>
                <w:rFonts w:ascii="Times New Roman"/>
                <w:color w:val="auto"/>
              </w:rPr>
              <w:t>Q=</w:t>
            </w:r>
            <w:r>
              <w:rPr>
                <w:rFonts w:hint="eastAsia" w:ascii="Times New Roman"/>
                <w:color w:val="auto"/>
              </w:rPr>
              <w:t>q</w:t>
            </w:r>
            <w:r>
              <w:rPr>
                <w:rFonts w:ascii="Times New Roman"/>
                <w:color w:val="auto"/>
              </w:rPr>
              <w:t>×</w:t>
            </w:r>
            <w:r>
              <w:rPr>
                <w:rFonts w:hint="eastAsia" w:ascii="仿宋" w:hAnsi="仿宋" w:eastAsia="仿宋" w:cs="仿宋"/>
                <w:color w:val="auto"/>
              </w:rPr>
              <w:t>φ</w:t>
            </w:r>
            <w:r>
              <w:rPr>
                <w:rFonts w:ascii="Times New Roman"/>
                <w:color w:val="auto"/>
              </w:rPr>
              <w:t>×F</w:t>
            </w:r>
          </w:p>
          <w:p w14:paraId="6C04B717">
            <w:pPr>
              <w:pStyle w:val="68"/>
              <w:ind w:firstLine="480"/>
              <w:rPr>
                <w:color w:val="auto"/>
                <w:sz w:val="24"/>
                <w:szCs w:val="24"/>
              </w:rPr>
            </w:pPr>
            <w:r>
              <w:rPr>
                <w:rFonts w:hint="eastAsia"/>
                <w:color w:val="auto"/>
                <w:sz w:val="24"/>
                <w:szCs w:val="24"/>
              </w:rPr>
              <w:t>式中：Q--雨水设计流量，L/S；</w:t>
            </w:r>
          </w:p>
          <w:p w14:paraId="00FD42A3">
            <w:pPr>
              <w:pStyle w:val="68"/>
              <w:ind w:firstLine="480"/>
              <w:rPr>
                <w:color w:val="auto"/>
                <w:sz w:val="24"/>
                <w:szCs w:val="24"/>
              </w:rPr>
            </w:pPr>
            <w:r>
              <w:rPr>
                <w:rFonts w:hint="eastAsia"/>
                <w:color w:val="auto"/>
                <w:sz w:val="24"/>
                <w:szCs w:val="24"/>
              </w:rPr>
              <w:t>q-</w:t>
            </w:r>
            <w:r>
              <w:rPr>
                <w:rFonts w:hint="eastAsia"/>
                <w:color w:val="auto"/>
                <w:sz w:val="24"/>
                <w:szCs w:val="24"/>
                <w:shd w:val="clear" w:fill="FFFFFF"/>
              </w:rPr>
              <w:t>-</w:t>
            </w:r>
            <w:r>
              <w:rPr>
                <w:rFonts w:hint="eastAsia"/>
                <w:color w:val="auto"/>
                <w:sz w:val="24"/>
                <w:szCs w:val="24"/>
              </w:rPr>
              <w:t>设计暴雨强度，L/S·hm</w:t>
            </w:r>
            <w:r>
              <w:rPr>
                <w:rFonts w:hint="eastAsia"/>
                <w:color w:val="auto"/>
                <w:sz w:val="24"/>
                <w:szCs w:val="24"/>
                <w:vertAlign w:val="superscript"/>
              </w:rPr>
              <w:t>2</w:t>
            </w:r>
            <w:r>
              <w:rPr>
                <w:rFonts w:hint="eastAsia"/>
                <w:color w:val="auto"/>
                <w:sz w:val="24"/>
                <w:szCs w:val="24"/>
              </w:rPr>
              <w:t>，福清地区q20为185.036L/s·hm</w:t>
            </w:r>
            <w:r>
              <w:rPr>
                <w:rFonts w:hint="eastAsia"/>
                <w:color w:val="auto"/>
                <w:sz w:val="24"/>
                <w:szCs w:val="24"/>
                <w:vertAlign w:val="superscript"/>
              </w:rPr>
              <w:t>2</w:t>
            </w:r>
            <w:r>
              <w:rPr>
                <w:rFonts w:hint="eastAsia"/>
                <w:color w:val="auto"/>
                <w:sz w:val="24"/>
                <w:szCs w:val="24"/>
              </w:rPr>
              <w:t>；</w:t>
            </w:r>
          </w:p>
          <w:p w14:paraId="4900EBE3">
            <w:pPr>
              <w:pStyle w:val="68"/>
              <w:ind w:firstLine="480"/>
              <w:rPr>
                <w:color w:val="auto"/>
                <w:sz w:val="24"/>
                <w:szCs w:val="24"/>
              </w:rPr>
            </w:pPr>
            <w:r>
              <w:rPr>
                <w:color w:val="auto"/>
                <w:sz w:val="24"/>
                <w:szCs w:val="24"/>
              </w:rPr>
              <w:t>Φ-</w:t>
            </w:r>
            <w:r>
              <w:rPr>
                <w:color w:val="auto"/>
                <w:sz w:val="24"/>
                <w:szCs w:val="24"/>
                <w:shd w:val="clear" w:fill="FFFFFF"/>
              </w:rPr>
              <w:t>-</w:t>
            </w:r>
            <w:r>
              <w:rPr>
                <w:color w:val="auto"/>
                <w:sz w:val="24"/>
                <w:szCs w:val="24"/>
              </w:rPr>
              <w:t>径流系数，</w:t>
            </w:r>
            <w:r>
              <w:rPr>
                <w:rFonts w:hint="eastAsia"/>
                <w:color w:val="auto"/>
                <w:sz w:val="24"/>
                <w:szCs w:val="24"/>
              </w:rPr>
              <w:t>道路、地面硬化</w:t>
            </w:r>
            <w:r>
              <w:rPr>
                <w:color w:val="auto"/>
                <w:sz w:val="24"/>
                <w:szCs w:val="24"/>
              </w:rPr>
              <w:t>，径流系数取0.</w:t>
            </w:r>
            <w:r>
              <w:rPr>
                <w:rFonts w:hint="eastAsia"/>
                <w:color w:val="auto"/>
                <w:sz w:val="24"/>
                <w:szCs w:val="24"/>
              </w:rPr>
              <w:t>8</w:t>
            </w:r>
            <w:r>
              <w:rPr>
                <w:color w:val="auto"/>
                <w:sz w:val="24"/>
                <w:szCs w:val="24"/>
              </w:rPr>
              <w:t>；</w:t>
            </w:r>
          </w:p>
          <w:p w14:paraId="07E3D115">
            <w:pPr>
              <w:pStyle w:val="68"/>
              <w:numPr>
                <w:ilvl w:val="0"/>
                <w:numId w:val="5"/>
              </w:numPr>
              <w:ind w:firstLine="480"/>
              <w:rPr>
                <w:color w:val="auto"/>
                <w:sz w:val="24"/>
                <w:szCs w:val="24"/>
              </w:rPr>
            </w:pPr>
            <w:r>
              <w:rPr>
                <w:color w:val="auto"/>
                <w:sz w:val="24"/>
                <w:szCs w:val="24"/>
                <w:shd w:val="clear" w:fill="FFFFFF"/>
              </w:rPr>
              <w:t>-</w:t>
            </w:r>
            <w:r>
              <w:rPr>
                <w:rFonts w:hint="eastAsia"/>
                <w:color w:val="auto"/>
                <w:sz w:val="24"/>
                <w:szCs w:val="24"/>
              </w:rPr>
              <w:t>汇水面积，hm</w:t>
            </w:r>
            <w:r>
              <w:rPr>
                <w:rFonts w:hint="eastAsia"/>
                <w:color w:val="auto"/>
                <w:sz w:val="24"/>
                <w:szCs w:val="24"/>
                <w:vertAlign w:val="superscript"/>
              </w:rPr>
              <w:t>2</w:t>
            </w:r>
            <w:r>
              <w:rPr>
                <w:rFonts w:hint="eastAsia"/>
                <w:color w:val="auto"/>
                <w:sz w:val="24"/>
                <w:szCs w:val="24"/>
              </w:rPr>
              <w:t>，</w:t>
            </w:r>
            <w:r>
              <w:rPr>
                <w:rFonts w:hint="eastAsia"/>
                <w:color w:val="auto"/>
                <w:sz w:val="24"/>
                <w:szCs w:val="24"/>
                <w:lang w:eastAsia="zh-CN"/>
              </w:rPr>
              <w:t>迁建项目</w:t>
            </w:r>
            <w:r>
              <w:rPr>
                <w:rFonts w:hint="eastAsia"/>
                <w:color w:val="auto"/>
                <w:sz w:val="24"/>
                <w:szCs w:val="24"/>
              </w:rPr>
              <w:t>汇水面积取</w:t>
            </w:r>
            <w:r>
              <w:rPr>
                <w:color w:val="auto"/>
                <w:sz w:val="24"/>
                <w:szCs w:val="24"/>
              </w:rPr>
              <w:t>厂区露天硬化地面</w:t>
            </w:r>
            <w:r>
              <w:rPr>
                <w:rFonts w:hint="eastAsia"/>
                <w:color w:val="auto"/>
                <w:sz w:val="24"/>
                <w:szCs w:val="24"/>
              </w:rPr>
              <w:t>、道路占地面积，约15000m</w:t>
            </w:r>
            <w:r>
              <w:rPr>
                <w:rFonts w:hint="eastAsia"/>
                <w:color w:val="auto"/>
                <w:sz w:val="24"/>
                <w:szCs w:val="24"/>
                <w:vertAlign w:val="superscript"/>
              </w:rPr>
              <w:t>2</w:t>
            </w:r>
            <w:r>
              <w:rPr>
                <w:rFonts w:hint="eastAsia"/>
                <w:color w:val="auto"/>
                <w:sz w:val="24"/>
                <w:szCs w:val="24"/>
              </w:rPr>
              <w:t>；</w:t>
            </w:r>
          </w:p>
          <w:p w14:paraId="354D2855">
            <w:pPr>
              <w:pStyle w:val="68"/>
              <w:ind w:firstLine="480"/>
              <w:rPr>
                <w:color w:val="auto"/>
                <w:kern w:val="2"/>
                <w:sz w:val="24"/>
                <w:szCs w:val="24"/>
              </w:rPr>
            </w:pPr>
            <w:r>
              <w:rPr>
                <w:rFonts w:hint="eastAsia"/>
                <w:color w:val="auto"/>
                <w:kern w:val="2"/>
                <w:sz w:val="24"/>
                <w:szCs w:val="24"/>
              </w:rPr>
              <w:t>雨水设计流量Q=185.036×1.5×0.8=222L/s。收集前15min的初期雨水，经计算露天污染区初期雨水一次性最大量为199.8m</w:t>
            </w:r>
            <w:r>
              <w:rPr>
                <w:rFonts w:hint="eastAsia"/>
                <w:color w:val="auto"/>
                <w:kern w:val="2"/>
                <w:sz w:val="24"/>
                <w:szCs w:val="24"/>
                <w:vertAlign w:val="superscript"/>
              </w:rPr>
              <w:t>3</w:t>
            </w:r>
            <w:r>
              <w:rPr>
                <w:rFonts w:hint="eastAsia"/>
                <w:color w:val="auto"/>
                <w:kern w:val="2"/>
                <w:sz w:val="24"/>
                <w:szCs w:val="24"/>
              </w:rPr>
              <w:t>/次。福清市年平均暴雨天数约为6.5天，</w:t>
            </w:r>
            <w:r>
              <w:rPr>
                <w:rFonts w:hint="eastAsia"/>
                <w:color w:val="auto"/>
                <w:kern w:val="2"/>
                <w:sz w:val="24"/>
                <w:szCs w:val="24"/>
                <w:lang w:eastAsia="zh-CN"/>
              </w:rPr>
              <w:t>迁建项目</w:t>
            </w:r>
            <w:r>
              <w:rPr>
                <w:rFonts w:hint="eastAsia"/>
                <w:color w:val="auto"/>
                <w:kern w:val="2"/>
                <w:sz w:val="24"/>
                <w:szCs w:val="24"/>
              </w:rPr>
              <w:t>取年暴雨次数7次计算，则初期雨水量为1398.6t/a。初期雨水经导流沟拦截，收集排入初期雨水池暂存，后经三级沉淀池处理回用于养护，不外排。</w:t>
            </w:r>
          </w:p>
          <w:p w14:paraId="4F703F8A">
            <w:pPr>
              <w:pStyle w:val="68"/>
              <w:ind w:firstLine="480"/>
              <w:rPr>
                <w:color w:val="auto"/>
                <w:kern w:val="2"/>
                <w:sz w:val="24"/>
                <w:szCs w:val="24"/>
              </w:rPr>
            </w:pPr>
            <w:r>
              <w:rPr>
                <w:rFonts w:hint="eastAsia"/>
                <w:color w:val="auto"/>
                <w:kern w:val="2"/>
                <w:sz w:val="24"/>
                <w:szCs w:val="24"/>
              </w:rPr>
              <w:t>综上，进入三级沉淀池的废水总量为3542.4t/a，三级沉淀池处理过程中会产生蒸发损耗，损耗率为10%，即经处理后的回用水约3189t/a。项目拟设初期雨水池容积为200m</w:t>
            </w:r>
            <w:r>
              <w:rPr>
                <w:rFonts w:hint="eastAsia"/>
                <w:color w:val="auto"/>
                <w:kern w:val="2"/>
                <w:sz w:val="24"/>
                <w:szCs w:val="24"/>
                <w:vertAlign w:val="superscript"/>
              </w:rPr>
              <w:t>3</w:t>
            </w:r>
            <w:r>
              <w:rPr>
                <w:rFonts w:hint="eastAsia"/>
                <w:color w:val="auto"/>
                <w:kern w:val="2"/>
                <w:sz w:val="24"/>
                <w:szCs w:val="24"/>
              </w:rPr>
              <w:t>。</w:t>
            </w:r>
          </w:p>
          <w:p w14:paraId="362BAC34">
            <w:pPr>
              <w:pStyle w:val="68"/>
              <w:ind w:firstLine="480"/>
              <w:rPr>
                <w:color w:val="auto"/>
                <w:kern w:val="2"/>
                <w:sz w:val="24"/>
                <w:szCs w:val="24"/>
              </w:rPr>
            </w:pPr>
            <w:r>
              <w:rPr>
                <w:rFonts w:hint="eastAsia"/>
                <w:color w:val="auto"/>
                <w:kern w:val="2"/>
                <w:sz w:val="24"/>
                <w:szCs w:val="24"/>
                <w:shd w:val="clear" w:fill="FFFFFF"/>
              </w:rPr>
              <w:t>(</w:t>
            </w:r>
            <w:r>
              <w:rPr>
                <w:rFonts w:hint="eastAsia"/>
                <w:color w:val="auto"/>
                <w:kern w:val="2"/>
                <w:sz w:val="24"/>
                <w:szCs w:val="24"/>
              </w:rPr>
              <w:t>3</w:t>
            </w:r>
            <w:r>
              <w:rPr>
                <w:rFonts w:hint="eastAsia"/>
                <w:color w:val="auto"/>
                <w:kern w:val="2"/>
                <w:sz w:val="24"/>
                <w:szCs w:val="24"/>
                <w:shd w:val="clear" w:fill="FFFFFF"/>
              </w:rPr>
              <w:t>)</w:t>
            </w:r>
            <w:r>
              <w:rPr>
                <w:rFonts w:hint="eastAsia"/>
                <w:color w:val="auto"/>
                <w:kern w:val="2"/>
                <w:sz w:val="24"/>
                <w:szCs w:val="24"/>
              </w:rPr>
              <w:t>排水工程</w:t>
            </w:r>
          </w:p>
          <w:p w14:paraId="21A24863">
            <w:pPr>
              <w:pStyle w:val="68"/>
              <w:ind w:firstLine="480"/>
              <w:rPr>
                <w:color w:val="auto"/>
                <w:kern w:val="2"/>
                <w:sz w:val="24"/>
                <w:szCs w:val="24"/>
              </w:rPr>
            </w:pPr>
            <w:r>
              <w:rPr>
                <w:rFonts w:hint="eastAsia"/>
                <w:color w:val="auto"/>
                <w:kern w:val="2"/>
                <w:sz w:val="24"/>
                <w:szCs w:val="24"/>
                <w:lang w:eastAsia="zh-CN"/>
              </w:rPr>
              <w:t>迁建项目</w:t>
            </w:r>
            <w:r>
              <w:rPr>
                <w:rFonts w:hint="eastAsia"/>
                <w:color w:val="auto"/>
                <w:kern w:val="2"/>
                <w:sz w:val="24"/>
                <w:szCs w:val="24"/>
              </w:rPr>
              <w:t>不排放生产废水，项目的生活污水经三级化粪池处理达标后排入市政污水管网，进入江阴污水处理厂处理。</w:t>
            </w:r>
          </w:p>
          <w:p w14:paraId="36F01773">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项目给排水量见表</w:t>
            </w:r>
            <w:r>
              <w:rPr>
                <w:rFonts w:hint="default" w:ascii="Times New Roman" w:hAnsi="Times New Roman" w:cs="Times New Roman"/>
                <w:color w:val="auto"/>
                <w:sz w:val="24"/>
                <w:szCs w:val="24"/>
                <w:lang w:eastAsia="zh-CN"/>
              </w:rPr>
              <w:t>2.</w:t>
            </w:r>
            <w:r>
              <w:rPr>
                <w:rFonts w:hint="eastAsia" w:cs="Times New Roman"/>
                <w:color w:val="auto"/>
                <w:sz w:val="24"/>
                <w:szCs w:val="24"/>
                <w:lang w:val="en-US" w:eastAsia="zh-CN"/>
              </w:rPr>
              <w:t>8</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。项目水平衡图详见图</w:t>
            </w:r>
            <w:r>
              <w:rPr>
                <w:rFonts w:hint="default" w:ascii="Times New Roman" w:hAnsi="Times New Roman" w:cs="Times New Roman"/>
                <w:color w:val="auto"/>
                <w:sz w:val="24"/>
                <w:szCs w:val="24"/>
                <w:lang w:eastAsia="zh-CN"/>
              </w:rPr>
              <w:t>2.</w:t>
            </w:r>
            <w:r>
              <w:rPr>
                <w:rFonts w:hint="eastAsia" w:cs="Times New Roman"/>
                <w:color w:val="auto"/>
                <w:sz w:val="24"/>
                <w:szCs w:val="24"/>
                <w:lang w:val="en-US" w:eastAsia="zh-CN"/>
              </w:rPr>
              <w:t>8</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p>
          <w:p w14:paraId="3EC9E62E">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w:t>
            </w:r>
            <w:r>
              <w:rPr>
                <w:rFonts w:hint="default" w:ascii="Times New Roman" w:hAnsi="Times New Roman" w:eastAsia="宋体" w:cs="Times New Roman"/>
                <w:b/>
                <w:bCs/>
                <w:color w:val="auto"/>
                <w:kern w:val="0"/>
                <w:sz w:val="24"/>
                <w:lang w:eastAsia="zh-CN"/>
              </w:rPr>
              <w:t>2.</w:t>
            </w:r>
            <w:r>
              <w:rPr>
                <w:rFonts w:hint="eastAsia" w:cs="Times New Roman"/>
                <w:b/>
                <w:bCs/>
                <w:color w:val="auto"/>
                <w:kern w:val="0"/>
                <w:sz w:val="24"/>
                <w:lang w:val="en-US" w:eastAsia="zh-CN"/>
              </w:rPr>
              <w:t>8</w:t>
            </w:r>
            <w:r>
              <w:rPr>
                <w:rFonts w:hint="default"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1</w:t>
            </w:r>
            <w:r>
              <w:rPr>
                <w:rFonts w:hint="default" w:ascii="Times New Roman" w:hAnsi="Times New Roman" w:eastAsia="宋体" w:cs="Times New Roman"/>
                <w:b/>
                <w:bCs/>
                <w:color w:val="auto"/>
                <w:kern w:val="0"/>
                <w:sz w:val="24"/>
              </w:rPr>
              <w:t xml:space="preserve">  项目给排水量情况表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347"/>
              <w:gridCol w:w="1105"/>
              <w:gridCol w:w="1268"/>
              <w:gridCol w:w="931"/>
              <w:gridCol w:w="1069"/>
              <w:gridCol w:w="1245"/>
            </w:tblGrid>
            <w:tr w14:paraId="29BCE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69E161B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用水类型</w:t>
                  </w:r>
                </w:p>
              </w:tc>
              <w:tc>
                <w:tcPr>
                  <w:tcW w:w="820" w:type="pct"/>
                  <w:noWrap w:val="0"/>
                  <w:vAlign w:val="center"/>
                </w:tcPr>
                <w:p w14:paraId="1EBD91D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用水量系数</w:t>
                  </w:r>
                </w:p>
              </w:tc>
              <w:tc>
                <w:tcPr>
                  <w:tcW w:w="672" w:type="pct"/>
                  <w:noWrap w:val="0"/>
                  <w:vAlign w:val="center"/>
                </w:tcPr>
                <w:p w14:paraId="20B8D52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日用水</w:t>
                  </w:r>
                  <w:r>
                    <w:rPr>
                      <w:rFonts w:hint="eastAsia" w:cs="Times New Roman"/>
                      <w:color w:val="auto"/>
                      <w:sz w:val="21"/>
                      <w:szCs w:val="21"/>
                      <w:shd w:val="clear" w:fill="FFFFFF"/>
                      <w:lang w:eastAsia="zh-CN"/>
                    </w:rPr>
                    <w:t>(</w:t>
                  </w:r>
                  <w:r>
                    <w:rPr>
                      <w:rFonts w:hint="default" w:ascii="Times New Roman" w:hAnsi="Times New Roman" w:cs="Times New Roman"/>
                      <w:color w:val="auto"/>
                      <w:sz w:val="21"/>
                      <w:szCs w:val="21"/>
                    </w:rPr>
                    <w:t>t/d</w:t>
                  </w:r>
                  <w:r>
                    <w:rPr>
                      <w:rFonts w:hint="eastAsia" w:cs="Times New Roman"/>
                      <w:color w:val="auto"/>
                      <w:sz w:val="21"/>
                      <w:szCs w:val="21"/>
                      <w:shd w:val="clear" w:fill="FFFFFF"/>
                      <w:lang w:eastAsia="zh-CN"/>
                    </w:rPr>
                    <w:t>)</w:t>
                  </w:r>
                </w:p>
              </w:tc>
              <w:tc>
                <w:tcPr>
                  <w:tcW w:w="771" w:type="pct"/>
                  <w:noWrap w:val="0"/>
                  <w:vAlign w:val="center"/>
                </w:tcPr>
                <w:p w14:paraId="7899D41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年用水量</w:t>
                  </w:r>
                  <w:r>
                    <w:rPr>
                      <w:rFonts w:hint="eastAsia" w:cs="Times New Roman"/>
                      <w:color w:val="auto"/>
                      <w:sz w:val="21"/>
                      <w:szCs w:val="21"/>
                      <w:shd w:val="clear" w:fill="FFFFFF"/>
                      <w:lang w:eastAsia="zh-CN"/>
                    </w:rPr>
                    <w:t>(</w:t>
                  </w:r>
                  <w:r>
                    <w:rPr>
                      <w:rFonts w:hint="default" w:ascii="Times New Roman" w:hAnsi="Times New Roman" w:cs="Times New Roman"/>
                      <w:color w:val="auto"/>
                      <w:sz w:val="21"/>
                      <w:szCs w:val="21"/>
                    </w:rPr>
                    <w:t>t/a</w:t>
                  </w:r>
                  <w:r>
                    <w:rPr>
                      <w:rFonts w:hint="eastAsia" w:cs="Times New Roman"/>
                      <w:color w:val="auto"/>
                      <w:sz w:val="21"/>
                      <w:szCs w:val="21"/>
                      <w:shd w:val="clear" w:fill="FFFFFF"/>
                      <w:lang w:eastAsia="zh-CN"/>
                    </w:rPr>
                    <w:t>)</w:t>
                  </w:r>
                </w:p>
              </w:tc>
              <w:tc>
                <w:tcPr>
                  <w:tcW w:w="566" w:type="pct"/>
                  <w:noWrap w:val="0"/>
                  <w:vAlign w:val="center"/>
                </w:tcPr>
                <w:p w14:paraId="5114A0A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排放系数</w:t>
                  </w:r>
                </w:p>
              </w:tc>
              <w:tc>
                <w:tcPr>
                  <w:tcW w:w="650" w:type="pct"/>
                  <w:noWrap w:val="0"/>
                  <w:vAlign w:val="center"/>
                </w:tcPr>
                <w:p w14:paraId="4D69542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日排量</w:t>
                  </w:r>
                  <w:r>
                    <w:rPr>
                      <w:rFonts w:hint="eastAsia" w:cs="Times New Roman"/>
                      <w:color w:val="auto"/>
                      <w:sz w:val="21"/>
                      <w:szCs w:val="21"/>
                      <w:shd w:val="clear" w:fill="FFFFFF"/>
                      <w:lang w:eastAsia="zh-CN"/>
                    </w:rPr>
                    <w:t>(</w:t>
                  </w:r>
                  <w:r>
                    <w:rPr>
                      <w:rFonts w:hint="default" w:ascii="Times New Roman" w:hAnsi="Times New Roman" w:cs="Times New Roman"/>
                      <w:color w:val="auto"/>
                      <w:sz w:val="21"/>
                      <w:szCs w:val="21"/>
                    </w:rPr>
                    <w:t>t/d</w:t>
                  </w:r>
                  <w:r>
                    <w:rPr>
                      <w:rFonts w:hint="eastAsia" w:cs="Times New Roman"/>
                      <w:color w:val="auto"/>
                      <w:sz w:val="21"/>
                      <w:szCs w:val="21"/>
                      <w:shd w:val="clear" w:fill="FFFFFF"/>
                      <w:lang w:eastAsia="zh-CN"/>
                    </w:rPr>
                    <w:t>)</w:t>
                  </w:r>
                </w:p>
              </w:tc>
              <w:tc>
                <w:tcPr>
                  <w:tcW w:w="754" w:type="pct"/>
                  <w:noWrap w:val="0"/>
                  <w:vAlign w:val="center"/>
                </w:tcPr>
                <w:p w14:paraId="6A2433E3">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年排水量</w:t>
                  </w:r>
                  <w:r>
                    <w:rPr>
                      <w:rFonts w:hint="eastAsia" w:cs="Times New Roman"/>
                      <w:color w:val="auto"/>
                      <w:sz w:val="21"/>
                      <w:szCs w:val="21"/>
                      <w:shd w:val="clear" w:fill="FFFFFF"/>
                      <w:lang w:eastAsia="zh-CN"/>
                    </w:rPr>
                    <w:t>(</w:t>
                  </w:r>
                  <w:r>
                    <w:rPr>
                      <w:rFonts w:hint="default" w:ascii="Times New Roman" w:hAnsi="Times New Roman" w:cs="Times New Roman"/>
                      <w:color w:val="auto"/>
                      <w:sz w:val="21"/>
                      <w:szCs w:val="21"/>
                    </w:rPr>
                    <w:t>t/a</w:t>
                  </w:r>
                  <w:r>
                    <w:rPr>
                      <w:rFonts w:hint="eastAsia" w:cs="Times New Roman"/>
                      <w:color w:val="auto"/>
                      <w:sz w:val="21"/>
                      <w:szCs w:val="21"/>
                      <w:shd w:val="clear" w:fill="FFFFFF"/>
                      <w:lang w:eastAsia="zh-CN"/>
                    </w:rPr>
                    <w:t>)</w:t>
                  </w:r>
                </w:p>
              </w:tc>
            </w:tr>
            <w:tr w14:paraId="2F7C6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19BC7AD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职工生活用水</w:t>
                  </w:r>
                </w:p>
              </w:tc>
              <w:tc>
                <w:tcPr>
                  <w:tcW w:w="820" w:type="pct"/>
                  <w:noWrap w:val="0"/>
                  <w:vAlign w:val="center"/>
                </w:tcPr>
                <w:p w14:paraId="067F711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不住厂员工生活用水量为50L/人，住厂员工生活用水量为150L/人</w:t>
                  </w:r>
                </w:p>
              </w:tc>
              <w:tc>
                <w:tcPr>
                  <w:tcW w:w="672" w:type="pct"/>
                  <w:noWrap w:val="0"/>
                  <w:vAlign w:val="center"/>
                </w:tcPr>
                <w:p w14:paraId="2B0C0C7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771" w:type="pct"/>
                  <w:noWrap w:val="0"/>
                  <w:vAlign w:val="center"/>
                </w:tcPr>
                <w:p w14:paraId="16ECC4F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2100</w:t>
                  </w:r>
                </w:p>
              </w:tc>
              <w:tc>
                <w:tcPr>
                  <w:tcW w:w="566" w:type="pct"/>
                  <w:noWrap w:val="0"/>
                  <w:vAlign w:val="center"/>
                </w:tcPr>
                <w:p w14:paraId="4BC90A9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650" w:type="pct"/>
                  <w:noWrap w:val="0"/>
                  <w:vAlign w:val="center"/>
                </w:tcPr>
                <w:p w14:paraId="106CDA5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754" w:type="pct"/>
                  <w:noWrap w:val="0"/>
                  <w:vAlign w:val="center"/>
                </w:tcPr>
                <w:p w14:paraId="56B6F06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1680</w:t>
                  </w:r>
                </w:p>
              </w:tc>
            </w:tr>
            <w:tr w14:paraId="2CA79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15FF110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搅拌用水</w:t>
                  </w:r>
                </w:p>
              </w:tc>
              <w:tc>
                <w:tcPr>
                  <w:tcW w:w="820" w:type="pct"/>
                  <w:shd w:val="clear" w:color="auto" w:fill="auto"/>
                  <w:noWrap w:val="0"/>
                  <w:vAlign w:val="center"/>
                </w:tcPr>
                <w:p w14:paraId="53F1C75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672" w:type="pct"/>
                  <w:shd w:val="clear" w:color="auto" w:fill="auto"/>
                  <w:noWrap w:val="0"/>
                  <w:vAlign w:val="center"/>
                </w:tcPr>
                <w:p w14:paraId="387E649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96.7</w:t>
                  </w:r>
                </w:p>
              </w:tc>
              <w:tc>
                <w:tcPr>
                  <w:tcW w:w="771" w:type="pct"/>
                  <w:shd w:val="clear" w:color="auto" w:fill="auto"/>
                  <w:noWrap w:val="0"/>
                  <w:vAlign w:val="center"/>
                </w:tcPr>
                <w:p w14:paraId="564DF10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29010</w:t>
                  </w:r>
                </w:p>
              </w:tc>
              <w:tc>
                <w:tcPr>
                  <w:tcW w:w="566" w:type="pct"/>
                  <w:noWrap w:val="0"/>
                  <w:vAlign w:val="center"/>
                </w:tcPr>
                <w:p w14:paraId="426A92D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50" w:type="pct"/>
                  <w:noWrap w:val="0"/>
                  <w:vAlign w:val="center"/>
                </w:tcPr>
                <w:p w14:paraId="3C28D867">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54" w:type="pct"/>
                  <w:noWrap w:val="0"/>
                  <w:vAlign w:val="center"/>
                </w:tcPr>
                <w:p w14:paraId="646DDDF4">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1690A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51328B3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搅拌机清洗用水</w:t>
                  </w:r>
                </w:p>
              </w:tc>
              <w:tc>
                <w:tcPr>
                  <w:tcW w:w="820" w:type="pct"/>
                  <w:shd w:val="clear" w:color="auto" w:fill="auto"/>
                  <w:noWrap w:val="0"/>
                  <w:vAlign w:val="center"/>
                </w:tcPr>
                <w:p w14:paraId="36235AAA">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672" w:type="pct"/>
                  <w:shd w:val="clear" w:color="auto" w:fill="auto"/>
                  <w:noWrap w:val="0"/>
                  <w:vAlign w:val="center"/>
                </w:tcPr>
                <w:p w14:paraId="10949D0C">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w:t>
                  </w:r>
                </w:p>
              </w:tc>
              <w:tc>
                <w:tcPr>
                  <w:tcW w:w="771" w:type="pct"/>
                  <w:shd w:val="clear" w:color="auto" w:fill="auto"/>
                  <w:noWrap w:val="0"/>
                  <w:vAlign w:val="center"/>
                </w:tcPr>
                <w:p w14:paraId="5552C867">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w:t>
                  </w:r>
                </w:p>
              </w:tc>
              <w:tc>
                <w:tcPr>
                  <w:tcW w:w="566" w:type="pct"/>
                  <w:noWrap w:val="0"/>
                  <w:vAlign w:val="center"/>
                </w:tcPr>
                <w:p w14:paraId="58B78E0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50" w:type="pct"/>
                  <w:noWrap w:val="0"/>
                  <w:vAlign w:val="center"/>
                </w:tcPr>
                <w:p w14:paraId="140386C0">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54" w:type="pct"/>
                  <w:noWrap w:val="0"/>
                  <w:vAlign w:val="center"/>
                </w:tcPr>
                <w:p w14:paraId="5EFB337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763E9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047A3C9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道路清洗用水水</w:t>
                  </w:r>
                </w:p>
              </w:tc>
              <w:tc>
                <w:tcPr>
                  <w:tcW w:w="820" w:type="pct"/>
                  <w:noWrap w:val="0"/>
                  <w:vAlign w:val="center"/>
                </w:tcPr>
                <w:p w14:paraId="298D70D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每次用水量1.5L/m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次</w:t>
                  </w:r>
                </w:p>
              </w:tc>
              <w:tc>
                <w:tcPr>
                  <w:tcW w:w="672" w:type="pct"/>
                  <w:noWrap w:val="0"/>
                  <w:vAlign w:val="center"/>
                </w:tcPr>
                <w:p w14:paraId="72FE071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771" w:type="pct"/>
                  <w:noWrap w:val="0"/>
                  <w:vAlign w:val="center"/>
                </w:tcPr>
                <w:p w14:paraId="596F89D7">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2250</w:t>
                  </w:r>
                </w:p>
              </w:tc>
              <w:tc>
                <w:tcPr>
                  <w:tcW w:w="566" w:type="pct"/>
                  <w:noWrap w:val="0"/>
                  <w:vAlign w:val="center"/>
                </w:tcPr>
                <w:p w14:paraId="4195310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0" w:type="pct"/>
                  <w:noWrap w:val="0"/>
                  <w:vAlign w:val="center"/>
                </w:tcPr>
                <w:p w14:paraId="3A9A827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54" w:type="pct"/>
                  <w:noWrap w:val="0"/>
                  <w:vAlign w:val="center"/>
                </w:tcPr>
                <w:p w14:paraId="310ADD9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7037F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6601E26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养护用水</w:t>
                  </w:r>
                </w:p>
              </w:tc>
              <w:tc>
                <w:tcPr>
                  <w:tcW w:w="820" w:type="pct"/>
                  <w:noWrap w:val="0"/>
                  <w:vAlign w:val="center"/>
                </w:tcPr>
                <w:p w14:paraId="4DFAABB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672" w:type="pct"/>
                  <w:noWrap w:val="0"/>
                  <w:vAlign w:val="center"/>
                </w:tcPr>
                <w:p w14:paraId="164CF7D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4.37</w:t>
                  </w:r>
                </w:p>
              </w:tc>
              <w:tc>
                <w:tcPr>
                  <w:tcW w:w="771" w:type="pct"/>
                  <w:noWrap w:val="0"/>
                  <w:vAlign w:val="center"/>
                </w:tcPr>
                <w:p w14:paraId="4FB74F4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1311</w:t>
                  </w:r>
                </w:p>
              </w:tc>
              <w:tc>
                <w:tcPr>
                  <w:tcW w:w="566" w:type="pct"/>
                  <w:noWrap w:val="0"/>
                  <w:vAlign w:val="center"/>
                </w:tcPr>
                <w:p w14:paraId="631735CD">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0" w:type="pct"/>
                  <w:noWrap w:val="0"/>
                  <w:vAlign w:val="center"/>
                </w:tcPr>
                <w:p w14:paraId="737648E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54" w:type="pct"/>
                  <w:noWrap w:val="0"/>
                  <w:vAlign w:val="center"/>
                </w:tcPr>
                <w:p w14:paraId="0B23BA9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1D25C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6D28F6E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降尘用水</w:t>
                  </w:r>
                </w:p>
              </w:tc>
              <w:tc>
                <w:tcPr>
                  <w:tcW w:w="820" w:type="pct"/>
                  <w:noWrap w:val="0"/>
                  <w:vAlign w:val="center"/>
                </w:tcPr>
                <w:p w14:paraId="426C7C5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72" w:type="pct"/>
                  <w:noWrap w:val="0"/>
                  <w:vAlign w:val="center"/>
                </w:tcPr>
                <w:p w14:paraId="634356B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771" w:type="pct"/>
                  <w:noWrap w:val="0"/>
                  <w:vAlign w:val="center"/>
                </w:tcPr>
                <w:p w14:paraId="63BD1DE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750</w:t>
                  </w:r>
                </w:p>
              </w:tc>
              <w:tc>
                <w:tcPr>
                  <w:tcW w:w="566" w:type="pct"/>
                  <w:noWrap w:val="0"/>
                  <w:vAlign w:val="center"/>
                </w:tcPr>
                <w:p w14:paraId="727CC51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0" w:type="pct"/>
                  <w:noWrap w:val="0"/>
                  <w:vAlign w:val="center"/>
                </w:tcPr>
                <w:p w14:paraId="4D3C0E5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54" w:type="pct"/>
                  <w:noWrap w:val="0"/>
                  <w:vAlign w:val="center"/>
                </w:tcPr>
                <w:p w14:paraId="481FD8F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4A548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4" w:type="pct"/>
                  <w:noWrap w:val="0"/>
                  <w:vAlign w:val="center"/>
                </w:tcPr>
                <w:p w14:paraId="6A82D7E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820" w:type="pct"/>
                  <w:noWrap w:val="0"/>
                  <w:vAlign w:val="center"/>
                </w:tcPr>
                <w:p w14:paraId="537FDFC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672" w:type="pct"/>
                  <w:noWrap w:val="0"/>
                  <w:vAlign w:val="center"/>
                </w:tcPr>
                <w:p w14:paraId="16EBCAE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118.51</w:t>
                  </w:r>
                </w:p>
              </w:tc>
              <w:tc>
                <w:tcPr>
                  <w:tcW w:w="771" w:type="pct"/>
                  <w:noWrap w:val="0"/>
                  <w:vAlign w:val="center"/>
                </w:tcPr>
                <w:p w14:paraId="15661B0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35553</w:t>
                  </w:r>
                </w:p>
              </w:tc>
              <w:tc>
                <w:tcPr>
                  <w:tcW w:w="566" w:type="pct"/>
                  <w:shd w:val="clear" w:color="auto" w:fill="auto"/>
                  <w:noWrap w:val="0"/>
                  <w:vAlign w:val="center"/>
                </w:tcPr>
                <w:p w14:paraId="1217707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w:t>
                  </w:r>
                </w:p>
              </w:tc>
              <w:tc>
                <w:tcPr>
                  <w:tcW w:w="650" w:type="pct"/>
                  <w:shd w:val="clear" w:color="auto" w:fill="auto"/>
                  <w:noWrap w:val="0"/>
                  <w:vAlign w:val="center"/>
                </w:tcPr>
                <w:p w14:paraId="5BC1F3C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5.6</w:t>
                  </w:r>
                </w:p>
              </w:tc>
              <w:tc>
                <w:tcPr>
                  <w:tcW w:w="754" w:type="pct"/>
                  <w:shd w:val="clear" w:color="auto" w:fill="auto"/>
                  <w:noWrap w:val="0"/>
                  <w:vAlign w:val="center"/>
                </w:tcPr>
                <w:p w14:paraId="512DBED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1680</w:t>
                  </w:r>
                </w:p>
              </w:tc>
            </w:tr>
            <w:tr w14:paraId="14900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2C90F622">
                  <w:pPr>
                    <w:keepNext w:val="0"/>
                    <w:keepLines w:val="0"/>
                    <w:pageBreakBefore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备注：按300天计</w:t>
                  </w:r>
                </w:p>
              </w:tc>
            </w:tr>
          </w:tbl>
          <w:p w14:paraId="0A9AB4A2">
            <w:pPr>
              <w:pStyle w:val="68"/>
              <w:ind w:firstLine="480"/>
              <w:rPr>
                <w:color w:val="auto"/>
                <w:kern w:val="2"/>
                <w:sz w:val="24"/>
                <w:szCs w:val="24"/>
              </w:rPr>
            </w:pPr>
            <w:r>
              <w:rPr>
                <w:rFonts w:hint="eastAsia"/>
                <w:color w:val="auto"/>
                <w:kern w:val="2"/>
                <w:sz w:val="24"/>
                <w:szCs w:val="24"/>
                <w:lang w:eastAsia="zh-CN"/>
              </w:rPr>
              <w:t>迁建项目</w:t>
            </w:r>
            <w:r>
              <w:rPr>
                <w:rFonts w:hint="eastAsia"/>
                <w:color w:val="auto"/>
                <w:kern w:val="2"/>
                <w:sz w:val="24"/>
                <w:szCs w:val="24"/>
              </w:rPr>
              <w:t>水平衡图如下图2</w:t>
            </w:r>
            <w:r>
              <w:rPr>
                <w:rFonts w:hint="eastAsia"/>
                <w:color w:val="auto"/>
                <w:kern w:val="2"/>
                <w:sz w:val="24"/>
                <w:szCs w:val="24"/>
                <w:lang w:val="en-US" w:eastAsia="zh-CN"/>
              </w:rPr>
              <w:t>.8</w:t>
            </w:r>
            <w:r>
              <w:rPr>
                <w:rFonts w:hint="eastAsia"/>
                <w:color w:val="auto"/>
                <w:kern w:val="2"/>
                <w:sz w:val="24"/>
                <w:szCs w:val="24"/>
              </w:rPr>
              <w:t>-1。</w:t>
            </w:r>
          </w:p>
          <w:p w14:paraId="7AE935BA">
            <w:pPr>
              <w:pStyle w:val="80"/>
              <w:rPr>
                <w:rFonts w:hint="eastAsia" w:eastAsia="宋体"/>
                <w:color w:val="auto"/>
                <w:sz w:val="24"/>
                <w:szCs w:val="24"/>
                <w:lang w:eastAsia="zh-CN"/>
              </w:rPr>
            </w:pPr>
            <w:bookmarkStart w:id="31" w:name="_Toc2275_WPSOffice_Level2"/>
            <w:r>
              <w:rPr>
                <w:color w:val="auto"/>
              </w:rPr>
              <w:drawing>
                <wp:inline distT="0" distB="0" distL="114300" distR="114300">
                  <wp:extent cx="5111750" cy="3535045"/>
                  <wp:effectExtent l="0" t="0" r="12700" b="8255"/>
                  <wp:docPr id="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8"/>
                          <pic:cNvPicPr>
                            <a:picLocks noChangeAspect="1"/>
                          </pic:cNvPicPr>
                        </pic:nvPicPr>
                        <pic:blipFill>
                          <a:blip r:embed="rId12" cstate="print"/>
                          <a:stretch>
                            <a:fillRect/>
                          </a:stretch>
                        </pic:blipFill>
                        <pic:spPr>
                          <a:xfrm>
                            <a:off x="0" y="0"/>
                            <a:ext cx="5111750" cy="3535045"/>
                          </a:xfrm>
                          <a:prstGeom prst="rect">
                            <a:avLst/>
                          </a:prstGeom>
                          <a:noFill/>
                          <a:ln>
                            <a:noFill/>
                          </a:ln>
                        </pic:spPr>
                      </pic:pic>
                    </a:graphicData>
                  </a:graphic>
                </wp:inline>
              </w:drawing>
            </w:r>
            <w:r>
              <w:rPr>
                <w:rFonts w:hint="eastAsia"/>
                <w:color w:val="auto"/>
                <w:sz w:val="24"/>
                <w:szCs w:val="24"/>
              </w:rPr>
              <w:t>图</w:t>
            </w:r>
            <w:r>
              <w:rPr>
                <w:color w:val="auto"/>
                <w:sz w:val="24"/>
                <w:szCs w:val="24"/>
              </w:rPr>
              <w:t>2.</w:t>
            </w:r>
            <w:r>
              <w:rPr>
                <w:rFonts w:hint="eastAsia"/>
                <w:color w:val="auto"/>
                <w:sz w:val="24"/>
                <w:szCs w:val="24"/>
                <w:lang w:val="en-US" w:eastAsia="zh-CN"/>
              </w:rPr>
              <w:t>8</w:t>
            </w:r>
            <w:r>
              <w:rPr>
                <w:color w:val="auto"/>
                <w:sz w:val="24"/>
                <w:szCs w:val="24"/>
              </w:rPr>
              <w:t>-1  项目水平衡图</w:t>
            </w:r>
            <w:bookmarkEnd w:id="31"/>
            <w:r>
              <w:rPr>
                <w:rFonts w:hint="eastAsia"/>
                <w:color w:val="auto"/>
                <w:sz w:val="24"/>
                <w:szCs w:val="24"/>
                <w:shd w:val="clear" w:fill="FFFFFF"/>
                <w:lang w:eastAsia="zh-CN"/>
              </w:rPr>
              <w:t>(</w:t>
            </w:r>
            <w:r>
              <w:rPr>
                <w:color w:val="auto"/>
                <w:sz w:val="24"/>
                <w:szCs w:val="24"/>
              </w:rPr>
              <w:t>t/</w:t>
            </w:r>
            <w:r>
              <w:rPr>
                <w:rFonts w:hint="eastAsia"/>
                <w:color w:val="auto"/>
                <w:sz w:val="24"/>
                <w:szCs w:val="24"/>
              </w:rPr>
              <w:t>d</w:t>
            </w:r>
            <w:r>
              <w:rPr>
                <w:rFonts w:hint="eastAsia"/>
                <w:color w:val="auto"/>
                <w:sz w:val="24"/>
                <w:szCs w:val="24"/>
                <w:shd w:val="clear" w:fill="FFFFFF"/>
                <w:lang w:eastAsia="zh-CN"/>
              </w:rPr>
              <w:t>)</w:t>
            </w:r>
          </w:p>
          <w:p w14:paraId="68DE919D">
            <w:pPr>
              <w:pStyle w:val="68"/>
              <w:ind w:firstLine="0" w:firstLineChars="0"/>
              <w:rPr>
                <w:b/>
                <w:bCs/>
                <w:color w:val="auto"/>
                <w:kern w:val="2"/>
                <w:sz w:val="24"/>
                <w:szCs w:val="24"/>
              </w:rPr>
            </w:pPr>
            <w:bookmarkStart w:id="32" w:name="_Toc2415"/>
            <w:bookmarkStart w:id="33" w:name="_Toc14867_WPSOffice_Level2"/>
            <w:bookmarkStart w:id="34" w:name="_Toc20319_WPSOffice_Level1"/>
            <w:bookmarkStart w:id="35" w:name="_Toc22956_WPSOffice_Level2"/>
            <w:r>
              <w:rPr>
                <w:rFonts w:hint="eastAsia"/>
                <w:b/>
                <w:bCs/>
                <w:color w:val="auto"/>
                <w:kern w:val="2"/>
                <w:sz w:val="24"/>
                <w:szCs w:val="24"/>
              </w:rPr>
              <w:t>2.</w:t>
            </w:r>
            <w:r>
              <w:rPr>
                <w:rFonts w:hint="eastAsia"/>
                <w:b/>
                <w:bCs/>
                <w:color w:val="auto"/>
                <w:kern w:val="2"/>
                <w:sz w:val="24"/>
                <w:szCs w:val="24"/>
                <w:lang w:val="en-US" w:eastAsia="zh-CN"/>
              </w:rPr>
              <w:t>9</w:t>
            </w:r>
            <w:r>
              <w:rPr>
                <w:b/>
                <w:bCs/>
                <w:color w:val="auto"/>
                <w:kern w:val="2"/>
                <w:sz w:val="24"/>
                <w:szCs w:val="24"/>
              </w:rPr>
              <w:t>平面布置</w:t>
            </w:r>
            <w:bookmarkEnd w:id="32"/>
            <w:bookmarkEnd w:id="33"/>
            <w:bookmarkEnd w:id="34"/>
            <w:bookmarkEnd w:id="35"/>
          </w:p>
          <w:p w14:paraId="6CF50042">
            <w:pPr>
              <w:pStyle w:val="68"/>
              <w:ind w:firstLine="480"/>
              <w:rPr>
                <w:rFonts w:ascii="宋体" w:hAnsi="宋体" w:cs="宋体"/>
                <w:bCs/>
                <w:color w:val="auto"/>
                <w:kern w:val="21"/>
                <w:sz w:val="24"/>
                <w:szCs w:val="24"/>
              </w:rPr>
            </w:pPr>
            <w:r>
              <w:rPr>
                <w:rFonts w:hint="eastAsia"/>
                <w:color w:val="auto"/>
                <w:sz w:val="24"/>
                <w:szCs w:val="24"/>
              </w:rPr>
              <w:t>项目位于</w:t>
            </w:r>
            <w:r>
              <w:rPr>
                <w:rFonts w:hint="eastAsia"/>
                <w:color w:val="auto"/>
                <w:kern w:val="2"/>
                <w:sz w:val="24"/>
                <w:szCs w:val="24"/>
              </w:rPr>
              <w:t>福建省福州市福清市江阴镇江阴港城经济区三峡路与兴林路交叉口东南侧</w:t>
            </w:r>
            <w:r>
              <w:rPr>
                <w:rFonts w:hint="eastAsia"/>
                <w:color w:val="auto"/>
                <w:sz w:val="24"/>
                <w:szCs w:val="24"/>
              </w:rPr>
              <w:t>，占地面积40000m</w:t>
            </w:r>
            <w:r>
              <w:rPr>
                <w:rFonts w:hint="eastAsia"/>
                <w:color w:val="auto"/>
                <w:sz w:val="24"/>
                <w:szCs w:val="24"/>
                <w:vertAlign w:val="superscript"/>
              </w:rPr>
              <w:t>2</w:t>
            </w:r>
            <w:r>
              <w:rPr>
                <w:rFonts w:hint="eastAsia"/>
                <w:color w:val="auto"/>
                <w:sz w:val="24"/>
                <w:szCs w:val="24"/>
              </w:rPr>
              <w:t>，建筑面积</w:t>
            </w:r>
            <w:r>
              <w:rPr>
                <w:rFonts w:hint="eastAsia"/>
                <w:color w:val="auto"/>
                <w:sz w:val="24"/>
              </w:rPr>
              <w:t>21098.55</w:t>
            </w:r>
            <w:r>
              <w:rPr>
                <w:rFonts w:hint="eastAsia"/>
                <w:color w:val="auto"/>
                <w:sz w:val="24"/>
                <w:szCs w:val="24"/>
              </w:rPr>
              <w:t>m</w:t>
            </w:r>
            <w:r>
              <w:rPr>
                <w:rFonts w:hint="eastAsia"/>
                <w:color w:val="auto"/>
                <w:sz w:val="24"/>
                <w:szCs w:val="24"/>
                <w:vertAlign w:val="superscript"/>
              </w:rPr>
              <w:t>2</w:t>
            </w:r>
            <w:r>
              <w:rPr>
                <w:rFonts w:hint="eastAsia"/>
                <w:color w:val="auto"/>
                <w:sz w:val="24"/>
                <w:szCs w:val="24"/>
              </w:rPr>
              <w:t>。厂区西侧中部为主入口、门卫，北侧区域由西往东分别为非机动车停车位、宿舍楼、办公楼，办公楼东南侧为生产车间；生产车间内部按照生产流程分布生产设备，总平面布置功能分区明确、布置紧凑、生产流程顺畅，减少交叉干扰，有利于安全生产，便于管理。从总体上考虑，该厂的平面布局是基本合理的。项目总平面布置图详见附图4。</w:t>
            </w:r>
          </w:p>
        </w:tc>
      </w:tr>
      <w:tr w14:paraId="05EDC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10FD6BB">
            <w:pPr>
              <w:pStyle w:val="31"/>
              <w:spacing w:before="0" w:beforeAutospacing="0" w:after="0" w:afterAutospacing="0"/>
              <w:jc w:val="center"/>
              <w:rPr>
                <w:rFonts w:cs="宋体"/>
                <w:color w:val="auto"/>
                <w:kern w:val="21"/>
                <w:sz w:val="21"/>
                <w:szCs w:val="21"/>
              </w:rPr>
            </w:pPr>
            <w:r>
              <w:rPr>
                <w:rFonts w:hint="eastAsia" w:cs="宋体"/>
                <w:color w:val="auto"/>
                <w:kern w:val="21"/>
                <w:szCs w:val="24"/>
              </w:rPr>
              <w:t>工艺流程和产排污环节</w:t>
            </w:r>
          </w:p>
        </w:tc>
        <w:tc>
          <w:tcPr>
            <w:tcW w:w="8280" w:type="dxa"/>
            <w:vAlign w:val="center"/>
          </w:tcPr>
          <w:p w14:paraId="76685D5F">
            <w:pPr>
              <w:pStyle w:val="68"/>
              <w:ind w:firstLine="0" w:firstLineChars="0"/>
              <w:rPr>
                <w:b/>
                <w:bCs/>
                <w:color w:val="auto"/>
                <w:kern w:val="2"/>
                <w:sz w:val="24"/>
                <w:szCs w:val="24"/>
              </w:rPr>
            </w:pPr>
            <w:r>
              <w:rPr>
                <w:rFonts w:hint="eastAsia"/>
                <w:b/>
                <w:bCs/>
                <w:color w:val="auto"/>
                <w:kern w:val="2"/>
                <w:sz w:val="24"/>
                <w:szCs w:val="24"/>
              </w:rPr>
              <w:t>2.</w:t>
            </w:r>
            <w:r>
              <w:rPr>
                <w:rFonts w:hint="eastAsia"/>
                <w:b/>
                <w:bCs/>
                <w:color w:val="auto"/>
                <w:kern w:val="2"/>
                <w:sz w:val="24"/>
                <w:szCs w:val="24"/>
                <w:lang w:val="en-US" w:eastAsia="zh-CN"/>
              </w:rPr>
              <w:t>10</w:t>
            </w:r>
            <w:r>
              <w:rPr>
                <w:rFonts w:hint="eastAsia"/>
                <w:b/>
                <w:bCs/>
                <w:color w:val="auto"/>
                <w:kern w:val="2"/>
                <w:sz w:val="24"/>
                <w:szCs w:val="24"/>
              </w:rPr>
              <w:t>工艺流程及产排污环节</w:t>
            </w:r>
          </w:p>
          <w:p w14:paraId="58F630D0">
            <w:pPr>
              <w:pStyle w:val="68"/>
              <w:ind w:firstLine="480"/>
              <w:rPr>
                <w:color w:val="auto"/>
                <w:sz w:val="24"/>
                <w:szCs w:val="24"/>
              </w:rPr>
            </w:pPr>
            <w:r>
              <w:rPr>
                <w:rFonts w:hint="eastAsia"/>
                <w:color w:val="auto"/>
                <w:sz w:val="24"/>
                <w:szCs w:val="24"/>
              </w:rPr>
              <w:t>1、施工期</w:t>
            </w:r>
          </w:p>
          <w:p w14:paraId="591951C9">
            <w:pPr>
              <w:pStyle w:val="15"/>
              <w:spacing w:beforeLines="0" w:line="360" w:lineRule="auto"/>
              <w:ind w:firstLine="480" w:firstLineChars="200"/>
              <w:jc w:val="left"/>
              <w:rPr>
                <w:rFonts w:ascii="Times New Roman" w:eastAsia="宋体"/>
                <w:color w:val="auto"/>
                <w:kern w:val="0"/>
                <w:szCs w:val="24"/>
              </w:rPr>
            </w:pPr>
            <w:r>
              <w:rPr>
                <w:rFonts w:hint="eastAsia" w:ascii="Times New Roman" w:eastAsia="宋体"/>
                <w:color w:val="auto"/>
                <w:kern w:val="0"/>
                <w:szCs w:val="24"/>
              </w:rPr>
              <w:t>根据现场踏勘，场地现状门卫、宿舍楼、办公楼已基本建设完成，施工期主要为生产车间、厂区道路、停车场等建设以及设备安装、调试等，施工期主要会有施工废气、施工废水、施工噪声、施工固废等。施工期工艺流程及产污环节见图2.</w:t>
            </w:r>
            <w:r>
              <w:rPr>
                <w:rFonts w:hint="eastAsia" w:ascii="Times New Roman" w:eastAsia="宋体"/>
                <w:color w:val="auto"/>
                <w:kern w:val="0"/>
                <w:szCs w:val="24"/>
                <w:lang w:val="en-US" w:eastAsia="zh-CN"/>
              </w:rPr>
              <w:t>10</w:t>
            </w:r>
            <w:r>
              <w:rPr>
                <w:rFonts w:hint="eastAsia" w:ascii="Times New Roman" w:eastAsia="宋体"/>
                <w:color w:val="auto"/>
                <w:kern w:val="0"/>
                <w:szCs w:val="24"/>
              </w:rPr>
              <w:t>-1。</w:t>
            </w:r>
          </w:p>
          <w:p w14:paraId="0DBE4348">
            <w:pPr>
              <w:pStyle w:val="15"/>
              <w:spacing w:before="120" w:line="360" w:lineRule="auto"/>
              <w:rPr>
                <w:rFonts w:ascii="Times New Roman"/>
                <w:bCs/>
                <w:color w:val="auto"/>
                <w:szCs w:val="24"/>
              </w:rPr>
            </w:pPr>
            <w:r>
              <w:rPr>
                <w:color w:val="auto"/>
              </w:rPr>
              <w:drawing>
                <wp:inline distT="0" distB="0" distL="114300" distR="114300">
                  <wp:extent cx="4462145" cy="1397000"/>
                  <wp:effectExtent l="0" t="0" r="0"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13" cstate="print"/>
                          <a:srcRect t="14596"/>
                          <a:stretch>
                            <a:fillRect/>
                          </a:stretch>
                        </pic:blipFill>
                        <pic:spPr>
                          <a:xfrm>
                            <a:off x="0" y="0"/>
                            <a:ext cx="4462145" cy="1397000"/>
                          </a:xfrm>
                          <a:prstGeom prst="rect">
                            <a:avLst/>
                          </a:prstGeom>
                          <a:noFill/>
                          <a:ln>
                            <a:noFill/>
                          </a:ln>
                        </pic:spPr>
                      </pic:pic>
                    </a:graphicData>
                  </a:graphic>
                </wp:inline>
              </w:drawing>
            </w:r>
          </w:p>
          <w:p w14:paraId="2F8C902A">
            <w:pPr>
              <w:pStyle w:val="15"/>
              <w:adjustRightInd/>
              <w:snapToGrid/>
              <w:spacing w:before="120" w:line="360" w:lineRule="auto"/>
              <w:rPr>
                <w:rFonts w:ascii="Times New Roman" w:eastAsia="宋体"/>
                <w:b/>
                <w:bCs/>
                <w:color w:val="auto"/>
                <w:szCs w:val="24"/>
              </w:rPr>
            </w:pPr>
            <w:r>
              <w:rPr>
                <w:rFonts w:hint="eastAsia" w:ascii="Times New Roman" w:eastAsia="宋体"/>
                <w:b/>
                <w:bCs/>
                <w:color w:val="auto"/>
                <w:szCs w:val="24"/>
              </w:rPr>
              <w:t>图2.</w:t>
            </w:r>
            <w:r>
              <w:rPr>
                <w:rFonts w:hint="eastAsia" w:ascii="Times New Roman" w:eastAsia="宋体"/>
                <w:b/>
                <w:bCs/>
                <w:color w:val="auto"/>
                <w:szCs w:val="24"/>
                <w:lang w:val="en-US" w:eastAsia="zh-CN"/>
              </w:rPr>
              <w:t>10</w:t>
            </w:r>
            <w:r>
              <w:rPr>
                <w:rFonts w:hint="eastAsia" w:ascii="Times New Roman" w:eastAsia="宋体"/>
                <w:b/>
                <w:bCs/>
                <w:color w:val="auto"/>
                <w:szCs w:val="24"/>
              </w:rPr>
              <w:t>-1  施工期工艺流程及产污环节图</w:t>
            </w:r>
          </w:p>
          <w:p w14:paraId="0C741DEB">
            <w:pPr>
              <w:pStyle w:val="68"/>
              <w:ind w:firstLine="480"/>
              <w:rPr>
                <w:color w:val="auto"/>
                <w:sz w:val="24"/>
                <w:szCs w:val="24"/>
              </w:rPr>
            </w:pPr>
            <w:r>
              <w:rPr>
                <w:rFonts w:hint="eastAsia"/>
                <w:color w:val="auto"/>
                <w:sz w:val="24"/>
                <w:szCs w:val="24"/>
              </w:rPr>
              <w:t>2、运营期</w:t>
            </w:r>
          </w:p>
          <w:p w14:paraId="46B98D29">
            <w:pPr>
              <w:pStyle w:val="68"/>
              <w:ind w:firstLine="480"/>
              <w:rPr>
                <w:color w:val="auto"/>
                <w:kern w:val="2"/>
                <w:sz w:val="24"/>
                <w:szCs w:val="24"/>
              </w:rPr>
            </w:pPr>
            <w:r>
              <w:rPr>
                <w:color w:val="auto"/>
                <w:kern w:val="2"/>
                <w:sz w:val="24"/>
                <w:szCs w:val="24"/>
                <w:shd w:val="clear" w:fill="FFFFFF"/>
              </w:rPr>
              <w:t>(</w:t>
            </w:r>
            <w:r>
              <w:rPr>
                <w:color w:val="auto"/>
                <w:kern w:val="2"/>
                <w:sz w:val="24"/>
                <w:szCs w:val="24"/>
              </w:rPr>
              <w:t>1</w:t>
            </w:r>
            <w:r>
              <w:rPr>
                <w:color w:val="auto"/>
                <w:kern w:val="2"/>
                <w:sz w:val="24"/>
                <w:szCs w:val="24"/>
                <w:shd w:val="clear" w:fill="FFFFFF"/>
              </w:rPr>
              <w:t>)</w:t>
            </w:r>
            <w:r>
              <w:rPr>
                <w:color w:val="auto"/>
                <w:kern w:val="2"/>
                <w:sz w:val="24"/>
                <w:szCs w:val="24"/>
              </w:rPr>
              <w:t>生产工艺流程</w:t>
            </w:r>
          </w:p>
          <w:p w14:paraId="36280402">
            <w:pPr>
              <w:pStyle w:val="68"/>
              <w:ind w:firstLine="480"/>
              <w:rPr>
                <w:color w:val="auto"/>
                <w:kern w:val="2"/>
                <w:sz w:val="24"/>
                <w:szCs w:val="24"/>
              </w:rPr>
            </w:pPr>
            <w:r>
              <w:rPr>
                <w:rFonts w:hint="eastAsia"/>
                <w:color w:val="auto"/>
                <w:kern w:val="2"/>
                <w:sz w:val="24"/>
                <w:szCs w:val="24"/>
                <w:lang w:eastAsia="zh-CN"/>
              </w:rPr>
              <w:t>迁建项目</w:t>
            </w:r>
            <w:r>
              <w:rPr>
                <w:color w:val="auto"/>
                <w:kern w:val="2"/>
                <w:sz w:val="24"/>
                <w:szCs w:val="24"/>
              </w:rPr>
              <w:t>主要从事</w:t>
            </w:r>
            <w:r>
              <w:rPr>
                <w:rFonts w:hint="eastAsia"/>
                <w:color w:val="auto"/>
                <w:kern w:val="2"/>
                <w:sz w:val="24"/>
                <w:szCs w:val="24"/>
                <w:lang w:eastAsia="zh-CN"/>
              </w:rPr>
              <w:t>水泥预制管</w:t>
            </w:r>
            <w:r>
              <w:rPr>
                <w:rFonts w:hint="eastAsia"/>
                <w:color w:val="auto"/>
                <w:kern w:val="2"/>
                <w:sz w:val="24"/>
                <w:szCs w:val="24"/>
              </w:rPr>
              <w:t>的生产活动，</w:t>
            </w:r>
            <w:r>
              <w:rPr>
                <w:color w:val="auto"/>
                <w:kern w:val="2"/>
                <w:sz w:val="24"/>
                <w:szCs w:val="24"/>
              </w:rPr>
              <w:t>具体生产工艺流程详见图2.</w:t>
            </w:r>
            <w:r>
              <w:rPr>
                <w:rFonts w:hint="eastAsia"/>
                <w:color w:val="auto"/>
                <w:kern w:val="2"/>
                <w:sz w:val="24"/>
                <w:szCs w:val="24"/>
                <w:lang w:val="en-US" w:eastAsia="zh-CN"/>
              </w:rPr>
              <w:t>10</w:t>
            </w:r>
            <w:r>
              <w:rPr>
                <w:color w:val="auto"/>
                <w:kern w:val="2"/>
                <w:sz w:val="24"/>
                <w:szCs w:val="24"/>
              </w:rPr>
              <w:t>-</w:t>
            </w:r>
            <w:r>
              <w:rPr>
                <w:rFonts w:hint="eastAsia"/>
                <w:color w:val="auto"/>
                <w:kern w:val="2"/>
                <w:sz w:val="24"/>
                <w:szCs w:val="24"/>
              </w:rPr>
              <w:t>2</w:t>
            </w:r>
            <w:r>
              <w:rPr>
                <w:color w:val="auto"/>
                <w:kern w:val="2"/>
                <w:sz w:val="24"/>
                <w:szCs w:val="24"/>
              </w:rPr>
              <w:t>。</w:t>
            </w:r>
          </w:p>
          <w:p w14:paraId="03DD7DB5">
            <w:pPr>
              <w:pStyle w:val="68"/>
              <w:ind w:firstLine="0" w:firstLineChars="0"/>
              <w:jc w:val="center"/>
              <w:rPr>
                <w:color w:val="auto"/>
                <w:kern w:val="2"/>
                <w:sz w:val="24"/>
                <w:szCs w:val="24"/>
              </w:rPr>
            </w:pPr>
            <w:r>
              <w:rPr>
                <w:color w:val="auto"/>
              </w:rPr>
              <w:drawing>
                <wp:inline distT="0" distB="0" distL="114300" distR="114300">
                  <wp:extent cx="5119370" cy="3636645"/>
                  <wp:effectExtent l="0" t="0" r="5080" b="1905"/>
                  <wp:docPr id="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7"/>
                          <pic:cNvPicPr>
                            <a:picLocks noChangeAspect="1"/>
                          </pic:cNvPicPr>
                        </pic:nvPicPr>
                        <pic:blipFill>
                          <a:blip r:embed="rId14" cstate="print"/>
                          <a:stretch>
                            <a:fillRect/>
                          </a:stretch>
                        </pic:blipFill>
                        <pic:spPr>
                          <a:xfrm>
                            <a:off x="0" y="0"/>
                            <a:ext cx="5119370" cy="3636645"/>
                          </a:xfrm>
                          <a:prstGeom prst="rect">
                            <a:avLst/>
                          </a:prstGeom>
                          <a:noFill/>
                          <a:ln>
                            <a:noFill/>
                          </a:ln>
                        </pic:spPr>
                      </pic:pic>
                    </a:graphicData>
                  </a:graphic>
                </wp:inline>
              </w:drawing>
            </w:r>
          </w:p>
          <w:p w14:paraId="5A1A4544">
            <w:pPr>
              <w:pStyle w:val="68"/>
              <w:ind w:firstLine="0" w:firstLineChars="0"/>
              <w:jc w:val="center"/>
              <w:rPr>
                <w:b/>
                <w:bCs/>
                <w:color w:val="auto"/>
                <w:kern w:val="2"/>
                <w:sz w:val="24"/>
                <w:szCs w:val="24"/>
              </w:rPr>
            </w:pPr>
            <w:bookmarkStart w:id="36" w:name="_Toc31683_WPSOffice_Level2"/>
            <w:r>
              <w:rPr>
                <w:b/>
                <w:bCs/>
                <w:color w:val="auto"/>
                <w:sz w:val="24"/>
                <w:szCs w:val="24"/>
              </w:rPr>
              <w:t>图</w:t>
            </w:r>
            <w:r>
              <w:rPr>
                <w:rFonts w:hint="eastAsia"/>
                <w:b/>
                <w:bCs/>
                <w:color w:val="auto"/>
                <w:sz w:val="24"/>
                <w:szCs w:val="24"/>
              </w:rPr>
              <w:t>2.</w:t>
            </w:r>
            <w:r>
              <w:rPr>
                <w:rFonts w:hint="eastAsia"/>
                <w:b/>
                <w:bCs/>
                <w:color w:val="auto"/>
                <w:sz w:val="24"/>
                <w:szCs w:val="24"/>
                <w:lang w:val="en-US" w:eastAsia="zh-CN"/>
              </w:rPr>
              <w:t>10</w:t>
            </w:r>
            <w:r>
              <w:rPr>
                <w:rFonts w:hint="eastAsia"/>
                <w:b/>
                <w:bCs/>
                <w:color w:val="auto"/>
                <w:sz w:val="24"/>
                <w:szCs w:val="24"/>
              </w:rPr>
              <w:t>-</w:t>
            </w:r>
            <w:r>
              <w:rPr>
                <w:rFonts w:hint="eastAsia"/>
                <w:b/>
                <w:bCs/>
                <w:color w:val="auto"/>
                <w:sz w:val="24"/>
                <w:szCs w:val="24"/>
                <w:lang w:val="en-US" w:eastAsia="zh-CN"/>
              </w:rPr>
              <w:t>2</w:t>
            </w:r>
            <w:r>
              <w:rPr>
                <w:rFonts w:hint="eastAsia"/>
                <w:b/>
                <w:bCs/>
                <w:color w:val="auto"/>
                <w:sz w:val="24"/>
                <w:szCs w:val="24"/>
              </w:rPr>
              <w:t xml:space="preserve"> </w:t>
            </w:r>
            <w:r>
              <w:rPr>
                <w:b/>
                <w:bCs/>
                <w:color w:val="auto"/>
                <w:sz w:val="24"/>
                <w:szCs w:val="24"/>
              </w:rPr>
              <w:t xml:space="preserve"> </w:t>
            </w:r>
            <w:r>
              <w:rPr>
                <w:rFonts w:hint="eastAsia"/>
                <w:b/>
                <w:bCs/>
                <w:color w:val="auto"/>
                <w:sz w:val="24"/>
                <w:szCs w:val="24"/>
              </w:rPr>
              <w:t>水泥</w:t>
            </w:r>
            <w:r>
              <w:rPr>
                <w:rFonts w:hint="eastAsia"/>
                <w:b/>
                <w:bCs/>
                <w:color w:val="auto"/>
                <w:sz w:val="24"/>
                <w:szCs w:val="24"/>
                <w:lang w:val="en-US" w:eastAsia="zh-CN"/>
              </w:rPr>
              <w:t>预制管</w:t>
            </w:r>
            <w:r>
              <w:rPr>
                <w:rFonts w:hint="eastAsia"/>
                <w:b/>
                <w:bCs/>
                <w:color w:val="auto"/>
                <w:sz w:val="24"/>
                <w:szCs w:val="24"/>
              </w:rPr>
              <w:t>生产工艺流程及产污</w:t>
            </w:r>
            <w:bookmarkEnd w:id="36"/>
            <w:r>
              <w:rPr>
                <w:rFonts w:hint="eastAsia"/>
                <w:b/>
                <w:bCs/>
                <w:color w:val="auto"/>
                <w:sz w:val="24"/>
                <w:szCs w:val="24"/>
              </w:rPr>
              <w:t>环节图</w:t>
            </w:r>
          </w:p>
          <w:p w14:paraId="7851CD64">
            <w:pPr>
              <w:pStyle w:val="68"/>
              <w:ind w:firstLine="480"/>
              <w:rPr>
                <w:color w:val="auto"/>
                <w:kern w:val="2"/>
                <w:sz w:val="24"/>
                <w:szCs w:val="24"/>
              </w:rPr>
            </w:pPr>
            <w:r>
              <w:rPr>
                <w:rFonts w:hint="eastAsia"/>
                <w:color w:val="auto"/>
                <w:kern w:val="2"/>
                <w:sz w:val="24"/>
                <w:szCs w:val="24"/>
                <w:shd w:val="clear" w:fill="FFFFFF"/>
              </w:rPr>
              <w:t>(</w:t>
            </w:r>
            <w:r>
              <w:rPr>
                <w:rFonts w:hint="eastAsia"/>
                <w:color w:val="auto"/>
                <w:kern w:val="2"/>
                <w:sz w:val="24"/>
                <w:szCs w:val="24"/>
              </w:rPr>
              <w:t>2</w:t>
            </w:r>
            <w:r>
              <w:rPr>
                <w:rFonts w:hint="eastAsia"/>
                <w:color w:val="auto"/>
                <w:kern w:val="2"/>
                <w:sz w:val="24"/>
                <w:szCs w:val="24"/>
                <w:shd w:val="clear" w:fill="FFFFFF"/>
              </w:rPr>
              <w:t>)</w:t>
            </w:r>
            <w:r>
              <w:rPr>
                <w:rFonts w:hint="eastAsia"/>
                <w:color w:val="auto"/>
                <w:kern w:val="2"/>
                <w:sz w:val="24"/>
                <w:szCs w:val="24"/>
              </w:rPr>
              <w:t>生产工艺流程简介：</w:t>
            </w:r>
          </w:p>
          <w:p w14:paraId="554C1D64">
            <w:pPr>
              <w:spacing w:line="360" w:lineRule="auto"/>
              <w:ind w:firstLine="480" w:firstLineChars="200"/>
              <w:rPr>
                <w:bCs/>
                <w:color w:val="auto"/>
                <w:sz w:val="24"/>
              </w:rPr>
            </w:pPr>
            <w:r>
              <w:rPr>
                <w:bCs/>
                <w:color w:val="auto"/>
                <w:sz w:val="24"/>
              </w:rPr>
              <w:t>①</w:t>
            </w:r>
            <w:r>
              <w:rPr>
                <w:rFonts w:hint="eastAsia"/>
                <w:bCs/>
                <w:color w:val="auto"/>
                <w:sz w:val="24"/>
              </w:rPr>
              <w:t>来料：原材料运输过程主要采用汽车运输方式。</w:t>
            </w:r>
          </w:p>
          <w:p w14:paraId="54E4EF65">
            <w:pPr>
              <w:spacing w:line="360" w:lineRule="auto"/>
              <w:ind w:firstLine="480" w:firstLineChars="200"/>
              <w:rPr>
                <w:bCs/>
                <w:color w:val="auto"/>
                <w:sz w:val="24"/>
              </w:rPr>
            </w:pPr>
            <w:r>
              <w:rPr>
                <w:rFonts w:hint="eastAsia"/>
                <w:bCs/>
                <w:color w:val="auto"/>
                <w:sz w:val="24"/>
              </w:rPr>
              <w:t>石子、砂子原料的运输储存：石子、砂子运输过程采用帆布遮盖，运至车间中石子、砂子堆场堆放，堆场定期喷水，保持堆料表层湿润，保持表层含水率≥10%，并用篷布遮盖；石子、砂子物料在卸料时，洒水抑尘。</w:t>
            </w:r>
          </w:p>
          <w:p w14:paraId="046BD5E8">
            <w:pPr>
              <w:spacing w:line="360" w:lineRule="auto"/>
              <w:ind w:firstLine="480" w:firstLineChars="200"/>
              <w:rPr>
                <w:bCs/>
                <w:color w:val="auto"/>
                <w:sz w:val="24"/>
              </w:rPr>
            </w:pPr>
            <w:r>
              <w:rPr>
                <w:rFonts w:hint="eastAsia"/>
                <w:bCs/>
                <w:color w:val="auto"/>
                <w:sz w:val="24"/>
              </w:rPr>
              <w:t>水泥原料的运输储存：采用密闭罐车运输，车间内设专用水泥储罐储存，</w:t>
            </w:r>
            <w:r>
              <w:rPr>
                <w:rFonts w:hint="eastAsia"/>
                <w:color w:val="auto"/>
                <w:sz w:val="24"/>
              </w:rPr>
              <w:t>通过泵连接管道采用负压方式将水泥粉料打入水泥罐中，卸料过程为密闭。</w:t>
            </w:r>
          </w:p>
          <w:p w14:paraId="42274C42">
            <w:pPr>
              <w:spacing w:line="360" w:lineRule="auto"/>
              <w:ind w:firstLine="480" w:firstLineChars="200"/>
              <w:rPr>
                <w:bCs/>
                <w:color w:val="auto"/>
                <w:sz w:val="24"/>
              </w:rPr>
            </w:pPr>
            <w:r>
              <w:rPr>
                <w:rFonts w:hint="eastAsia"/>
                <w:bCs/>
                <w:color w:val="auto"/>
                <w:sz w:val="24"/>
              </w:rPr>
              <w:t>②</w:t>
            </w:r>
            <w:r>
              <w:rPr>
                <w:bCs/>
                <w:color w:val="auto"/>
                <w:sz w:val="24"/>
              </w:rPr>
              <w:t>配料、搅拌</w:t>
            </w:r>
          </w:p>
          <w:p w14:paraId="47FE5BE9">
            <w:pPr>
              <w:spacing w:line="360" w:lineRule="auto"/>
              <w:ind w:firstLine="480" w:firstLineChars="200"/>
              <w:rPr>
                <w:bCs/>
                <w:color w:val="auto"/>
                <w:sz w:val="24"/>
              </w:rPr>
            </w:pPr>
            <w:r>
              <w:rPr>
                <w:rFonts w:hint="eastAsia"/>
                <w:bCs/>
                <w:color w:val="auto"/>
                <w:sz w:val="24"/>
                <w:lang w:eastAsia="zh-CN"/>
              </w:rPr>
              <w:t>迁建项目</w:t>
            </w:r>
            <w:r>
              <w:rPr>
                <w:bCs/>
                <w:color w:val="auto"/>
                <w:sz w:val="24"/>
              </w:rPr>
              <w:t>生产过程中使用的石子</w:t>
            </w:r>
            <w:r>
              <w:rPr>
                <w:rFonts w:hint="eastAsia"/>
                <w:bCs/>
                <w:color w:val="auto"/>
                <w:sz w:val="24"/>
              </w:rPr>
              <w:t>、砂子均采用皮带传输系统，</w:t>
            </w:r>
            <w:r>
              <w:rPr>
                <w:bCs/>
                <w:color w:val="auto"/>
                <w:sz w:val="24"/>
              </w:rPr>
              <w:t>经皮带输送至备料斗内，备料斗</w:t>
            </w:r>
            <w:r>
              <w:rPr>
                <w:rFonts w:hint="eastAsia"/>
                <w:bCs/>
                <w:color w:val="auto"/>
                <w:sz w:val="24"/>
                <w:lang w:eastAsia="zh-CN"/>
              </w:rPr>
              <w:t>再</w:t>
            </w:r>
            <w:r>
              <w:rPr>
                <w:rFonts w:hint="eastAsia"/>
                <w:bCs/>
                <w:color w:val="auto"/>
                <w:sz w:val="24"/>
              </w:rPr>
              <w:t>输送</w:t>
            </w:r>
            <w:r>
              <w:rPr>
                <w:bCs/>
                <w:color w:val="auto"/>
                <w:sz w:val="24"/>
              </w:rPr>
              <w:t>至搅拌机内，在投入混凝土配料</w:t>
            </w:r>
            <w:r>
              <w:rPr>
                <w:rFonts w:hint="eastAsia"/>
                <w:bCs/>
                <w:color w:val="auto"/>
                <w:sz w:val="24"/>
              </w:rPr>
              <w:t>斗</w:t>
            </w:r>
            <w:r>
              <w:rPr>
                <w:bCs/>
                <w:color w:val="auto"/>
                <w:sz w:val="24"/>
              </w:rPr>
              <w:t>的过程中会产生粉尘</w:t>
            </w:r>
            <w:r>
              <w:rPr>
                <w:rFonts w:hint="eastAsia"/>
                <w:bCs/>
                <w:color w:val="auto"/>
                <w:sz w:val="24"/>
                <w:shd w:val="clear" w:fill="FFFFFF"/>
                <w:lang w:eastAsia="zh-CN"/>
              </w:rPr>
              <w:t>(</w:t>
            </w:r>
            <w:r>
              <w:rPr>
                <w:bCs/>
                <w:color w:val="auto"/>
                <w:sz w:val="24"/>
              </w:rPr>
              <w:t>计入</w:t>
            </w:r>
            <w:r>
              <w:rPr>
                <w:rFonts w:hint="eastAsia"/>
                <w:bCs/>
                <w:color w:val="auto"/>
                <w:sz w:val="24"/>
              </w:rPr>
              <w:t>混合</w:t>
            </w:r>
            <w:r>
              <w:rPr>
                <w:bCs/>
                <w:color w:val="auto"/>
                <w:sz w:val="24"/>
              </w:rPr>
              <w:t>搅拌工序中</w:t>
            </w:r>
            <w:r>
              <w:rPr>
                <w:rFonts w:hint="eastAsia"/>
                <w:bCs/>
                <w:color w:val="auto"/>
                <w:sz w:val="24"/>
                <w:shd w:val="clear" w:fill="FFFFFF"/>
                <w:lang w:eastAsia="zh-CN"/>
              </w:rPr>
              <w:t>)</w:t>
            </w:r>
            <w:r>
              <w:rPr>
                <w:bCs/>
                <w:color w:val="auto"/>
                <w:sz w:val="24"/>
              </w:rPr>
              <w:t>，</w:t>
            </w:r>
            <w:r>
              <w:rPr>
                <w:rFonts w:hint="eastAsia"/>
                <w:bCs/>
                <w:color w:val="auto"/>
                <w:sz w:val="24"/>
              </w:rPr>
              <w:t>进料、下料和转运的上方加装半密闭的防尘罩；</w:t>
            </w:r>
            <w:r>
              <w:rPr>
                <w:bCs/>
                <w:color w:val="auto"/>
                <w:sz w:val="24"/>
              </w:rPr>
              <w:t>水泥储存在水泥</w:t>
            </w:r>
            <w:r>
              <w:rPr>
                <w:rFonts w:hint="eastAsia"/>
                <w:bCs/>
                <w:color w:val="auto"/>
                <w:sz w:val="24"/>
              </w:rPr>
              <w:t>罐</w:t>
            </w:r>
            <w:r>
              <w:rPr>
                <w:bCs/>
                <w:color w:val="auto"/>
                <w:sz w:val="24"/>
              </w:rPr>
              <w:t>内通过密闭管道直接输送至搅拌机内</w:t>
            </w:r>
            <w:r>
              <w:rPr>
                <w:rFonts w:hint="eastAsia"/>
                <w:bCs/>
                <w:color w:val="auto"/>
                <w:sz w:val="24"/>
              </w:rPr>
              <w:t>，水泥输料系统、计量系统均采用密闭式管道输料；</w:t>
            </w:r>
            <w:r>
              <w:rPr>
                <w:bCs/>
                <w:color w:val="auto"/>
                <w:sz w:val="24"/>
              </w:rPr>
              <w:t>水通过自来水管道输送</w:t>
            </w:r>
            <w:r>
              <w:rPr>
                <w:rFonts w:hint="eastAsia"/>
                <w:bCs/>
                <w:color w:val="auto"/>
                <w:sz w:val="24"/>
              </w:rPr>
              <w:t>；</w:t>
            </w:r>
            <w:r>
              <w:rPr>
                <w:bCs/>
                <w:color w:val="auto"/>
                <w:sz w:val="24"/>
              </w:rPr>
              <w:t>水泥、石子</w:t>
            </w:r>
            <w:r>
              <w:rPr>
                <w:rFonts w:hint="eastAsia"/>
                <w:bCs/>
                <w:color w:val="auto"/>
                <w:sz w:val="24"/>
              </w:rPr>
              <w:t>、砂子</w:t>
            </w:r>
            <w:r>
              <w:rPr>
                <w:bCs/>
                <w:color w:val="auto"/>
                <w:sz w:val="24"/>
              </w:rPr>
              <w:t>和水送入搅拌机后即密闭</w:t>
            </w:r>
            <w:r>
              <w:rPr>
                <w:rFonts w:hint="eastAsia"/>
                <w:bCs/>
                <w:color w:val="auto"/>
                <w:sz w:val="24"/>
              </w:rPr>
              <w:t>湿法</w:t>
            </w:r>
            <w:r>
              <w:rPr>
                <w:bCs/>
                <w:color w:val="auto"/>
                <w:sz w:val="24"/>
              </w:rPr>
              <w:t>搅拌成混凝土，在搅拌的过程中</w:t>
            </w:r>
            <w:r>
              <w:rPr>
                <w:rFonts w:hint="eastAsia"/>
                <w:bCs/>
                <w:color w:val="auto"/>
                <w:sz w:val="24"/>
              </w:rPr>
              <w:t>会产生少量</w:t>
            </w:r>
            <w:r>
              <w:rPr>
                <w:bCs/>
                <w:color w:val="auto"/>
                <w:sz w:val="24"/>
              </w:rPr>
              <w:t>粉尘</w:t>
            </w:r>
            <w:r>
              <w:rPr>
                <w:rFonts w:hint="eastAsia"/>
                <w:bCs/>
                <w:color w:val="auto"/>
                <w:sz w:val="24"/>
              </w:rPr>
              <w:t>和</w:t>
            </w:r>
            <w:r>
              <w:rPr>
                <w:bCs/>
                <w:color w:val="auto"/>
                <w:sz w:val="24"/>
              </w:rPr>
              <w:t>噪声，水泥</w:t>
            </w:r>
            <w:r>
              <w:rPr>
                <w:rFonts w:hint="eastAsia"/>
                <w:bCs/>
                <w:color w:val="auto"/>
                <w:sz w:val="24"/>
              </w:rPr>
              <w:t>罐</w:t>
            </w:r>
            <w:r>
              <w:rPr>
                <w:bCs/>
                <w:color w:val="auto"/>
                <w:sz w:val="24"/>
              </w:rPr>
              <w:t>会产生呼吸粉尘。</w:t>
            </w:r>
          </w:p>
          <w:p w14:paraId="19ECA51A">
            <w:pPr>
              <w:spacing w:line="360" w:lineRule="auto"/>
              <w:ind w:firstLine="480" w:firstLineChars="200"/>
              <w:rPr>
                <w:bCs/>
                <w:color w:val="auto"/>
                <w:sz w:val="24"/>
              </w:rPr>
            </w:pPr>
            <w:r>
              <w:rPr>
                <w:bCs/>
                <w:color w:val="auto"/>
                <w:sz w:val="24"/>
              </w:rPr>
              <w:fldChar w:fldCharType="begin"/>
            </w:r>
            <w:r>
              <w:rPr>
                <w:bCs/>
                <w:color w:val="auto"/>
                <w:sz w:val="24"/>
              </w:rPr>
              <w:instrText xml:space="preserve"> = 3 \* GB3 \* MERGEFORMAT </w:instrText>
            </w:r>
            <w:r>
              <w:rPr>
                <w:bCs/>
                <w:color w:val="auto"/>
                <w:sz w:val="24"/>
              </w:rPr>
              <w:fldChar w:fldCharType="separate"/>
            </w:r>
            <w:r>
              <w:rPr>
                <w:color w:val="auto"/>
                <w:sz w:val="24"/>
              </w:rPr>
              <w:t>③</w:t>
            </w:r>
            <w:r>
              <w:rPr>
                <w:bCs/>
                <w:color w:val="auto"/>
                <w:sz w:val="24"/>
              </w:rPr>
              <w:fldChar w:fldCharType="end"/>
            </w:r>
            <w:r>
              <w:rPr>
                <w:bCs/>
                <w:color w:val="auto"/>
                <w:sz w:val="24"/>
              </w:rPr>
              <w:t>钢筋加工</w:t>
            </w:r>
          </w:p>
          <w:p w14:paraId="74F2D76C">
            <w:pPr>
              <w:spacing w:line="360" w:lineRule="auto"/>
              <w:ind w:firstLine="480" w:firstLineChars="200"/>
              <w:rPr>
                <w:bCs/>
                <w:color w:val="auto"/>
                <w:sz w:val="24"/>
              </w:rPr>
            </w:pPr>
            <w:r>
              <w:rPr>
                <w:bCs/>
                <w:color w:val="auto"/>
                <w:sz w:val="24"/>
              </w:rPr>
              <w:t>钢筋骨架的主筋由人工穿过固定旋转盘相应模板圆孔至移动旋转盘的相应孔中进行固定，把盘筋端先焊接在一根主筋上，然后通过固定旋转盘及移动旋转盘转动把盘筋缠绕在主筋上</w:t>
            </w:r>
            <w:r>
              <w:rPr>
                <w:rFonts w:hint="eastAsia"/>
                <w:bCs/>
                <w:color w:val="auto"/>
                <w:sz w:val="24"/>
                <w:shd w:val="clear" w:fill="FFFFFF"/>
                <w:lang w:eastAsia="zh-CN"/>
              </w:rPr>
              <w:t>(</w:t>
            </w:r>
            <w:r>
              <w:rPr>
                <w:bCs/>
                <w:color w:val="auto"/>
                <w:sz w:val="24"/>
              </w:rPr>
              <w:t>移动旋转盘一边旋转一边后移</w:t>
            </w:r>
            <w:r>
              <w:rPr>
                <w:rFonts w:hint="eastAsia"/>
                <w:bCs/>
                <w:color w:val="auto"/>
                <w:sz w:val="24"/>
                <w:shd w:val="clear" w:fill="FFFFFF"/>
                <w:lang w:eastAsia="zh-CN"/>
              </w:rPr>
              <w:t>)</w:t>
            </w:r>
            <w:r>
              <w:rPr>
                <w:bCs/>
                <w:color w:val="auto"/>
                <w:sz w:val="24"/>
              </w:rPr>
              <w:t>，同时进行焊接，从而形成钢筋骨架。此过程产生</w:t>
            </w:r>
            <w:r>
              <w:rPr>
                <w:rFonts w:hint="eastAsia"/>
                <w:bCs/>
                <w:color w:val="auto"/>
                <w:sz w:val="24"/>
              </w:rPr>
              <w:t>焊接烟尘、</w:t>
            </w:r>
            <w:r>
              <w:rPr>
                <w:bCs/>
                <w:color w:val="auto"/>
                <w:sz w:val="24"/>
              </w:rPr>
              <w:t>噪声和</w:t>
            </w:r>
            <w:r>
              <w:rPr>
                <w:rFonts w:hint="eastAsia"/>
                <w:bCs/>
                <w:color w:val="auto"/>
                <w:sz w:val="24"/>
              </w:rPr>
              <w:t>钢筋边角料</w:t>
            </w:r>
            <w:r>
              <w:rPr>
                <w:bCs/>
                <w:color w:val="auto"/>
                <w:sz w:val="24"/>
              </w:rPr>
              <w:t>。</w:t>
            </w:r>
          </w:p>
          <w:p w14:paraId="01FDEF8A">
            <w:pPr>
              <w:spacing w:line="360" w:lineRule="auto"/>
              <w:ind w:firstLine="480" w:firstLineChars="200"/>
              <w:rPr>
                <w:bCs/>
                <w:color w:val="auto"/>
                <w:sz w:val="24"/>
              </w:rPr>
            </w:pPr>
            <w:r>
              <w:rPr>
                <w:rFonts w:hint="eastAsia"/>
                <w:color w:val="auto"/>
                <w:sz w:val="24"/>
              </w:rPr>
              <w:fldChar w:fldCharType="begin"/>
            </w:r>
            <w:r>
              <w:rPr>
                <w:rFonts w:hint="eastAsia"/>
                <w:color w:val="auto"/>
                <w:sz w:val="24"/>
              </w:rPr>
              <w:instrText xml:space="preserve"> = 4 \* GB3 \* MERGEFORMAT </w:instrText>
            </w:r>
            <w:r>
              <w:rPr>
                <w:rFonts w:hint="eastAsia"/>
                <w:color w:val="auto"/>
                <w:sz w:val="24"/>
              </w:rPr>
              <w:fldChar w:fldCharType="separate"/>
            </w:r>
            <w:r>
              <w:rPr>
                <w:color w:val="auto"/>
                <w:sz w:val="24"/>
              </w:rPr>
              <w:t>④</w:t>
            </w:r>
            <w:r>
              <w:rPr>
                <w:rFonts w:hint="eastAsia"/>
                <w:color w:val="auto"/>
                <w:sz w:val="24"/>
              </w:rPr>
              <w:fldChar w:fldCharType="end"/>
            </w:r>
            <w:r>
              <w:rPr>
                <w:rFonts w:hint="eastAsia"/>
                <w:bCs/>
                <w:color w:val="auto"/>
                <w:sz w:val="24"/>
              </w:rPr>
              <w:t>装模</w:t>
            </w:r>
          </w:p>
          <w:p w14:paraId="76A6B3B5">
            <w:pPr>
              <w:spacing w:line="360" w:lineRule="auto"/>
              <w:ind w:firstLine="480" w:firstLineChars="200"/>
              <w:rPr>
                <w:bCs/>
                <w:color w:val="auto"/>
                <w:sz w:val="24"/>
              </w:rPr>
            </w:pPr>
            <w:r>
              <w:rPr>
                <w:bCs/>
                <w:color w:val="auto"/>
                <w:sz w:val="24"/>
              </w:rPr>
              <w:t>模具采用两个半模进行拼装，将制作好的钢筋骨架放入模具中，将各个部位的连接紧固牢靠，把</w:t>
            </w:r>
            <w:r>
              <w:rPr>
                <w:bCs/>
                <w:color w:val="auto"/>
                <w:sz w:val="24"/>
                <w:shd w:val="clear" w:fill="FFFFFF"/>
              </w:rPr>
              <w:t>合好的</w:t>
            </w:r>
            <w:r>
              <w:rPr>
                <w:bCs/>
                <w:color w:val="auto"/>
                <w:sz w:val="24"/>
              </w:rPr>
              <w:t>模具通过叉车放到制管机工作台上。</w:t>
            </w:r>
          </w:p>
          <w:p w14:paraId="5E9328C7">
            <w:pPr>
              <w:spacing w:line="360" w:lineRule="auto"/>
              <w:ind w:firstLine="480" w:firstLineChars="200"/>
              <w:rPr>
                <w:bCs/>
                <w:color w:val="auto"/>
                <w:sz w:val="24"/>
              </w:rPr>
            </w:pPr>
            <w:r>
              <w:rPr>
                <w:rFonts w:hint="eastAsia"/>
                <w:color w:val="auto"/>
                <w:sz w:val="24"/>
              </w:rPr>
              <w:t>⑤</w:t>
            </w:r>
            <w:r>
              <w:rPr>
                <w:bCs/>
                <w:color w:val="auto"/>
                <w:sz w:val="24"/>
              </w:rPr>
              <w:t>成型</w:t>
            </w:r>
          </w:p>
          <w:p w14:paraId="10BF8A53">
            <w:pPr>
              <w:spacing w:line="360" w:lineRule="auto"/>
              <w:ind w:firstLine="480" w:firstLineChars="200"/>
              <w:rPr>
                <w:bCs/>
                <w:color w:val="auto"/>
                <w:sz w:val="24"/>
              </w:rPr>
            </w:pPr>
            <w:r>
              <w:rPr>
                <w:rFonts w:hint="eastAsia"/>
                <w:bCs/>
                <w:color w:val="auto"/>
                <w:sz w:val="24"/>
                <w:lang w:eastAsia="zh-CN"/>
              </w:rPr>
              <w:t>迁建项目</w:t>
            </w:r>
            <w:r>
              <w:rPr>
                <w:bCs/>
                <w:color w:val="auto"/>
                <w:sz w:val="24"/>
              </w:rPr>
              <w:t>水泥顶管和水泥排水管采用芯模振动机</w:t>
            </w:r>
            <w:r>
              <w:rPr>
                <w:rFonts w:hint="eastAsia"/>
                <w:bCs/>
                <w:color w:val="auto"/>
                <w:sz w:val="24"/>
              </w:rPr>
              <w:t>、升芯振动机、立式振动机</w:t>
            </w:r>
            <w:r>
              <w:rPr>
                <w:bCs/>
                <w:color w:val="auto"/>
                <w:sz w:val="24"/>
              </w:rPr>
              <w:t>成型，以较小的驱动功率产生大的激振力使混凝土快速密实。</w:t>
            </w:r>
          </w:p>
          <w:p w14:paraId="25794DC8">
            <w:pPr>
              <w:spacing w:line="360" w:lineRule="auto"/>
              <w:ind w:firstLine="480" w:firstLineChars="200"/>
              <w:rPr>
                <w:bCs/>
                <w:color w:val="auto"/>
                <w:sz w:val="24"/>
              </w:rPr>
            </w:pPr>
            <w:r>
              <w:rPr>
                <w:rFonts w:hint="eastAsia"/>
                <w:color w:val="auto"/>
                <w:sz w:val="24"/>
              </w:rPr>
              <w:fldChar w:fldCharType="begin"/>
            </w:r>
            <w:r>
              <w:rPr>
                <w:rFonts w:hint="eastAsia"/>
                <w:color w:val="auto"/>
                <w:sz w:val="24"/>
              </w:rPr>
              <w:instrText xml:space="preserve"> = 6 \* GB3 \* MERGEFORMAT </w:instrText>
            </w:r>
            <w:r>
              <w:rPr>
                <w:rFonts w:hint="eastAsia"/>
                <w:color w:val="auto"/>
                <w:sz w:val="24"/>
              </w:rPr>
              <w:fldChar w:fldCharType="separate"/>
            </w:r>
            <w:r>
              <w:rPr>
                <w:rFonts w:hint="eastAsia"/>
                <w:color w:val="auto"/>
                <w:sz w:val="24"/>
              </w:rPr>
              <w:t>⑥</w:t>
            </w:r>
            <w:r>
              <w:rPr>
                <w:rFonts w:hint="eastAsia"/>
                <w:color w:val="auto"/>
                <w:sz w:val="24"/>
              </w:rPr>
              <w:fldChar w:fldCharType="end"/>
            </w:r>
            <w:r>
              <w:rPr>
                <w:rFonts w:hint="eastAsia"/>
                <w:bCs/>
                <w:color w:val="auto"/>
                <w:sz w:val="24"/>
              </w:rPr>
              <w:t>拆</w:t>
            </w:r>
            <w:r>
              <w:rPr>
                <w:bCs/>
                <w:color w:val="auto"/>
                <w:sz w:val="24"/>
              </w:rPr>
              <w:t>模、养护</w:t>
            </w:r>
          </w:p>
          <w:p w14:paraId="301683C5">
            <w:pPr>
              <w:spacing w:line="360" w:lineRule="auto"/>
              <w:ind w:firstLine="480" w:firstLineChars="200"/>
              <w:rPr>
                <w:bCs/>
                <w:color w:val="auto"/>
                <w:sz w:val="24"/>
              </w:rPr>
            </w:pPr>
            <w:r>
              <w:rPr>
                <w:bCs/>
                <w:color w:val="auto"/>
                <w:sz w:val="24"/>
              </w:rPr>
              <w:t>成型完毕的水泥制品通过叉车运送至成品区，并立即</w:t>
            </w:r>
            <w:r>
              <w:rPr>
                <w:rFonts w:hint="eastAsia"/>
                <w:bCs/>
                <w:color w:val="auto"/>
                <w:sz w:val="24"/>
              </w:rPr>
              <w:t>拆</w:t>
            </w:r>
            <w:r>
              <w:rPr>
                <w:bCs/>
                <w:color w:val="auto"/>
                <w:sz w:val="24"/>
              </w:rPr>
              <w:t>模</w:t>
            </w:r>
            <w:r>
              <w:rPr>
                <w:rFonts w:hint="eastAsia"/>
                <w:bCs/>
                <w:color w:val="auto"/>
                <w:sz w:val="24"/>
              </w:rPr>
              <w:t>，</w:t>
            </w:r>
            <w:r>
              <w:rPr>
                <w:bCs/>
                <w:color w:val="auto"/>
                <w:sz w:val="24"/>
              </w:rPr>
              <w:t>水泥制品</w:t>
            </w:r>
            <w:r>
              <w:rPr>
                <w:rFonts w:hint="eastAsia"/>
                <w:bCs/>
                <w:color w:val="auto"/>
                <w:sz w:val="24"/>
              </w:rPr>
              <w:t>再</w:t>
            </w:r>
            <w:r>
              <w:rPr>
                <w:bCs/>
                <w:color w:val="auto"/>
                <w:sz w:val="24"/>
              </w:rPr>
              <w:t>进行自然养护，强度达到98%以上后，即得到成品。</w:t>
            </w:r>
          </w:p>
          <w:p w14:paraId="3A033F4C">
            <w:pPr>
              <w:spacing w:line="360" w:lineRule="auto"/>
              <w:ind w:firstLine="480" w:firstLineChars="200"/>
              <w:rPr>
                <w:bCs/>
                <w:color w:val="auto"/>
                <w:sz w:val="24"/>
              </w:rPr>
            </w:pPr>
            <w:r>
              <w:rPr>
                <w:bCs/>
                <w:color w:val="auto"/>
                <w:sz w:val="24"/>
              </w:rPr>
              <w:t>芯模振动机优点：芯模振动机成型时通过对内模振动力和振幅的调整，以较佳的振动力密实混凝土，且一个规格只需一套模具，所以成型的水泥管圆度、管径尺寸标准，并且在制管结束可以立即进行</w:t>
            </w:r>
            <w:r>
              <w:rPr>
                <w:rFonts w:hint="eastAsia"/>
                <w:bCs/>
                <w:color w:val="auto"/>
                <w:sz w:val="24"/>
              </w:rPr>
              <w:t>拆</w:t>
            </w:r>
            <w:r>
              <w:rPr>
                <w:bCs/>
                <w:color w:val="auto"/>
                <w:sz w:val="24"/>
              </w:rPr>
              <w:t>模处理。</w:t>
            </w:r>
          </w:p>
          <w:p w14:paraId="5A3F1498">
            <w:pPr>
              <w:numPr>
                <w:ilvl w:val="0"/>
                <w:numId w:val="6"/>
              </w:numPr>
              <w:spacing w:line="360" w:lineRule="auto"/>
              <w:ind w:firstLine="480" w:firstLineChars="200"/>
              <w:rPr>
                <w:color w:val="auto"/>
                <w:sz w:val="24"/>
              </w:rPr>
            </w:pPr>
            <w:r>
              <w:rPr>
                <w:rFonts w:hint="eastAsia"/>
                <w:color w:val="auto"/>
                <w:sz w:val="24"/>
              </w:rPr>
              <w:t>产污环节</w:t>
            </w:r>
          </w:p>
          <w:p w14:paraId="6048F33C">
            <w:pPr>
              <w:spacing w:line="360" w:lineRule="auto"/>
              <w:ind w:firstLine="480" w:firstLineChars="200"/>
              <w:rPr>
                <w:color w:val="auto"/>
                <w:sz w:val="24"/>
              </w:rPr>
            </w:pPr>
            <w:r>
              <w:rPr>
                <w:rFonts w:hint="eastAsia"/>
                <w:color w:val="auto"/>
                <w:sz w:val="24"/>
                <w:lang w:eastAsia="zh-CN"/>
              </w:rPr>
              <w:t>迁建项目</w:t>
            </w:r>
            <w:r>
              <w:rPr>
                <w:color w:val="auto"/>
                <w:sz w:val="24"/>
              </w:rPr>
              <w:t>运营期</w:t>
            </w:r>
            <w:r>
              <w:rPr>
                <w:rFonts w:hint="eastAsia"/>
                <w:color w:val="auto"/>
                <w:sz w:val="24"/>
              </w:rPr>
              <w:t>产污</w:t>
            </w:r>
            <w:r>
              <w:rPr>
                <w:color w:val="auto"/>
                <w:sz w:val="24"/>
              </w:rPr>
              <w:t>环节汇总见下表</w:t>
            </w:r>
            <w:r>
              <w:rPr>
                <w:rFonts w:hint="eastAsia"/>
                <w:color w:val="auto"/>
                <w:sz w:val="24"/>
              </w:rPr>
              <w:t>2.</w:t>
            </w:r>
            <w:r>
              <w:rPr>
                <w:rFonts w:hint="eastAsia"/>
                <w:color w:val="auto"/>
                <w:sz w:val="24"/>
                <w:lang w:val="en-US" w:eastAsia="zh-CN"/>
              </w:rPr>
              <w:t>10</w:t>
            </w:r>
            <w:r>
              <w:rPr>
                <w:rFonts w:hint="eastAsia"/>
                <w:color w:val="auto"/>
                <w:sz w:val="24"/>
              </w:rPr>
              <w:t>-1</w:t>
            </w:r>
            <w:r>
              <w:rPr>
                <w:color w:val="auto"/>
                <w:sz w:val="24"/>
              </w:rPr>
              <w:t>。</w:t>
            </w:r>
          </w:p>
          <w:p w14:paraId="583B3686">
            <w:pPr>
              <w:pStyle w:val="68"/>
              <w:spacing w:line="240" w:lineRule="auto"/>
              <w:ind w:firstLine="482"/>
              <w:jc w:val="center"/>
              <w:rPr>
                <w:b/>
                <w:color w:val="auto"/>
                <w:sz w:val="24"/>
                <w:szCs w:val="24"/>
              </w:rPr>
            </w:pPr>
            <w:r>
              <w:rPr>
                <w:rFonts w:hint="eastAsia"/>
                <w:b/>
                <w:color w:val="auto"/>
                <w:sz w:val="24"/>
                <w:szCs w:val="24"/>
              </w:rPr>
              <w:t>表2.</w:t>
            </w:r>
            <w:r>
              <w:rPr>
                <w:rFonts w:hint="eastAsia"/>
                <w:b/>
                <w:color w:val="auto"/>
                <w:sz w:val="24"/>
                <w:szCs w:val="24"/>
                <w:lang w:val="en-US" w:eastAsia="zh-CN"/>
              </w:rPr>
              <w:t>10</w:t>
            </w:r>
            <w:r>
              <w:rPr>
                <w:rFonts w:hint="eastAsia"/>
                <w:b/>
                <w:color w:val="auto"/>
                <w:sz w:val="24"/>
                <w:szCs w:val="24"/>
              </w:rPr>
              <w:t xml:space="preserve">-1 </w:t>
            </w:r>
            <w:r>
              <w:rPr>
                <w:b/>
                <w:color w:val="auto"/>
                <w:sz w:val="24"/>
                <w:szCs w:val="24"/>
              </w:rPr>
              <w:t xml:space="preserve"> </w:t>
            </w:r>
            <w:r>
              <w:rPr>
                <w:rFonts w:hint="eastAsia"/>
                <w:b/>
                <w:color w:val="auto"/>
                <w:sz w:val="24"/>
                <w:szCs w:val="24"/>
              </w:rPr>
              <w:t>项目运营期产污环节汇总一览表</w:t>
            </w:r>
          </w:p>
          <w:tbl>
            <w:tblPr>
              <w:tblStyle w:val="36"/>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54"/>
              <w:gridCol w:w="1109"/>
              <w:gridCol w:w="2040"/>
              <w:gridCol w:w="3682"/>
            </w:tblGrid>
            <w:tr w14:paraId="2332F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tcMar>
                    <w:top w:w="0" w:type="dxa"/>
                    <w:left w:w="51" w:type="dxa"/>
                    <w:bottom w:w="0" w:type="dxa"/>
                    <w:right w:w="51" w:type="dxa"/>
                  </w:tcMar>
                  <w:vAlign w:val="center"/>
                </w:tcPr>
                <w:p w14:paraId="641FEC39">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序号</w:t>
                  </w:r>
                </w:p>
              </w:tc>
              <w:tc>
                <w:tcPr>
                  <w:tcW w:w="854" w:type="dxa"/>
                  <w:tcMar>
                    <w:top w:w="0" w:type="dxa"/>
                    <w:left w:w="51" w:type="dxa"/>
                    <w:bottom w:w="0" w:type="dxa"/>
                    <w:right w:w="51" w:type="dxa"/>
                  </w:tcMar>
                  <w:vAlign w:val="center"/>
                </w:tcPr>
                <w:p w14:paraId="35D9C5A0">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污染源</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33E2E62D">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产污工序</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27984552">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污染物</w:t>
                  </w:r>
                  <w:r>
                    <w:rPr>
                      <w:rFonts w:hint="eastAsia"/>
                      <w:color w:val="auto"/>
                      <w:kern w:val="0"/>
                      <w:szCs w:val="21"/>
                    </w:rPr>
                    <w:t>因子</w:t>
                  </w:r>
                </w:p>
              </w:tc>
              <w:tc>
                <w:tcPr>
                  <w:tcW w:w="3682" w:type="dxa"/>
                  <w:tcBorders>
                    <w:left w:val="single" w:color="000000" w:sz="4" w:space="0"/>
                  </w:tcBorders>
                  <w:tcMar>
                    <w:top w:w="0" w:type="dxa"/>
                    <w:left w:w="51" w:type="dxa"/>
                    <w:bottom w:w="0" w:type="dxa"/>
                    <w:right w:w="51" w:type="dxa"/>
                  </w:tcMar>
                  <w:vAlign w:val="center"/>
                </w:tcPr>
                <w:p w14:paraId="776400CF">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szCs w:val="21"/>
                    </w:rPr>
                    <w:t>处置措施</w:t>
                  </w:r>
                  <w:r>
                    <w:rPr>
                      <w:rFonts w:hint="eastAsia"/>
                      <w:color w:val="auto"/>
                      <w:szCs w:val="21"/>
                    </w:rPr>
                    <w:t>及去向</w:t>
                  </w:r>
                </w:p>
              </w:tc>
            </w:tr>
            <w:tr w14:paraId="132F1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restart"/>
                  <w:tcMar>
                    <w:top w:w="0" w:type="dxa"/>
                    <w:left w:w="51" w:type="dxa"/>
                    <w:bottom w:w="0" w:type="dxa"/>
                    <w:right w:w="51" w:type="dxa"/>
                  </w:tcMar>
                  <w:vAlign w:val="center"/>
                </w:tcPr>
                <w:p w14:paraId="4432D5A2">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1</w:t>
                  </w:r>
                </w:p>
              </w:tc>
              <w:tc>
                <w:tcPr>
                  <w:tcW w:w="854" w:type="dxa"/>
                  <w:vMerge w:val="restart"/>
                  <w:tcMar>
                    <w:top w:w="0" w:type="dxa"/>
                    <w:left w:w="51" w:type="dxa"/>
                    <w:bottom w:w="0" w:type="dxa"/>
                    <w:right w:w="51" w:type="dxa"/>
                  </w:tcMar>
                  <w:vAlign w:val="center"/>
                </w:tcPr>
                <w:p w14:paraId="6D8ACFCA">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废水</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3185C775">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职工</w:t>
                  </w:r>
                  <w:r>
                    <w:rPr>
                      <w:rFonts w:hint="eastAsia"/>
                      <w:color w:val="auto"/>
                      <w:kern w:val="0"/>
                      <w:szCs w:val="21"/>
                    </w:rPr>
                    <w:t>生活污水</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674210BA">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pH、COD、BOD</w:t>
                  </w:r>
                  <w:r>
                    <w:rPr>
                      <w:color w:val="auto"/>
                      <w:kern w:val="0"/>
                      <w:szCs w:val="21"/>
                      <w:vertAlign w:val="subscript"/>
                    </w:rPr>
                    <w:t>5</w:t>
                  </w:r>
                  <w:r>
                    <w:rPr>
                      <w:color w:val="auto"/>
                      <w:kern w:val="0"/>
                      <w:szCs w:val="21"/>
                    </w:rPr>
                    <w:t>、SS、氨氮</w:t>
                  </w:r>
                </w:p>
              </w:tc>
              <w:tc>
                <w:tcPr>
                  <w:tcW w:w="3682" w:type="dxa"/>
                  <w:tcBorders>
                    <w:left w:val="single" w:color="000000" w:sz="4" w:space="0"/>
                  </w:tcBorders>
                  <w:tcMar>
                    <w:top w:w="0" w:type="dxa"/>
                    <w:left w:w="51" w:type="dxa"/>
                    <w:bottom w:w="0" w:type="dxa"/>
                    <w:right w:w="51" w:type="dxa"/>
                  </w:tcMar>
                  <w:vAlign w:val="center"/>
                </w:tcPr>
                <w:p w14:paraId="6F652750">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rPr>
                    <w:t>生活污</w:t>
                  </w:r>
                  <w:r>
                    <w:rPr>
                      <w:rFonts w:hint="eastAsia"/>
                      <w:color w:val="auto"/>
                    </w:rPr>
                    <w:t>水经</w:t>
                  </w:r>
                  <w:r>
                    <w:rPr>
                      <w:color w:val="auto"/>
                      <w:szCs w:val="21"/>
                    </w:rPr>
                    <w:t>化粪池预处理后接入市政污水管网</w:t>
                  </w:r>
                  <w:r>
                    <w:rPr>
                      <w:rFonts w:hint="eastAsia"/>
                      <w:color w:val="auto"/>
                      <w:szCs w:val="21"/>
                    </w:rPr>
                    <w:t>进入江阴污水处理厂处理</w:t>
                  </w:r>
                </w:p>
              </w:tc>
            </w:tr>
            <w:tr w14:paraId="4643C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78C7592A">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continue"/>
                  <w:tcMar>
                    <w:top w:w="0" w:type="dxa"/>
                    <w:left w:w="51" w:type="dxa"/>
                    <w:bottom w:w="0" w:type="dxa"/>
                    <w:right w:w="51" w:type="dxa"/>
                  </w:tcMar>
                  <w:vAlign w:val="center"/>
                </w:tcPr>
                <w:p w14:paraId="157D14A7">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0AC8786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eastAsia="宋体"/>
                      <w:color w:val="auto"/>
                      <w:kern w:val="0"/>
                      <w:szCs w:val="21"/>
                      <w:lang w:eastAsia="zh-CN"/>
                    </w:rPr>
                  </w:pPr>
                  <w:r>
                    <w:rPr>
                      <w:rFonts w:hint="eastAsia"/>
                      <w:color w:val="auto"/>
                      <w:kern w:val="0"/>
                      <w:szCs w:val="21"/>
                    </w:rPr>
                    <w:t>初期雨水、生产废水</w:t>
                  </w:r>
                  <w:r>
                    <w:rPr>
                      <w:rFonts w:hint="eastAsia"/>
                      <w:color w:val="auto"/>
                      <w:kern w:val="0"/>
                      <w:szCs w:val="21"/>
                      <w:shd w:val="clear" w:fill="FFFFFF"/>
                      <w:lang w:eastAsia="zh-CN"/>
                    </w:rPr>
                    <w:t>(</w:t>
                  </w:r>
                  <w:r>
                    <w:rPr>
                      <w:rFonts w:hint="eastAsia"/>
                      <w:color w:val="auto"/>
                      <w:kern w:val="0"/>
                      <w:szCs w:val="21"/>
                    </w:rPr>
                    <w:t>搅拌机清洗废水、道路清洗废水</w:t>
                  </w:r>
                  <w:r>
                    <w:rPr>
                      <w:rFonts w:hint="eastAsia"/>
                      <w:color w:val="auto"/>
                      <w:kern w:val="0"/>
                      <w:szCs w:val="21"/>
                      <w:shd w:val="clear" w:fill="FFFFFF"/>
                      <w:lang w:eastAsia="zh-CN"/>
                    </w:rPr>
                    <w:t>)</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15761994">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SS</w:t>
                  </w:r>
                </w:p>
              </w:tc>
              <w:tc>
                <w:tcPr>
                  <w:tcW w:w="3682" w:type="dxa"/>
                  <w:tcBorders>
                    <w:left w:val="single" w:color="000000" w:sz="4" w:space="0"/>
                  </w:tcBorders>
                  <w:tcMar>
                    <w:top w:w="0" w:type="dxa"/>
                    <w:left w:w="51" w:type="dxa"/>
                    <w:bottom w:w="0" w:type="dxa"/>
                    <w:right w:w="51" w:type="dxa"/>
                  </w:tcMar>
                  <w:vAlign w:val="center"/>
                </w:tcPr>
                <w:p w14:paraId="733986F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eastAsia="宋体"/>
                      <w:color w:val="auto"/>
                      <w:lang w:eastAsia="zh-CN"/>
                    </w:rPr>
                  </w:pPr>
                  <w:r>
                    <w:rPr>
                      <w:rFonts w:hint="eastAsia"/>
                      <w:color w:val="auto"/>
                    </w:rPr>
                    <w:t>经三级沉淀池沉淀后</w:t>
                  </w:r>
                  <w:r>
                    <w:rPr>
                      <w:rFonts w:hint="eastAsia"/>
                      <w:color w:val="auto"/>
                      <w:lang w:eastAsia="zh-CN"/>
                    </w:rPr>
                    <w:t>回用于生产</w:t>
                  </w:r>
                  <w:r>
                    <w:rPr>
                      <w:rFonts w:hint="eastAsia"/>
                      <w:color w:val="auto"/>
                      <w:shd w:val="clear" w:fill="FFFFFF"/>
                      <w:lang w:eastAsia="zh-CN"/>
                    </w:rPr>
                    <w:t>(</w:t>
                  </w:r>
                  <w:r>
                    <w:rPr>
                      <w:rFonts w:hint="eastAsia"/>
                      <w:color w:val="auto"/>
                      <w:lang w:eastAsia="zh-CN"/>
                    </w:rPr>
                    <w:t>养护工序</w:t>
                  </w:r>
                  <w:r>
                    <w:rPr>
                      <w:rFonts w:hint="eastAsia"/>
                      <w:color w:val="auto"/>
                      <w:shd w:val="clear" w:fill="FFFFFF"/>
                      <w:lang w:eastAsia="zh-CN"/>
                    </w:rPr>
                    <w:t>)</w:t>
                  </w:r>
                </w:p>
              </w:tc>
            </w:tr>
            <w:tr w14:paraId="2B036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restart"/>
                  <w:tcMar>
                    <w:top w:w="0" w:type="dxa"/>
                    <w:left w:w="51" w:type="dxa"/>
                    <w:bottom w:w="0" w:type="dxa"/>
                    <w:right w:w="51" w:type="dxa"/>
                  </w:tcMar>
                  <w:vAlign w:val="center"/>
                </w:tcPr>
                <w:p w14:paraId="26799BD7">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2</w:t>
                  </w:r>
                </w:p>
              </w:tc>
              <w:tc>
                <w:tcPr>
                  <w:tcW w:w="854" w:type="dxa"/>
                  <w:vMerge w:val="restart"/>
                  <w:tcMar>
                    <w:top w:w="0" w:type="dxa"/>
                    <w:left w:w="51" w:type="dxa"/>
                    <w:bottom w:w="0" w:type="dxa"/>
                    <w:right w:w="51" w:type="dxa"/>
                  </w:tcMar>
                  <w:vAlign w:val="center"/>
                </w:tcPr>
                <w:p w14:paraId="646839B1">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废气</w:t>
                  </w:r>
                </w:p>
              </w:tc>
              <w:tc>
                <w:tcPr>
                  <w:tcW w:w="1109" w:type="dxa"/>
                  <w:tcBorders>
                    <w:left w:val="single" w:color="000000" w:sz="4" w:space="0"/>
                    <w:bottom w:val="single" w:color="auto" w:sz="4" w:space="0"/>
                    <w:right w:val="single" w:color="000000" w:sz="4" w:space="0"/>
                  </w:tcBorders>
                  <w:shd w:val="clear" w:color="auto" w:fill="auto"/>
                  <w:tcMar>
                    <w:top w:w="0" w:type="dxa"/>
                    <w:left w:w="51" w:type="dxa"/>
                    <w:bottom w:w="0" w:type="dxa"/>
                    <w:right w:w="51" w:type="dxa"/>
                  </w:tcMar>
                  <w:vAlign w:val="center"/>
                </w:tcPr>
                <w:p w14:paraId="7C83D18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kern w:val="0"/>
                      <w:sz w:val="21"/>
                      <w:szCs w:val="21"/>
                      <w:lang w:val="en-US" w:eastAsia="zh-CN" w:bidi="ar-SA"/>
                    </w:rPr>
                  </w:pPr>
                  <w:r>
                    <w:rPr>
                      <w:rFonts w:hint="eastAsia"/>
                      <w:color w:val="auto"/>
                    </w:rPr>
                    <w:t>水泥罐呼吸粉尘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55248A1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kern w:val="0"/>
                      <w:sz w:val="21"/>
                      <w:szCs w:val="21"/>
                      <w:lang w:val="en-US" w:eastAsia="zh-CN" w:bidi="ar-SA"/>
                    </w:rPr>
                  </w:pPr>
                  <w:r>
                    <w:rPr>
                      <w:rFonts w:hint="eastAsia"/>
                      <w:color w:val="auto"/>
                      <w:kern w:val="0"/>
                      <w:szCs w:val="21"/>
                    </w:rPr>
                    <w:t>颗粒物</w:t>
                  </w:r>
                </w:p>
              </w:tc>
              <w:tc>
                <w:tcPr>
                  <w:tcW w:w="3682" w:type="dxa"/>
                  <w:tcBorders>
                    <w:left w:val="single" w:color="000000" w:sz="4" w:space="0"/>
                  </w:tcBorders>
                  <w:shd w:val="clear" w:color="auto" w:fill="auto"/>
                  <w:tcMar>
                    <w:top w:w="0" w:type="dxa"/>
                    <w:left w:w="51" w:type="dxa"/>
                    <w:bottom w:w="0" w:type="dxa"/>
                    <w:right w:w="51" w:type="dxa"/>
                  </w:tcMar>
                  <w:vAlign w:val="center"/>
                </w:tcPr>
                <w:p w14:paraId="1524D04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项目全厂共设置10个水泥罐，水泥罐呼吸粉尘从每个水泥罐负压收集至罐顶的1套滤罐顶滤筒袋式除尘器</w:t>
                  </w:r>
                  <w:r>
                    <w:rPr>
                      <w:rFonts w:hint="eastAsia"/>
                      <w:color w:val="auto"/>
                      <w:sz w:val="21"/>
                      <w:szCs w:val="21"/>
                      <w:shd w:val="clear" w:fill="FFFFFF"/>
                    </w:rPr>
                    <w:t>(</w:t>
                  </w:r>
                  <w:r>
                    <w:rPr>
                      <w:rFonts w:hint="eastAsia"/>
                      <w:color w:val="auto"/>
                      <w:sz w:val="21"/>
                      <w:szCs w:val="21"/>
                    </w:rPr>
                    <w:t>共计10套废气处理设施</w:t>
                  </w:r>
                  <w:r>
                    <w:rPr>
                      <w:rFonts w:hint="eastAsia"/>
                      <w:color w:val="auto"/>
                      <w:sz w:val="21"/>
                      <w:szCs w:val="21"/>
                      <w:shd w:val="clear" w:fill="FFFFFF"/>
                    </w:rPr>
                    <w:t>)</w:t>
                  </w:r>
                  <w:r>
                    <w:rPr>
                      <w:rFonts w:hint="eastAsia"/>
                      <w:color w:val="auto"/>
                      <w:sz w:val="21"/>
                      <w:szCs w:val="21"/>
                    </w:rPr>
                    <w:t>处理后每2</w:t>
                  </w:r>
                  <w:r>
                    <w:rPr>
                      <w:rFonts w:hint="eastAsia"/>
                      <w:color w:val="auto"/>
                      <w:sz w:val="21"/>
                      <w:szCs w:val="21"/>
                      <w:lang w:eastAsia="zh-CN"/>
                    </w:rPr>
                    <w:t>套滤罐顶滤筒袋式除尘器设置管道相衔接后由1根15m高排气筒排放</w:t>
                  </w:r>
                  <w:r>
                    <w:rPr>
                      <w:rFonts w:hint="eastAsia"/>
                      <w:color w:val="auto"/>
                      <w:sz w:val="21"/>
                      <w:szCs w:val="21"/>
                    </w:rPr>
                    <w:t>，则生产车间内设置DA001~DA005共计5根水泥罐呼吸粉尘排气筒</w:t>
                  </w:r>
                </w:p>
              </w:tc>
            </w:tr>
            <w:tr w14:paraId="31CCF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34F4EB15">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continue"/>
                  <w:tcMar>
                    <w:top w:w="0" w:type="dxa"/>
                    <w:left w:w="51" w:type="dxa"/>
                    <w:bottom w:w="0" w:type="dxa"/>
                    <w:right w:w="51" w:type="dxa"/>
                  </w:tcMar>
                  <w:vAlign w:val="center"/>
                </w:tcPr>
                <w:p w14:paraId="05C31FD9">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393C0E2F">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rPr>
                    <w:t>石子、砂子输送粉尘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5365D2B3">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72E90003">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szCs w:val="21"/>
                    </w:rPr>
                  </w:pPr>
                  <w:r>
                    <w:rPr>
                      <w:rFonts w:hint="eastAsia"/>
                      <w:color w:val="auto"/>
                      <w:szCs w:val="21"/>
                    </w:rPr>
                    <w:t>封闭厂房、</w:t>
                  </w:r>
                  <w:r>
                    <w:rPr>
                      <w:rFonts w:hint="eastAsia"/>
                      <w:color w:val="auto"/>
                    </w:rPr>
                    <w:t>皮带输送系统，进料、下料和转运的上方加装半密闭的防尘罩</w:t>
                  </w:r>
                </w:p>
              </w:tc>
            </w:tr>
            <w:tr w14:paraId="6C652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31CA9BFD">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continue"/>
                  <w:tcMar>
                    <w:top w:w="0" w:type="dxa"/>
                    <w:left w:w="51" w:type="dxa"/>
                    <w:bottom w:w="0" w:type="dxa"/>
                    <w:right w:w="51" w:type="dxa"/>
                  </w:tcMar>
                  <w:vAlign w:val="center"/>
                </w:tcPr>
                <w:p w14:paraId="7F494891">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1109" w:type="dxa"/>
                  <w:tcBorders>
                    <w:left w:val="single" w:color="000000" w:sz="4" w:space="0"/>
                    <w:bottom w:val="single" w:color="auto" w:sz="4" w:space="0"/>
                    <w:right w:val="single" w:color="000000" w:sz="4" w:space="0"/>
                  </w:tcBorders>
                  <w:shd w:val="clear" w:color="auto" w:fill="auto"/>
                  <w:tcMar>
                    <w:top w:w="0" w:type="dxa"/>
                    <w:left w:w="51" w:type="dxa"/>
                    <w:bottom w:w="0" w:type="dxa"/>
                    <w:right w:w="51" w:type="dxa"/>
                  </w:tcMar>
                  <w:vAlign w:val="center"/>
                </w:tcPr>
                <w:p w14:paraId="12AAB36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kern w:val="0"/>
                      <w:sz w:val="21"/>
                      <w:szCs w:val="21"/>
                      <w:lang w:val="en-US" w:eastAsia="zh-CN" w:bidi="ar-SA"/>
                    </w:rPr>
                  </w:pPr>
                  <w:r>
                    <w:rPr>
                      <w:rFonts w:hint="eastAsia"/>
                      <w:color w:val="auto"/>
                    </w:rPr>
                    <w:t>原料石子、砂子装卸扬尘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267D682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kern w:val="0"/>
                      <w:sz w:val="21"/>
                      <w:szCs w:val="21"/>
                      <w:lang w:val="en-US" w:eastAsia="zh-CN" w:bidi="ar-SA"/>
                    </w:rPr>
                  </w:pPr>
                  <w:r>
                    <w:rPr>
                      <w:rFonts w:hint="eastAsia"/>
                      <w:color w:val="auto"/>
                      <w:kern w:val="0"/>
                      <w:szCs w:val="21"/>
                    </w:rPr>
                    <w:t>颗粒物</w:t>
                  </w:r>
                </w:p>
              </w:tc>
              <w:tc>
                <w:tcPr>
                  <w:tcW w:w="3682" w:type="dxa"/>
                  <w:tcBorders>
                    <w:left w:val="single" w:color="000000" w:sz="4" w:space="0"/>
                  </w:tcBorders>
                  <w:shd w:val="clear" w:color="auto" w:fill="auto"/>
                  <w:tcMar>
                    <w:top w:w="0" w:type="dxa"/>
                    <w:left w:w="51" w:type="dxa"/>
                    <w:bottom w:w="0" w:type="dxa"/>
                    <w:right w:w="51" w:type="dxa"/>
                  </w:tcMar>
                  <w:vAlign w:val="center"/>
                </w:tcPr>
                <w:p w14:paraId="619007F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Cs w:val="21"/>
                    </w:rPr>
                    <w:t>封闭厂房、原料砂石堆场定期喷水，保持堆料表层湿润，保持表层含水率≥10%；用篷布遮盖；装卸时洒水抑尘</w:t>
                  </w:r>
                </w:p>
              </w:tc>
            </w:tr>
            <w:tr w14:paraId="5FA62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5E052D2F">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continue"/>
                  <w:tcMar>
                    <w:top w:w="0" w:type="dxa"/>
                    <w:left w:w="51" w:type="dxa"/>
                    <w:bottom w:w="0" w:type="dxa"/>
                    <w:right w:w="51" w:type="dxa"/>
                  </w:tcMar>
                  <w:vAlign w:val="center"/>
                </w:tcPr>
                <w:p w14:paraId="277DE692">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1109" w:type="dxa"/>
                  <w:tcBorders>
                    <w:left w:val="single" w:color="000000" w:sz="4" w:space="0"/>
                    <w:bottom w:val="single" w:color="auto" w:sz="4" w:space="0"/>
                    <w:right w:val="single" w:color="000000" w:sz="4" w:space="0"/>
                  </w:tcBorders>
                  <w:shd w:val="clear" w:color="auto" w:fill="auto"/>
                  <w:tcMar>
                    <w:top w:w="0" w:type="dxa"/>
                    <w:left w:w="51" w:type="dxa"/>
                    <w:bottom w:w="0" w:type="dxa"/>
                    <w:right w:w="51" w:type="dxa"/>
                  </w:tcMar>
                  <w:vAlign w:val="center"/>
                </w:tcPr>
                <w:p w14:paraId="1E3BA89C">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rPr>
                    <w:t>搅拌粉尘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338B6E0E">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427C0B09">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szCs w:val="21"/>
                    </w:rPr>
                  </w:pPr>
                  <w:r>
                    <w:rPr>
                      <w:rFonts w:hint="eastAsia"/>
                      <w:color w:val="auto"/>
                    </w:rPr>
                    <w:t>密闭湿法搅拌、水喷淋</w:t>
                  </w:r>
                </w:p>
              </w:tc>
            </w:tr>
            <w:tr w14:paraId="211DE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673B99EE">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continue"/>
                  <w:tcMar>
                    <w:top w:w="0" w:type="dxa"/>
                    <w:left w:w="51" w:type="dxa"/>
                    <w:bottom w:w="0" w:type="dxa"/>
                    <w:right w:w="51" w:type="dxa"/>
                  </w:tcMar>
                  <w:vAlign w:val="center"/>
                </w:tcPr>
                <w:p w14:paraId="1A95C12B">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7A4646F0">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钢筋加工焊接烟尘</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126CB9E4">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3219BBD6">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szCs w:val="21"/>
                    </w:rPr>
                  </w:pPr>
                  <w:r>
                    <w:rPr>
                      <w:rFonts w:hint="eastAsia"/>
                      <w:color w:val="auto"/>
                      <w:szCs w:val="21"/>
                    </w:rPr>
                    <w:t>移动焊烟净化器处理后无组织排放</w:t>
                  </w:r>
                </w:p>
              </w:tc>
            </w:tr>
            <w:tr w14:paraId="4EEA5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2C67ED44">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continue"/>
                  <w:tcMar>
                    <w:top w:w="0" w:type="dxa"/>
                    <w:left w:w="51" w:type="dxa"/>
                    <w:bottom w:w="0" w:type="dxa"/>
                    <w:right w:w="51" w:type="dxa"/>
                  </w:tcMar>
                  <w:vAlign w:val="center"/>
                </w:tcPr>
                <w:p w14:paraId="1499EA5E">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566E901F">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厨房油烟</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3857A04C">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油烟</w:t>
                  </w:r>
                </w:p>
              </w:tc>
              <w:tc>
                <w:tcPr>
                  <w:tcW w:w="3682" w:type="dxa"/>
                  <w:tcBorders>
                    <w:left w:val="single" w:color="000000" w:sz="4" w:space="0"/>
                  </w:tcBorders>
                  <w:tcMar>
                    <w:top w:w="0" w:type="dxa"/>
                    <w:left w:w="51" w:type="dxa"/>
                    <w:bottom w:w="0" w:type="dxa"/>
                    <w:right w:w="51" w:type="dxa"/>
                  </w:tcMar>
                  <w:vAlign w:val="center"/>
                </w:tcPr>
                <w:p w14:paraId="52B6B3D1">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szCs w:val="21"/>
                    </w:rPr>
                  </w:pPr>
                  <w:r>
                    <w:rPr>
                      <w:rFonts w:hint="eastAsia"/>
                      <w:color w:val="auto"/>
                      <w:szCs w:val="21"/>
                    </w:rPr>
                    <w:t>经油烟净化器后经烟道由1根15m高DA006排气筒排放</w:t>
                  </w:r>
                </w:p>
              </w:tc>
            </w:tr>
            <w:tr w14:paraId="0505D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restart"/>
                  <w:tcMar>
                    <w:top w:w="0" w:type="dxa"/>
                    <w:left w:w="51" w:type="dxa"/>
                    <w:bottom w:w="0" w:type="dxa"/>
                    <w:right w:w="51" w:type="dxa"/>
                  </w:tcMar>
                  <w:vAlign w:val="center"/>
                </w:tcPr>
                <w:p w14:paraId="1EB11DDE">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3</w:t>
                  </w:r>
                </w:p>
              </w:tc>
              <w:tc>
                <w:tcPr>
                  <w:tcW w:w="854" w:type="dxa"/>
                  <w:tcMar>
                    <w:top w:w="0" w:type="dxa"/>
                    <w:left w:w="51" w:type="dxa"/>
                    <w:bottom w:w="0" w:type="dxa"/>
                    <w:right w:w="51" w:type="dxa"/>
                  </w:tcMar>
                  <w:vAlign w:val="center"/>
                </w:tcPr>
                <w:p w14:paraId="4AD6C49B">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生活</w:t>
                  </w:r>
                </w:p>
                <w:p w14:paraId="4F0FC349">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垃圾</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01A061A3">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职工</w:t>
                  </w:r>
                  <w:r>
                    <w:rPr>
                      <w:rFonts w:hint="eastAsia"/>
                      <w:color w:val="auto"/>
                      <w:kern w:val="0"/>
                      <w:szCs w:val="21"/>
                    </w:rPr>
                    <w:t>生活垃圾</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36B0A531">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szCs w:val="21"/>
                    </w:rPr>
                  </w:pPr>
                  <w:r>
                    <w:rPr>
                      <w:rFonts w:hint="eastAsia"/>
                      <w:color w:val="auto"/>
                      <w:szCs w:val="21"/>
                    </w:rPr>
                    <w:t>纸屑、塑料等</w:t>
                  </w:r>
                </w:p>
              </w:tc>
              <w:tc>
                <w:tcPr>
                  <w:tcW w:w="3682" w:type="dxa"/>
                  <w:tcBorders>
                    <w:left w:val="single" w:color="000000" w:sz="4" w:space="0"/>
                  </w:tcBorders>
                  <w:tcMar>
                    <w:top w:w="0" w:type="dxa"/>
                    <w:left w:w="51" w:type="dxa"/>
                    <w:bottom w:w="0" w:type="dxa"/>
                    <w:right w:w="51" w:type="dxa"/>
                  </w:tcMar>
                  <w:vAlign w:val="center"/>
                </w:tcPr>
                <w:p w14:paraId="563ACD7F">
                  <w:pPr>
                    <w:pStyle w:val="8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经垃圾桶分类收集后由环卫部门定期清运处置</w:t>
                  </w:r>
                </w:p>
              </w:tc>
            </w:tr>
            <w:tr w14:paraId="58577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1D96833D">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restart"/>
                  <w:tcMar>
                    <w:top w:w="0" w:type="dxa"/>
                    <w:left w:w="51" w:type="dxa"/>
                    <w:bottom w:w="0" w:type="dxa"/>
                    <w:right w:w="51" w:type="dxa"/>
                  </w:tcMar>
                  <w:vAlign w:val="center"/>
                </w:tcPr>
                <w:p w14:paraId="24B3E93F">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一般工业</w:t>
                  </w:r>
                  <w:r>
                    <w:rPr>
                      <w:color w:val="auto"/>
                      <w:kern w:val="0"/>
                      <w:szCs w:val="21"/>
                    </w:rPr>
                    <w:t>固废</w:t>
                  </w:r>
                </w:p>
              </w:tc>
              <w:tc>
                <w:tcPr>
                  <w:tcW w:w="3149" w:type="dxa"/>
                  <w:gridSpan w:val="2"/>
                  <w:tcBorders>
                    <w:left w:val="single" w:color="000000" w:sz="4" w:space="0"/>
                    <w:right w:val="single" w:color="000000" w:sz="4" w:space="0"/>
                  </w:tcBorders>
                  <w:tcMar>
                    <w:top w:w="0" w:type="dxa"/>
                    <w:left w:w="51" w:type="dxa"/>
                    <w:bottom w:w="0" w:type="dxa"/>
                    <w:right w:w="51" w:type="dxa"/>
                  </w:tcMar>
                  <w:vAlign w:val="center"/>
                </w:tcPr>
                <w:p w14:paraId="5402F131">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沉淀池沉渣</w:t>
                  </w:r>
                </w:p>
              </w:tc>
              <w:tc>
                <w:tcPr>
                  <w:tcW w:w="3682" w:type="dxa"/>
                  <w:tcBorders>
                    <w:left w:val="single" w:color="000000" w:sz="4" w:space="0"/>
                  </w:tcBorders>
                  <w:tcMar>
                    <w:top w:w="0" w:type="dxa"/>
                    <w:left w:w="51" w:type="dxa"/>
                    <w:bottom w:w="0" w:type="dxa"/>
                    <w:right w:w="51" w:type="dxa"/>
                  </w:tcMar>
                  <w:vAlign w:val="center"/>
                </w:tcPr>
                <w:p w14:paraId="6D49D305">
                  <w:pPr>
                    <w:pStyle w:val="8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妥善收集后</w:t>
                  </w:r>
                  <w:r>
                    <w:rPr>
                      <w:rFonts w:hint="eastAsia" w:ascii="Times New Roman" w:hAnsi="Times New Roman"/>
                      <w:color w:val="auto"/>
                      <w:sz w:val="21"/>
                      <w:szCs w:val="21"/>
                      <w:lang w:eastAsia="zh-CN"/>
                    </w:rPr>
                    <w:t>回用于生产</w:t>
                  </w:r>
                  <w:r>
                    <w:rPr>
                      <w:rFonts w:hint="eastAsia" w:ascii="Times New Roman" w:hAnsi="Times New Roman"/>
                      <w:color w:val="auto"/>
                      <w:sz w:val="21"/>
                      <w:szCs w:val="21"/>
                      <w:shd w:val="clear" w:fill="FFFFFF"/>
                      <w:lang w:eastAsia="zh-CN"/>
                    </w:rPr>
                    <w:t>(</w:t>
                  </w:r>
                  <w:r>
                    <w:rPr>
                      <w:rFonts w:hint="eastAsia" w:ascii="Times New Roman" w:hAnsi="Times New Roman"/>
                      <w:color w:val="auto"/>
                      <w:sz w:val="21"/>
                      <w:szCs w:val="21"/>
                      <w:lang w:eastAsia="zh-CN"/>
                    </w:rPr>
                    <w:t>养护工序</w:t>
                  </w:r>
                  <w:r>
                    <w:rPr>
                      <w:rFonts w:hint="eastAsia" w:ascii="Times New Roman" w:hAnsi="Times New Roman"/>
                      <w:color w:val="auto"/>
                      <w:sz w:val="21"/>
                      <w:szCs w:val="21"/>
                      <w:shd w:val="clear" w:fill="FFFFFF"/>
                      <w:lang w:eastAsia="zh-CN"/>
                    </w:rPr>
                    <w:t>)</w:t>
                  </w:r>
                </w:p>
              </w:tc>
            </w:tr>
            <w:tr w14:paraId="5E460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1F21C4A5">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854" w:type="dxa"/>
                  <w:vMerge w:val="continue"/>
                  <w:tcMar>
                    <w:top w:w="0" w:type="dxa"/>
                    <w:left w:w="51" w:type="dxa"/>
                    <w:bottom w:w="0" w:type="dxa"/>
                    <w:right w:w="51" w:type="dxa"/>
                  </w:tcMar>
                  <w:vAlign w:val="center"/>
                </w:tcPr>
                <w:p w14:paraId="26414EFF">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p>
              </w:tc>
              <w:tc>
                <w:tcPr>
                  <w:tcW w:w="3149" w:type="dxa"/>
                  <w:gridSpan w:val="2"/>
                  <w:tcBorders>
                    <w:left w:val="single" w:color="000000" w:sz="4" w:space="0"/>
                    <w:right w:val="single" w:color="000000" w:sz="4" w:space="0"/>
                  </w:tcBorders>
                  <w:tcMar>
                    <w:top w:w="0" w:type="dxa"/>
                    <w:left w:w="51" w:type="dxa"/>
                    <w:bottom w:w="0" w:type="dxa"/>
                    <w:right w:w="51" w:type="dxa"/>
                  </w:tcMar>
                  <w:vAlign w:val="center"/>
                </w:tcPr>
                <w:p w14:paraId="476238E8">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szCs w:val="21"/>
                    </w:rPr>
                  </w:pPr>
                  <w:r>
                    <w:rPr>
                      <w:rFonts w:hint="eastAsia"/>
                      <w:color w:val="auto"/>
                      <w:szCs w:val="21"/>
                    </w:rPr>
                    <w:t>钢筋边角料、焊渣、破损模具、不合格品</w:t>
                  </w:r>
                </w:p>
              </w:tc>
              <w:tc>
                <w:tcPr>
                  <w:tcW w:w="3682" w:type="dxa"/>
                  <w:tcBorders>
                    <w:left w:val="single" w:color="000000" w:sz="4" w:space="0"/>
                  </w:tcBorders>
                  <w:tcMar>
                    <w:top w:w="0" w:type="dxa"/>
                    <w:left w:w="51" w:type="dxa"/>
                    <w:bottom w:w="0" w:type="dxa"/>
                    <w:right w:w="51" w:type="dxa"/>
                  </w:tcMar>
                  <w:vAlign w:val="center"/>
                </w:tcPr>
                <w:p w14:paraId="00CB7CE1">
                  <w:pPr>
                    <w:pStyle w:val="8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收集暂存于一般固废暂存区，外售物资综合回收单位利用</w:t>
                  </w:r>
                </w:p>
              </w:tc>
            </w:tr>
            <w:tr w14:paraId="61197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tcMar>
                    <w:top w:w="0" w:type="dxa"/>
                    <w:left w:w="51" w:type="dxa"/>
                    <w:bottom w:w="0" w:type="dxa"/>
                    <w:right w:w="51" w:type="dxa"/>
                  </w:tcMar>
                  <w:vAlign w:val="center"/>
                </w:tcPr>
                <w:p w14:paraId="33576316">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4</w:t>
                  </w:r>
                </w:p>
              </w:tc>
              <w:tc>
                <w:tcPr>
                  <w:tcW w:w="854" w:type="dxa"/>
                  <w:tcMar>
                    <w:top w:w="0" w:type="dxa"/>
                    <w:left w:w="51" w:type="dxa"/>
                    <w:bottom w:w="0" w:type="dxa"/>
                    <w:right w:w="51" w:type="dxa"/>
                  </w:tcMar>
                  <w:vAlign w:val="center"/>
                </w:tcPr>
                <w:p w14:paraId="39693481">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color w:val="auto"/>
                      <w:kern w:val="0"/>
                      <w:szCs w:val="21"/>
                    </w:rPr>
                    <w:t>噪声</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34FF510F">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highlight w:val="yellow"/>
                    </w:rPr>
                  </w:pPr>
                  <w:r>
                    <w:rPr>
                      <w:rFonts w:hint="eastAsia"/>
                      <w:color w:val="auto"/>
                      <w:kern w:val="0"/>
                      <w:szCs w:val="21"/>
                    </w:rPr>
                    <w:t>机械设备运行</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3650C799">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kern w:val="0"/>
                      <w:szCs w:val="21"/>
                    </w:rPr>
                    <w:t>噪声</w:t>
                  </w:r>
                </w:p>
              </w:tc>
              <w:tc>
                <w:tcPr>
                  <w:tcW w:w="3682" w:type="dxa"/>
                  <w:tcBorders>
                    <w:left w:val="single" w:color="000000" w:sz="4" w:space="0"/>
                  </w:tcBorders>
                  <w:tcMar>
                    <w:top w:w="0" w:type="dxa"/>
                    <w:left w:w="51" w:type="dxa"/>
                    <w:bottom w:w="0" w:type="dxa"/>
                    <w:right w:w="51" w:type="dxa"/>
                  </w:tcMar>
                  <w:vAlign w:val="center"/>
                </w:tcPr>
                <w:p w14:paraId="6AF25C0D">
                  <w:pPr>
                    <w:keepNext w:val="0"/>
                    <w:keepLines w:val="0"/>
                    <w:pageBreakBefore w:val="0"/>
                    <w:widowControl/>
                    <w:kinsoku/>
                    <w:wordWrap/>
                    <w:overflowPunct/>
                    <w:topLinePunct w:val="0"/>
                    <w:autoSpaceDE/>
                    <w:autoSpaceDN/>
                    <w:bidi w:val="0"/>
                    <w:adjustRightInd/>
                    <w:snapToGrid/>
                    <w:spacing w:line="340" w:lineRule="exact"/>
                    <w:jc w:val="center"/>
                    <w:textAlignment w:val="auto"/>
                    <w:rPr>
                      <w:color w:val="auto"/>
                      <w:kern w:val="0"/>
                      <w:szCs w:val="21"/>
                    </w:rPr>
                  </w:pPr>
                  <w:r>
                    <w:rPr>
                      <w:rFonts w:hint="eastAsia"/>
                      <w:color w:val="auto"/>
                      <w:szCs w:val="21"/>
                    </w:rPr>
                    <w:t>选用低噪声设备，</w:t>
                  </w:r>
                  <w:r>
                    <w:rPr>
                      <w:color w:val="auto"/>
                      <w:szCs w:val="21"/>
                    </w:rPr>
                    <w:t>厂房隔声、</w:t>
                  </w:r>
                  <w:r>
                    <w:rPr>
                      <w:rFonts w:hint="eastAsia"/>
                      <w:color w:val="auto"/>
                      <w:szCs w:val="21"/>
                    </w:rPr>
                    <w:t>高噪声</w:t>
                  </w:r>
                  <w:r>
                    <w:rPr>
                      <w:color w:val="auto"/>
                      <w:szCs w:val="21"/>
                    </w:rPr>
                    <w:t>设备基础减振等措施</w:t>
                  </w:r>
                </w:p>
              </w:tc>
            </w:tr>
          </w:tbl>
          <w:p w14:paraId="64F6D93A">
            <w:pPr>
              <w:pStyle w:val="77"/>
              <w:spacing w:line="360" w:lineRule="auto"/>
              <w:ind w:firstLine="422" w:firstLineChars="200"/>
              <w:jc w:val="left"/>
              <w:rPr>
                <w:color w:val="auto"/>
              </w:rPr>
            </w:pPr>
          </w:p>
        </w:tc>
      </w:tr>
      <w:tr w14:paraId="758F1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7781E58">
            <w:pPr>
              <w:pStyle w:val="31"/>
              <w:spacing w:before="0" w:beforeAutospacing="0" w:after="0" w:afterAutospacing="0"/>
              <w:jc w:val="center"/>
              <w:rPr>
                <w:rFonts w:cs="宋体"/>
                <w:color w:val="auto"/>
                <w:kern w:val="21"/>
                <w:szCs w:val="24"/>
              </w:rPr>
            </w:pPr>
            <w:r>
              <w:rPr>
                <w:rFonts w:ascii="Times New Roman" w:hAnsi="Times New Roman"/>
                <w:color w:val="auto"/>
                <w:szCs w:val="24"/>
              </w:rPr>
              <w:t>与项目有关的原有环境污染问题</w:t>
            </w:r>
          </w:p>
        </w:tc>
        <w:tc>
          <w:tcPr>
            <w:tcW w:w="8280" w:type="dxa"/>
            <w:vAlign w:val="center"/>
          </w:tcPr>
          <w:p w14:paraId="492EE06A">
            <w:pPr>
              <w:pStyle w:val="68"/>
              <w:ind w:firstLine="0" w:firstLineChars="0"/>
              <w:rPr>
                <w:b/>
                <w:bCs/>
                <w:color w:val="auto"/>
                <w:kern w:val="2"/>
                <w:sz w:val="24"/>
                <w:szCs w:val="24"/>
              </w:rPr>
            </w:pPr>
            <w:r>
              <w:rPr>
                <w:rFonts w:hint="eastAsia"/>
                <w:b/>
                <w:bCs/>
                <w:color w:val="auto"/>
                <w:kern w:val="2"/>
                <w:sz w:val="24"/>
                <w:szCs w:val="24"/>
              </w:rPr>
              <w:t>2.1</w:t>
            </w:r>
            <w:r>
              <w:rPr>
                <w:rFonts w:hint="eastAsia"/>
                <w:b/>
                <w:bCs/>
                <w:color w:val="auto"/>
                <w:kern w:val="2"/>
                <w:sz w:val="24"/>
                <w:szCs w:val="24"/>
                <w:lang w:val="en-US" w:eastAsia="zh-CN"/>
              </w:rPr>
              <w:t>1</w:t>
            </w:r>
            <w:r>
              <w:rPr>
                <w:rFonts w:hint="eastAsia"/>
                <w:b/>
                <w:bCs/>
                <w:color w:val="auto"/>
                <w:kern w:val="2"/>
                <w:sz w:val="24"/>
                <w:szCs w:val="24"/>
              </w:rPr>
              <w:t>原有项目情况</w:t>
            </w:r>
          </w:p>
          <w:p w14:paraId="5F211005">
            <w:pPr>
              <w:pStyle w:val="115"/>
              <w:ind w:firstLine="480" w:firstLineChars="200"/>
              <w:textAlignment w:val="center"/>
              <w:rPr>
                <w:b w:val="0"/>
                <w:color w:val="auto"/>
              </w:rPr>
            </w:pPr>
            <w:bookmarkStart w:id="37" w:name="_Toc738"/>
            <w:bookmarkStart w:id="38" w:name="_Toc32094"/>
            <w:r>
              <w:rPr>
                <w:rFonts w:hint="eastAsia"/>
                <w:b w:val="0"/>
                <w:color w:val="auto"/>
              </w:rPr>
              <w:t>迁建前的项目位于福清市上迳镇官元村，建成年产钢筋混凝土排水管1万立方。本评价根据建设单位提供的环评文件等相关文件基础上对企业原有项目</w:t>
            </w:r>
            <w:r>
              <w:rPr>
                <w:rFonts w:hint="eastAsia"/>
                <w:b w:val="0"/>
                <w:color w:val="auto"/>
                <w:shd w:val="clear" w:fill="FFFFFF"/>
                <w:lang w:eastAsia="zh-CN"/>
              </w:rPr>
              <w:t>(</w:t>
            </w:r>
            <w:r>
              <w:rPr>
                <w:rFonts w:hint="eastAsia"/>
                <w:b w:val="0"/>
                <w:color w:val="auto"/>
              </w:rPr>
              <w:t>迁建前的项目</w:t>
            </w:r>
            <w:r>
              <w:rPr>
                <w:rFonts w:hint="eastAsia"/>
                <w:b w:val="0"/>
                <w:color w:val="auto"/>
                <w:shd w:val="clear" w:fill="FFFFFF"/>
                <w:lang w:eastAsia="zh-CN"/>
              </w:rPr>
              <w:t>)</w:t>
            </w:r>
            <w:r>
              <w:rPr>
                <w:rFonts w:hint="eastAsia"/>
                <w:b w:val="0"/>
                <w:color w:val="auto"/>
              </w:rPr>
              <w:t>工程情况进行回顾性分析。</w:t>
            </w:r>
            <w:bookmarkEnd w:id="37"/>
            <w:bookmarkEnd w:id="38"/>
          </w:p>
          <w:p w14:paraId="3359A6D9">
            <w:pPr>
              <w:pStyle w:val="115"/>
              <w:ind w:firstLine="482" w:firstLineChars="200"/>
              <w:textAlignment w:val="center"/>
              <w:rPr>
                <w:bCs/>
                <w:color w:val="auto"/>
              </w:rPr>
            </w:pPr>
            <w:bookmarkStart w:id="39" w:name="_Toc30750"/>
            <w:bookmarkStart w:id="40" w:name="_Toc17616"/>
            <w:r>
              <w:rPr>
                <w:rFonts w:hint="eastAsia"/>
                <w:bCs/>
                <w:color w:val="auto"/>
              </w:rPr>
              <w:t>1、原有项目环保手续</w:t>
            </w:r>
            <w:bookmarkEnd w:id="39"/>
            <w:bookmarkEnd w:id="40"/>
          </w:p>
          <w:p w14:paraId="1B79F0A9">
            <w:pPr>
              <w:pStyle w:val="115"/>
              <w:ind w:firstLine="480" w:firstLineChars="200"/>
              <w:textAlignment w:val="center"/>
              <w:rPr>
                <w:b w:val="0"/>
                <w:bCs/>
                <w:color w:val="auto"/>
              </w:rPr>
            </w:pPr>
            <w:bookmarkStart w:id="41" w:name="_Toc26359"/>
            <w:bookmarkStart w:id="42" w:name="_Toc19174"/>
            <w:r>
              <w:rPr>
                <w:b w:val="0"/>
                <w:bCs/>
                <w:color w:val="auto"/>
              </w:rPr>
              <w:t>福清市融大水泥制品有限公司</w:t>
            </w:r>
            <w:r>
              <w:rPr>
                <w:rFonts w:hint="eastAsia"/>
                <w:b w:val="0"/>
                <w:bCs/>
                <w:color w:val="auto"/>
              </w:rPr>
              <w:t>于2018年12月委托湖南大自然环保科技有限公司编制完成了《福清市融大水泥制品有限公司年产钢筋混凝土排水管1万立方项目环境影响报告表》，且于2019年3月8日通过福州市福清生态环境局的审批</w:t>
            </w:r>
            <w:r>
              <w:rPr>
                <w:rFonts w:hint="eastAsia"/>
                <w:b w:val="0"/>
                <w:bCs/>
                <w:color w:val="auto"/>
                <w:shd w:val="clear" w:fill="FFFFFF"/>
                <w:lang w:eastAsia="zh-CN"/>
              </w:rPr>
              <w:t>(</w:t>
            </w:r>
            <w:r>
              <w:rPr>
                <w:rFonts w:hint="eastAsia"/>
                <w:b w:val="0"/>
                <w:bCs/>
                <w:color w:val="auto"/>
              </w:rPr>
              <w:t>融环评表</w:t>
            </w:r>
            <w:r>
              <w:rPr>
                <w:rFonts w:hint="eastAsia"/>
                <w:b w:val="0"/>
                <w:bCs/>
                <w:color w:val="auto"/>
                <w:shd w:val="clear" w:fill="FFFFFF"/>
              </w:rPr>
              <w:t>[2019]19号</w:t>
            </w:r>
            <w:r>
              <w:rPr>
                <w:rFonts w:hint="eastAsia"/>
                <w:b w:val="0"/>
                <w:bCs/>
                <w:color w:val="auto"/>
                <w:shd w:val="clear" w:fill="FFFFFF"/>
                <w:lang w:eastAsia="zh-CN"/>
              </w:rPr>
              <w:t>)</w:t>
            </w:r>
            <w:r>
              <w:rPr>
                <w:rFonts w:hint="eastAsia"/>
                <w:b w:val="0"/>
                <w:bCs/>
                <w:color w:val="auto"/>
              </w:rPr>
              <w:t>。该项目位于福清市上迳镇官元村，建成后年产钢筋混凝土排水管1万立方，2020年11月，建设单位对该项目进行验收，2020年12月16日通过专家组验收，取得了《福清市融大水泥制品有限公司年产钢筋混凝土排水管1万立方项目竣工环境保护验收意见》</w:t>
            </w:r>
            <w:r>
              <w:rPr>
                <w:rFonts w:hint="eastAsia"/>
                <w:b w:val="0"/>
                <w:bCs/>
                <w:color w:val="auto"/>
                <w:shd w:val="clear" w:fill="FFFFFF"/>
                <w:lang w:eastAsia="zh-CN"/>
              </w:rPr>
              <w:t>(</w:t>
            </w:r>
            <w:r>
              <w:rPr>
                <w:rFonts w:hint="eastAsia"/>
                <w:b w:val="0"/>
                <w:bCs/>
                <w:color w:val="auto"/>
              </w:rPr>
              <w:t>验收意见</w:t>
            </w:r>
            <w:r>
              <w:rPr>
                <w:rFonts w:hint="eastAsia"/>
                <w:b w:val="0"/>
                <w:bCs/>
                <w:color w:val="auto"/>
                <w:shd w:val="clear" w:fill="FFFFFF"/>
                <w:lang w:eastAsia="zh-CN"/>
              </w:rPr>
              <w:t>)</w:t>
            </w:r>
            <w:r>
              <w:rPr>
                <w:rFonts w:hint="eastAsia"/>
                <w:b w:val="0"/>
                <w:bCs/>
                <w:color w:val="auto"/>
              </w:rPr>
              <w:t>。</w:t>
            </w:r>
            <w:bookmarkEnd w:id="41"/>
            <w:bookmarkEnd w:id="42"/>
          </w:p>
          <w:p w14:paraId="226A9BC2">
            <w:pPr>
              <w:pStyle w:val="115"/>
              <w:ind w:firstLine="482" w:firstLineChars="200"/>
              <w:textAlignment w:val="center"/>
              <w:rPr>
                <w:bCs/>
                <w:color w:val="auto"/>
              </w:rPr>
            </w:pPr>
            <w:bookmarkStart w:id="43" w:name="_Toc24620"/>
            <w:bookmarkStart w:id="44" w:name="_Toc14300"/>
            <w:r>
              <w:rPr>
                <w:rFonts w:hint="eastAsia"/>
                <w:bCs/>
                <w:color w:val="auto"/>
              </w:rPr>
              <w:t>2、原有项目生产工艺和产污环节</w:t>
            </w:r>
            <w:bookmarkEnd w:id="43"/>
            <w:bookmarkEnd w:id="44"/>
          </w:p>
          <w:p w14:paraId="0BF37C79">
            <w:pPr>
              <w:pStyle w:val="115"/>
              <w:jc w:val="center"/>
              <w:textAlignment w:val="center"/>
              <w:rPr>
                <w:b w:val="0"/>
                <w:bCs/>
                <w:color w:val="auto"/>
              </w:rPr>
            </w:pPr>
            <w:bookmarkStart w:id="45" w:name="_Toc4495"/>
            <w:bookmarkStart w:id="46" w:name="_Toc13166"/>
            <w:r>
              <w:rPr>
                <w:color w:val="auto"/>
              </w:rPr>
              <w:drawing>
                <wp:inline distT="0" distB="0" distL="114300" distR="114300">
                  <wp:extent cx="5113655" cy="3338830"/>
                  <wp:effectExtent l="0" t="0" r="10795" b="1397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5" cstate="print"/>
                          <a:stretch>
                            <a:fillRect/>
                          </a:stretch>
                        </pic:blipFill>
                        <pic:spPr>
                          <a:xfrm>
                            <a:off x="0" y="0"/>
                            <a:ext cx="5113655" cy="3338830"/>
                          </a:xfrm>
                          <a:prstGeom prst="rect">
                            <a:avLst/>
                          </a:prstGeom>
                          <a:noFill/>
                          <a:ln>
                            <a:noFill/>
                          </a:ln>
                        </pic:spPr>
                      </pic:pic>
                    </a:graphicData>
                  </a:graphic>
                </wp:inline>
              </w:drawing>
            </w:r>
            <w:bookmarkEnd w:id="45"/>
            <w:bookmarkEnd w:id="46"/>
          </w:p>
          <w:p w14:paraId="77F02160">
            <w:pPr>
              <w:pStyle w:val="68"/>
              <w:ind w:firstLine="482"/>
              <w:jc w:val="center"/>
              <w:rPr>
                <w:b/>
                <w:color w:val="auto"/>
                <w:sz w:val="24"/>
                <w:szCs w:val="24"/>
              </w:rPr>
            </w:pPr>
            <w:r>
              <w:rPr>
                <w:rFonts w:hint="eastAsia"/>
                <w:b/>
                <w:color w:val="auto"/>
                <w:sz w:val="24"/>
                <w:szCs w:val="24"/>
              </w:rPr>
              <w:t>图2.1</w:t>
            </w:r>
            <w:r>
              <w:rPr>
                <w:rFonts w:hint="eastAsia"/>
                <w:b/>
                <w:color w:val="auto"/>
                <w:sz w:val="24"/>
                <w:szCs w:val="24"/>
                <w:lang w:val="en-US" w:eastAsia="zh-CN"/>
              </w:rPr>
              <w:t>1</w:t>
            </w:r>
            <w:r>
              <w:rPr>
                <w:rFonts w:hint="eastAsia"/>
                <w:b/>
                <w:color w:val="auto"/>
                <w:sz w:val="24"/>
                <w:szCs w:val="24"/>
              </w:rPr>
              <w:t xml:space="preserve">-1 </w:t>
            </w:r>
            <w:r>
              <w:rPr>
                <w:b/>
                <w:color w:val="auto"/>
                <w:sz w:val="24"/>
                <w:szCs w:val="24"/>
              </w:rPr>
              <w:t xml:space="preserve"> </w:t>
            </w:r>
            <w:r>
              <w:rPr>
                <w:rFonts w:hint="eastAsia"/>
                <w:b/>
                <w:color w:val="auto"/>
                <w:sz w:val="24"/>
                <w:szCs w:val="24"/>
              </w:rPr>
              <w:t>原有项目生产工艺和产污环节图</w:t>
            </w:r>
          </w:p>
          <w:p w14:paraId="52A9809C">
            <w:pPr>
              <w:spacing w:line="360" w:lineRule="auto"/>
              <w:ind w:firstLine="482" w:firstLineChars="200"/>
              <w:rPr>
                <w:b/>
                <w:color w:val="auto"/>
                <w:sz w:val="24"/>
              </w:rPr>
            </w:pPr>
            <w:r>
              <w:rPr>
                <w:rFonts w:hint="eastAsia"/>
                <w:b/>
                <w:color w:val="auto"/>
                <w:sz w:val="24"/>
              </w:rPr>
              <w:t>工艺流程简述：</w:t>
            </w:r>
          </w:p>
          <w:p w14:paraId="381376FC">
            <w:pPr>
              <w:spacing w:line="360" w:lineRule="auto"/>
              <w:ind w:firstLine="480" w:firstLineChars="200"/>
              <w:rPr>
                <w:bCs/>
                <w:color w:val="auto"/>
                <w:sz w:val="24"/>
              </w:rPr>
            </w:pPr>
            <w:r>
              <w:rPr>
                <w:bCs/>
                <w:color w:val="auto"/>
                <w:sz w:val="24"/>
              </w:rPr>
              <w:t>①</w:t>
            </w:r>
            <w:r>
              <w:rPr>
                <w:rFonts w:hint="eastAsia"/>
                <w:bCs/>
                <w:color w:val="auto"/>
                <w:sz w:val="24"/>
              </w:rPr>
              <w:t>来料：原材料运输过程主要采用汽车运输方式。</w:t>
            </w:r>
          </w:p>
          <w:p w14:paraId="2B2A4347">
            <w:pPr>
              <w:spacing w:line="360" w:lineRule="auto"/>
              <w:ind w:firstLine="480" w:firstLineChars="200"/>
              <w:rPr>
                <w:bCs/>
                <w:color w:val="auto"/>
                <w:sz w:val="24"/>
              </w:rPr>
            </w:pPr>
            <w:r>
              <w:rPr>
                <w:rFonts w:hint="eastAsia"/>
                <w:bCs/>
                <w:color w:val="auto"/>
                <w:sz w:val="24"/>
              </w:rPr>
              <w:t>石子、砂子原料的运输储存：石子、砂子运输过程采用帆布遮盖，运至露天石子、砂子堆场堆放，堆场定期喷水，保持堆料表层湿润，保持表层含水率≥10%；石子、砂子物料在卸料时，洒水抑尘。</w:t>
            </w:r>
          </w:p>
          <w:p w14:paraId="2048DAA3">
            <w:pPr>
              <w:spacing w:line="360" w:lineRule="auto"/>
              <w:ind w:firstLine="480" w:firstLineChars="200"/>
              <w:rPr>
                <w:bCs/>
                <w:color w:val="auto"/>
                <w:sz w:val="24"/>
              </w:rPr>
            </w:pPr>
            <w:r>
              <w:rPr>
                <w:rFonts w:hint="eastAsia"/>
                <w:bCs/>
                <w:color w:val="auto"/>
                <w:sz w:val="24"/>
              </w:rPr>
              <w:t>水泥原料的运输储存：采用密闭罐车运输至厂内，</w:t>
            </w:r>
            <w:r>
              <w:rPr>
                <w:rFonts w:hint="eastAsia"/>
                <w:color w:val="auto"/>
                <w:sz w:val="24"/>
              </w:rPr>
              <w:t>通过泵连接管道采用负压方式将水泥粉料打入水泥罐中，卸料过程为密闭。</w:t>
            </w:r>
          </w:p>
          <w:p w14:paraId="2FD7C845">
            <w:pPr>
              <w:spacing w:line="360" w:lineRule="auto"/>
              <w:ind w:firstLine="480" w:firstLineChars="200"/>
              <w:rPr>
                <w:bCs/>
                <w:color w:val="auto"/>
                <w:sz w:val="24"/>
              </w:rPr>
            </w:pPr>
            <w:r>
              <w:rPr>
                <w:rFonts w:hint="eastAsia"/>
                <w:bCs/>
                <w:color w:val="auto"/>
                <w:sz w:val="24"/>
              </w:rPr>
              <w:t>②</w:t>
            </w:r>
            <w:r>
              <w:rPr>
                <w:bCs/>
                <w:color w:val="auto"/>
                <w:sz w:val="24"/>
              </w:rPr>
              <w:t>配料、搅拌</w:t>
            </w:r>
          </w:p>
          <w:p w14:paraId="5348B78F">
            <w:pPr>
              <w:spacing w:line="360" w:lineRule="auto"/>
              <w:ind w:firstLine="480" w:firstLineChars="200"/>
              <w:rPr>
                <w:bCs/>
                <w:color w:val="auto"/>
                <w:sz w:val="24"/>
              </w:rPr>
            </w:pPr>
            <w:r>
              <w:rPr>
                <w:rFonts w:hint="eastAsia"/>
                <w:bCs/>
                <w:color w:val="auto"/>
                <w:sz w:val="24"/>
                <w:lang w:eastAsia="zh-CN"/>
              </w:rPr>
              <w:t>迁建项目</w:t>
            </w:r>
            <w:r>
              <w:rPr>
                <w:bCs/>
                <w:color w:val="auto"/>
                <w:sz w:val="24"/>
              </w:rPr>
              <w:t>生产过程中使用的石子</w:t>
            </w:r>
            <w:r>
              <w:rPr>
                <w:rFonts w:hint="eastAsia"/>
                <w:bCs/>
                <w:color w:val="auto"/>
                <w:sz w:val="24"/>
              </w:rPr>
              <w:t>、砂子均采用皮带传输系统，</w:t>
            </w:r>
            <w:r>
              <w:rPr>
                <w:bCs/>
                <w:color w:val="auto"/>
                <w:sz w:val="24"/>
              </w:rPr>
              <w:t>经皮带输送至备料斗内，备料斗</w:t>
            </w:r>
            <w:r>
              <w:rPr>
                <w:rFonts w:hint="eastAsia"/>
                <w:bCs/>
                <w:color w:val="auto"/>
                <w:sz w:val="24"/>
                <w:lang w:eastAsia="zh-CN"/>
              </w:rPr>
              <w:t>再</w:t>
            </w:r>
            <w:r>
              <w:rPr>
                <w:rFonts w:hint="eastAsia"/>
                <w:bCs/>
                <w:color w:val="auto"/>
                <w:sz w:val="24"/>
              </w:rPr>
              <w:t>输送</w:t>
            </w:r>
            <w:r>
              <w:rPr>
                <w:bCs/>
                <w:color w:val="auto"/>
                <w:sz w:val="24"/>
              </w:rPr>
              <w:t>至搅拌机内，在投入混凝土配料</w:t>
            </w:r>
            <w:r>
              <w:rPr>
                <w:rFonts w:hint="eastAsia"/>
                <w:bCs/>
                <w:color w:val="auto"/>
                <w:sz w:val="24"/>
              </w:rPr>
              <w:t>斗</w:t>
            </w:r>
            <w:r>
              <w:rPr>
                <w:bCs/>
                <w:color w:val="auto"/>
                <w:sz w:val="24"/>
              </w:rPr>
              <w:t>的过程中会产生粉尘</w:t>
            </w:r>
            <w:r>
              <w:rPr>
                <w:rFonts w:hint="eastAsia"/>
                <w:bCs/>
                <w:color w:val="auto"/>
                <w:sz w:val="24"/>
                <w:shd w:val="clear" w:fill="FFFFFF"/>
                <w:lang w:eastAsia="zh-CN"/>
              </w:rPr>
              <w:t>(</w:t>
            </w:r>
            <w:r>
              <w:rPr>
                <w:bCs/>
                <w:color w:val="auto"/>
                <w:sz w:val="24"/>
              </w:rPr>
              <w:t>计入</w:t>
            </w:r>
            <w:r>
              <w:rPr>
                <w:rFonts w:hint="eastAsia"/>
                <w:bCs/>
                <w:color w:val="auto"/>
                <w:sz w:val="24"/>
              </w:rPr>
              <w:t>混合</w:t>
            </w:r>
            <w:r>
              <w:rPr>
                <w:bCs/>
                <w:color w:val="auto"/>
                <w:sz w:val="24"/>
              </w:rPr>
              <w:t>搅拌工序中</w:t>
            </w:r>
            <w:r>
              <w:rPr>
                <w:rFonts w:hint="eastAsia"/>
                <w:bCs/>
                <w:color w:val="auto"/>
                <w:sz w:val="24"/>
                <w:shd w:val="clear" w:fill="FFFFFF"/>
                <w:lang w:eastAsia="zh-CN"/>
              </w:rPr>
              <w:t>)</w:t>
            </w:r>
            <w:r>
              <w:rPr>
                <w:bCs/>
                <w:color w:val="auto"/>
                <w:sz w:val="24"/>
              </w:rPr>
              <w:t>，</w:t>
            </w:r>
            <w:r>
              <w:rPr>
                <w:rFonts w:hint="eastAsia"/>
                <w:bCs/>
                <w:color w:val="auto"/>
                <w:sz w:val="24"/>
              </w:rPr>
              <w:t>进料、下料和转运的上方加装半密闭的防尘罩；</w:t>
            </w:r>
            <w:r>
              <w:rPr>
                <w:bCs/>
                <w:color w:val="auto"/>
                <w:sz w:val="24"/>
              </w:rPr>
              <w:t>水泥储存在水泥</w:t>
            </w:r>
            <w:r>
              <w:rPr>
                <w:rFonts w:hint="eastAsia"/>
                <w:bCs/>
                <w:color w:val="auto"/>
                <w:sz w:val="24"/>
              </w:rPr>
              <w:t>罐</w:t>
            </w:r>
            <w:r>
              <w:rPr>
                <w:bCs/>
                <w:color w:val="auto"/>
                <w:sz w:val="24"/>
              </w:rPr>
              <w:t>内通过密闭管道直接输送至搅拌机内</w:t>
            </w:r>
            <w:r>
              <w:rPr>
                <w:rFonts w:hint="eastAsia"/>
                <w:bCs/>
                <w:color w:val="auto"/>
                <w:sz w:val="24"/>
              </w:rPr>
              <w:t>，水泥输料系统、计量系统均采用密闭式管道输料；</w:t>
            </w:r>
            <w:r>
              <w:rPr>
                <w:bCs/>
                <w:color w:val="auto"/>
                <w:sz w:val="24"/>
              </w:rPr>
              <w:t>水通过自来水管道输送</w:t>
            </w:r>
            <w:r>
              <w:rPr>
                <w:rFonts w:hint="eastAsia"/>
                <w:bCs/>
                <w:color w:val="auto"/>
                <w:sz w:val="24"/>
              </w:rPr>
              <w:t>；</w:t>
            </w:r>
            <w:r>
              <w:rPr>
                <w:bCs/>
                <w:color w:val="auto"/>
                <w:sz w:val="24"/>
              </w:rPr>
              <w:t>水泥、石子</w:t>
            </w:r>
            <w:r>
              <w:rPr>
                <w:rFonts w:hint="eastAsia"/>
                <w:bCs/>
                <w:color w:val="auto"/>
                <w:sz w:val="24"/>
              </w:rPr>
              <w:t>、砂子</w:t>
            </w:r>
            <w:r>
              <w:rPr>
                <w:bCs/>
                <w:color w:val="auto"/>
                <w:sz w:val="24"/>
              </w:rPr>
              <w:t>和水送入搅拌机后</w:t>
            </w:r>
            <w:r>
              <w:rPr>
                <w:rFonts w:hint="eastAsia"/>
                <w:bCs/>
                <w:color w:val="auto"/>
                <w:sz w:val="24"/>
              </w:rPr>
              <w:t>密闭</w:t>
            </w:r>
            <w:r>
              <w:rPr>
                <w:bCs/>
                <w:color w:val="auto"/>
                <w:sz w:val="24"/>
              </w:rPr>
              <w:t>搅拌成混凝土，在搅拌的过程中</w:t>
            </w:r>
            <w:r>
              <w:rPr>
                <w:rFonts w:hint="eastAsia"/>
                <w:bCs/>
                <w:color w:val="auto"/>
                <w:sz w:val="24"/>
              </w:rPr>
              <w:t>会产生少量</w:t>
            </w:r>
            <w:r>
              <w:rPr>
                <w:bCs/>
                <w:color w:val="auto"/>
                <w:sz w:val="24"/>
              </w:rPr>
              <w:t>粉尘</w:t>
            </w:r>
            <w:r>
              <w:rPr>
                <w:rFonts w:hint="eastAsia"/>
                <w:bCs/>
                <w:color w:val="auto"/>
                <w:sz w:val="24"/>
              </w:rPr>
              <w:t>和</w:t>
            </w:r>
            <w:r>
              <w:rPr>
                <w:bCs/>
                <w:color w:val="auto"/>
                <w:sz w:val="24"/>
              </w:rPr>
              <w:t>噪声，水泥</w:t>
            </w:r>
            <w:r>
              <w:rPr>
                <w:rFonts w:hint="eastAsia"/>
                <w:bCs/>
                <w:color w:val="auto"/>
                <w:sz w:val="24"/>
              </w:rPr>
              <w:t>罐</w:t>
            </w:r>
            <w:r>
              <w:rPr>
                <w:bCs/>
                <w:color w:val="auto"/>
                <w:sz w:val="24"/>
              </w:rPr>
              <w:t>会产生呼吸粉尘。</w:t>
            </w:r>
          </w:p>
          <w:p w14:paraId="715D9843">
            <w:pPr>
              <w:spacing w:line="360" w:lineRule="auto"/>
              <w:ind w:firstLine="480" w:firstLineChars="200"/>
              <w:rPr>
                <w:bCs/>
                <w:color w:val="auto"/>
                <w:sz w:val="24"/>
              </w:rPr>
            </w:pPr>
            <w:r>
              <w:rPr>
                <w:bCs/>
                <w:color w:val="auto"/>
                <w:sz w:val="24"/>
              </w:rPr>
              <w:fldChar w:fldCharType="begin"/>
            </w:r>
            <w:r>
              <w:rPr>
                <w:bCs/>
                <w:color w:val="auto"/>
                <w:sz w:val="24"/>
              </w:rPr>
              <w:instrText xml:space="preserve"> = 3 \* GB3 \* MERGEFORMAT </w:instrText>
            </w:r>
            <w:r>
              <w:rPr>
                <w:bCs/>
                <w:color w:val="auto"/>
                <w:sz w:val="24"/>
              </w:rPr>
              <w:fldChar w:fldCharType="separate"/>
            </w:r>
            <w:r>
              <w:rPr>
                <w:color w:val="auto"/>
                <w:sz w:val="24"/>
              </w:rPr>
              <w:t>③</w:t>
            </w:r>
            <w:r>
              <w:rPr>
                <w:bCs/>
                <w:color w:val="auto"/>
                <w:sz w:val="24"/>
              </w:rPr>
              <w:fldChar w:fldCharType="end"/>
            </w:r>
            <w:r>
              <w:rPr>
                <w:bCs/>
                <w:color w:val="auto"/>
                <w:sz w:val="24"/>
              </w:rPr>
              <w:t>钢筋加工</w:t>
            </w:r>
          </w:p>
          <w:p w14:paraId="3E9643B6">
            <w:pPr>
              <w:spacing w:line="360" w:lineRule="auto"/>
              <w:ind w:firstLine="480" w:firstLineChars="200"/>
              <w:rPr>
                <w:bCs/>
                <w:color w:val="auto"/>
                <w:sz w:val="24"/>
              </w:rPr>
            </w:pPr>
            <w:r>
              <w:rPr>
                <w:bCs/>
                <w:color w:val="auto"/>
                <w:sz w:val="24"/>
              </w:rPr>
              <w:t>钢筋骨架的主筋由人工穿过固定旋转盘相应模板圆孔至移动旋转盘的相应孔中进行固定，把盘筋端先焊接在一根主筋上，然后通过固定旋转盘及移动旋转盘转动把盘筋缠绕在主筋上</w:t>
            </w:r>
            <w:r>
              <w:rPr>
                <w:rFonts w:hint="eastAsia"/>
                <w:bCs/>
                <w:color w:val="auto"/>
                <w:sz w:val="24"/>
                <w:shd w:val="clear" w:fill="FFFFFF"/>
                <w:lang w:eastAsia="zh-CN"/>
              </w:rPr>
              <w:t>(</w:t>
            </w:r>
            <w:r>
              <w:rPr>
                <w:bCs/>
                <w:color w:val="auto"/>
                <w:sz w:val="24"/>
              </w:rPr>
              <w:t>移动旋转盘一边旋转一边后移</w:t>
            </w:r>
            <w:r>
              <w:rPr>
                <w:rFonts w:hint="eastAsia"/>
                <w:bCs/>
                <w:color w:val="auto"/>
                <w:sz w:val="24"/>
                <w:shd w:val="clear" w:fill="FFFFFF"/>
                <w:lang w:eastAsia="zh-CN"/>
              </w:rPr>
              <w:t>)</w:t>
            </w:r>
            <w:r>
              <w:rPr>
                <w:bCs/>
                <w:color w:val="auto"/>
                <w:sz w:val="24"/>
              </w:rPr>
              <w:t>，同时进行焊接，从而形成钢筋骨架。此过程产生</w:t>
            </w:r>
            <w:r>
              <w:rPr>
                <w:rFonts w:hint="eastAsia"/>
                <w:bCs/>
                <w:color w:val="auto"/>
                <w:sz w:val="24"/>
              </w:rPr>
              <w:t>焊接烟尘、</w:t>
            </w:r>
            <w:r>
              <w:rPr>
                <w:bCs/>
                <w:color w:val="auto"/>
                <w:sz w:val="24"/>
              </w:rPr>
              <w:t>噪声和</w:t>
            </w:r>
            <w:r>
              <w:rPr>
                <w:rFonts w:hint="eastAsia"/>
                <w:bCs/>
                <w:color w:val="auto"/>
                <w:sz w:val="24"/>
              </w:rPr>
              <w:t>钢筋边角料</w:t>
            </w:r>
            <w:r>
              <w:rPr>
                <w:bCs/>
                <w:color w:val="auto"/>
                <w:sz w:val="24"/>
              </w:rPr>
              <w:t>。</w:t>
            </w:r>
          </w:p>
          <w:p w14:paraId="66A3F503">
            <w:pPr>
              <w:spacing w:line="360" w:lineRule="auto"/>
              <w:ind w:firstLine="480" w:firstLineChars="200"/>
              <w:rPr>
                <w:bCs/>
                <w:color w:val="auto"/>
                <w:sz w:val="24"/>
              </w:rPr>
            </w:pPr>
            <w:r>
              <w:rPr>
                <w:rFonts w:hint="eastAsia"/>
                <w:color w:val="auto"/>
                <w:sz w:val="24"/>
              </w:rPr>
              <w:fldChar w:fldCharType="begin"/>
            </w:r>
            <w:r>
              <w:rPr>
                <w:rFonts w:hint="eastAsia"/>
                <w:color w:val="auto"/>
                <w:sz w:val="24"/>
              </w:rPr>
              <w:instrText xml:space="preserve"> = 4 \* GB3 \* MERGEFORMAT </w:instrText>
            </w:r>
            <w:r>
              <w:rPr>
                <w:rFonts w:hint="eastAsia"/>
                <w:color w:val="auto"/>
                <w:sz w:val="24"/>
              </w:rPr>
              <w:fldChar w:fldCharType="separate"/>
            </w:r>
            <w:r>
              <w:rPr>
                <w:color w:val="auto"/>
                <w:sz w:val="24"/>
              </w:rPr>
              <w:t>④</w:t>
            </w:r>
            <w:r>
              <w:rPr>
                <w:rFonts w:hint="eastAsia"/>
                <w:color w:val="auto"/>
                <w:sz w:val="24"/>
              </w:rPr>
              <w:fldChar w:fldCharType="end"/>
            </w:r>
            <w:r>
              <w:rPr>
                <w:rFonts w:hint="eastAsia"/>
                <w:bCs/>
                <w:color w:val="auto"/>
                <w:sz w:val="24"/>
              </w:rPr>
              <w:t>装模</w:t>
            </w:r>
          </w:p>
          <w:p w14:paraId="2CF433E6">
            <w:pPr>
              <w:spacing w:line="360" w:lineRule="auto"/>
              <w:ind w:firstLine="480" w:firstLineChars="200"/>
              <w:rPr>
                <w:bCs/>
                <w:color w:val="auto"/>
                <w:sz w:val="24"/>
              </w:rPr>
            </w:pPr>
            <w:r>
              <w:rPr>
                <w:bCs/>
                <w:color w:val="auto"/>
                <w:sz w:val="24"/>
              </w:rPr>
              <w:t>模具采用两个半模进行拼装，将制作好的钢筋骨架放入模具中，将各个部位的连接紧固牢靠，把</w:t>
            </w:r>
            <w:r>
              <w:rPr>
                <w:bCs/>
                <w:color w:val="auto"/>
                <w:sz w:val="24"/>
                <w:shd w:val="clear" w:fill="FFFFFF"/>
              </w:rPr>
              <w:t>合好的</w:t>
            </w:r>
            <w:r>
              <w:rPr>
                <w:bCs/>
                <w:color w:val="auto"/>
                <w:sz w:val="24"/>
              </w:rPr>
              <w:t>模具通过叉车放到制管机工作台上。</w:t>
            </w:r>
          </w:p>
          <w:p w14:paraId="1DB17910">
            <w:pPr>
              <w:spacing w:line="360" w:lineRule="auto"/>
              <w:ind w:firstLine="480" w:firstLineChars="200"/>
              <w:rPr>
                <w:bCs/>
                <w:color w:val="auto"/>
                <w:sz w:val="24"/>
              </w:rPr>
            </w:pPr>
            <w:r>
              <w:rPr>
                <w:rFonts w:hint="eastAsia"/>
                <w:color w:val="auto"/>
                <w:sz w:val="24"/>
              </w:rPr>
              <w:t>⑤</w:t>
            </w:r>
            <w:r>
              <w:rPr>
                <w:bCs/>
                <w:color w:val="auto"/>
                <w:sz w:val="24"/>
              </w:rPr>
              <w:t>成型</w:t>
            </w:r>
          </w:p>
          <w:p w14:paraId="3B227EA5">
            <w:pPr>
              <w:spacing w:line="360" w:lineRule="auto"/>
              <w:ind w:firstLine="480" w:firstLineChars="200"/>
              <w:rPr>
                <w:bCs/>
                <w:color w:val="auto"/>
                <w:sz w:val="24"/>
              </w:rPr>
            </w:pPr>
            <w:r>
              <w:rPr>
                <w:rFonts w:hint="eastAsia"/>
                <w:bCs/>
                <w:color w:val="auto"/>
                <w:sz w:val="24"/>
                <w:lang w:eastAsia="zh-CN"/>
              </w:rPr>
              <w:t>迁建项目</w:t>
            </w:r>
            <w:r>
              <w:rPr>
                <w:bCs/>
                <w:color w:val="auto"/>
                <w:sz w:val="24"/>
              </w:rPr>
              <w:t>水泥顶管和水泥排水管采用</w:t>
            </w:r>
            <w:r>
              <w:rPr>
                <w:rFonts w:hint="eastAsia"/>
                <w:bCs/>
                <w:color w:val="auto"/>
                <w:sz w:val="24"/>
              </w:rPr>
              <w:t>离心成型机</w:t>
            </w:r>
            <w:r>
              <w:rPr>
                <w:bCs/>
                <w:color w:val="auto"/>
                <w:sz w:val="24"/>
              </w:rPr>
              <w:t>成型。</w:t>
            </w:r>
          </w:p>
          <w:p w14:paraId="38FB1AFB">
            <w:pPr>
              <w:spacing w:line="360" w:lineRule="auto"/>
              <w:ind w:firstLine="480" w:firstLineChars="200"/>
              <w:rPr>
                <w:bCs/>
                <w:color w:val="auto"/>
                <w:sz w:val="24"/>
              </w:rPr>
            </w:pPr>
            <w:r>
              <w:rPr>
                <w:rFonts w:hint="eastAsia"/>
                <w:color w:val="auto"/>
                <w:sz w:val="24"/>
              </w:rPr>
              <w:fldChar w:fldCharType="begin"/>
            </w:r>
            <w:r>
              <w:rPr>
                <w:rFonts w:hint="eastAsia"/>
                <w:color w:val="auto"/>
                <w:sz w:val="24"/>
              </w:rPr>
              <w:instrText xml:space="preserve"> = 6 \* GB3 \* MERGEFORMAT </w:instrText>
            </w:r>
            <w:r>
              <w:rPr>
                <w:rFonts w:hint="eastAsia"/>
                <w:color w:val="auto"/>
                <w:sz w:val="24"/>
              </w:rPr>
              <w:fldChar w:fldCharType="separate"/>
            </w:r>
            <w:r>
              <w:rPr>
                <w:rFonts w:hint="eastAsia"/>
                <w:color w:val="auto"/>
                <w:sz w:val="24"/>
              </w:rPr>
              <w:t>⑥</w:t>
            </w:r>
            <w:r>
              <w:rPr>
                <w:rFonts w:hint="eastAsia"/>
                <w:color w:val="auto"/>
                <w:sz w:val="24"/>
              </w:rPr>
              <w:fldChar w:fldCharType="end"/>
            </w:r>
            <w:r>
              <w:rPr>
                <w:rFonts w:hint="eastAsia"/>
                <w:bCs/>
                <w:color w:val="auto"/>
                <w:sz w:val="24"/>
              </w:rPr>
              <w:t>拆</w:t>
            </w:r>
            <w:r>
              <w:rPr>
                <w:bCs/>
                <w:color w:val="auto"/>
                <w:sz w:val="24"/>
              </w:rPr>
              <w:t>模、养护</w:t>
            </w:r>
          </w:p>
          <w:p w14:paraId="3B907B95">
            <w:pPr>
              <w:spacing w:line="360" w:lineRule="auto"/>
              <w:ind w:firstLine="480" w:firstLineChars="200"/>
              <w:rPr>
                <w:bCs/>
                <w:color w:val="auto"/>
                <w:sz w:val="24"/>
              </w:rPr>
            </w:pPr>
            <w:r>
              <w:rPr>
                <w:bCs/>
                <w:color w:val="auto"/>
                <w:sz w:val="24"/>
              </w:rPr>
              <w:t>成型完毕的水泥制品通过叉车运送至成品区，并立即</w:t>
            </w:r>
            <w:r>
              <w:rPr>
                <w:rFonts w:hint="eastAsia"/>
                <w:bCs/>
                <w:color w:val="auto"/>
                <w:sz w:val="24"/>
              </w:rPr>
              <w:t>拆</w:t>
            </w:r>
            <w:r>
              <w:rPr>
                <w:bCs/>
                <w:color w:val="auto"/>
                <w:sz w:val="24"/>
              </w:rPr>
              <w:t>模</w:t>
            </w:r>
            <w:r>
              <w:rPr>
                <w:rFonts w:hint="eastAsia"/>
                <w:bCs/>
                <w:color w:val="auto"/>
                <w:sz w:val="24"/>
              </w:rPr>
              <w:t>，</w:t>
            </w:r>
            <w:r>
              <w:rPr>
                <w:bCs/>
                <w:color w:val="auto"/>
                <w:sz w:val="24"/>
              </w:rPr>
              <w:t>水泥制品</w:t>
            </w:r>
            <w:r>
              <w:rPr>
                <w:rFonts w:hint="eastAsia"/>
                <w:bCs/>
                <w:color w:val="auto"/>
                <w:sz w:val="24"/>
              </w:rPr>
              <w:t>再</w:t>
            </w:r>
            <w:r>
              <w:rPr>
                <w:bCs/>
                <w:color w:val="auto"/>
                <w:sz w:val="24"/>
              </w:rPr>
              <w:t>进行自然养护，强度达到98%以上后，即得到成品。</w:t>
            </w:r>
            <w:r>
              <w:rPr>
                <w:rFonts w:hint="eastAsia"/>
                <w:bCs/>
                <w:color w:val="auto"/>
                <w:sz w:val="24"/>
                <w:lang w:eastAsia="zh-CN"/>
              </w:rPr>
              <w:t>模具长时间使用可能会破损，则此过程会产生破损模具、不合格品。</w:t>
            </w:r>
          </w:p>
          <w:p w14:paraId="39FE063C">
            <w:pPr>
              <w:pStyle w:val="115"/>
              <w:ind w:firstLine="482" w:firstLineChars="200"/>
              <w:textAlignment w:val="center"/>
              <w:rPr>
                <w:bCs/>
                <w:color w:val="auto"/>
              </w:rPr>
            </w:pPr>
            <w:bookmarkStart w:id="47" w:name="_Toc3223"/>
            <w:bookmarkStart w:id="48" w:name="_Toc2046"/>
            <w:r>
              <w:rPr>
                <w:rFonts w:hint="eastAsia"/>
                <w:bCs/>
                <w:color w:val="auto"/>
              </w:rPr>
              <w:t>3、原有项目污染物、处置措施情况及达标排放分析</w:t>
            </w:r>
            <w:bookmarkEnd w:id="47"/>
            <w:bookmarkEnd w:id="48"/>
          </w:p>
          <w:p w14:paraId="115712EF">
            <w:pPr>
              <w:pStyle w:val="115"/>
              <w:ind w:firstLine="480" w:firstLineChars="200"/>
              <w:textAlignment w:val="center"/>
              <w:rPr>
                <w:b w:val="0"/>
                <w:color w:val="auto"/>
              </w:rPr>
            </w:pPr>
            <w:bookmarkStart w:id="49" w:name="_Toc8201"/>
            <w:bookmarkStart w:id="50" w:name="_Toc9148"/>
            <w:r>
              <w:rPr>
                <w:b w:val="0"/>
                <w:color w:val="auto"/>
                <w:shd w:val="clear" w:fill="FFFFFF"/>
              </w:rPr>
              <w:t>(</w:t>
            </w:r>
            <w:r>
              <w:rPr>
                <w:b w:val="0"/>
                <w:color w:val="auto"/>
              </w:rPr>
              <w:t>1</w:t>
            </w:r>
            <w:r>
              <w:rPr>
                <w:b w:val="0"/>
                <w:color w:val="auto"/>
                <w:shd w:val="clear" w:fill="FFFFFF"/>
              </w:rPr>
              <w:t>)</w:t>
            </w:r>
            <w:r>
              <w:rPr>
                <w:b w:val="0"/>
                <w:color w:val="auto"/>
              </w:rPr>
              <w:t>废气</w:t>
            </w:r>
            <w:bookmarkEnd w:id="49"/>
            <w:bookmarkEnd w:id="50"/>
          </w:p>
          <w:p w14:paraId="04C7ED57">
            <w:pPr>
              <w:pStyle w:val="115"/>
              <w:ind w:firstLine="480" w:firstLineChars="200"/>
              <w:textAlignment w:val="center"/>
              <w:rPr>
                <w:b w:val="0"/>
                <w:color w:val="auto"/>
              </w:rPr>
            </w:pPr>
            <w:bookmarkStart w:id="51" w:name="_Toc25630"/>
            <w:bookmarkStart w:id="52" w:name="_Toc5143"/>
            <w:r>
              <w:rPr>
                <w:b w:val="0"/>
                <w:color w:val="auto"/>
              </w:rPr>
              <w:t>①原有项目</w:t>
            </w:r>
            <w:r>
              <w:rPr>
                <w:rFonts w:hint="eastAsia"/>
                <w:b w:val="0"/>
                <w:color w:val="auto"/>
              </w:rPr>
              <w:t>废气</w:t>
            </w:r>
            <w:r>
              <w:rPr>
                <w:b w:val="0"/>
                <w:color w:val="auto"/>
              </w:rPr>
              <w:t>污染物</w:t>
            </w:r>
            <w:r>
              <w:rPr>
                <w:rFonts w:hint="eastAsia"/>
                <w:b w:val="0"/>
                <w:color w:val="auto"/>
              </w:rPr>
              <w:t>、</w:t>
            </w:r>
            <w:r>
              <w:rPr>
                <w:b w:val="0"/>
                <w:color w:val="auto"/>
              </w:rPr>
              <w:t>处置措施情况</w:t>
            </w:r>
            <w:bookmarkEnd w:id="51"/>
            <w:bookmarkEnd w:id="52"/>
          </w:p>
          <w:p w14:paraId="06D1355D">
            <w:pPr>
              <w:pStyle w:val="115"/>
              <w:ind w:firstLine="480" w:firstLineChars="200"/>
              <w:textAlignment w:val="center"/>
              <w:rPr>
                <w:b w:val="0"/>
                <w:color w:val="auto"/>
              </w:rPr>
            </w:pPr>
            <w:bookmarkStart w:id="53" w:name="_Toc2165"/>
            <w:bookmarkStart w:id="54" w:name="_Toc14543"/>
            <w:r>
              <w:rPr>
                <w:rFonts w:hint="eastAsia"/>
                <w:b w:val="0"/>
                <w:color w:val="auto"/>
              </w:rPr>
              <w:t>原有项目运营期废气主要为原料堆场粉尘、原料卸料粉尘、石子及砂子输送粉尘、水泥罐呼吸粉尘、搅拌粉尘、焊接烟尘等。</w:t>
            </w:r>
            <w:bookmarkEnd w:id="53"/>
            <w:bookmarkEnd w:id="54"/>
          </w:p>
          <w:p w14:paraId="77146887">
            <w:pPr>
              <w:spacing w:line="360" w:lineRule="auto"/>
              <w:ind w:firstLine="480" w:firstLineChars="200"/>
              <w:rPr>
                <w:bCs/>
                <w:color w:val="auto"/>
                <w:sz w:val="24"/>
              </w:rPr>
            </w:pPr>
            <w:r>
              <w:rPr>
                <w:rFonts w:hint="eastAsia"/>
                <w:color w:val="auto"/>
                <w:sz w:val="24"/>
              </w:rPr>
              <w:t>原料堆场</w:t>
            </w:r>
            <w:r>
              <w:rPr>
                <w:rFonts w:hint="eastAsia"/>
                <w:bCs/>
                <w:color w:val="auto"/>
                <w:sz w:val="24"/>
              </w:rPr>
              <w:t>定期喷水，保持堆料表层湿润，保持表层含水率≥10%；石子、砂子物料在卸料时，洒水抑尘；</w:t>
            </w:r>
            <w:r>
              <w:rPr>
                <w:rFonts w:hint="eastAsia"/>
                <w:color w:val="auto"/>
                <w:sz w:val="24"/>
              </w:rPr>
              <w:t>石子及砂子输送</w:t>
            </w:r>
            <w:r>
              <w:rPr>
                <w:rFonts w:hint="eastAsia"/>
                <w:bCs/>
                <w:color w:val="auto"/>
                <w:sz w:val="24"/>
              </w:rPr>
              <w:t>采用皮带传输系统，</w:t>
            </w:r>
            <w:r>
              <w:rPr>
                <w:bCs/>
                <w:color w:val="auto"/>
                <w:sz w:val="24"/>
              </w:rPr>
              <w:t>经皮带输送至备料斗内，备料斗</w:t>
            </w:r>
            <w:r>
              <w:rPr>
                <w:rFonts w:hint="eastAsia"/>
                <w:bCs/>
                <w:color w:val="auto"/>
                <w:sz w:val="24"/>
                <w:lang w:eastAsia="zh-CN"/>
              </w:rPr>
              <w:t>再</w:t>
            </w:r>
            <w:r>
              <w:rPr>
                <w:rFonts w:hint="eastAsia"/>
                <w:bCs/>
                <w:color w:val="auto"/>
                <w:sz w:val="24"/>
              </w:rPr>
              <w:t>输送</w:t>
            </w:r>
            <w:r>
              <w:rPr>
                <w:bCs/>
                <w:color w:val="auto"/>
                <w:sz w:val="24"/>
              </w:rPr>
              <w:t>至搅拌机内，</w:t>
            </w:r>
            <w:r>
              <w:rPr>
                <w:rFonts w:hint="eastAsia"/>
                <w:bCs/>
                <w:color w:val="auto"/>
                <w:sz w:val="24"/>
              </w:rPr>
              <w:t>进料、下料和转运的上方加装半密闭的防尘罩；水泥罐呼吸粉尘收集后经布袋除尘器处理后通过1根15m排气筒DA001排放；</w:t>
            </w:r>
            <w:r>
              <w:rPr>
                <w:bCs/>
                <w:color w:val="auto"/>
                <w:sz w:val="24"/>
              </w:rPr>
              <w:t>搅拌为封闭式设备，搅拌装置全部密封，搅拌完毕后物料为湿料，在</w:t>
            </w:r>
            <w:r>
              <w:rPr>
                <w:rFonts w:hint="eastAsia"/>
                <w:bCs/>
                <w:color w:val="auto"/>
                <w:sz w:val="24"/>
              </w:rPr>
              <w:t>搅拌</w:t>
            </w:r>
            <w:r>
              <w:rPr>
                <w:bCs/>
                <w:color w:val="auto"/>
                <w:sz w:val="24"/>
              </w:rPr>
              <w:t>过程中粉尘产生</w:t>
            </w:r>
            <w:r>
              <w:rPr>
                <w:rFonts w:hint="eastAsia"/>
                <w:bCs/>
                <w:color w:val="auto"/>
                <w:sz w:val="24"/>
              </w:rPr>
              <w:t>少；采用电阻热进行焊接，不使用焊丝、焊条等填充金属，以及氧、乙炔、氢等焊接材料，因此在焊接过程基本无有害气体（烟尘）产生。</w:t>
            </w:r>
          </w:p>
          <w:p w14:paraId="1A7BC57D">
            <w:pPr>
              <w:pStyle w:val="115"/>
              <w:ind w:firstLine="480" w:firstLineChars="200"/>
              <w:textAlignment w:val="center"/>
              <w:rPr>
                <w:b w:val="0"/>
                <w:color w:val="auto"/>
              </w:rPr>
            </w:pPr>
            <w:bookmarkStart w:id="55" w:name="_Toc17963"/>
            <w:bookmarkStart w:id="56" w:name="_Toc26539"/>
            <w:r>
              <w:rPr>
                <w:b w:val="0"/>
                <w:color w:val="auto"/>
              </w:rPr>
              <w:t>②原有项目</w:t>
            </w:r>
            <w:r>
              <w:rPr>
                <w:rFonts w:hint="eastAsia"/>
                <w:b w:val="0"/>
                <w:color w:val="auto"/>
              </w:rPr>
              <w:t>废气</w:t>
            </w:r>
            <w:r>
              <w:rPr>
                <w:b w:val="0"/>
                <w:color w:val="auto"/>
              </w:rPr>
              <w:t>污染物</w:t>
            </w:r>
            <w:r>
              <w:rPr>
                <w:rFonts w:hint="eastAsia"/>
                <w:b w:val="0"/>
                <w:color w:val="auto"/>
              </w:rPr>
              <w:t>排放达标分析</w:t>
            </w:r>
            <w:bookmarkEnd w:id="55"/>
            <w:bookmarkEnd w:id="56"/>
          </w:p>
          <w:p w14:paraId="5708953D">
            <w:pPr>
              <w:spacing w:line="360" w:lineRule="auto"/>
              <w:ind w:firstLine="480" w:firstLineChars="200"/>
              <w:rPr>
                <w:color w:val="auto"/>
                <w:sz w:val="24"/>
              </w:rPr>
            </w:pPr>
            <w:r>
              <w:rPr>
                <w:color w:val="auto"/>
                <w:sz w:val="24"/>
              </w:rPr>
              <w:t>根据验收监测结果表明：</w:t>
            </w:r>
            <w:r>
              <w:rPr>
                <w:rFonts w:hint="eastAsia"/>
                <w:color w:val="auto"/>
                <w:sz w:val="24"/>
              </w:rPr>
              <w:t>A、</w:t>
            </w:r>
            <w:r>
              <w:rPr>
                <w:color w:val="auto"/>
                <w:sz w:val="24"/>
              </w:rPr>
              <w:t>原有项目排气筒DA001排放的颗粒物浓度均小于1mg/m</w:t>
            </w:r>
            <w:r>
              <w:rPr>
                <w:color w:val="auto"/>
                <w:sz w:val="24"/>
                <w:vertAlign w:val="superscript"/>
              </w:rPr>
              <w:t>3</w:t>
            </w:r>
            <w:r>
              <w:rPr>
                <w:color w:val="auto"/>
                <w:sz w:val="24"/>
              </w:rPr>
              <w:t>，均符合《</w:t>
            </w:r>
            <w:r>
              <w:rPr>
                <w:rFonts w:hint="eastAsia"/>
                <w:color w:val="auto"/>
                <w:sz w:val="24"/>
                <w:lang w:eastAsia="zh-CN"/>
              </w:rPr>
              <w:t>水泥工业大气污染物排放标准</w:t>
            </w:r>
            <w:r>
              <w:rPr>
                <w:color w:val="auto"/>
                <w:sz w:val="24"/>
              </w:rPr>
              <w:t>》(</w:t>
            </w:r>
            <w:r>
              <w:rPr>
                <w:rFonts w:hint="eastAsia"/>
                <w:color w:val="auto"/>
                <w:sz w:val="24"/>
                <w:lang w:eastAsia="zh-CN"/>
              </w:rPr>
              <w:t>DB35/1311-2013</w:t>
            </w:r>
            <w:r>
              <w:rPr>
                <w:color w:val="auto"/>
                <w:sz w:val="24"/>
                <w:shd w:val="clear" w:fill="FFFFFF"/>
              </w:rPr>
              <w:t>)</w:t>
            </w:r>
            <w:r>
              <w:rPr>
                <w:color w:val="auto"/>
                <w:sz w:val="24"/>
              </w:rPr>
              <w:t>表2中</w:t>
            </w:r>
            <w:r>
              <w:rPr>
                <w:rFonts w:hint="eastAsia"/>
                <w:color w:val="auto"/>
                <w:sz w:val="24"/>
                <w:lang w:eastAsia="zh-CN"/>
              </w:rPr>
              <w:t>水泥制品生产</w:t>
            </w:r>
            <w:r>
              <w:rPr>
                <w:color w:val="auto"/>
                <w:sz w:val="24"/>
              </w:rPr>
              <w:t>特别排放限值要求。</w:t>
            </w:r>
            <w:r>
              <w:rPr>
                <w:rFonts w:hint="eastAsia"/>
                <w:color w:val="auto"/>
                <w:sz w:val="24"/>
              </w:rPr>
              <w:t>B、</w:t>
            </w:r>
            <w:r>
              <w:rPr>
                <w:color w:val="auto"/>
                <w:sz w:val="24"/>
              </w:rPr>
              <w:t>原有项目</w:t>
            </w:r>
            <w:r>
              <w:rPr>
                <w:rFonts w:hint="eastAsia"/>
                <w:color w:val="auto"/>
                <w:sz w:val="24"/>
              </w:rPr>
              <w:t>厂界下风向无组织废气颗粒物</w:t>
            </w:r>
            <w:r>
              <w:rPr>
                <w:color w:val="auto"/>
                <w:sz w:val="24"/>
              </w:rPr>
              <w:t>与参照点</w:t>
            </w:r>
            <w:r>
              <w:rPr>
                <w:rFonts w:hint="eastAsia"/>
                <w:color w:val="auto"/>
                <w:sz w:val="24"/>
              </w:rPr>
              <w:t>的废气颗粒物</w:t>
            </w:r>
            <w:r>
              <w:rPr>
                <w:color w:val="auto"/>
                <w:sz w:val="24"/>
              </w:rPr>
              <w:t>差值</w:t>
            </w:r>
            <w:r>
              <w:rPr>
                <w:rFonts w:hint="eastAsia"/>
                <w:color w:val="auto"/>
                <w:sz w:val="24"/>
              </w:rPr>
              <w:t>均</w:t>
            </w:r>
            <w:r>
              <w:rPr>
                <w:color w:val="auto"/>
                <w:sz w:val="24"/>
              </w:rPr>
              <w:t>小于0.5mg/m</w:t>
            </w:r>
            <w:r>
              <w:rPr>
                <w:color w:val="auto"/>
                <w:sz w:val="24"/>
                <w:vertAlign w:val="superscript"/>
              </w:rPr>
              <w:t>3</w:t>
            </w:r>
            <w:r>
              <w:rPr>
                <w:rFonts w:hint="eastAsia"/>
                <w:color w:val="auto"/>
                <w:sz w:val="24"/>
              </w:rPr>
              <w:t>，</w:t>
            </w:r>
            <w:r>
              <w:rPr>
                <w:color w:val="auto"/>
                <w:sz w:val="24"/>
              </w:rPr>
              <w:t>项目厂界无组织废气排放浓度均符合《</w:t>
            </w:r>
            <w:r>
              <w:rPr>
                <w:rFonts w:hint="eastAsia"/>
                <w:color w:val="auto"/>
                <w:sz w:val="24"/>
                <w:lang w:eastAsia="zh-CN"/>
              </w:rPr>
              <w:t>水泥工业大气污染物排放标准</w:t>
            </w:r>
            <w:r>
              <w:rPr>
                <w:color w:val="auto"/>
                <w:sz w:val="24"/>
              </w:rPr>
              <w:t>》(</w:t>
            </w:r>
            <w:r>
              <w:rPr>
                <w:rFonts w:hint="eastAsia"/>
                <w:color w:val="auto"/>
                <w:sz w:val="24"/>
                <w:lang w:eastAsia="zh-CN"/>
              </w:rPr>
              <w:t>DB35/1311-2013</w:t>
            </w:r>
            <w:r>
              <w:rPr>
                <w:color w:val="auto"/>
                <w:sz w:val="24"/>
                <w:shd w:val="clear" w:fill="FFFFFF"/>
              </w:rPr>
              <w:t>)</w:t>
            </w:r>
            <w:r>
              <w:rPr>
                <w:color w:val="auto"/>
                <w:sz w:val="24"/>
              </w:rPr>
              <w:t>表3中的无组织排放限值。</w:t>
            </w:r>
          </w:p>
          <w:p w14:paraId="5AC779D3">
            <w:pPr>
              <w:pStyle w:val="115"/>
              <w:ind w:firstLine="480" w:firstLineChars="200"/>
              <w:textAlignment w:val="center"/>
              <w:rPr>
                <w:b w:val="0"/>
                <w:color w:val="auto"/>
              </w:rPr>
            </w:pPr>
            <w:bookmarkStart w:id="57" w:name="_Toc15182"/>
            <w:bookmarkStart w:id="58" w:name="_Toc25854"/>
            <w:r>
              <w:rPr>
                <w:b w:val="0"/>
                <w:color w:val="auto"/>
                <w:shd w:val="clear" w:fill="FFFFFF"/>
              </w:rPr>
              <w:t>(</w:t>
            </w:r>
            <w:r>
              <w:rPr>
                <w:rFonts w:hint="eastAsia"/>
                <w:b w:val="0"/>
                <w:color w:val="auto"/>
              </w:rPr>
              <w:t>2</w:t>
            </w:r>
            <w:r>
              <w:rPr>
                <w:b w:val="0"/>
                <w:color w:val="auto"/>
                <w:shd w:val="clear" w:fill="FFFFFF"/>
              </w:rPr>
              <w:t>)</w:t>
            </w:r>
            <w:r>
              <w:rPr>
                <w:b w:val="0"/>
                <w:color w:val="auto"/>
              </w:rPr>
              <w:t>废</w:t>
            </w:r>
            <w:r>
              <w:rPr>
                <w:rFonts w:hint="eastAsia"/>
                <w:b w:val="0"/>
                <w:color w:val="auto"/>
              </w:rPr>
              <w:t>水</w:t>
            </w:r>
            <w:bookmarkEnd w:id="57"/>
            <w:bookmarkEnd w:id="58"/>
          </w:p>
          <w:p w14:paraId="215E86F5">
            <w:pPr>
              <w:pStyle w:val="115"/>
              <w:ind w:firstLine="480" w:firstLineChars="200"/>
              <w:textAlignment w:val="center"/>
              <w:rPr>
                <w:b w:val="0"/>
                <w:color w:val="auto"/>
              </w:rPr>
            </w:pPr>
            <w:bookmarkStart w:id="59" w:name="_Toc1476"/>
            <w:bookmarkStart w:id="60" w:name="_Toc27778"/>
            <w:r>
              <w:rPr>
                <w:rFonts w:hint="eastAsia"/>
                <w:b w:val="0"/>
                <w:color w:val="auto"/>
              </w:rPr>
              <w:t>原有项目运营期无生产废水排放。生活污水经化粪池处理后用于周边农田菜地施肥，不外排。</w:t>
            </w:r>
            <w:bookmarkEnd w:id="59"/>
            <w:bookmarkEnd w:id="60"/>
          </w:p>
          <w:p w14:paraId="5D2D2D1D">
            <w:pPr>
              <w:pStyle w:val="115"/>
              <w:ind w:firstLine="480" w:firstLineChars="200"/>
              <w:textAlignment w:val="center"/>
              <w:rPr>
                <w:b w:val="0"/>
                <w:color w:val="auto"/>
              </w:rPr>
            </w:pPr>
            <w:bookmarkStart w:id="61" w:name="_Toc16360"/>
            <w:bookmarkStart w:id="62" w:name="_Toc19122"/>
            <w:r>
              <w:rPr>
                <w:b w:val="0"/>
                <w:color w:val="auto"/>
                <w:shd w:val="clear" w:fill="FFFFFF"/>
              </w:rPr>
              <w:t>(</w:t>
            </w:r>
            <w:r>
              <w:rPr>
                <w:rFonts w:hint="eastAsia"/>
                <w:b w:val="0"/>
                <w:color w:val="auto"/>
              </w:rPr>
              <w:t>3</w:t>
            </w:r>
            <w:r>
              <w:rPr>
                <w:b w:val="0"/>
                <w:color w:val="auto"/>
                <w:shd w:val="clear" w:fill="FFFFFF"/>
              </w:rPr>
              <w:t>)</w:t>
            </w:r>
            <w:r>
              <w:rPr>
                <w:rFonts w:hint="eastAsia"/>
                <w:b w:val="0"/>
                <w:color w:val="auto"/>
              </w:rPr>
              <w:t>噪声</w:t>
            </w:r>
            <w:bookmarkEnd w:id="61"/>
            <w:bookmarkEnd w:id="62"/>
          </w:p>
          <w:p w14:paraId="216A6538">
            <w:pPr>
              <w:pStyle w:val="115"/>
              <w:ind w:firstLine="480" w:firstLineChars="200"/>
              <w:textAlignment w:val="center"/>
              <w:rPr>
                <w:b w:val="0"/>
                <w:color w:val="auto"/>
              </w:rPr>
            </w:pPr>
            <w:bookmarkStart w:id="63" w:name="_Toc3729"/>
            <w:bookmarkStart w:id="64" w:name="_Toc26919"/>
            <w:r>
              <w:rPr>
                <w:b w:val="0"/>
                <w:color w:val="auto"/>
              </w:rPr>
              <w:t>①原有项目</w:t>
            </w:r>
            <w:r>
              <w:rPr>
                <w:rFonts w:hint="eastAsia"/>
                <w:b w:val="0"/>
                <w:color w:val="auto"/>
              </w:rPr>
              <w:t>噪声源、处理</w:t>
            </w:r>
            <w:r>
              <w:rPr>
                <w:b w:val="0"/>
                <w:color w:val="auto"/>
              </w:rPr>
              <w:t>措施情况</w:t>
            </w:r>
            <w:bookmarkEnd w:id="63"/>
            <w:bookmarkEnd w:id="64"/>
          </w:p>
          <w:p w14:paraId="1AA7D052">
            <w:pPr>
              <w:pStyle w:val="115"/>
              <w:ind w:firstLine="480" w:firstLineChars="200"/>
              <w:textAlignment w:val="center"/>
              <w:rPr>
                <w:b w:val="0"/>
                <w:color w:val="auto"/>
              </w:rPr>
            </w:pPr>
            <w:bookmarkStart w:id="65" w:name="_Toc29686"/>
            <w:bookmarkStart w:id="66" w:name="_Toc30591"/>
            <w:r>
              <w:rPr>
                <w:rFonts w:hint="eastAsia"/>
                <w:b w:val="0"/>
                <w:color w:val="auto"/>
              </w:rPr>
              <w:t>原有项目运营期噪声主要来源于混凝土搅拌机、制管机等设备运行时产生的噪声。合理布局，高噪声设备采取基础减振等措施降低影响。</w:t>
            </w:r>
            <w:bookmarkEnd w:id="65"/>
            <w:bookmarkEnd w:id="66"/>
          </w:p>
          <w:p w14:paraId="02F1B374">
            <w:pPr>
              <w:pStyle w:val="115"/>
              <w:ind w:firstLine="480" w:firstLineChars="200"/>
              <w:textAlignment w:val="center"/>
              <w:rPr>
                <w:b w:val="0"/>
                <w:color w:val="auto"/>
              </w:rPr>
            </w:pPr>
            <w:bookmarkStart w:id="67" w:name="_Toc15104"/>
            <w:bookmarkStart w:id="68" w:name="_Toc3028"/>
            <w:r>
              <w:rPr>
                <w:b w:val="0"/>
                <w:color w:val="auto"/>
              </w:rPr>
              <w:t>②原有项目</w:t>
            </w:r>
            <w:r>
              <w:rPr>
                <w:rFonts w:hint="eastAsia"/>
                <w:b w:val="0"/>
                <w:color w:val="auto"/>
              </w:rPr>
              <w:t>厂界噪声排放达标分析</w:t>
            </w:r>
            <w:bookmarkEnd w:id="67"/>
            <w:bookmarkEnd w:id="68"/>
          </w:p>
          <w:p w14:paraId="7519E3D8">
            <w:pPr>
              <w:pStyle w:val="115"/>
              <w:ind w:firstLine="480" w:firstLineChars="200"/>
              <w:textAlignment w:val="center"/>
              <w:rPr>
                <w:b w:val="0"/>
                <w:color w:val="auto"/>
              </w:rPr>
            </w:pPr>
            <w:bookmarkStart w:id="69" w:name="_Toc30600"/>
            <w:bookmarkStart w:id="70" w:name="_Toc25040"/>
            <w:r>
              <w:rPr>
                <w:rFonts w:hint="eastAsia"/>
                <w:b w:val="0"/>
                <w:color w:val="auto"/>
              </w:rPr>
              <w:t>原有项目仅在昼间生产，</w:t>
            </w:r>
            <w:r>
              <w:rPr>
                <w:b w:val="0"/>
                <w:color w:val="auto"/>
              </w:rPr>
              <w:t>根据验收监测结果表明：项目昼间厂界四周噪声值为52～59dB，均符合《工业企业厂界环境噪声排放标准》（GB12348-2008）表1中2类标准。</w:t>
            </w:r>
            <w:bookmarkEnd w:id="69"/>
            <w:bookmarkEnd w:id="70"/>
          </w:p>
          <w:p w14:paraId="24F2B223">
            <w:pPr>
              <w:pStyle w:val="115"/>
              <w:ind w:firstLine="480" w:firstLineChars="200"/>
              <w:textAlignment w:val="center"/>
              <w:rPr>
                <w:b w:val="0"/>
                <w:color w:val="auto"/>
              </w:rPr>
            </w:pPr>
            <w:bookmarkStart w:id="71" w:name="_Toc8862"/>
            <w:bookmarkStart w:id="72" w:name="_Toc14392"/>
            <w:r>
              <w:rPr>
                <w:b w:val="0"/>
                <w:color w:val="auto"/>
                <w:shd w:val="clear" w:fill="FFFFFF"/>
              </w:rPr>
              <w:t>(</w:t>
            </w:r>
            <w:r>
              <w:rPr>
                <w:rFonts w:hint="eastAsia"/>
                <w:b w:val="0"/>
                <w:color w:val="auto"/>
              </w:rPr>
              <w:t>4</w:t>
            </w:r>
            <w:r>
              <w:rPr>
                <w:b w:val="0"/>
                <w:color w:val="auto"/>
                <w:shd w:val="clear" w:fill="FFFFFF"/>
              </w:rPr>
              <w:t>)</w:t>
            </w:r>
            <w:r>
              <w:rPr>
                <w:rFonts w:hint="eastAsia"/>
                <w:b w:val="0"/>
                <w:color w:val="auto"/>
              </w:rPr>
              <w:t>固废</w:t>
            </w:r>
            <w:bookmarkEnd w:id="71"/>
            <w:bookmarkEnd w:id="72"/>
          </w:p>
          <w:p w14:paraId="3C31F58F">
            <w:pPr>
              <w:pStyle w:val="115"/>
              <w:ind w:firstLine="480" w:firstLineChars="200"/>
              <w:textAlignment w:val="center"/>
              <w:rPr>
                <w:b w:val="0"/>
                <w:color w:val="auto"/>
              </w:rPr>
            </w:pPr>
            <w:bookmarkStart w:id="73" w:name="_Toc20912"/>
            <w:bookmarkStart w:id="74" w:name="_Toc25833"/>
            <w:r>
              <w:rPr>
                <w:rFonts w:hint="eastAsia"/>
                <w:b w:val="0"/>
                <w:color w:val="auto"/>
              </w:rPr>
              <w:t>原有项目运营期固废主要为钢材边角料</w:t>
            </w:r>
            <w:r>
              <w:rPr>
                <w:rFonts w:hint="eastAsia"/>
                <w:b w:val="0"/>
                <w:color w:val="auto"/>
                <w:lang w:eastAsia="zh-CN"/>
              </w:rPr>
              <w:t>、破损模具、不合格品</w:t>
            </w:r>
            <w:r>
              <w:rPr>
                <w:rFonts w:hint="eastAsia"/>
                <w:b w:val="0"/>
                <w:color w:val="auto"/>
              </w:rPr>
              <w:t>及员工生活垃圾。</w:t>
            </w:r>
            <w:bookmarkEnd w:id="73"/>
            <w:bookmarkEnd w:id="74"/>
          </w:p>
          <w:p w14:paraId="2A111C8F">
            <w:pPr>
              <w:pStyle w:val="115"/>
              <w:ind w:firstLine="480" w:firstLineChars="200"/>
              <w:textAlignment w:val="center"/>
              <w:rPr>
                <w:b w:val="0"/>
                <w:color w:val="auto"/>
              </w:rPr>
            </w:pPr>
            <w:bookmarkStart w:id="75" w:name="_Toc32221"/>
            <w:bookmarkStart w:id="76" w:name="_Toc25241"/>
            <w:r>
              <w:rPr>
                <w:rFonts w:hint="eastAsia"/>
                <w:b w:val="0"/>
                <w:color w:val="auto"/>
              </w:rPr>
              <w:t>钢材边角料</w:t>
            </w:r>
            <w:r>
              <w:rPr>
                <w:rFonts w:hint="eastAsia"/>
                <w:b w:val="0"/>
                <w:color w:val="auto"/>
                <w:lang w:eastAsia="zh-CN"/>
              </w:rPr>
              <w:t>、破损模具、不合格品</w:t>
            </w:r>
            <w:r>
              <w:rPr>
                <w:rFonts w:hint="eastAsia"/>
                <w:b w:val="0"/>
                <w:color w:val="auto"/>
              </w:rPr>
              <w:t>收集外售物资回收中心；生活垃圾收集后由环卫部门清运。</w:t>
            </w:r>
            <w:bookmarkEnd w:id="75"/>
            <w:bookmarkEnd w:id="76"/>
          </w:p>
          <w:p w14:paraId="3D89C444">
            <w:pPr>
              <w:pStyle w:val="115"/>
              <w:ind w:firstLine="482" w:firstLineChars="200"/>
              <w:textAlignment w:val="center"/>
              <w:rPr>
                <w:bCs/>
                <w:color w:val="auto"/>
              </w:rPr>
            </w:pPr>
            <w:bookmarkStart w:id="77" w:name="_Toc11784"/>
            <w:bookmarkStart w:id="78" w:name="_Toc25541"/>
            <w:r>
              <w:rPr>
                <w:rFonts w:hint="eastAsia"/>
                <w:bCs/>
                <w:color w:val="auto"/>
              </w:rPr>
              <w:t>4、原有项目总量核算</w:t>
            </w:r>
            <w:bookmarkEnd w:id="77"/>
            <w:bookmarkEnd w:id="78"/>
          </w:p>
          <w:p w14:paraId="090DAC3B">
            <w:pPr>
              <w:pStyle w:val="115"/>
              <w:ind w:firstLine="480" w:firstLineChars="200"/>
              <w:textAlignment w:val="center"/>
              <w:rPr>
                <w:b w:val="0"/>
                <w:color w:val="auto"/>
              </w:rPr>
            </w:pPr>
            <w:bookmarkStart w:id="79" w:name="_Toc22971"/>
            <w:bookmarkStart w:id="80" w:name="_Toc25634"/>
            <w:r>
              <w:rPr>
                <w:rFonts w:hint="eastAsia"/>
                <w:b w:val="0"/>
                <w:color w:val="auto"/>
              </w:rPr>
              <w:t>本项目运营期无废水外排，废气为粉尘。项目无需申请总量指标。</w:t>
            </w:r>
            <w:bookmarkEnd w:id="79"/>
            <w:bookmarkEnd w:id="80"/>
          </w:p>
          <w:p w14:paraId="7742B31D">
            <w:pPr>
              <w:pStyle w:val="115"/>
              <w:ind w:firstLine="482" w:firstLineChars="200"/>
              <w:textAlignment w:val="center"/>
              <w:rPr>
                <w:bCs/>
                <w:color w:val="auto"/>
              </w:rPr>
            </w:pPr>
            <w:bookmarkStart w:id="81" w:name="_Toc4825"/>
            <w:bookmarkStart w:id="82" w:name="_Toc32752"/>
            <w:r>
              <w:rPr>
                <w:rFonts w:hint="eastAsia"/>
                <w:bCs/>
                <w:color w:val="auto"/>
              </w:rPr>
              <w:t>5、企业迁建前的环境问题</w:t>
            </w:r>
            <w:r>
              <w:rPr>
                <w:rFonts w:hint="eastAsia"/>
                <w:color w:val="auto"/>
                <w:kern w:val="0"/>
              </w:rPr>
              <w:t>及迁建前的退役期环境问题</w:t>
            </w:r>
            <w:bookmarkEnd w:id="81"/>
            <w:bookmarkEnd w:id="82"/>
          </w:p>
          <w:p w14:paraId="40BD1739">
            <w:pPr>
              <w:pStyle w:val="115"/>
              <w:ind w:firstLine="480" w:firstLineChars="200"/>
              <w:textAlignment w:val="center"/>
              <w:rPr>
                <w:b w:val="0"/>
                <w:color w:val="auto"/>
              </w:rPr>
            </w:pPr>
            <w:bookmarkStart w:id="83" w:name="_Toc16434"/>
            <w:bookmarkStart w:id="84" w:name="_Toc31841"/>
            <w:r>
              <w:rPr>
                <w:rFonts w:hint="eastAsia"/>
                <w:b w:val="0"/>
                <w:color w:val="auto"/>
              </w:rPr>
              <w:t>经了解调查，项目迁建前工程运营过程中无环保投诉记录。</w:t>
            </w:r>
            <w:bookmarkEnd w:id="83"/>
            <w:bookmarkEnd w:id="84"/>
          </w:p>
          <w:p w14:paraId="1906F2DA">
            <w:pPr>
              <w:pStyle w:val="115"/>
              <w:ind w:firstLine="480" w:firstLineChars="200"/>
              <w:textAlignment w:val="center"/>
              <w:rPr>
                <w:color w:val="auto"/>
              </w:rPr>
            </w:pPr>
            <w:bookmarkStart w:id="85" w:name="_Toc14577"/>
            <w:bookmarkStart w:id="86" w:name="_Toc28923"/>
            <w:r>
              <w:rPr>
                <w:rFonts w:hint="eastAsia"/>
                <w:b w:val="0"/>
                <w:color w:val="auto"/>
              </w:rPr>
              <w:t>迁建前的各项污染物均能达标排放，根据现场踏勘，迁建前的项目已停止生产</w:t>
            </w:r>
            <w:r>
              <w:rPr>
                <w:rFonts w:hint="eastAsia"/>
                <w:b w:val="0"/>
                <w:color w:val="auto"/>
                <w:lang w:eastAsia="zh-CN"/>
              </w:rPr>
              <w:t>，</w:t>
            </w:r>
            <w:r>
              <w:rPr>
                <w:rFonts w:hint="eastAsia"/>
                <w:b w:val="0"/>
                <w:color w:val="auto"/>
                <w:lang w:val="en-US" w:eastAsia="zh-CN"/>
              </w:rPr>
              <w:t>各设备已外售处理，</w:t>
            </w:r>
            <w:r>
              <w:rPr>
                <w:rFonts w:hint="eastAsia"/>
                <w:b w:val="0"/>
                <w:color w:val="auto"/>
              </w:rPr>
              <w:t>厂区现状已恢复为农田，种植农作物</w:t>
            </w:r>
            <w:r>
              <w:rPr>
                <w:rFonts w:hint="eastAsia"/>
                <w:b w:val="0"/>
                <w:color w:val="auto"/>
                <w:lang w:eastAsia="zh-CN"/>
              </w:rPr>
              <w:t>（</w:t>
            </w:r>
            <w:r>
              <w:rPr>
                <w:rFonts w:hint="eastAsia"/>
                <w:b w:val="0"/>
                <w:color w:val="auto"/>
                <w:lang w:val="en-US" w:eastAsia="zh-CN"/>
              </w:rPr>
              <w:t>原有工程的取消报告见附件13</w:t>
            </w:r>
            <w:r>
              <w:rPr>
                <w:rFonts w:hint="eastAsia"/>
                <w:b w:val="0"/>
                <w:color w:val="auto"/>
                <w:lang w:eastAsia="zh-CN"/>
              </w:rPr>
              <w:t>）</w:t>
            </w:r>
            <w:r>
              <w:rPr>
                <w:rFonts w:hint="eastAsia"/>
                <w:b w:val="0"/>
                <w:color w:val="auto"/>
              </w:rPr>
              <w:t>，不会产生历史遗留问题。</w:t>
            </w:r>
            <w:bookmarkEnd w:id="85"/>
            <w:bookmarkEnd w:id="86"/>
          </w:p>
        </w:tc>
      </w:tr>
    </w:tbl>
    <w:p w14:paraId="342F7958">
      <w:pPr>
        <w:pStyle w:val="31"/>
        <w:jc w:val="center"/>
        <w:rPr>
          <w:rFonts w:hint="eastAsia" w:ascii="黑体" w:hAnsi="黑体" w:eastAsia="黑体"/>
          <w:snapToGrid w:val="0"/>
          <w:color w:val="auto"/>
          <w:kern w:val="21"/>
          <w:sz w:val="36"/>
          <w:szCs w:val="36"/>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黑体" w:hAnsi="黑体" w:eastAsia="黑体"/>
          <w:snapToGrid w:val="0"/>
          <w:color w:val="auto"/>
          <w:kern w:val="21"/>
          <w:sz w:val="36"/>
          <w:szCs w:val="36"/>
          <w:shd w:val="clear" w:fill="FFFFFF"/>
          <w:lang w:val="en-US" w:eastAsia="zh-CN"/>
        </w:rPr>
        <w:t>·</w:t>
      </w:r>
    </w:p>
    <w:p w14:paraId="5C166468">
      <w:pPr>
        <w:pStyle w:val="31"/>
        <w:jc w:val="center"/>
        <w:outlineLvl w:val="0"/>
        <w:rPr>
          <w:rFonts w:ascii="黑体" w:hAnsi="黑体" w:eastAsia="黑体"/>
          <w:snapToGrid w:val="0"/>
          <w:color w:val="auto"/>
          <w:kern w:val="21"/>
          <w:sz w:val="30"/>
          <w:szCs w:val="30"/>
        </w:rPr>
      </w:pPr>
      <w:bookmarkStart w:id="87" w:name="_Toc11093"/>
      <w:r>
        <w:rPr>
          <w:rFonts w:hint="eastAsia" w:ascii="黑体" w:hAnsi="黑体" w:eastAsia="黑体"/>
          <w:snapToGrid w:val="0"/>
          <w:color w:val="auto"/>
          <w:kern w:val="21"/>
          <w:sz w:val="30"/>
          <w:szCs w:val="30"/>
        </w:rPr>
        <w:t>三、区域环境质量现状、环境保护目标及评价标准</w:t>
      </w:r>
      <w:bookmarkEnd w:id="87"/>
    </w:p>
    <w:tbl>
      <w:tblPr>
        <w:tblStyle w:val="3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8"/>
      </w:tblGrid>
      <w:tr w14:paraId="581A3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3" w:type="dxa"/>
            <w:vAlign w:val="center"/>
          </w:tcPr>
          <w:p w14:paraId="0AAB4823">
            <w:pPr>
              <w:jc w:val="center"/>
              <w:rPr>
                <w:rFonts w:ascii="宋体" w:hAnsi="宋体" w:cs="宋体"/>
                <w:color w:val="auto"/>
                <w:kern w:val="21"/>
                <w:sz w:val="24"/>
              </w:rPr>
            </w:pPr>
            <w:r>
              <w:rPr>
                <w:rFonts w:hint="eastAsia" w:ascii="宋体" w:hAnsi="宋体" w:cs="宋体"/>
                <w:color w:val="auto"/>
                <w:kern w:val="21"/>
                <w:sz w:val="24"/>
              </w:rPr>
              <w:t>区域</w:t>
            </w:r>
          </w:p>
          <w:p w14:paraId="04B0D407">
            <w:pPr>
              <w:jc w:val="center"/>
              <w:rPr>
                <w:rFonts w:ascii="宋体" w:hAnsi="宋体" w:cs="宋体"/>
                <w:color w:val="auto"/>
                <w:kern w:val="21"/>
                <w:sz w:val="24"/>
              </w:rPr>
            </w:pPr>
            <w:r>
              <w:rPr>
                <w:rFonts w:hint="eastAsia" w:ascii="宋体" w:hAnsi="宋体" w:cs="宋体"/>
                <w:color w:val="auto"/>
                <w:kern w:val="21"/>
                <w:sz w:val="24"/>
              </w:rPr>
              <w:t>环境</w:t>
            </w:r>
          </w:p>
          <w:p w14:paraId="779D8DD9">
            <w:pPr>
              <w:jc w:val="center"/>
              <w:rPr>
                <w:rFonts w:ascii="宋体" w:hAnsi="宋体" w:cs="宋体"/>
                <w:color w:val="auto"/>
                <w:kern w:val="21"/>
                <w:sz w:val="24"/>
              </w:rPr>
            </w:pPr>
            <w:r>
              <w:rPr>
                <w:rFonts w:hint="eastAsia" w:ascii="宋体" w:hAnsi="宋体" w:cs="宋体"/>
                <w:color w:val="auto"/>
                <w:kern w:val="21"/>
                <w:sz w:val="24"/>
              </w:rPr>
              <w:t>质量</w:t>
            </w:r>
          </w:p>
          <w:p w14:paraId="27E4D853">
            <w:pPr>
              <w:jc w:val="center"/>
              <w:rPr>
                <w:rFonts w:ascii="宋体" w:hAnsi="宋体" w:cs="宋体"/>
                <w:color w:val="auto"/>
                <w:kern w:val="21"/>
                <w:szCs w:val="21"/>
              </w:rPr>
            </w:pPr>
            <w:r>
              <w:rPr>
                <w:rFonts w:hint="eastAsia" w:ascii="宋体" w:hAnsi="宋体" w:cs="宋体"/>
                <w:color w:val="auto"/>
                <w:kern w:val="21"/>
                <w:sz w:val="24"/>
              </w:rPr>
              <w:t>现状</w:t>
            </w:r>
          </w:p>
        </w:tc>
        <w:tc>
          <w:tcPr>
            <w:tcW w:w="8608" w:type="dxa"/>
            <w:vAlign w:val="center"/>
          </w:tcPr>
          <w:p w14:paraId="42CEFE87">
            <w:pPr>
              <w:pStyle w:val="68"/>
              <w:ind w:firstLine="0" w:firstLineChars="0"/>
              <w:rPr>
                <w:b/>
                <w:bCs/>
                <w:color w:val="auto"/>
                <w:kern w:val="2"/>
                <w:sz w:val="24"/>
                <w:szCs w:val="24"/>
              </w:rPr>
            </w:pPr>
            <w:r>
              <w:rPr>
                <w:rFonts w:hint="eastAsia"/>
                <w:b/>
                <w:bCs/>
                <w:color w:val="auto"/>
                <w:kern w:val="2"/>
                <w:sz w:val="24"/>
                <w:szCs w:val="24"/>
              </w:rPr>
              <w:t>3.1区域环境质量</w:t>
            </w:r>
            <w:r>
              <w:rPr>
                <w:b/>
                <w:bCs/>
                <w:color w:val="auto"/>
                <w:kern w:val="2"/>
                <w:sz w:val="24"/>
                <w:szCs w:val="24"/>
              </w:rPr>
              <w:t>现状</w:t>
            </w:r>
          </w:p>
          <w:p w14:paraId="7844E278">
            <w:pPr>
              <w:spacing w:line="360" w:lineRule="auto"/>
              <w:ind w:firstLine="480" w:firstLineChars="200"/>
              <w:contextualSpacing/>
              <w:rPr>
                <w:color w:val="auto"/>
                <w:sz w:val="24"/>
              </w:rPr>
            </w:pPr>
            <w:r>
              <w:rPr>
                <w:color w:val="auto"/>
                <w:sz w:val="24"/>
                <w:shd w:val="clear" w:fill="FFFFFF"/>
              </w:rPr>
              <w:t>(</w:t>
            </w:r>
            <w:r>
              <w:rPr>
                <w:color w:val="auto"/>
                <w:sz w:val="24"/>
              </w:rPr>
              <w:t>1</w:t>
            </w:r>
            <w:r>
              <w:rPr>
                <w:color w:val="auto"/>
                <w:sz w:val="24"/>
                <w:shd w:val="clear" w:fill="FFFFFF"/>
              </w:rPr>
              <w:t>)</w:t>
            </w:r>
            <w:r>
              <w:rPr>
                <w:color w:val="auto"/>
                <w:sz w:val="24"/>
              </w:rPr>
              <w:t>大气环境质量现状</w:t>
            </w:r>
          </w:p>
          <w:p w14:paraId="61D422D8">
            <w:pPr>
              <w:spacing w:line="360" w:lineRule="auto"/>
              <w:ind w:firstLine="480" w:firstLineChars="200"/>
              <w:contextualSpacing/>
              <w:rPr>
                <w:color w:val="auto"/>
                <w:sz w:val="24"/>
              </w:rPr>
            </w:pPr>
            <w:r>
              <w:rPr>
                <w:rFonts w:hint="eastAsia"/>
                <w:color w:val="auto"/>
                <w:sz w:val="24"/>
                <w:lang w:eastAsia="zh-CN"/>
              </w:rPr>
              <w:t>迁建项目</w:t>
            </w:r>
            <w:r>
              <w:rPr>
                <w:rFonts w:hint="eastAsia"/>
                <w:color w:val="auto"/>
                <w:sz w:val="24"/>
              </w:rPr>
              <w:t>位于福州市福清市</w:t>
            </w:r>
            <w:r>
              <w:rPr>
                <w:color w:val="auto"/>
                <w:sz w:val="24"/>
              </w:rPr>
              <w:t>江阴港城经济区</w:t>
            </w:r>
            <w:r>
              <w:rPr>
                <w:rFonts w:hint="eastAsia"/>
                <w:color w:val="auto"/>
                <w:sz w:val="24"/>
              </w:rPr>
              <w:t>，</w:t>
            </w:r>
            <w:r>
              <w:rPr>
                <w:color w:val="auto"/>
                <w:sz w:val="24"/>
              </w:rPr>
              <w:t>根据福州市人民政府榕政综</w:t>
            </w:r>
            <w:r>
              <w:rPr>
                <w:color w:val="auto"/>
                <w:sz w:val="24"/>
                <w:shd w:val="clear" w:fill="FFFFFF"/>
              </w:rPr>
              <w:t>[2014]30号</w:t>
            </w:r>
            <w:r>
              <w:rPr>
                <w:color w:val="auto"/>
                <w:sz w:val="24"/>
              </w:rPr>
              <w:t>文件正式批准实施《福州市环境空气质量功能区划</w:t>
            </w:r>
            <w:r>
              <w:rPr>
                <w:color w:val="auto"/>
                <w:sz w:val="24"/>
                <w:shd w:val="clear" w:fill="FFFFFF"/>
              </w:rPr>
              <w:t>(</w:t>
            </w:r>
            <w:r>
              <w:rPr>
                <w:color w:val="auto"/>
                <w:sz w:val="24"/>
              </w:rPr>
              <w:t>报批稿</w:t>
            </w:r>
            <w:r>
              <w:rPr>
                <w:color w:val="auto"/>
                <w:sz w:val="24"/>
                <w:shd w:val="clear" w:fill="FFFFFF"/>
              </w:rPr>
              <w:t>)</w:t>
            </w:r>
            <w:r>
              <w:rPr>
                <w:color w:val="auto"/>
                <w:sz w:val="24"/>
              </w:rPr>
              <w:t>》的规定，项目所在区域环境空气功能规划为二类区，环境空气质量执行《环境空气质量标准》(GB3095-2012</w:t>
            </w:r>
            <w:r>
              <w:rPr>
                <w:color w:val="auto"/>
                <w:sz w:val="24"/>
                <w:shd w:val="clear" w:fill="FFFFFF"/>
              </w:rPr>
              <w:t>)</w:t>
            </w:r>
            <w:r>
              <w:rPr>
                <w:color w:val="auto"/>
                <w:sz w:val="24"/>
              </w:rPr>
              <w:t>及其修改单中的二级标准</w:t>
            </w:r>
            <w:r>
              <w:rPr>
                <w:rFonts w:hint="eastAsia"/>
                <w:color w:val="auto"/>
                <w:sz w:val="24"/>
              </w:rPr>
              <w:t>。</w:t>
            </w:r>
          </w:p>
          <w:p w14:paraId="584BB918">
            <w:pPr>
              <w:pStyle w:val="117"/>
              <w:wordWrap w:val="0"/>
              <w:rPr>
                <w:color w:val="auto"/>
                <w:lang w:eastAsia="zh-CN"/>
              </w:rPr>
            </w:pPr>
            <w:r>
              <w:rPr>
                <w:rFonts w:hint="eastAsia"/>
                <w:color w:val="auto"/>
                <w:lang w:eastAsia="zh-CN"/>
              </w:rPr>
              <w:t>①基本污染因子</w:t>
            </w:r>
          </w:p>
          <w:p w14:paraId="23B8089F">
            <w:pPr>
              <w:pStyle w:val="117"/>
              <w:wordWrap w:val="0"/>
              <w:rPr>
                <w:color w:val="auto"/>
                <w:lang w:eastAsia="zh-CN"/>
              </w:rPr>
            </w:pPr>
            <w:r>
              <w:rPr>
                <w:color w:val="auto"/>
                <w:lang w:eastAsia="zh-CN"/>
              </w:rPr>
              <w:t>根据福清市人民政府</w:t>
            </w:r>
            <w:r>
              <w:rPr>
                <w:rFonts w:hint="eastAsia"/>
                <w:color w:val="auto"/>
                <w:lang w:eastAsia="zh-CN"/>
              </w:rPr>
              <w:t>门户网站公布的环境质量通报2023年1月</w:t>
            </w:r>
            <w:r>
              <w:rPr>
                <w:rFonts w:hint="eastAsia"/>
                <w:color w:val="auto"/>
                <w:shd w:val="clear" w:fill="FFFFFF"/>
                <w:lang w:eastAsia="zh-CN"/>
              </w:rPr>
              <w:t>~</w:t>
            </w:r>
            <w:r>
              <w:rPr>
                <w:rFonts w:hint="eastAsia"/>
                <w:color w:val="auto"/>
                <w:lang w:eastAsia="zh-CN"/>
              </w:rPr>
              <w:t>12月环境空气统计数据平均值</w:t>
            </w:r>
            <w:r>
              <w:rPr>
                <w:rFonts w:hint="eastAsia"/>
                <w:color w:val="auto"/>
                <w:shd w:val="clear" w:fill="FFFFFF"/>
                <w:lang w:eastAsia="zh-CN"/>
              </w:rPr>
              <w:t>(</w:t>
            </w:r>
            <w:r>
              <w:rPr>
                <w:color w:val="auto"/>
                <w:lang w:eastAsia="zh-CN"/>
              </w:rPr>
              <w:t>链接：</w:t>
            </w:r>
            <w:r>
              <w:rPr>
                <w:rFonts w:hint="eastAsia"/>
                <w:color w:val="auto"/>
                <w:shd w:val="clear" w:fill="FFFFFF"/>
                <w:lang w:eastAsia="zh-CN"/>
              </w:rPr>
              <w:t>http：</w:t>
            </w:r>
            <w:r>
              <w:rPr>
                <w:rFonts w:hint="eastAsia"/>
                <w:color w:val="auto"/>
                <w:lang w:eastAsia="zh-CN"/>
              </w:rPr>
              <w:t>//www.fuqing.gov.cn/xjwz/zwgk/ztzl/sdgjz/dhwrfzgjz/hjzl/</w:t>
            </w:r>
            <w:r>
              <w:rPr>
                <w:rFonts w:hint="eastAsia"/>
                <w:color w:val="auto"/>
                <w:shd w:val="clear" w:fill="FFFFFF"/>
                <w:lang w:eastAsia="zh-CN"/>
              </w:rPr>
              <w:t>)</w:t>
            </w:r>
            <w:r>
              <w:rPr>
                <w:color w:val="auto"/>
                <w:lang w:eastAsia="zh-CN"/>
              </w:rPr>
              <w:t>可知，</w:t>
            </w:r>
            <w:r>
              <w:rPr>
                <w:rFonts w:hint="eastAsia"/>
                <w:color w:val="auto"/>
                <w:lang w:eastAsia="zh-CN"/>
              </w:rPr>
              <w:t>2023年福清市环境</w:t>
            </w:r>
            <w:r>
              <w:rPr>
                <w:color w:val="auto"/>
                <w:lang w:eastAsia="zh-CN"/>
              </w:rPr>
              <w:t>空气环境中SO</w:t>
            </w:r>
            <w:r>
              <w:rPr>
                <w:color w:val="auto"/>
                <w:vertAlign w:val="subscript"/>
                <w:lang w:eastAsia="zh-CN"/>
              </w:rPr>
              <w:t>2</w:t>
            </w:r>
            <w:r>
              <w:rPr>
                <w:color w:val="auto"/>
                <w:lang w:eastAsia="zh-CN"/>
              </w:rPr>
              <w:t>、NO</w:t>
            </w:r>
            <w:r>
              <w:rPr>
                <w:color w:val="auto"/>
                <w:vertAlign w:val="subscript"/>
                <w:lang w:eastAsia="zh-CN"/>
              </w:rPr>
              <w:t>2</w:t>
            </w:r>
            <w:r>
              <w:rPr>
                <w:color w:val="auto"/>
                <w:lang w:eastAsia="zh-CN"/>
              </w:rPr>
              <w:t>、PM</w:t>
            </w:r>
            <w:r>
              <w:rPr>
                <w:color w:val="auto"/>
                <w:vertAlign w:val="subscript"/>
                <w:lang w:eastAsia="zh-CN"/>
              </w:rPr>
              <w:t>10</w:t>
            </w:r>
            <w:r>
              <w:rPr>
                <w:color w:val="auto"/>
                <w:lang w:eastAsia="zh-CN"/>
              </w:rPr>
              <w:t>、PM</w:t>
            </w:r>
            <w:r>
              <w:rPr>
                <w:color w:val="auto"/>
                <w:vertAlign w:val="subscript"/>
                <w:lang w:eastAsia="zh-CN"/>
              </w:rPr>
              <w:t>2.5</w:t>
            </w:r>
            <w:r>
              <w:rPr>
                <w:color w:val="auto"/>
                <w:lang w:eastAsia="zh-CN"/>
              </w:rPr>
              <w:t>以及CO日均值第95百分位数、O</w:t>
            </w:r>
            <w:r>
              <w:rPr>
                <w:color w:val="auto"/>
                <w:vertAlign w:val="subscript"/>
                <w:lang w:eastAsia="zh-CN"/>
              </w:rPr>
              <w:t>3</w:t>
            </w:r>
            <w:r>
              <w:rPr>
                <w:color w:val="auto"/>
                <w:lang w:eastAsia="zh-CN"/>
              </w:rPr>
              <w:t>日最大8小时值第90百分位数均未超过《环境空气质量标准》</w:t>
            </w:r>
            <w:r>
              <w:rPr>
                <w:rFonts w:hint="eastAsia"/>
                <w:color w:val="auto"/>
                <w:lang w:eastAsia="zh-CN"/>
              </w:rPr>
              <w:t>(</w:t>
            </w:r>
            <w:r>
              <w:rPr>
                <w:color w:val="auto"/>
                <w:lang w:eastAsia="zh-CN"/>
              </w:rPr>
              <w:t>GB3095-2012</w:t>
            </w:r>
            <w:r>
              <w:rPr>
                <w:rFonts w:hint="eastAsia"/>
                <w:color w:val="auto"/>
                <w:shd w:val="clear" w:fill="FFFFFF"/>
                <w:lang w:eastAsia="zh-CN"/>
              </w:rPr>
              <w:t>)</w:t>
            </w:r>
            <w:r>
              <w:rPr>
                <w:color w:val="auto"/>
                <w:lang w:eastAsia="zh-CN"/>
              </w:rPr>
              <w:t>及其修改单</w:t>
            </w:r>
            <w:r>
              <w:rPr>
                <w:rFonts w:hint="eastAsia"/>
                <w:color w:val="auto"/>
                <w:shd w:val="clear" w:fill="FFFFFF"/>
                <w:lang w:eastAsia="zh-CN"/>
              </w:rPr>
              <w:t>(</w:t>
            </w:r>
            <w:r>
              <w:rPr>
                <w:color w:val="auto"/>
                <w:lang w:eastAsia="zh-CN"/>
              </w:rPr>
              <w:t>生态环境部2018年第29号</w:t>
            </w:r>
            <w:r>
              <w:rPr>
                <w:rFonts w:hint="eastAsia"/>
                <w:color w:val="auto"/>
                <w:shd w:val="clear" w:fill="FFFFFF"/>
                <w:lang w:eastAsia="zh-CN"/>
              </w:rPr>
              <w:t>)</w:t>
            </w:r>
            <w:r>
              <w:rPr>
                <w:color w:val="auto"/>
                <w:lang w:eastAsia="zh-CN"/>
              </w:rPr>
              <w:t>中的二级浓度限值</w:t>
            </w:r>
            <w:r>
              <w:rPr>
                <w:rFonts w:hint="eastAsia"/>
                <w:color w:val="auto"/>
                <w:lang w:eastAsia="zh-CN"/>
              </w:rPr>
              <w:t>，能达到环境空气质量二级标准要求，福清市属于大气达标区。具体详见表3.1-1。</w:t>
            </w:r>
          </w:p>
          <w:p w14:paraId="66682AB0">
            <w:pPr>
              <w:jc w:val="center"/>
              <w:rPr>
                <w:b/>
                <w:bCs/>
                <w:color w:val="auto"/>
                <w:sz w:val="24"/>
              </w:rPr>
            </w:pPr>
            <w:r>
              <w:rPr>
                <w:b/>
                <w:bCs/>
                <w:color w:val="auto"/>
                <w:sz w:val="24"/>
              </w:rPr>
              <w:t>表3.1</w:t>
            </w:r>
            <w:r>
              <w:rPr>
                <w:rFonts w:hint="eastAsia"/>
                <w:b/>
                <w:bCs/>
                <w:color w:val="auto"/>
                <w:sz w:val="24"/>
              </w:rPr>
              <w:t>-1</w:t>
            </w:r>
            <w:r>
              <w:rPr>
                <w:b/>
                <w:bCs/>
                <w:color w:val="auto"/>
                <w:sz w:val="24"/>
              </w:rPr>
              <w:t xml:space="preserve">  </w:t>
            </w:r>
            <w:bookmarkStart w:id="88" w:name="_Toc26639"/>
            <w:r>
              <w:rPr>
                <w:b/>
                <w:bCs/>
                <w:color w:val="auto"/>
                <w:sz w:val="24"/>
              </w:rPr>
              <w:t>福清市</w:t>
            </w:r>
            <w:r>
              <w:rPr>
                <w:rFonts w:hint="eastAsia"/>
                <w:b/>
                <w:bCs/>
                <w:color w:val="auto"/>
                <w:sz w:val="24"/>
              </w:rPr>
              <w:t>2023年</w:t>
            </w:r>
            <w:r>
              <w:rPr>
                <w:b/>
                <w:bCs/>
                <w:color w:val="auto"/>
                <w:sz w:val="24"/>
              </w:rPr>
              <w:t>环境空气质量监测结果</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201"/>
              <w:gridCol w:w="1186"/>
              <w:gridCol w:w="1088"/>
              <w:gridCol w:w="1213"/>
              <w:gridCol w:w="1209"/>
              <w:gridCol w:w="933"/>
            </w:tblGrid>
            <w:tr w14:paraId="229ED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74" w:type="dxa"/>
                  <w:vMerge w:val="restart"/>
                  <w:vAlign w:val="center"/>
                </w:tcPr>
                <w:p w14:paraId="25A170FB">
                  <w:pPr>
                    <w:autoSpaceDE w:val="0"/>
                    <w:autoSpaceDN w:val="0"/>
                    <w:jc w:val="center"/>
                    <w:rPr>
                      <w:color w:val="auto"/>
                      <w:kern w:val="0"/>
                      <w:szCs w:val="20"/>
                    </w:rPr>
                  </w:pPr>
                  <w:r>
                    <w:rPr>
                      <w:color w:val="auto"/>
                      <w:kern w:val="0"/>
                      <w:szCs w:val="20"/>
                    </w:rPr>
                    <w:t>监测结果</w:t>
                  </w:r>
                </w:p>
              </w:tc>
              <w:tc>
                <w:tcPr>
                  <w:tcW w:w="6830" w:type="dxa"/>
                  <w:gridSpan w:val="6"/>
                  <w:vAlign w:val="center"/>
                </w:tcPr>
                <w:p w14:paraId="6003381F">
                  <w:pPr>
                    <w:autoSpaceDE w:val="0"/>
                    <w:autoSpaceDN w:val="0"/>
                    <w:jc w:val="center"/>
                    <w:rPr>
                      <w:rFonts w:hint="eastAsia" w:eastAsia="宋体"/>
                      <w:color w:val="auto"/>
                      <w:kern w:val="0"/>
                      <w:szCs w:val="20"/>
                      <w:lang w:eastAsia="zh-CN"/>
                    </w:rPr>
                  </w:pPr>
                  <w:r>
                    <w:rPr>
                      <w:color w:val="auto"/>
                      <w:kern w:val="0"/>
                      <w:szCs w:val="20"/>
                    </w:rPr>
                    <w:t>月日均值*</w:t>
                  </w:r>
                  <w:r>
                    <w:rPr>
                      <w:rFonts w:hint="eastAsia"/>
                      <w:color w:val="auto"/>
                      <w:kern w:val="0"/>
                      <w:szCs w:val="20"/>
                      <w:lang w:eastAsia="zh-CN"/>
                    </w:rPr>
                    <w:t>(</w:t>
                  </w:r>
                  <w:r>
                    <w:rPr>
                      <w:color w:val="auto"/>
                      <w:kern w:val="0"/>
                      <w:szCs w:val="20"/>
                    </w:rPr>
                    <w:t>mg/m³</w:t>
                  </w:r>
                  <w:r>
                    <w:rPr>
                      <w:rFonts w:hint="eastAsia"/>
                      <w:color w:val="auto"/>
                      <w:kern w:val="0"/>
                      <w:szCs w:val="20"/>
                      <w:lang w:eastAsia="zh-CN"/>
                    </w:rPr>
                    <w:t>)</w:t>
                  </w:r>
                </w:p>
              </w:tc>
            </w:tr>
            <w:tr w14:paraId="48EDA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74" w:type="dxa"/>
                  <w:vMerge w:val="continue"/>
                  <w:vAlign w:val="center"/>
                </w:tcPr>
                <w:p w14:paraId="1C8CFC09">
                  <w:pPr>
                    <w:autoSpaceDE w:val="0"/>
                    <w:autoSpaceDN w:val="0"/>
                    <w:jc w:val="center"/>
                    <w:rPr>
                      <w:color w:val="auto"/>
                      <w:kern w:val="0"/>
                      <w:szCs w:val="20"/>
                    </w:rPr>
                  </w:pPr>
                </w:p>
              </w:tc>
              <w:tc>
                <w:tcPr>
                  <w:tcW w:w="1201" w:type="dxa"/>
                  <w:vAlign w:val="center"/>
                </w:tcPr>
                <w:p w14:paraId="6A1CAF44">
                  <w:pPr>
                    <w:autoSpaceDE w:val="0"/>
                    <w:autoSpaceDN w:val="0"/>
                    <w:jc w:val="center"/>
                    <w:rPr>
                      <w:color w:val="auto"/>
                      <w:kern w:val="0"/>
                      <w:szCs w:val="20"/>
                    </w:rPr>
                  </w:pPr>
                  <w:r>
                    <w:rPr>
                      <w:color w:val="auto"/>
                      <w:kern w:val="0"/>
                      <w:szCs w:val="20"/>
                    </w:rPr>
                    <w:t>SO</w:t>
                  </w:r>
                  <w:r>
                    <w:rPr>
                      <w:color w:val="auto"/>
                      <w:kern w:val="0"/>
                      <w:szCs w:val="20"/>
                      <w:vertAlign w:val="subscript"/>
                    </w:rPr>
                    <w:t>2</w:t>
                  </w:r>
                </w:p>
              </w:tc>
              <w:tc>
                <w:tcPr>
                  <w:tcW w:w="1186" w:type="dxa"/>
                  <w:vAlign w:val="center"/>
                </w:tcPr>
                <w:p w14:paraId="7842A742">
                  <w:pPr>
                    <w:autoSpaceDE w:val="0"/>
                    <w:autoSpaceDN w:val="0"/>
                    <w:jc w:val="center"/>
                    <w:rPr>
                      <w:color w:val="auto"/>
                      <w:kern w:val="0"/>
                      <w:szCs w:val="20"/>
                    </w:rPr>
                  </w:pPr>
                  <w:r>
                    <w:rPr>
                      <w:color w:val="auto"/>
                      <w:kern w:val="0"/>
                      <w:szCs w:val="20"/>
                    </w:rPr>
                    <w:t>NO</w:t>
                  </w:r>
                  <w:r>
                    <w:rPr>
                      <w:color w:val="auto"/>
                      <w:kern w:val="0"/>
                      <w:szCs w:val="20"/>
                      <w:vertAlign w:val="subscript"/>
                    </w:rPr>
                    <w:t>2</w:t>
                  </w:r>
                </w:p>
              </w:tc>
              <w:tc>
                <w:tcPr>
                  <w:tcW w:w="1088" w:type="dxa"/>
                  <w:vAlign w:val="center"/>
                </w:tcPr>
                <w:p w14:paraId="57608D94">
                  <w:pPr>
                    <w:autoSpaceDE w:val="0"/>
                    <w:autoSpaceDN w:val="0"/>
                    <w:jc w:val="center"/>
                    <w:rPr>
                      <w:color w:val="auto"/>
                      <w:kern w:val="0"/>
                      <w:szCs w:val="20"/>
                    </w:rPr>
                  </w:pPr>
                  <w:r>
                    <w:rPr>
                      <w:color w:val="auto"/>
                      <w:kern w:val="0"/>
                      <w:szCs w:val="20"/>
                    </w:rPr>
                    <w:t>PM</w:t>
                  </w:r>
                  <w:r>
                    <w:rPr>
                      <w:color w:val="auto"/>
                      <w:kern w:val="0"/>
                      <w:szCs w:val="20"/>
                      <w:vertAlign w:val="subscript"/>
                    </w:rPr>
                    <w:t>10</w:t>
                  </w:r>
                </w:p>
              </w:tc>
              <w:tc>
                <w:tcPr>
                  <w:tcW w:w="1213" w:type="dxa"/>
                  <w:vAlign w:val="center"/>
                </w:tcPr>
                <w:p w14:paraId="55BC3A44">
                  <w:pPr>
                    <w:autoSpaceDE w:val="0"/>
                    <w:autoSpaceDN w:val="0"/>
                    <w:jc w:val="center"/>
                    <w:rPr>
                      <w:color w:val="auto"/>
                      <w:kern w:val="0"/>
                      <w:szCs w:val="20"/>
                    </w:rPr>
                  </w:pPr>
                  <w:r>
                    <w:rPr>
                      <w:color w:val="auto"/>
                    </w:rPr>
                    <w:t>PM</w:t>
                  </w:r>
                  <w:r>
                    <w:rPr>
                      <w:color w:val="auto"/>
                      <w:vertAlign w:val="subscript"/>
                    </w:rPr>
                    <w:t>2.5</w:t>
                  </w:r>
                </w:p>
              </w:tc>
              <w:tc>
                <w:tcPr>
                  <w:tcW w:w="1209" w:type="dxa"/>
                  <w:vAlign w:val="center"/>
                </w:tcPr>
                <w:p w14:paraId="4B961357">
                  <w:pPr>
                    <w:autoSpaceDE w:val="0"/>
                    <w:autoSpaceDN w:val="0"/>
                    <w:jc w:val="center"/>
                    <w:rPr>
                      <w:color w:val="auto"/>
                      <w:kern w:val="0"/>
                      <w:szCs w:val="20"/>
                    </w:rPr>
                  </w:pPr>
                  <w:r>
                    <w:rPr>
                      <w:color w:val="auto"/>
                      <w:kern w:val="0"/>
                      <w:szCs w:val="20"/>
                    </w:rPr>
                    <w:t>CO</w:t>
                  </w:r>
                </w:p>
              </w:tc>
              <w:tc>
                <w:tcPr>
                  <w:tcW w:w="933" w:type="dxa"/>
                  <w:vAlign w:val="center"/>
                </w:tcPr>
                <w:p w14:paraId="29251D1C">
                  <w:pPr>
                    <w:autoSpaceDE w:val="0"/>
                    <w:autoSpaceDN w:val="0"/>
                    <w:jc w:val="center"/>
                    <w:rPr>
                      <w:color w:val="auto"/>
                      <w:kern w:val="0"/>
                      <w:szCs w:val="20"/>
                    </w:rPr>
                  </w:pPr>
                  <w:r>
                    <w:rPr>
                      <w:color w:val="auto"/>
                      <w:kern w:val="0"/>
                      <w:szCs w:val="20"/>
                    </w:rPr>
                    <w:t>O</w:t>
                  </w:r>
                  <w:r>
                    <w:rPr>
                      <w:color w:val="auto"/>
                      <w:kern w:val="0"/>
                      <w:szCs w:val="20"/>
                      <w:vertAlign w:val="subscript"/>
                    </w:rPr>
                    <w:t>3</w:t>
                  </w:r>
                </w:p>
              </w:tc>
            </w:tr>
            <w:tr w14:paraId="0F8E8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30939483">
                  <w:pPr>
                    <w:autoSpaceDE w:val="0"/>
                    <w:autoSpaceDN w:val="0"/>
                    <w:jc w:val="center"/>
                    <w:rPr>
                      <w:color w:val="auto"/>
                      <w:kern w:val="0"/>
                      <w:szCs w:val="20"/>
                    </w:rPr>
                  </w:pPr>
                  <w:r>
                    <w:rPr>
                      <w:color w:val="auto"/>
                    </w:rPr>
                    <w:t>202</w:t>
                  </w:r>
                  <w:r>
                    <w:rPr>
                      <w:rFonts w:hint="eastAsia"/>
                      <w:color w:val="auto"/>
                    </w:rPr>
                    <w:t>3</w:t>
                  </w:r>
                  <w:r>
                    <w:rPr>
                      <w:color w:val="auto"/>
                    </w:rPr>
                    <w:t>年1月</w:t>
                  </w:r>
                </w:p>
              </w:tc>
              <w:tc>
                <w:tcPr>
                  <w:tcW w:w="1201" w:type="dxa"/>
                  <w:vAlign w:val="center"/>
                </w:tcPr>
                <w:p w14:paraId="745B315E">
                  <w:pPr>
                    <w:autoSpaceDE w:val="0"/>
                    <w:autoSpaceDN w:val="0"/>
                    <w:jc w:val="center"/>
                    <w:rPr>
                      <w:color w:val="auto"/>
                      <w:kern w:val="0"/>
                      <w:szCs w:val="20"/>
                    </w:rPr>
                  </w:pPr>
                  <w:r>
                    <w:rPr>
                      <w:rFonts w:hint="eastAsia"/>
                      <w:color w:val="auto"/>
                      <w:kern w:val="0"/>
                      <w:szCs w:val="20"/>
                    </w:rPr>
                    <w:t>0.003</w:t>
                  </w:r>
                </w:p>
              </w:tc>
              <w:tc>
                <w:tcPr>
                  <w:tcW w:w="1186" w:type="dxa"/>
                  <w:vAlign w:val="center"/>
                </w:tcPr>
                <w:p w14:paraId="5C50DEFA">
                  <w:pPr>
                    <w:autoSpaceDE w:val="0"/>
                    <w:autoSpaceDN w:val="0"/>
                    <w:jc w:val="center"/>
                    <w:rPr>
                      <w:color w:val="auto"/>
                      <w:kern w:val="0"/>
                      <w:szCs w:val="20"/>
                    </w:rPr>
                  </w:pPr>
                  <w:r>
                    <w:rPr>
                      <w:rFonts w:hint="eastAsia"/>
                      <w:color w:val="auto"/>
                      <w:kern w:val="0"/>
                      <w:szCs w:val="20"/>
                    </w:rPr>
                    <w:t>0.016</w:t>
                  </w:r>
                </w:p>
              </w:tc>
              <w:tc>
                <w:tcPr>
                  <w:tcW w:w="1088" w:type="dxa"/>
                  <w:vAlign w:val="center"/>
                </w:tcPr>
                <w:p w14:paraId="0B963E6F">
                  <w:pPr>
                    <w:autoSpaceDE w:val="0"/>
                    <w:autoSpaceDN w:val="0"/>
                    <w:jc w:val="center"/>
                    <w:rPr>
                      <w:color w:val="auto"/>
                      <w:kern w:val="0"/>
                      <w:szCs w:val="20"/>
                    </w:rPr>
                  </w:pPr>
                  <w:r>
                    <w:rPr>
                      <w:rFonts w:hint="eastAsia"/>
                      <w:color w:val="auto"/>
                      <w:kern w:val="0"/>
                      <w:szCs w:val="20"/>
                    </w:rPr>
                    <w:t>0.032</w:t>
                  </w:r>
                </w:p>
              </w:tc>
              <w:tc>
                <w:tcPr>
                  <w:tcW w:w="1213" w:type="dxa"/>
                  <w:vAlign w:val="center"/>
                </w:tcPr>
                <w:p w14:paraId="5597E2B4">
                  <w:pPr>
                    <w:autoSpaceDE w:val="0"/>
                    <w:autoSpaceDN w:val="0"/>
                    <w:jc w:val="center"/>
                    <w:rPr>
                      <w:color w:val="auto"/>
                      <w:kern w:val="0"/>
                      <w:szCs w:val="20"/>
                    </w:rPr>
                  </w:pPr>
                  <w:r>
                    <w:rPr>
                      <w:rFonts w:hint="eastAsia"/>
                      <w:color w:val="auto"/>
                      <w:kern w:val="0"/>
                      <w:szCs w:val="20"/>
                    </w:rPr>
                    <w:t>0.017</w:t>
                  </w:r>
                </w:p>
              </w:tc>
              <w:tc>
                <w:tcPr>
                  <w:tcW w:w="1209" w:type="dxa"/>
                  <w:vAlign w:val="center"/>
                </w:tcPr>
                <w:p w14:paraId="676C3D2C">
                  <w:pPr>
                    <w:autoSpaceDE w:val="0"/>
                    <w:autoSpaceDN w:val="0"/>
                    <w:jc w:val="center"/>
                    <w:rPr>
                      <w:color w:val="auto"/>
                      <w:kern w:val="0"/>
                      <w:szCs w:val="20"/>
                    </w:rPr>
                  </w:pPr>
                  <w:r>
                    <w:rPr>
                      <w:rFonts w:hint="eastAsia"/>
                      <w:color w:val="auto"/>
                      <w:kern w:val="0"/>
                      <w:szCs w:val="20"/>
                    </w:rPr>
                    <w:t>0.6</w:t>
                  </w:r>
                </w:p>
              </w:tc>
              <w:tc>
                <w:tcPr>
                  <w:tcW w:w="933" w:type="dxa"/>
                  <w:vAlign w:val="center"/>
                </w:tcPr>
                <w:p w14:paraId="57BA4564">
                  <w:pPr>
                    <w:autoSpaceDE w:val="0"/>
                    <w:autoSpaceDN w:val="0"/>
                    <w:jc w:val="center"/>
                    <w:rPr>
                      <w:color w:val="auto"/>
                      <w:kern w:val="0"/>
                      <w:szCs w:val="20"/>
                    </w:rPr>
                  </w:pPr>
                  <w:r>
                    <w:rPr>
                      <w:rFonts w:hint="eastAsia"/>
                      <w:color w:val="auto"/>
                      <w:kern w:val="0"/>
                      <w:szCs w:val="20"/>
                    </w:rPr>
                    <w:t>0.100</w:t>
                  </w:r>
                </w:p>
              </w:tc>
            </w:tr>
            <w:tr w14:paraId="00F1E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1E22F1AD">
                  <w:pPr>
                    <w:autoSpaceDE w:val="0"/>
                    <w:autoSpaceDN w:val="0"/>
                    <w:jc w:val="center"/>
                    <w:rPr>
                      <w:color w:val="auto"/>
                      <w:kern w:val="0"/>
                      <w:szCs w:val="20"/>
                    </w:rPr>
                  </w:pPr>
                  <w:r>
                    <w:rPr>
                      <w:color w:val="auto"/>
                    </w:rPr>
                    <w:t>202</w:t>
                  </w:r>
                  <w:r>
                    <w:rPr>
                      <w:rFonts w:hint="eastAsia"/>
                      <w:color w:val="auto"/>
                    </w:rPr>
                    <w:t>3</w:t>
                  </w:r>
                  <w:r>
                    <w:rPr>
                      <w:color w:val="auto"/>
                    </w:rPr>
                    <w:t>年2月</w:t>
                  </w:r>
                </w:p>
              </w:tc>
              <w:tc>
                <w:tcPr>
                  <w:tcW w:w="1201" w:type="dxa"/>
                  <w:vAlign w:val="center"/>
                </w:tcPr>
                <w:p w14:paraId="290BDC48">
                  <w:pPr>
                    <w:autoSpaceDE w:val="0"/>
                    <w:autoSpaceDN w:val="0"/>
                    <w:jc w:val="center"/>
                    <w:rPr>
                      <w:color w:val="auto"/>
                      <w:kern w:val="0"/>
                      <w:szCs w:val="20"/>
                    </w:rPr>
                  </w:pPr>
                  <w:r>
                    <w:rPr>
                      <w:rFonts w:hint="eastAsia"/>
                      <w:color w:val="auto"/>
                      <w:kern w:val="0"/>
                      <w:szCs w:val="20"/>
                    </w:rPr>
                    <w:t>0.005</w:t>
                  </w:r>
                </w:p>
              </w:tc>
              <w:tc>
                <w:tcPr>
                  <w:tcW w:w="1186" w:type="dxa"/>
                  <w:vAlign w:val="center"/>
                </w:tcPr>
                <w:p w14:paraId="2D249FA8">
                  <w:pPr>
                    <w:autoSpaceDE w:val="0"/>
                    <w:autoSpaceDN w:val="0"/>
                    <w:jc w:val="center"/>
                    <w:rPr>
                      <w:color w:val="auto"/>
                      <w:kern w:val="0"/>
                      <w:szCs w:val="20"/>
                    </w:rPr>
                  </w:pPr>
                  <w:r>
                    <w:rPr>
                      <w:rFonts w:hint="eastAsia"/>
                      <w:color w:val="auto"/>
                      <w:kern w:val="0"/>
                      <w:szCs w:val="20"/>
                    </w:rPr>
                    <w:t>0.020</w:t>
                  </w:r>
                </w:p>
              </w:tc>
              <w:tc>
                <w:tcPr>
                  <w:tcW w:w="1088" w:type="dxa"/>
                  <w:vAlign w:val="center"/>
                </w:tcPr>
                <w:p w14:paraId="2F1F59E6">
                  <w:pPr>
                    <w:autoSpaceDE w:val="0"/>
                    <w:autoSpaceDN w:val="0"/>
                    <w:jc w:val="center"/>
                    <w:rPr>
                      <w:color w:val="auto"/>
                      <w:kern w:val="0"/>
                      <w:szCs w:val="20"/>
                    </w:rPr>
                  </w:pPr>
                  <w:r>
                    <w:rPr>
                      <w:rFonts w:hint="eastAsia"/>
                      <w:color w:val="auto"/>
                      <w:kern w:val="0"/>
                      <w:szCs w:val="20"/>
                    </w:rPr>
                    <w:t>0.033</w:t>
                  </w:r>
                </w:p>
              </w:tc>
              <w:tc>
                <w:tcPr>
                  <w:tcW w:w="1213" w:type="dxa"/>
                  <w:vAlign w:val="center"/>
                </w:tcPr>
                <w:p w14:paraId="58D22904">
                  <w:pPr>
                    <w:autoSpaceDE w:val="0"/>
                    <w:autoSpaceDN w:val="0"/>
                    <w:jc w:val="center"/>
                    <w:rPr>
                      <w:color w:val="auto"/>
                      <w:kern w:val="0"/>
                      <w:szCs w:val="20"/>
                    </w:rPr>
                  </w:pPr>
                  <w:r>
                    <w:rPr>
                      <w:rFonts w:hint="eastAsia"/>
                      <w:color w:val="auto"/>
                      <w:kern w:val="0"/>
                      <w:szCs w:val="20"/>
                    </w:rPr>
                    <w:t>0.018</w:t>
                  </w:r>
                </w:p>
              </w:tc>
              <w:tc>
                <w:tcPr>
                  <w:tcW w:w="1209" w:type="dxa"/>
                  <w:vAlign w:val="center"/>
                </w:tcPr>
                <w:p w14:paraId="6A196A56">
                  <w:pPr>
                    <w:autoSpaceDE w:val="0"/>
                    <w:autoSpaceDN w:val="0"/>
                    <w:jc w:val="center"/>
                    <w:rPr>
                      <w:color w:val="auto"/>
                      <w:kern w:val="0"/>
                      <w:szCs w:val="20"/>
                    </w:rPr>
                  </w:pPr>
                  <w:r>
                    <w:rPr>
                      <w:rFonts w:hint="eastAsia"/>
                      <w:color w:val="auto"/>
                      <w:kern w:val="0"/>
                      <w:szCs w:val="20"/>
                    </w:rPr>
                    <w:t>0.8</w:t>
                  </w:r>
                </w:p>
              </w:tc>
              <w:tc>
                <w:tcPr>
                  <w:tcW w:w="933" w:type="dxa"/>
                  <w:vAlign w:val="center"/>
                </w:tcPr>
                <w:p w14:paraId="7B4C27FD">
                  <w:pPr>
                    <w:autoSpaceDE w:val="0"/>
                    <w:autoSpaceDN w:val="0"/>
                    <w:jc w:val="center"/>
                    <w:rPr>
                      <w:color w:val="auto"/>
                      <w:kern w:val="0"/>
                      <w:szCs w:val="20"/>
                    </w:rPr>
                  </w:pPr>
                  <w:r>
                    <w:rPr>
                      <w:rFonts w:hint="eastAsia"/>
                      <w:color w:val="auto"/>
                      <w:kern w:val="0"/>
                      <w:szCs w:val="20"/>
                    </w:rPr>
                    <w:t>0.105</w:t>
                  </w:r>
                </w:p>
              </w:tc>
            </w:tr>
            <w:tr w14:paraId="4E167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1631BD41">
                  <w:pPr>
                    <w:autoSpaceDE w:val="0"/>
                    <w:autoSpaceDN w:val="0"/>
                    <w:jc w:val="center"/>
                    <w:rPr>
                      <w:color w:val="auto"/>
                      <w:kern w:val="0"/>
                      <w:szCs w:val="20"/>
                    </w:rPr>
                  </w:pPr>
                  <w:r>
                    <w:rPr>
                      <w:color w:val="auto"/>
                    </w:rPr>
                    <w:t>202</w:t>
                  </w:r>
                  <w:r>
                    <w:rPr>
                      <w:rFonts w:hint="eastAsia"/>
                      <w:color w:val="auto"/>
                    </w:rPr>
                    <w:t>3</w:t>
                  </w:r>
                  <w:r>
                    <w:rPr>
                      <w:color w:val="auto"/>
                    </w:rPr>
                    <w:t>年3月</w:t>
                  </w:r>
                </w:p>
              </w:tc>
              <w:tc>
                <w:tcPr>
                  <w:tcW w:w="1201" w:type="dxa"/>
                  <w:vAlign w:val="center"/>
                </w:tcPr>
                <w:p w14:paraId="496FE450">
                  <w:pPr>
                    <w:autoSpaceDE w:val="0"/>
                    <w:autoSpaceDN w:val="0"/>
                    <w:jc w:val="center"/>
                    <w:rPr>
                      <w:color w:val="auto"/>
                      <w:kern w:val="0"/>
                      <w:szCs w:val="20"/>
                    </w:rPr>
                  </w:pPr>
                  <w:r>
                    <w:rPr>
                      <w:rFonts w:hint="eastAsia"/>
                      <w:color w:val="auto"/>
                      <w:kern w:val="0"/>
                      <w:szCs w:val="20"/>
                    </w:rPr>
                    <w:t>0.005</w:t>
                  </w:r>
                </w:p>
              </w:tc>
              <w:tc>
                <w:tcPr>
                  <w:tcW w:w="1186" w:type="dxa"/>
                  <w:vAlign w:val="center"/>
                </w:tcPr>
                <w:p w14:paraId="5FB09D66">
                  <w:pPr>
                    <w:autoSpaceDE w:val="0"/>
                    <w:autoSpaceDN w:val="0"/>
                    <w:jc w:val="center"/>
                    <w:rPr>
                      <w:color w:val="auto"/>
                      <w:kern w:val="0"/>
                      <w:szCs w:val="20"/>
                    </w:rPr>
                  </w:pPr>
                  <w:r>
                    <w:rPr>
                      <w:rFonts w:hint="eastAsia"/>
                      <w:color w:val="auto"/>
                      <w:kern w:val="0"/>
                      <w:szCs w:val="20"/>
                    </w:rPr>
                    <w:t>0.024</w:t>
                  </w:r>
                </w:p>
              </w:tc>
              <w:tc>
                <w:tcPr>
                  <w:tcW w:w="1088" w:type="dxa"/>
                  <w:vAlign w:val="center"/>
                </w:tcPr>
                <w:p w14:paraId="4AA74BA2">
                  <w:pPr>
                    <w:autoSpaceDE w:val="0"/>
                    <w:autoSpaceDN w:val="0"/>
                    <w:jc w:val="center"/>
                    <w:rPr>
                      <w:color w:val="auto"/>
                      <w:kern w:val="0"/>
                      <w:szCs w:val="20"/>
                    </w:rPr>
                  </w:pPr>
                  <w:r>
                    <w:rPr>
                      <w:rFonts w:hint="eastAsia"/>
                      <w:color w:val="auto"/>
                      <w:kern w:val="0"/>
                      <w:szCs w:val="20"/>
                    </w:rPr>
                    <w:t>0.042</w:t>
                  </w:r>
                </w:p>
              </w:tc>
              <w:tc>
                <w:tcPr>
                  <w:tcW w:w="1213" w:type="dxa"/>
                  <w:vAlign w:val="center"/>
                </w:tcPr>
                <w:p w14:paraId="1A3F4A4C">
                  <w:pPr>
                    <w:autoSpaceDE w:val="0"/>
                    <w:autoSpaceDN w:val="0"/>
                    <w:jc w:val="center"/>
                    <w:rPr>
                      <w:color w:val="auto"/>
                      <w:kern w:val="0"/>
                      <w:szCs w:val="20"/>
                    </w:rPr>
                  </w:pPr>
                  <w:r>
                    <w:rPr>
                      <w:rFonts w:hint="eastAsia"/>
                      <w:color w:val="auto"/>
                      <w:kern w:val="0"/>
                      <w:szCs w:val="20"/>
                    </w:rPr>
                    <w:t>0.020</w:t>
                  </w:r>
                </w:p>
              </w:tc>
              <w:tc>
                <w:tcPr>
                  <w:tcW w:w="1209" w:type="dxa"/>
                  <w:vAlign w:val="center"/>
                </w:tcPr>
                <w:p w14:paraId="5D0C9246">
                  <w:pPr>
                    <w:autoSpaceDE w:val="0"/>
                    <w:autoSpaceDN w:val="0"/>
                    <w:jc w:val="center"/>
                    <w:rPr>
                      <w:color w:val="auto"/>
                      <w:kern w:val="0"/>
                      <w:szCs w:val="20"/>
                    </w:rPr>
                  </w:pPr>
                  <w:r>
                    <w:rPr>
                      <w:rFonts w:hint="eastAsia"/>
                      <w:color w:val="auto"/>
                      <w:kern w:val="0"/>
                      <w:szCs w:val="20"/>
                    </w:rPr>
                    <w:t>0.8</w:t>
                  </w:r>
                </w:p>
              </w:tc>
              <w:tc>
                <w:tcPr>
                  <w:tcW w:w="933" w:type="dxa"/>
                  <w:vAlign w:val="center"/>
                </w:tcPr>
                <w:p w14:paraId="59EB69CD">
                  <w:pPr>
                    <w:autoSpaceDE w:val="0"/>
                    <w:autoSpaceDN w:val="0"/>
                    <w:jc w:val="center"/>
                    <w:rPr>
                      <w:color w:val="auto"/>
                      <w:kern w:val="0"/>
                      <w:szCs w:val="20"/>
                    </w:rPr>
                  </w:pPr>
                  <w:r>
                    <w:rPr>
                      <w:rFonts w:hint="eastAsia"/>
                      <w:color w:val="auto"/>
                      <w:kern w:val="0"/>
                      <w:szCs w:val="20"/>
                    </w:rPr>
                    <w:t>0.130</w:t>
                  </w:r>
                </w:p>
              </w:tc>
            </w:tr>
            <w:tr w14:paraId="7F589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52680C22">
                  <w:pPr>
                    <w:autoSpaceDE w:val="0"/>
                    <w:autoSpaceDN w:val="0"/>
                    <w:jc w:val="center"/>
                    <w:rPr>
                      <w:color w:val="auto"/>
                      <w:kern w:val="0"/>
                      <w:szCs w:val="20"/>
                    </w:rPr>
                  </w:pPr>
                  <w:r>
                    <w:rPr>
                      <w:color w:val="auto"/>
                    </w:rPr>
                    <w:t>202</w:t>
                  </w:r>
                  <w:r>
                    <w:rPr>
                      <w:rFonts w:hint="eastAsia"/>
                      <w:color w:val="auto"/>
                    </w:rPr>
                    <w:t>3</w:t>
                  </w:r>
                  <w:r>
                    <w:rPr>
                      <w:color w:val="auto"/>
                    </w:rPr>
                    <w:t>年4月</w:t>
                  </w:r>
                </w:p>
              </w:tc>
              <w:tc>
                <w:tcPr>
                  <w:tcW w:w="1201" w:type="dxa"/>
                  <w:vAlign w:val="center"/>
                </w:tcPr>
                <w:p w14:paraId="0CDE25A4">
                  <w:pPr>
                    <w:autoSpaceDE w:val="0"/>
                    <w:autoSpaceDN w:val="0"/>
                    <w:jc w:val="center"/>
                    <w:rPr>
                      <w:color w:val="auto"/>
                      <w:kern w:val="0"/>
                      <w:szCs w:val="20"/>
                    </w:rPr>
                  </w:pPr>
                  <w:r>
                    <w:rPr>
                      <w:rFonts w:hint="eastAsia"/>
                      <w:color w:val="auto"/>
                      <w:kern w:val="0"/>
                      <w:szCs w:val="20"/>
                    </w:rPr>
                    <w:t>0.002</w:t>
                  </w:r>
                </w:p>
              </w:tc>
              <w:tc>
                <w:tcPr>
                  <w:tcW w:w="1186" w:type="dxa"/>
                  <w:vAlign w:val="center"/>
                </w:tcPr>
                <w:p w14:paraId="3907EF24">
                  <w:pPr>
                    <w:autoSpaceDE w:val="0"/>
                    <w:autoSpaceDN w:val="0"/>
                    <w:jc w:val="center"/>
                    <w:rPr>
                      <w:color w:val="auto"/>
                      <w:kern w:val="0"/>
                      <w:szCs w:val="20"/>
                    </w:rPr>
                  </w:pPr>
                  <w:r>
                    <w:rPr>
                      <w:rFonts w:hint="eastAsia"/>
                      <w:color w:val="auto"/>
                      <w:kern w:val="0"/>
                      <w:szCs w:val="20"/>
                    </w:rPr>
                    <w:t>0.019</w:t>
                  </w:r>
                </w:p>
              </w:tc>
              <w:tc>
                <w:tcPr>
                  <w:tcW w:w="1088" w:type="dxa"/>
                  <w:vAlign w:val="center"/>
                </w:tcPr>
                <w:p w14:paraId="27896F5A">
                  <w:pPr>
                    <w:autoSpaceDE w:val="0"/>
                    <w:autoSpaceDN w:val="0"/>
                    <w:jc w:val="center"/>
                    <w:rPr>
                      <w:color w:val="auto"/>
                      <w:kern w:val="0"/>
                      <w:szCs w:val="20"/>
                    </w:rPr>
                  </w:pPr>
                  <w:r>
                    <w:rPr>
                      <w:rFonts w:hint="eastAsia"/>
                      <w:color w:val="auto"/>
                      <w:kern w:val="0"/>
                      <w:szCs w:val="20"/>
                    </w:rPr>
                    <w:t>0.047</w:t>
                  </w:r>
                </w:p>
              </w:tc>
              <w:tc>
                <w:tcPr>
                  <w:tcW w:w="1213" w:type="dxa"/>
                  <w:vAlign w:val="center"/>
                </w:tcPr>
                <w:p w14:paraId="6F622C5E">
                  <w:pPr>
                    <w:autoSpaceDE w:val="0"/>
                    <w:autoSpaceDN w:val="0"/>
                    <w:jc w:val="center"/>
                    <w:rPr>
                      <w:color w:val="auto"/>
                      <w:kern w:val="0"/>
                      <w:szCs w:val="20"/>
                    </w:rPr>
                  </w:pPr>
                  <w:r>
                    <w:rPr>
                      <w:rFonts w:hint="eastAsia"/>
                      <w:color w:val="auto"/>
                      <w:kern w:val="0"/>
                      <w:szCs w:val="20"/>
                    </w:rPr>
                    <w:t>0.020</w:t>
                  </w:r>
                </w:p>
              </w:tc>
              <w:tc>
                <w:tcPr>
                  <w:tcW w:w="1209" w:type="dxa"/>
                  <w:vAlign w:val="center"/>
                </w:tcPr>
                <w:p w14:paraId="0CA625FD">
                  <w:pPr>
                    <w:autoSpaceDE w:val="0"/>
                    <w:autoSpaceDN w:val="0"/>
                    <w:jc w:val="center"/>
                    <w:rPr>
                      <w:color w:val="auto"/>
                      <w:kern w:val="0"/>
                      <w:szCs w:val="20"/>
                    </w:rPr>
                  </w:pPr>
                  <w:r>
                    <w:rPr>
                      <w:rFonts w:hint="eastAsia"/>
                      <w:color w:val="auto"/>
                      <w:kern w:val="0"/>
                      <w:szCs w:val="20"/>
                    </w:rPr>
                    <w:t>0.9</w:t>
                  </w:r>
                </w:p>
              </w:tc>
              <w:tc>
                <w:tcPr>
                  <w:tcW w:w="933" w:type="dxa"/>
                  <w:vAlign w:val="center"/>
                </w:tcPr>
                <w:p w14:paraId="68A44406">
                  <w:pPr>
                    <w:autoSpaceDE w:val="0"/>
                    <w:autoSpaceDN w:val="0"/>
                    <w:jc w:val="center"/>
                    <w:rPr>
                      <w:color w:val="auto"/>
                      <w:kern w:val="0"/>
                      <w:szCs w:val="20"/>
                    </w:rPr>
                  </w:pPr>
                  <w:r>
                    <w:rPr>
                      <w:rFonts w:hint="eastAsia"/>
                      <w:color w:val="auto"/>
                      <w:kern w:val="0"/>
                      <w:szCs w:val="20"/>
                    </w:rPr>
                    <w:t>0.151</w:t>
                  </w:r>
                </w:p>
              </w:tc>
            </w:tr>
            <w:tr w14:paraId="216FC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1544B884">
                  <w:pPr>
                    <w:autoSpaceDE w:val="0"/>
                    <w:autoSpaceDN w:val="0"/>
                    <w:jc w:val="center"/>
                    <w:rPr>
                      <w:color w:val="auto"/>
                      <w:kern w:val="0"/>
                      <w:szCs w:val="20"/>
                    </w:rPr>
                  </w:pPr>
                  <w:r>
                    <w:rPr>
                      <w:color w:val="auto"/>
                    </w:rPr>
                    <w:t>202</w:t>
                  </w:r>
                  <w:r>
                    <w:rPr>
                      <w:rFonts w:hint="eastAsia"/>
                      <w:color w:val="auto"/>
                    </w:rPr>
                    <w:t>3</w:t>
                  </w:r>
                  <w:r>
                    <w:rPr>
                      <w:color w:val="auto"/>
                    </w:rPr>
                    <w:t>年5月</w:t>
                  </w:r>
                </w:p>
              </w:tc>
              <w:tc>
                <w:tcPr>
                  <w:tcW w:w="1201" w:type="dxa"/>
                  <w:vAlign w:val="center"/>
                </w:tcPr>
                <w:p w14:paraId="6B35DAF1">
                  <w:pPr>
                    <w:autoSpaceDE w:val="0"/>
                    <w:autoSpaceDN w:val="0"/>
                    <w:jc w:val="center"/>
                    <w:rPr>
                      <w:color w:val="auto"/>
                      <w:kern w:val="0"/>
                      <w:szCs w:val="20"/>
                    </w:rPr>
                  </w:pPr>
                  <w:r>
                    <w:rPr>
                      <w:rFonts w:hint="eastAsia"/>
                      <w:color w:val="auto"/>
                      <w:kern w:val="0"/>
                      <w:szCs w:val="20"/>
                    </w:rPr>
                    <w:t>0.002</w:t>
                  </w:r>
                </w:p>
              </w:tc>
              <w:tc>
                <w:tcPr>
                  <w:tcW w:w="1186" w:type="dxa"/>
                  <w:vAlign w:val="center"/>
                </w:tcPr>
                <w:p w14:paraId="0818B727">
                  <w:pPr>
                    <w:autoSpaceDE w:val="0"/>
                    <w:autoSpaceDN w:val="0"/>
                    <w:jc w:val="center"/>
                    <w:rPr>
                      <w:color w:val="auto"/>
                      <w:kern w:val="0"/>
                      <w:szCs w:val="20"/>
                    </w:rPr>
                  </w:pPr>
                  <w:r>
                    <w:rPr>
                      <w:rFonts w:hint="eastAsia"/>
                      <w:color w:val="auto"/>
                      <w:kern w:val="0"/>
                      <w:szCs w:val="20"/>
                    </w:rPr>
                    <w:t>0.013</w:t>
                  </w:r>
                </w:p>
              </w:tc>
              <w:tc>
                <w:tcPr>
                  <w:tcW w:w="1088" w:type="dxa"/>
                  <w:vAlign w:val="center"/>
                </w:tcPr>
                <w:p w14:paraId="32CF9D99">
                  <w:pPr>
                    <w:autoSpaceDE w:val="0"/>
                    <w:autoSpaceDN w:val="0"/>
                    <w:jc w:val="center"/>
                    <w:rPr>
                      <w:color w:val="auto"/>
                      <w:kern w:val="0"/>
                      <w:szCs w:val="20"/>
                    </w:rPr>
                  </w:pPr>
                  <w:r>
                    <w:rPr>
                      <w:rFonts w:hint="eastAsia"/>
                      <w:color w:val="auto"/>
                      <w:kern w:val="0"/>
                      <w:szCs w:val="20"/>
                    </w:rPr>
                    <w:t>0.037</w:t>
                  </w:r>
                </w:p>
              </w:tc>
              <w:tc>
                <w:tcPr>
                  <w:tcW w:w="1213" w:type="dxa"/>
                  <w:vAlign w:val="center"/>
                </w:tcPr>
                <w:p w14:paraId="4F454E4D">
                  <w:pPr>
                    <w:autoSpaceDE w:val="0"/>
                    <w:autoSpaceDN w:val="0"/>
                    <w:jc w:val="center"/>
                    <w:rPr>
                      <w:color w:val="auto"/>
                      <w:kern w:val="0"/>
                      <w:szCs w:val="20"/>
                    </w:rPr>
                  </w:pPr>
                  <w:r>
                    <w:rPr>
                      <w:rFonts w:hint="eastAsia"/>
                      <w:color w:val="auto"/>
                      <w:kern w:val="0"/>
                      <w:szCs w:val="20"/>
                    </w:rPr>
                    <w:t>0.017</w:t>
                  </w:r>
                </w:p>
              </w:tc>
              <w:tc>
                <w:tcPr>
                  <w:tcW w:w="1209" w:type="dxa"/>
                  <w:vAlign w:val="center"/>
                </w:tcPr>
                <w:p w14:paraId="707A8E8E">
                  <w:pPr>
                    <w:autoSpaceDE w:val="0"/>
                    <w:autoSpaceDN w:val="0"/>
                    <w:jc w:val="center"/>
                    <w:rPr>
                      <w:color w:val="auto"/>
                      <w:kern w:val="0"/>
                      <w:szCs w:val="20"/>
                    </w:rPr>
                  </w:pPr>
                  <w:r>
                    <w:rPr>
                      <w:rFonts w:hint="eastAsia"/>
                      <w:color w:val="auto"/>
                      <w:kern w:val="0"/>
                      <w:szCs w:val="20"/>
                    </w:rPr>
                    <w:t>0.9</w:t>
                  </w:r>
                </w:p>
              </w:tc>
              <w:tc>
                <w:tcPr>
                  <w:tcW w:w="933" w:type="dxa"/>
                  <w:vAlign w:val="center"/>
                </w:tcPr>
                <w:p w14:paraId="13B8EBC1">
                  <w:pPr>
                    <w:autoSpaceDE w:val="0"/>
                    <w:autoSpaceDN w:val="0"/>
                    <w:jc w:val="center"/>
                    <w:rPr>
                      <w:color w:val="auto"/>
                      <w:kern w:val="0"/>
                      <w:szCs w:val="20"/>
                    </w:rPr>
                  </w:pPr>
                  <w:r>
                    <w:rPr>
                      <w:rFonts w:hint="eastAsia"/>
                      <w:color w:val="auto"/>
                      <w:kern w:val="0"/>
                      <w:szCs w:val="20"/>
                    </w:rPr>
                    <w:t>0.137</w:t>
                  </w:r>
                </w:p>
              </w:tc>
            </w:tr>
            <w:tr w14:paraId="7999E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56DF27E5">
                  <w:pPr>
                    <w:autoSpaceDE w:val="0"/>
                    <w:autoSpaceDN w:val="0"/>
                    <w:jc w:val="center"/>
                    <w:rPr>
                      <w:color w:val="auto"/>
                      <w:kern w:val="0"/>
                      <w:szCs w:val="20"/>
                    </w:rPr>
                  </w:pPr>
                  <w:r>
                    <w:rPr>
                      <w:color w:val="auto"/>
                    </w:rPr>
                    <w:t>202</w:t>
                  </w:r>
                  <w:r>
                    <w:rPr>
                      <w:rFonts w:hint="eastAsia"/>
                      <w:color w:val="auto"/>
                    </w:rPr>
                    <w:t>3</w:t>
                  </w:r>
                  <w:r>
                    <w:rPr>
                      <w:color w:val="auto"/>
                    </w:rPr>
                    <w:t>年6月</w:t>
                  </w:r>
                </w:p>
              </w:tc>
              <w:tc>
                <w:tcPr>
                  <w:tcW w:w="1201" w:type="dxa"/>
                  <w:vAlign w:val="center"/>
                </w:tcPr>
                <w:p w14:paraId="5F8693B6">
                  <w:pPr>
                    <w:autoSpaceDE w:val="0"/>
                    <w:autoSpaceDN w:val="0"/>
                    <w:jc w:val="center"/>
                    <w:rPr>
                      <w:color w:val="auto"/>
                      <w:kern w:val="0"/>
                      <w:szCs w:val="20"/>
                    </w:rPr>
                  </w:pPr>
                  <w:r>
                    <w:rPr>
                      <w:rFonts w:hint="eastAsia"/>
                      <w:color w:val="auto"/>
                      <w:kern w:val="0"/>
                      <w:szCs w:val="20"/>
                    </w:rPr>
                    <w:t>0.002</w:t>
                  </w:r>
                </w:p>
              </w:tc>
              <w:tc>
                <w:tcPr>
                  <w:tcW w:w="1186" w:type="dxa"/>
                  <w:vAlign w:val="center"/>
                </w:tcPr>
                <w:p w14:paraId="3F1B545C">
                  <w:pPr>
                    <w:autoSpaceDE w:val="0"/>
                    <w:autoSpaceDN w:val="0"/>
                    <w:jc w:val="center"/>
                    <w:rPr>
                      <w:color w:val="auto"/>
                      <w:kern w:val="0"/>
                      <w:szCs w:val="20"/>
                    </w:rPr>
                  </w:pPr>
                  <w:r>
                    <w:rPr>
                      <w:rFonts w:hint="eastAsia"/>
                      <w:color w:val="auto"/>
                      <w:kern w:val="0"/>
                      <w:szCs w:val="20"/>
                    </w:rPr>
                    <w:t>0.011</w:t>
                  </w:r>
                </w:p>
              </w:tc>
              <w:tc>
                <w:tcPr>
                  <w:tcW w:w="1088" w:type="dxa"/>
                  <w:vAlign w:val="center"/>
                </w:tcPr>
                <w:p w14:paraId="299D6974">
                  <w:pPr>
                    <w:autoSpaceDE w:val="0"/>
                    <w:autoSpaceDN w:val="0"/>
                    <w:jc w:val="center"/>
                    <w:rPr>
                      <w:color w:val="auto"/>
                      <w:kern w:val="0"/>
                      <w:szCs w:val="20"/>
                    </w:rPr>
                  </w:pPr>
                  <w:r>
                    <w:rPr>
                      <w:rFonts w:hint="eastAsia"/>
                      <w:color w:val="auto"/>
                      <w:kern w:val="0"/>
                      <w:szCs w:val="20"/>
                    </w:rPr>
                    <w:t>0.026</w:t>
                  </w:r>
                </w:p>
              </w:tc>
              <w:tc>
                <w:tcPr>
                  <w:tcW w:w="1213" w:type="dxa"/>
                  <w:vAlign w:val="center"/>
                </w:tcPr>
                <w:p w14:paraId="18FA639B">
                  <w:pPr>
                    <w:autoSpaceDE w:val="0"/>
                    <w:autoSpaceDN w:val="0"/>
                    <w:jc w:val="center"/>
                    <w:rPr>
                      <w:color w:val="auto"/>
                      <w:kern w:val="0"/>
                      <w:szCs w:val="20"/>
                    </w:rPr>
                  </w:pPr>
                  <w:r>
                    <w:rPr>
                      <w:rFonts w:hint="eastAsia"/>
                      <w:color w:val="auto"/>
                      <w:kern w:val="0"/>
                      <w:szCs w:val="20"/>
                    </w:rPr>
                    <w:t>0.012</w:t>
                  </w:r>
                </w:p>
              </w:tc>
              <w:tc>
                <w:tcPr>
                  <w:tcW w:w="1209" w:type="dxa"/>
                  <w:vAlign w:val="center"/>
                </w:tcPr>
                <w:p w14:paraId="44E57C39">
                  <w:pPr>
                    <w:autoSpaceDE w:val="0"/>
                    <w:autoSpaceDN w:val="0"/>
                    <w:jc w:val="center"/>
                    <w:rPr>
                      <w:color w:val="auto"/>
                      <w:kern w:val="0"/>
                      <w:szCs w:val="20"/>
                    </w:rPr>
                  </w:pPr>
                  <w:r>
                    <w:rPr>
                      <w:rFonts w:hint="eastAsia"/>
                      <w:color w:val="auto"/>
                      <w:kern w:val="0"/>
                      <w:szCs w:val="20"/>
                    </w:rPr>
                    <w:t>0.6</w:t>
                  </w:r>
                </w:p>
              </w:tc>
              <w:tc>
                <w:tcPr>
                  <w:tcW w:w="933" w:type="dxa"/>
                  <w:vAlign w:val="center"/>
                </w:tcPr>
                <w:p w14:paraId="7AE79544">
                  <w:pPr>
                    <w:autoSpaceDE w:val="0"/>
                    <w:autoSpaceDN w:val="0"/>
                    <w:jc w:val="center"/>
                    <w:rPr>
                      <w:color w:val="auto"/>
                      <w:kern w:val="0"/>
                      <w:szCs w:val="20"/>
                    </w:rPr>
                  </w:pPr>
                  <w:r>
                    <w:rPr>
                      <w:rFonts w:hint="eastAsia"/>
                      <w:color w:val="auto"/>
                      <w:kern w:val="0"/>
                      <w:szCs w:val="20"/>
                    </w:rPr>
                    <w:t>0.123</w:t>
                  </w:r>
                </w:p>
              </w:tc>
            </w:tr>
            <w:tr w14:paraId="35F5C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300F4BCF">
                  <w:pPr>
                    <w:autoSpaceDE w:val="0"/>
                    <w:autoSpaceDN w:val="0"/>
                    <w:jc w:val="center"/>
                    <w:rPr>
                      <w:color w:val="auto"/>
                      <w:kern w:val="0"/>
                      <w:szCs w:val="20"/>
                    </w:rPr>
                  </w:pPr>
                  <w:r>
                    <w:rPr>
                      <w:color w:val="auto"/>
                    </w:rPr>
                    <w:t>202</w:t>
                  </w:r>
                  <w:r>
                    <w:rPr>
                      <w:rFonts w:hint="eastAsia"/>
                      <w:color w:val="auto"/>
                    </w:rPr>
                    <w:t>3</w:t>
                  </w:r>
                  <w:r>
                    <w:rPr>
                      <w:color w:val="auto"/>
                    </w:rPr>
                    <w:t>年7月</w:t>
                  </w:r>
                </w:p>
              </w:tc>
              <w:tc>
                <w:tcPr>
                  <w:tcW w:w="1201" w:type="dxa"/>
                  <w:vAlign w:val="center"/>
                </w:tcPr>
                <w:p w14:paraId="07A0F89C">
                  <w:pPr>
                    <w:autoSpaceDE w:val="0"/>
                    <w:autoSpaceDN w:val="0"/>
                    <w:jc w:val="center"/>
                    <w:rPr>
                      <w:color w:val="auto"/>
                      <w:kern w:val="0"/>
                      <w:szCs w:val="20"/>
                    </w:rPr>
                  </w:pPr>
                  <w:r>
                    <w:rPr>
                      <w:rFonts w:hint="eastAsia"/>
                      <w:color w:val="auto"/>
                      <w:kern w:val="0"/>
                      <w:szCs w:val="20"/>
                    </w:rPr>
                    <w:t>0.002</w:t>
                  </w:r>
                </w:p>
              </w:tc>
              <w:tc>
                <w:tcPr>
                  <w:tcW w:w="1186" w:type="dxa"/>
                  <w:vAlign w:val="center"/>
                </w:tcPr>
                <w:p w14:paraId="7D15BCFD">
                  <w:pPr>
                    <w:autoSpaceDE w:val="0"/>
                    <w:autoSpaceDN w:val="0"/>
                    <w:jc w:val="center"/>
                    <w:rPr>
                      <w:color w:val="auto"/>
                      <w:kern w:val="0"/>
                      <w:szCs w:val="20"/>
                    </w:rPr>
                  </w:pPr>
                  <w:r>
                    <w:rPr>
                      <w:rFonts w:hint="eastAsia"/>
                      <w:color w:val="auto"/>
                      <w:kern w:val="0"/>
                      <w:szCs w:val="20"/>
                    </w:rPr>
                    <w:t>0.008</w:t>
                  </w:r>
                </w:p>
              </w:tc>
              <w:tc>
                <w:tcPr>
                  <w:tcW w:w="1088" w:type="dxa"/>
                  <w:vAlign w:val="center"/>
                </w:tcPr>
                <w:p w14:paraId="7DC7F368">
                  <w:pPr>
                    <w:autoSpaceDE w:val="0"/>
                    <w:autoSpaceDN w:val="0"/>
                    <w:jc w:val="center"/>
                    <w:rPr>
                      <w:color w:val="auto"/>
                      <w:kern w:val="0"/>
                      <w:szCs w:val="20"/>
                    </w:rPr>
                  </w:pPr>
                  <w:r>
                    <w:rPr>
                      <w:rFonts w:hint="eastAsia"/>
                      <w:color w:val="auto"/>
                      <w:kern w:val="0"/>
                      <w:szCs w:val="20"/>
                    </w:rPr>
                    <w:t>0.027</w:t>
                  </w:r>
                </w:p>
              </w:tc>
              <w:tc>
                <w:tcPr>
                  <w:tcW w:w="1213" w:type="dxa"/>
                  <w:vAlign w:val="center"/>
                </w:tcPr>
                <w:p w14:paraId="7A8E8A8F">
                  <w:pPr>
                    <w:autoSpaceDE w:val="0"/>
                    <w:autoSpaceDN w:val="0"/>
                    <w:jc w:val="center"/>
                    <w:rPr>
                      <w:color w:val="auto"/>
                      <w:kern w:val="0"/>
                      <w:szCs w:val="20"/>
                    </w:rPr>
                  </w:pPr>
                  <w:r>
                    <w:rPr>
                      <w:rFonts w:hint="eastAsia"/>
                      <w:color w:val="auto"/>
                      <w:kern w:val="0"/>
                      <w:szCs w:val="20"/>
                    </w:rPr>
                    <w:t>0.010</w:t>
                  </w:r>
                </w:p>
              </w:tc>
              <w:tc>
                <w:tcPr>
                  <w:tcW w:w="1209" w:type="dxa"/>
                  <w:vAlign w:val="center"/>
                </w:tcPr>
                <w:p w14:paraId="2BA3816E">
                  <w:pPr>
                    <w:autoSpaceDE w:val="0"/>
                    <w:autoSpaceDN w:val="0"/>
                    <w:jc w:val="center"/>
                    <w:rPr>
                      <w:color w:val="auto"/>
                      <w:kern w:val="0"/>
                      <w:szCs w:val="20"/>
                    </w:rPr>
                  </w:pPr>
                  <w:r>
                    <w:rPr>
                      <w:rFonts w:hint="eastAsia"/>
                      <w:color w:val="auto"/>
                      <w:kern w:val="0"/>
                      <w:szCs w:val="20"/>
                    </w:rPr>
                    <w:t>0.6</w:t>
                  </w:r>
                </w:p>
              </w:tc>
              <w:tc>
                <w:tcPr>
                  <w:tcW w:w="933" w:type="dxa"/>
                  <w:vAlign w:val="center"/>
                </w:tcPr>
                <w:p w14:paraId="6829893F">
                  <w:pPr>
                    <w:autoSpaceDE w:val="0"/>
                    <w:autoSpaceDN w:val="0"/>
                    <w:jc w:val="center"/>
                    <w:rPr>
                      <w:color w:val="auto"/>
                      <w:kern w:val="0"/>
                      <w:szCs w:val="20"/>
                    </w:rPr>
                  </w:pPr>
                  <w:r>
                    <w:rPr>
                      <w:rFonts w:hint="eastAsia"/>
                      <w:color w:val="auto"/>
                      <w:kern w:val="0"/>
                      <w:szCs w:val="20"/>
                    </w:rPr>
                    <w:t>0.128</w:t>
                  </w:r>
                </w:p>
              </w:tc>
            </w:tr>
            <w:tr w14:paraId="47D99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3932230A">
                  <w:pPr>
                    <w:autoSpaceDE w:val="0"/>
                    <w:autoSpaceDN w:val="0"/>
                    <w:jc w:val="center"/>
                    <w:rPr>
                      <w:color w:val="auto"/>
                      <w:kern w:val="0"/>
                      <w:szCs w:val="20"/>
                    </w:rPr>
                  </w:pPr>
                  <w:r>
                    <w:rPr>
                      <w:color w:val="auto"/>
                    </w:rPr>
                    <w:t>202</w:t>
                  </w:r>
                  <w:r>
                    <w:rPr>
                      <w:rFonts w:hint="eastAsia"/>
                      <w:color w:val="auto"/>
                    </w:rPr>
                    <w:t>3</w:t>
                  </w:r>
                  <w:r>
                    <w:rPr>
                      <w:color w:val="auto"/>
                    </w:rPr>
                    <w:t>年8月</w:t>
                  </w:r>
                </w:p>
              </w:tc>
              <w:tc>
                <w:tcPr>
                  <w:tcW w:w="1201" w:type="dxa"/>
                  <w:vAlign w:val="center"/>
                </w:tcPr>
                <w:p w14:paraId="466AB7E7">
                  <w:pPr>
                    <w:autoSpaceDE w:val="0"/>
                    <w:autoSpaceDN w:val="0"/>
                    <w:jc w:val="center"/>
                    <w:rPr>
                      <w:color w:val="auto"/>
                      <w:kern w:val="0"/>
                      <w:szCs w:val="20"/>
                    </w:rPr>
                  </w:pPr>
                  <w:r>
                    <w:rPr>
                      <w:rFonts w:hint="eastAsia"/>
                      <w:color w:val="auto"/>
                      <w:kern w:val="0"/>
                      <w:szCs w:val="20"/>
                    </w:rPr>
                    <w:t>0.002</w:t>
                  </w:r>
                </w:p>
              </w:tc>
              <w:tc>
                <w:tcPr>
                  <w:tcW w:w="1186" w:type="dxa"/>
                  <w:vAlign w:val="center"/>
                </w:tcPr>
                <w:p w14:paraId="207E6C80">
                  <w:pPr>
                    <w:autoSpaceDE w:val="0"/>
                    <w:autoSpaceDN w:val="0"/>
                    <w:jc w:val="center"/>
                    <w:rPr>
                      <w:color w:val="auto"/>
                      <w:kern w:val="0"/>
                      <w:szCs w:val="20"/>
                    </w:rPr>
                  </w:pPr>
                  <w:r>
                    <w:rPr>
                      <w:rFonts w:hint="eastAsia"/>
                      <w:color w:val="auto"/>
                      <w:kern w:val="0"/>
                      <w:szCs w:val="20"/>
                    </w:rPr>
                    <w:t>0.011</w:t>
                  </w:r>
                </w:p>
              </w:tc>
              <w:tc>
                <w:tcPr>
                  <w:tcW w:w="1088" w:type="dxa"/>
                  <w:vAlign w:val="center"/>
                </w:tcPr>
                <w:p w14:paraId="5484B3C1">
                  <w:pPr>
                    <w:autoSpaceDE w:val="0"/>
                    <w:autoSpaceDN w:val="0"/>
                    <w:jc w:val="center"/>
                    <w:rPr>
                      <w:color w:val="auto"/>
                      <w:kern w:val="0"/>
                      <w:szCs w:val="20"/>
                    </w:rPr>
                  </w:pPr>
                  <w:r>
                    <w:rPr>
                      <w:rFonts w:hint="eastAsia"/>
                      <w:color w:val="auto"/>
                      <w:kern w:val="0"/>
                      <w:szCs w:val="20"/>
                    </w:rPr>
                    <w:t>0.027</w:t>
                  </w:r>
                </w:p>
              </w:tc>
              <w:tc>
                <w:tcPr>
                  <w:tcW w:w="1213" w:type="dxa"/>
                  <w:vAlign w:val="center"/>
                </w:tcPr>
                <w:p w14:paraId="750AC6EA">
                  <w:pPr>
                    <w:autoSpaceDE w:val="0"/>
                    <w:autoSpaceDN w:val="0"/>
                    <w:jc w:val="center"/>
                    <w:rPr>
                      <w:color w:val="auto"/>
                      <w:kern w:val="0"/>
                      <w:szCs w:val="20"/>
                    </w:rPr>
                  </w:pPr>
                  <w:r>
                    <w:rPr>
                      <w:rFonts w:hint="eastAsia"/>
                      <w:color w:val="auto"/>
                      <w:kern w:val="0"/>
                      <w:szCs w:val="20"/>
                    </w:rPr>
                    <w:t>0.012</w:t>
                  </w:r>
                </w:p>
              </w:tc>
              <w:tc>
                <w:tcPr>
                  <w:tcW w:w="1209" w:type="dxa"/>
                  <w:vAlign w:val="center"/>
                </w:tcPr>
                <w:p w14:paraId="1D9DD663">
                  <w:pPr>
                    <w:autoSpaceDE w:val="0"/>
                    <w:autoSpaceDN w:val="0"/>
                    <w:jc w:val="center"/>
                    <w:rPr>
                      <w:color w:val="auto"/>
                      <w:kern w:val="0"/>
                      <w:szCs w:val="20"/>
                    </w:rPr>
                  </w:pPr>
                  <w:r>
                    <w:rPr>
                      <w:rFonts w:hint="eastAsia"/>
                      <w:color w:val="auto"/>
                      <w:kern w:val="0"/>
                      <w:szCs w:val="20"/>
                    </w:rPr>
                    <w:t>0.6</w:t>
                  </w:r>
                </w:p>
              </w:tc>
              <w:tc>
                <w:tcPr>
                  <w:tcW w:w="933" w:type="dxa"/>
                  <w:shd w:val="clear" w:color="auto" w:fill="auto"/>
                  <w:vAlign w:val="center"/>
                </w:tcPr>
                <w:p w14:paraId="1B590650">
                  <w:pPr>
                    <w:autoSpaceDE w:val="0"/>
                    <w:autoSpaceDN w:val="0"/>
                    <w:jc w:val="center"/>
                    <w:rPr>
                      <w:color w:val="auto"/>
                      <w:kern w:val="0"/>
                      <w:szCs w:val="20"/>
                    </w:rPr>
                  </w:pPr>
                  <w:r>
                    <w:rPr>
                      <w:rFonts w:hint="eastAsia"/>
                      <w:color w:val="auto"/>
                      <w:kern w:val="0"/>
                      <w:szCs w:val="20"/>
                    </w:rPr>
                    <w:t>0.124</w:t>
                  </w:r>
                </w:p>
              </w:tc>
            </w:tr>
            <w:tr w14:paraId="00821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2A2701DE">
                  <w:pPr>
                    <w:autoSpaceDE w:val="0"/>
                    <w:autoSpaceDN w:val="0"/>
                    <w:jc w:val="center"/>
                    <w:rPr>
                      <w:color w:val="auto"/>
                      <w:kern w:val="0"/>
                      <w:szCs w:val="20"/>
                    </w:rPr>
                  </w:pPr>
                  <w:r>
                    <w:rPr>
                      <w:color w:val="auto"/>
                    </w:rPr>
                    <w:t>202</w:t>
                  </w:r>
                  <w:r>
                    <w:rPr>
                      <w:rFonts w:hint="eastAsia"/>
                      <w:color w:val="auto"/>
                    </w:rPr>
                    <w:t>3</w:t>
                  </w:r>
                  <w:r>
                    <w:rPr>
                      <w:color w:val="auto"/>
                    </w:rPr>
                    <w:t>年9月</w:t>
                  </w:r>
                </w:p>
              </w:tc>
              <w:tc>
                <w:tcPr>
                  <w:tcW w:w="1201" w:type="dxa"/>
                  <w:vAlign w:val="center"/>
                </w:tcPr>
                <w:p w14:paraId="7522BF27">
                  <w:pPr>
                    <w:autoSpaceDE w:val="0"/>
                    <w:autoSpaceDN w:val="0"/>
                    <w:jc w:val="center"/>
                    <w:rPr>
                      <w:color w:val="auto"/>
                      <w:kern w:val="0"/>
                      <w:szCs w:val="20"/>
                    </w:rPr>
                  </w:pPr>
                  <w:r>
                    <w:rPr>
                      <w:rFonts w:hint="eastAsia"/>
                      <w:color w:val="auto"/>
                      <w:kern w:val="0"/>
                      <w:szCs w:val="20"/>
                    </w:rPr>
                    <w:t>0.002</w:t>
                  </w:r>
                </w:p>
              </w:tc>
              <w:tc>
                <w:tcPr>
                  <w:tcW w:w="1186" w:type="dxa"/>
                  <w:vAlign w:val="center"/>
                </w:tcPr>
                <w:p w14:paraId="6BC1D6A0">
                  <w:pPr>
                    <w:autoSpaceDE w:val="0"/>
                    <w:autoSpaceDN w:val="0"/>
                    <w:jc w:val="center"/>
                    <w:rPr>
                      <w:color w:val="auto"/>
                      <w:kern w:val="0"/>
                      <w:szCs w:val="20"/>
                    </w:rPr>
                  </w:pPr>
                  <w:r>
                    <w:rPr>
                      <w:rFonts w:hint="eastAsia"/>
                      <w:color w:val="auto"/>
                      <w:kern w:val="0"/>
                      <w:szCs w:val="20"/>
                    </w:rPr>
                    <w:t>0.007</w:t>
                  </w:r>
                </w:p>
              </w:tc>
              <w:tc>
                <w:tcPr>
                  <w:tcW w:w="1088" w:type="dxa"/>
                  <w:vAlign w:val="center"/>
                </w:tcPr>
                <w:p w14:paraId="5AB21A3D">
                  <w:pPr>
                    <w:autoSpaceDE w:val="0"/>
                    <w:autoSpaceDN w:val="0"/>
                    <w:jc w:val="center"/>
                    <w:rPr>
                      <w:color w:val="auto"/>
                      <w:kern w:val="0"/>
                      <w:szCs w:val="20"/>
                    </w:rPr>
                  </w:pPr>
                  <w:r>
                    <w:rPr>
                      <w:rFonts w:hint="eastAsia"/>
                      <w:color w:val="auto"/>
                      <w:kern w:val="0"/>
                      <w:szCs w:val="20"/>
                    </w:rPr>
                    <w:t>0.022</w:t>
                  </w:r>
                </w:p>
              </w:tc>
              <w:tc>
                <w:tcPr>
                  <w:tcW w:w="1213" w:type="dxa"/>
                  <w:vAlign w:val="center"/>
                </w:tcPr>
                <w:p w14:paraId="0C7DE733">
                  <w:pPr>
                    <w:autoSpaceDE w:val="0"/>
                    <w:autoSpaceDN w:val="0"/>
                    <w:jc w:val="center"/>
                    <w:rPr>
                      <w:color w:val="auto"/>
                      <w:kern w:val="0"/>
                      <w:szCs w:val="20"/>
                    </w:rPr>
                  </w:pPr>
                  <w:r>
                    <w:rPr>
                      <w:rFonts w:hint="eastAsia"/>
                      <w:color w:val="auto"/>
                      <w:kern w:val="0"/>
                      <w:szCs w:val="20"/>
                    </w:rPr>
                    <w:t>0.011</w:t>
                  </w:r>
                </w:p>
              </w:tc>
              <w:tc>
                <w:tcPr>
                  <w:tcW w:w="1209" w:type="dxa"/>
                  <w:vAlign w:val="center"/>
                </w:tcPr>
                <w:p w14:paraId="67185EEB">
                  <w:pPr>
                    <w:autoSpaceDE w:val="0"/>
                    <w:autoSpaceDN w:val="0"/>
                    <w:jc w:val="center"/>
                    <w:rPr>
                      <w:color w:val="auto"/>
                      <w:kern w:val="0"/>
                      <w:szCs w:val="20"/>
                    </w:rPr>
                  </w:pPr>
                  <w:r>
                    <w:rPr>
                      <w:rFonts w:hint="eastAsia"/>
                      <w:color w:val="auto"/>
                      <w:kern w:val="0"/>
                      <w:szCs w:val="20"/>
                    </w:rPr>
                    <w:t>0.6</w:t>
                  </w:r>
                </w:p>
              </w:tc>
              <w:tc>
                <w:tcPr>
                  <w:tcW w:w="933" w:type="dxa"/>
                  <w:shd w:val="clear" w:color="auto" w:fill="auto"/>
                  <w:vAlign w:val="center"/>
                </w:tcPr>
                <w:p w14:paraId="7F3E882D">
                  <w:pPr>
                    <w:autoSpaceDE w:val="0"/>
                    <w:autoSpaceDN w:val="0"/>
                    <w:jc w:val="center"/>
                    <w:rPr>
                      <w:color w:val="auto"/>
                      <w:kern w:val="0"/>
                      <w:szCs w:val="20"/>
                    </w:rPr>
                  </w:pPr>
                  <w:r>
                    <w:rPr>
                      <w:rFonts w:hint="eastAsia"/>
                      <w:color w:val="auto"/>
                      <w:kern w:val="0"/>
                      <w:szCs w:val="20"/>
                    </w:rPr>
                    <w:t>0.115</w:t>
                  </w:r>
                </w:p>
              </w:tc>
            </w:tr>
            <w:tr w14:paraId="5AC2F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2273AD7A">
                  <w:pPr>
                    <w:autoSpaceDE w:val="0"/>
                    <w:autoSpaceDN w:val="0"/>
                    <w:jc w:val="center"/>
                    <w:rPr>
                      <w:color w:val="auto"/>
                      <w:kern w:val="0"/>
                      <w:szCs w:val="20"/>
                    </w:rPr>
                  </w:pPr>
                  <w:r>
                    <w:rPr>
                      <w:color w:val="auto"/>
                    </w:rPr>
                    <w:t>202</w:t>
                  </w:r>
                  <w:r>
                    <w:rPr>
                      <w:rFonts w:hint="eastAsia"/>
                      <w:color w:val="auto"/>
                    </w:rPr>
                    <w:t>3</w:t>
                  </w:r>
                  <w:r>
                    <w:rPr>
                      <w:color w:val="auto"/>
                    </w:rPr>
                    <w:t>年10月</w:t>
                  </w:r>
                </w:p>
              </w:tc>
              <w:tc>
                <w:tcPr>
                  <w:tcW w:w="1201" w:type="dxa"/>
                  <w:vAlign w:val="center"/>
                </w:tcPr>
                <w:p w14:paraId="0FE67351">
                  <w:pPr>
                    <w:autoSpaceDE w:val="0"/>
                    <w:autoSpaceDN w:val="0"/>
                    <w:jc w:val="center"/>
                    <w:rPr>
                      <w:color w:val="auto"/>
                      <w:kern w:val="0"/>
                      <w:szCs w:val="20"/>
                    </w:rPr>
                  </w:pPr>
                  <w:r>
                    <w:rPr>
                      <w:rFonts w:hint="eastAsia"/>
                      <w:color w:val="auto"/>
                      <w:kern w:val="0"/>
                      <w:szCs w:val="20"/>
                    </w:rPr>
                    <w:t>0.002</w:t>
                  </w:r>
                </w:p>
              </w:tc>
              <w:tc>
                <w:tcPr>
                  <w:tcW w:w="1186" w:type="dxa"/>
                  <w:vAlign w:val="center"/>
                </w:tcPr>
                <w:p w14:paraId="30BF6435">
                  <w:pPr>
                    <w:autoSpaceDE w:val="0"/>
                    <w:autoSpaceDN w:val="0"/>
                    <w:jc w:val="center"/>
                    <w:rPr>
                      <w:color w:val="auto"/>
                      <w:kern w:val="0"/>
                      <w:szCs w:val="20"/>
                    </w:rPr>
                  </w:pPr>
                  <w:r>
                    <w:rPr>
                      <w:rFonts w:hint="eastAsia"/>
                      <w:color w:val="auto"/>
                      <w:kern w:val="0"/>
                      <w:szCs w:val="20"/>
                    </w:rPr>
                    <w:t>0.008</w:t>
                  </w:r>
                </w:p>
              </w:tc>
              <w:tc>
                <w:tcPr>
                  <w:tcW w:w="1088" w:type="dxa"/>
                  <w:vAlign w:val="center"/>
                </w:tcPr>
                <w:p w14:paraId="61E9CC81">
                  <w:pPr>
                    <w:autoSpaceDE w:val="0"/>
                    <w:autoSpaceDN w:val="0"/>
                    <w:jc w:val="center"/>
                    <w:rPr>
                      <w:color w:val="auto"/>
                      <w:kern w:val="0"/>
                      <w:szCs w:val="20"/>
                    </w:rPr>
                  </w:pPr>
                  <w:r>
                    <w:rPr>
                      <w:rFonts w:hint="eastAsia"/>
                      <w:color w:val="auto"/>
                      <w:kern w:val="0"/>
                      <w:szCs w:val="20"/>
                    </w:rPr>
                    <w:t>0.028</w:t>
                  </w:r>
                </w:p>
              </w:tc>
              <w:tc>
                <w:tcPr>
                  <w:tcW w:w="1213" w:type="dxa"/>
                  <w:vAlign w:val="center"/>
                </w:tcPr>
                <w:p w14:paraId="64124EB4">
                  <w:pPr>
                    <w:autoSpaceDE w:val="0"/>
                    <w:autoSpaceDN w:val="0"/>
                    <w:jc w:val="center"/>
                    <w:rPr>
                      <w:color w:val="auto"/>
                      <w:kern w:val="0"/>
                      <w:szCs w:val="20"/>
                    </w:rPr>
                  </w:pPr>
                  <w:r>
                    <w:rPr>
                      <w:rFonts w:hint="eastAsia"/>
                      <w:color w:val="auto"/>
                      <w:kern w:val="0"/>
                      <w:szCs w:val="20"/>
                    </w:rPr>
                    <w:t>0.014</w:t>
                  </w:r>
                </w:p>
              </w:tc>
              <w:tc>
                <w:tcPr>
                  <w:tcW w:w="1209" w:type="dxa"/>
                  <w:vAlign w:val="center"/>
                </w:tcPr>
                <w:p w14:paraId="3B82E50B">
                  <w:pPr>
                    <w:autoSpaceDE w:val="0"/>
                    <w:autoSpaceDN w:val="0"/>
                    <w:jc w:val="center"/>
                    <w:rPr>
                      <w:color w:val="auto"/>
                      <w:kern w:val="0"/>
                      <w:szCs w:val="20"/>
                    </w:rPr>
                  </w:pPr>
                  <w:r>
                    <w:rPr>
                      <w:rFonts w:hint="eastAsia"/>
                      <w:color w:val="auto"/>
                      <w:kern w:val="0"/>
                      <w:szCs w:val="20"/>
                    </w:rPr>
                    <w:t>0.6</w:t>
                  </w:r>
                </w:p>
              </w:tc>
              <w:tc>
                <w:tcPr>
                  <w:tcW w:w="933" w:type="dxa"/>
                  <w:shd w:val="clear" w:color="auto" w:fill="auto"/>
                  <w:vAlign w:val="center"/>
                </w:tcPr>
                <w:p w14:paraId="348810B6">
                  <w:pPr>
                    <w:autoSpaceDE w:val="0"/>
                    <w:autoSpaceDN w:val="0"/>
                    <w:jc w:val="center"/>
                    <w:rPr>
                      <w:color w:val="auto"/>
                      <w:kern w:val="0"/>
                      <w:szCs w:val="20"/>
                    </w:rPr>
                  </w:pPr>
                  <w:r>
                    <w:rPr>
                      <w:rFonts w:hint="eastAsia"/>
                      <w:color w:val="auto"/>
                      <w:kern w:val="0"/>
                      <w:szCs w:val="20"/>
                    </w:rPr>
                    <w:t>0.137</w:t>
                  </w:r>
                </w:p>
              </w:tc>
            </w:tr>
            <w:tr w14:paraId="56668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4716AEA9">
                  <w:pPr>
                    <w:autoSpaceDE w:val="0"/>
                    <w:autoSpaceDN w:val="0"/>
                    <w:jc w:val="center"/>
                    <w:rPr>
                      <w:color w:val="auto"/>
                      <w:kern w:val="0"/>
                      <w:szCs w:val="20"/>
                    </w:rPr>
                  </w:pPr>
                  <w:r>
                    <w:rPr>
                      <w:color w:val="auto"/>
                    </w:rPr>
                    <w:t>202</w:t>
                  </w:r>
                  <w:r>
                    <w:rPr>
                      <w:rFonts w:hint="eastAsia"/>
                      <w:color w:val="auto"/>
                    </w:rPr>
                    <w:t>3</w:t>
                  </w:r>
                  <w:r>
                    <w:rPr>
                      <w:color w:val="auto"/>
                    </w:rPr>
                    <w:t>年11月</w:t>
                  </w:r>
                </w:p>
              </w:tc>
              <w:tc>
                <w:tcPr>
                  <w:tcW w:w="1201" w:type="dxa"/>
                  <w:vAlign w:val="center"/>
                </w:tcPr>
                <w:p w14:paraId="01034A12">
                  <w:pPr>
                    <w:autoSpaceDE w:val="0"/>
                    <w:autoSpaceDN w:val="0"/>
                    <w:jc w:val="center"/>
                    <w:rPr>
                      <w:color w:val="auto"/>
                      <w:kern w:val="0"/>
                      <w:szCs w:val="20"/>
                    </w:rPr>
                  </w:pPr>
                  <w:r>
                    <w:rPr>
                      <w:rFonts w:hint="eastAsia"/>
                      <w:color w:val="auto"/>
                    </w:rPr>
                    <w:t>0.002</w:t>
                  </w:r>
                </w:p>
              </w:tc>
              <w:tc>
                <w:tcPr>
                  <w:tcW w:w="1186" w:type="dxa"/>
                  <w:vAlign w:val="center"/>
                </w:tcPr>
                <w:p w14:paraId="5DE8915A">
                  <w:pPr>
                    <w:autoSpaceDE w:val="0"/>
                    <w:autoSpaceDN w:val="0"/>
                    <w:jc w:val="center"/>
                    <w:rPr>
                      <w:color w:val="auto"/>
                      <w:kern w:val="0"/>
                      <w:szCs w:val="20"/>
                    </w:rPr>
                  </w:pPr>
                  <w:r>
                    <w:rPr>
                      <w:rFonts w:hint="eastAsia"/>
                      <w:color w:val="auto"/>
                      <w:kern w:val="0"/>
                      <w:szCs w:val="20"/>
                    </w:rPr>
                    <w:t>0.009</w:t>
                  </w:r>
                </w:p>
              </w:tc>
              <w:tc>
                <w:tcPr>
                  <w:tcW w:w="1088" w:type="dxa"/>
                  <w:vAlign w:val="center"/>
                </w:tcPr>
                <w:p w14:paraId="75DC53FD">
                  <w:pPr>
                    <w:autoSpaceDE w:val="0"/>
                    <w:autoSpaceDN w:val="0"/>
                    <w:jc w:val="center"/>
                    <w:rPr>
                      <w:color w:val="auto"/>
                      <w:kern w:val="0"/>
                      <w:szCs w:val="20"/>
                    </w:rPr>
                  </w:pPr>
                  <w:r>
                    <w:rPr>
                      <w:rFonts w:hint="eastAsia"/>
                      <w:color w:val="auto"/>
                      <w:kern w:val="0"/>
                      <w:szCs w:val="20"/>
                    </w:rPr>
                    <w:t>0.030</w:t>
                  </w:r>
                </w:p>
              </w:tc>
              <w:tc>
                <w:tcPr>
                  <w:tcW w:w="1213" w:type="dxa"/>
                  <w:vAlign w:val="center"/>
                </w:tcPr>
                <w:p w14:paraId="3281624A">
                  <w:pPr>
                    <w:autoSpaceDE w:val="0"/>
                    <w:autoSpaceDN w:val="0"/>
                    <w:jc w:val="center"/>
                    <w:rPr>
                      <w:color w:val="auto"/>
                      <w:kern w:val="0"/>
                      <w:szCs w:val="20"/>
                    </w:rPr>
                  </w:pPr>
                  <w:r>
                    <w:rPr>
                      <w:rFonts w:hint="eastAsia"/>
                      <w:color w:val="auto"/>
                      <w:kern w:val="0"/>
                      <w:szCs w:val="20"/>
                    </w:rPr>
                    <w:t>0.015</w:t>
                  </w:r>
                </w:p>
              </w:tc>
              <w:tc>
                <w:tcPr>
                  <w:tcW w:w="1209" w:type="dxa"/>
                  <w:vAlign w:val="center"/>
                </w:tcPr>
                <w:p w14:paraId="523450DF">
                  <w:pPr>
                    <w:autoSpaceDE w:val="0"/>
                    <w:autoSpaceDN w:val="0"/>
                    <w:jc w:val="center"/>
                    <w:rPr>
                      <w:color w:val="auto"/>
                      <w:kern w:val="0"/>
                      <w:szCs w:val="20"/>
                    </w:rPr>
                  </w:pPr>
                  <w:r>
                    <w:rPr>
                      <w:rFonts w:hint="eastAsia"/>
                      <w:color w:val="auto"/>
                      <w:kern w:val="0"/>
                      <w:szCs w:val="20"/>
                    </w:rPr>
                    <w:t>0.6</w:t>
                  </w:r>
                </w:p>
              </w:tc>
              <w:tc>
                <w:tcPr>
                  <w:tcW w:w="933" w:type="dxa"/>
                  <w:shd w:val="clear" w:color="auto" w:fill="auto"/>
                  <w:vAlign w:val="center"/>
                </w:tcPr>
                <w:p w14:paraId="156E755F">
                  <w:pPr>
                    <w:autoSpaceDE w:val="0"/>
                    <w:autoSpaceDN w:val="0"/>
                    <w:jc w:val="center"/>
                    <w:rPr>
                      <w:color w:val="auto"/>
                      <w:kern w:val="0"/>
                      <w:szCs w:val="20"/>
                    </w:rPr>
                  </w:pPr>
                  <w:r>
                    <w:rPr>
                      <w:rFonts w:hint="eastAsia"/>
                      <w:color w:val="auto"/>
                      <w:kern w:val="0"/>
                      <w:szCs w:val="20"/>
                    </w:rPr>
                    <w:t>0.120</w:t>
                  </w:r>
                </w:p>
              </w:tc>
            </w:tr>
            <w:tr w14:paraId="6C9AF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6FE6BC03">
                  <w:pPr>
                    <w:autoSpaceDE w:val="0"/>
                    <w:autoSpaceDN w:val="0"/>
                    <w:jc w:val="center"/>
                    <w:rPr>
                      <w:color w:val="auto"/>
                      <w:kern w:val="0"/>
                      <w:szCs w:val="20"/>
                    </w:rPr>
                  </w:pPr>
                  <w:r>
                    <w:rPr>
                      <w:color w:val="auto"/>
                    </w:rPr>
                    <w:t>202</w:t>
                  </w:r>
                  <w:r>
                    <w:rPr>
                      <w:rFonts w:hint="eastAsia"/>
                      <w:color w:val="auto"/>
                    </w:rPr>
                    <w:t>3</w:t>
                  </w:r>
                  <w:r>
                    <w:rPr>
                      <w:color w:val="auto"/>
                    </w:rPr>
                    <w:t>年12月</w:t>
                  </w:r>
                </w:p>
              </w:tc>
              <w:tc>
                <w:tcPr>
                  <w:tcW w:w="1201" w:type="dxa"/>
                  <w:vAlign w:val="center"/>
                </w:tcPr>
                <w:p w14:paraId="03B51E12">
                  <w:pPr>
                    <w:autoSpaceDE w:val="0"/>
                    <w:autoSpaceDN w:val="0"/>
                    <w:jc w:val="center"/>
                    <w:rPr>
                      <w:color w:val="auto"/>
                      <w:kern w:val="0"/>
                      <w:szCs w:val="20"/>
                    </w:rPr>
                  </w:pPr>
                  <w:r>
                    <w:rPr>
                      <w:color w:val="auto"/>
                    </w:rPr>
                    <w:t>0.00</w:t>
                  </w:r>
                  <w:r>
                    <w:rPr>
                      <w:rFonts w:hint="eastAsia"/>
                      <w:color w:val="auto"/>
                    </w:rPr>
                    <w:t>3</w:t>
                  </w:r>
                </w:p>
              </w:tc>
              <w:tc>
                <w:tcPr>
                  <w:tcW w:w="1186" w:type="dxa"/>
                  <w:vAlign w:val="center"/>
                </w:tcPr>
                <w:p w14:paraId="02537316">
                  <w:pPr>
                    <w:autoSpaceDE w:val="0"/>
                    <w:autoSpaceDN w:val="0"/>
                    <w:jc w:val="center"/>
                    <w:rPr>
                      <w:color w:val="auto"/>
                      <w:kern w:val="0"/>
                      <w:szCs w:val="20"/>
                    </w:rPr>
                  </w:pPr>
                  <w:r>
                    <w:rPr>
                      <w:color w:val="auto"/>
                    </w:rPr>
                    <w:t>0.0</w:t>
                  </w:r>
                  <w:r>
                    <w:rPr>
                      <w:rFonts w:hint="eastAsia"/>
                      <w:color w:val="auto"/>
                    </w:rPr>
                    <w:t>19</w:t>
                  </w:r>
                </w:p>
              </w:tc>
              <w:tc>
                <w:tcPr>
                  <w:tcW w:w="1088" w:type="dxa"/>
                  <w:vAlign w:val="center"/>
                </w:tcPr>
                <w:p w14:paraId="3B163D1F">
                  <w:pPr>
                    <w:autoSpaceDE w:val="0"/>
                    <w:autoSpaceDN w:val="0"/>
                    <w:jc w:val="center"/>
                    <w:rPr>
                      <w:color w:val="auto"/>
                      <w:kern w:val="0"/>
                      <w:szCs w:val="20"/>
                    </w:rPr>
                  </w:pPr>
                  <w:r>
                    <w:rPr>
                      <w:color w:val="auto"/>
                    </w:rPr>
                    <w:t>0.0</w:t>
                  </w:r>
                  <w:r>
                    <w:rPr>
                      <w:rFonts w:hint="eastAsia"/>
                      <w:color w:val="auto"/>
                    </w:rPr>
                    <w:t>30</w:t>
                  </w:r>
                </w:p>
              </w:tc>
              <w:tc>
                <w:tcPr>
                  <w:tcW w:w="1213" w:type="dxa"/>
                  <w:vAlign w:val="center"/>
                </w:tcPr>
                <w:p w14:paraId="174F49E0">
                  <w:pPr>
                    <w:autoSpaceDE w:val="0"/>
                    <w:autoSpaceDN w:val="0"/>
                    <w:jc w:val="center"/>
                    <w:rPr>
                      <w:color w:val="auto"/>
                      <w:kern w:val="0"/>
                      <w:szCs w:val="20"/>
                    </w:rPr>
                  </w:pPr>
                  <w:r>
                    <w:rPr>
                      <w:color w:val="auto"/>
                    </w:rPr>
                    <w:t>0.01</w:t>
                  </w:r>
                  <w:r>
                    <w:rPr>
                      <w:rFonts w:hint="eastAsia"/>
                      <w:color w:val="auto"/>
                    </w:rPr>
                    <w:t>8</w:t>
                  </w:r>
                </w:p>
              </w:tc>
              <w:tc>
                <w:tcPr>
                  <w:tcW w:w="1209" w:type="dxa"/>
                  <w:vAlign w:val="center"/>
                </w:tcPr>
                <w:p w14:paraId="3865D51D">
                  <w:pPr>
                    <w:autoSpaceDE w:val="0"/>
                    <w:autoSpaceDN w:val="0"/>
                    <w:jc w:val="center"/>
                    <w:rPr>
                      <w:color w:val="auto"/>
                      <w:kern w:val="0"/>
                      <w:szCs w:val="20"/>
                    </w:rPr>
                  </w:pPr>
                  <w:r>
                    <w:rPr>
                      <w:color w:val="auto"/>
                    </w:rPr>
                    <w:t>0.</w:t>
                  </w:r>
                  <w:r>
                    <w:rPr>
                      <w:rFonts w:hint="eastAsia"/>
                      <w:color w:val="auto"/>
                    </w:rPr>
                    <w:t>9</w:t>
                  </w:r>
                </w:p>
              </w:tc>
              <w:tc>
                <w:tcPr>
                  <w:tcW w:w="933" w:type="dxa"/>
                  <w:shd w:val="clear" w:color="auto" w:fill="auto"/>
                  <w:vAlign w:val="center"/>
                </w:tcPr>
                <w:p w14:paraId="5B9CA2A7">
                  <w:pPr>
                    <w:autoSpaceDE w:val="0"/>
                    <w:autoSpaceDN w:val="0"/>
                    <w:jc w:val="center"/>
                    <w:rPr>
                      <w:color w:val="auto"/>
                      <w:kern w:val="0"/>
                      <w:szCs w:val="20"/>
                    </w:rPr>
                  </w:pPr>
                  <w:r>
                    <w:rPr>
                      <w:rFonts w:hint="eastAsia"/>
                      <w:color w:val="auto"/>
                      <w:kern w:val="0"/>
                      <w:szCs w:val="20"/>
                    </w:rPr>
                    <w:t>0.112</w:t>
                  </w:r>
                </w:p>
              </w:tc>
            </w:tr>
            <w:tr w14:paraId="36C40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05DE9494">
                  <w:pPr>
                    <w:autoSpaceDE w:val="0"/>
                    <w:autoSpaceDN w:val="0"/>
                    <w:jc w:val="center"/>
                    <w:rPr>
                      <w:color w:val="auto"/>
                    </w:rPr>
                  </w:pPr>
                  <w:r>
                    <w:rPr>
                      <w:rFonts w:hint="eastAsia"/>
                      <w:color w:val="auto"/>
                    </w:rPr>
                    <w:t>2023年均值</w:t>
                  </w:r>
                </w:p>
              </w:tc>
              <w:tc>
                <w:tcPr>
                  <w:tcW w:w="1201" w:type="dxa"/>
                  <w:vAlign w:val="center"/>
                </w:tcPr>
                <w:p w14:paraId="719AEA69">
                  <w:pPr>
                    <w:autoSpaceDE w:val="0"/>
                    <w:autoSpaceDN w:val="0"/>
                    <w:jc w:val="center"/>
                    <w:rPr>
                      <w:color w:val="auto"/>
                    </w:rPr>
                  </w:pPr>
                  <w:r>
                    <w:rPr>
                      <w:rFonts w:hint="eastAsia"/>
                      <w:color w:val="auto"/>
                    </w:rPr>
                    <w:t>0.003</w:t>
                  </w:r>
                </w:p>
              </w:tc>
              <w:tc>
                <w:tcPr>
                  <w:tcW w:w="1186" w:type="dxa"/>
                  <w:vAlign w:val="center"/>
                </w:tcPr>
                <w:p w14:paraId="7C6E9162">
                  <w:pPr>
                    <w:autoSpaceDE w:val="0"/>
                    <w:autoSpaceDN w:val="0"/>
                    <w:jc w:val="center"/>
                    <w:rPr>
                      <w:color w:val="auto"/>
                    </w:rPr>
                  </w:pPr>
                  <w:r>
                    <w:rPr>
                      <w:rFonts w:hint="eastAsia"/>
                      <w:color w:val="auto"/>
                    </w:rPr>
                    <w:t>0.014</w:t>
                  </w:r>
                </w:p>
              </w:tc>
              <w:tc>
                <w:tcPr>
                  <w:tcW w:w="1088" w:type="dxa"/>
                  <w:vAlign w:val="center"/>
                </w:tcPr>
                <w:p w14:paraId="1765719D">
                  <w:pPr>
                    <w:autoSpaceDE w:val="0"/>
                    <w:autoSpaceDN w:val="0"/>
                    <w:jc w:val="center"/>
                    <w:rPr>
                      <w:color w:val="auto"/>
                    </w:rPr>
                  </w:pPr>
                  <w:r>
                    <w:rPr>
                      <w:rFonts w:hint="eastAsia"/>
                      <w:color w:val="auto"/>
                    </w:rPr>
                    <w:t>0.032</w:t>
                  </w:r>
                </w:p>
              </w:tc>
              <w:tc>
                <w:tcPr>
                  <w:tcW w:w="1213" w:type="dxa"/>
                  <w:vAlign w:val="center"/>
                </w:tcPr>
                <w:p w14:paraId="70307BFC">
                  <w:pPr>
                    <w:autoSpaceDE w:val="0"/>
                    <w:autoSpaceDN w:val="0"/>
                    <w:jc w:val="center"/>
                    <w:rPr>
                      <w:color w:val="auto"/>
                    </w:rPr>
                  </w:pPr>
                  <w:r>
                    <w:rPr>
                      <w:rFonts w:hint="eastAsia"/>
                      <w:color w:val="auto"/>
                    </w:rPr>
                    <w:t>0.015</w:t>
                  </w:r>
                </w:p>
              </w:tc>
              <w:tc>
                <w:tcPr>
                  <w:tcW w:w="1209" w:type="dxa"/>
                  <w:vAlign w:val="center"/>
                </w:tcPr>
                <w:p w14:paraId="30220A4F">
                  <w:pPr>
                    <w:autoSpaceDE w:val="0"/>
                    <w:autoSpaceDN w:val="0"/>
                    <w:jc w:val="center"/>
                    <w:rPr>
                      <w:color w:val="auto"/>
                    </w:rPr>
                  </w:pPr>
                  <w:r>
                    <w:rPr>
                      <w:rFonts w:hint="eastAsia"/>
                      <w:color w:val="auto"/>
                    </w:rPr>
                    <w:t>0.708</w:t>
                  </w:r>
                </w:p>
              </w:tc>
              <w:tc>
                <w:tcPr>
                  <w:tcW w:w="933" w:type="dxa"/>
                  <w:vAlign w:val="center"/>
                </w:tcPr>
                <w:p w14:paraId="6814FB9E">
                  <w:pPr>
                    <w:autoSpaceDE w:val="0"/>
                    <w:autoSpaceDN w:val="0"/>
                    <w:jc w:val="center"/>
                    <w:rPr>
                      <w:color w:val="auto"/>
                    </w:rPr>
                  </w:pPr>
                  <w:r>
                    <w:rPr>
                      <w:rFonts w:hint="eastAsia"/>
                      <w:color w:val="auto"/>
                    </w:rPr>
                    <w:t>0.124</w:t>
                  </w:r>
                </w:p>
              </w:tc>
            </w:tr>
            <w:tr w14:paraId="3F98B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25A30E42">
                  <w:pPr>
                    <w:autoSpaceDE w:val="0"/>
                    <w:autoSpaceDN w:val="0"/>
                    <w:jc w:val="center"/>
                    <w:rPr>
                      <w:rFonts w:hint="eastAsia" w:eastAsia="宋体"/>
                      <w:color w:val="auto"/>
                      <w:lang w:eastAsia="zh-CN"/>
                    </w:rPr>
                  </w:pPr>
                  <w:r>
                    <w:rPr>
                      <w:rFonts w:hint="eastAsia"/>
                      <w:color w:val="auto"/>
                    </w:rPr>
                    <w:t>标准值</w:t>
                  </w:r>
                  <w:r>
                    <w:rPr>
                      <w:rFonts w:hint="eastAsia"/>
                      <w:color w:val="auto"/>
                      <w:shd w:val="clear" w:fill="FFFFFF"/>
                      <w:lang w:eastAsia="zh-CN"/>
                    </w:rPr>
                    <w:t>(</w:t>
                  </w:r>
                  <w:r>
                    <w:rPr>
                      <w:rFonts w:hint="eastAsia"/>
                      <w:color w:val="auto"/>
                    </w:rPr>
                    <w:t>mg/m</w:t>
                  </w:r>
                  <w:r>
                    <w:rPr>
                      <w:rFonts w:hint="eastAsia"/>
                      <w:color w:val="auto"/>
                      <w:vertAlign w:val="superscript"/>
                    </w:rPr>
                    <w:t>3</w:t>
                  </w:r>
                  <w:r>
                    <w:rPr>
                      <w:rFonts w:hint="eastAsia"/>
                      <w:color w:val="auto"/>
                      <w:shd w:val="clear" w:fill="FFFFFF"/>
                      <w:lang w:eastAsia="zh-CN"/>
                    </w:rPr>
                    <w:t>)</w:t>
                  </w:r>
                </w:p>
              </w:tc>
              <w:tc>
                <w:tcPr>
                  <w:tcW w:w="1201" w:type="dxa"/>
                  <w:vAlign w:val="center"/>
                </w:tcPr>
                <w:p w14:paraId="7AD0C9DA">
                  <w:pPr>
                    <w:autoSpaceDE w:val="0"/>
                    <w:autoSpaceDN w:val="0"/>
                    <w:jc w:val="center"/>
                    <w:rPr>
                      <w:color w:val="auto"/>
                    </w:rPr>
                  </w:pPr>
                  <w:r>
                    <w:rPr>
                      <w:rFonts w:hint="eastAsia"/>
                      <w:color w:val="auto"/>
                    </w:rPr>
                    <w:t>0.06</w:t>
                  </w:r>
                </w:p>
              </w:tc>
              <w:tc>
                <w:tcPr>
                  <w:tcW w:w="1186" w:type="dxa"/>
                  <w:vAlign w:val="center"/>
                </w:tcPr>
                <w:p w14:paraId="2909841E">
                  <w:pPr>
                    <w:autoSpaceDE w:val="0"/>
                    <w:autoSpaceDN w:val="0"/>
                    <w:jc w:val="center"/>
                    <w:rPr>
                      <w:color w:val="auto"/>
                    </w:rPr>
                  </w:pPr>
                  <w:r>
                    <w:rPr>
                      <w:rFonts w:hint="eastAsia"/>
                      <w:color w:val="auto"/>
                    </w:rPr>
                    <w:t>0.04</w:t>
                  </w:r>
                </w:p>
              </w:tc>
              <w:tc>
                <w:tcPr>
                  <w:tcW w:w="1088" w:type="dxa"/>
                  <w:vAlign w:val="center"/>
                </w:tcPr>
                <w:p w14:paraId="2C8AD4F6">
                  <w:pPr>
                    <w:autoSpaceDE w:val="0"/>
                    <w:autoSpaceDN w:val="0"/>
                    <w:jc w:val="center"/>
                    <w:rPr>
                      <w:color w:val="auto"/>
                    </w:rPr>
                  </w:pPr>
                  <w:r>
                    <w:rPr>
                      <w:rFonts w:hint="eastAsia"/>
                      <w:color w:val="auto"/>
                    </w:rPr>
                    <w:t>0.07</w:t>
                  </w:r>
                </w:p>
              </w:tc>
              <w:tc>
                <w:tcPr>
                  <w:tcW w:w="1213" w:type="dxa"/>
                  <w:vAlign w:val="center"/>
                </w:tcPr>
                <w:p w14:paraId="0CF3E7A0">
                  <w:pPr>
                    <w:autoSpaceDE w:val="0"/>
                    <w:autoSpaceDN w:val="0"/>
                    <w:jc w:val="center"/>
                    <w:rPr>
                      <w:color w:val="auto"/>
                    </w:rPr>
                  </w:pPr>
                  <w:r>
                    <w:rPr>
                      <w:rFonts w:hint="eastAsia"/>
                      <w:color w:val="auto"/>
                    </w:rPr>
                    <w:t>0.035</w:t>
                  </w:r>
                </w:p>
              </w:tc>
              <w:tc>
                <w:tcPr>
                  <w:tcW w:w="1209" w:type="dxa"/>
                  <w:vAlign w:val="center"/>
                </w:tcPr>
                <w:p w14:paraId="2E6225FD">
                  <w:pPr>
                    <w:autoSpaceDE w:val="0"/>
                    <w:autoSpaceDN w:val="0"/>
                    <w:jc w:val="center"/>
                    <w:rPr>
                      <w:color w:val="auto"/>
                    </w:rPr>
                  </w:pPr>
                  <w:r>
                    <w:rPr>
                      <w:rFonts w:hint="eastAsia"/>
                      <w:color w:val="auto"/>
                    </w:rPr>
                    <w:t>4</w:t>
                  </w:r>
                </w:p>
              </w:tc>
              <w:tc>
                <w:tcPr>
                  <w:tcW w:w="933" w:type="dxa"/>
                  <w:vAlign w:val="center"/>
                </w:tcPr>
                <w:p w14:paraId="4ACCBD4A">
                  <w:pPr>
                    <w:autoSpaceDE w:val="0"/>
                    <w:autoSpaceDN w:val="0"/>
                    <w:jc w:val="center"/>
                    <w:rPr>
                      <w:color w:val="auto"/>
                    </w:rPr>
                  </w:pPr>
                  <w:r>
                    <w:rPr>
                      <w:rFonts w:hint="eastAsia"/>
                      <w:color w:val="auto"/>
                    </w:rPr>
                    <w:t>0.16</w:t>
                  </w:r>
                </w:p>
              </w:tc>
            </w:tr>
            <w:tr w14:paraId="65C21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6A07559C">
                  <w:pPr>
                    <w:autoSpaceDE w:val="0"/>
                    <w:autoSpaceDN w:val="0"/>
                    <w:jc w:val="center"/>
                    <w:rPr>
                      <w:rFonts w:hint="eastAsia" w:eastAsia="宋体"/>
                      <w:color w:val="auto"/>
                      <w:lang w:eastAsia="zh-CN"/>
                    </w:rPr>
                  </w:pPr>
                  <w:r>
                    <w:rPr>
                      <w:rFonts w:hint="eastAsia"/>
                      <w:color w:val="auto"/>
                    </w:rPr>
                    <w:t>占标率</w:t>
                  </w:r>
                  <w:r>
                    <w:rPr>
                      <w:rFonts w:hint="eastAsia"/>
                      <w:color w:val="auto"/>
                      <w:shd w:val="clear" w:fill="FFFFFF"/>
                      <w:lang w:eastAsia="zh-CN"/>
                    </w:rPr>
                    <w:t>(</w:t>
                  </w:r>
                  <w:r>
                    <w:rPr>
                      <w:rFonts w:hint="eastAsia"/>
                      <w:color w:val="auto"/>
                    </w:rPr>
                    <w:t>%</w:t>
                  </w:r>
                  <w:r>
                    <w:rPr>
                      <w:rFonts w:hint="eastAsia"/>
                      <w:color w:val="auto"/>
                      <w:shd w:val="clear" w:fill="FFFFFF"/>
                      <w:lang w:eastAsia="zh-CN"/>
                    </w:rPr>
                    <w:t>)</w:t>
                  </w:r>
                </w:p>
              </w:tc>
              <w:tc>
                <w:tcPr>
                  <w:tcW w:w="1201" w:type="dxa"/>
                  <w:vAlign w:val="center"/>
                </w:tcPr>
                <w:p w14:paraId="71B95F13">
                  <w:pPr>
                    <w:autoSpaceDE w:val="0"/>
                    <w:autoSpaceDN w:val="0"/>
                    <w:jc w:val="center"/>
                    <w:rPr>
                      <w:color w:val="auto"/>
                    </w:rPr>
                  </w:pPr>
                  <w:r>
                    <w:rPr>
                      <w:rFonts w:hint="eastAsia"/>
                      <w:color w:val="auto"/>
                    </w:rPr>
                    <w:t>5</w:t>
                  </w:r>
                </w:p>
              </w:tc>
              <w:tc>
                <w:tcPr>
                  <w:tcW w:w="1186" w:type="dxa"/>
                  <w:vAlign w:val="center"/>
                </w:tcPr>
                <w:p w14:paraId="04C144CF">
                  <w:pPr>
                    <w:autoSpaceDE w:val="0"/>
                    <w:autoSpaceDN w:val="0"/>
                    <w:jc w:val="center"/>
                    <w:rPr>
                      <w:color w:val="auto"/>
                    </w:rPr>
                  </w:pPr>
                  <w:r>
                    <w:rPr>
                      <w:rFonts w:hint="eastAsia"/>
                      <w:color w:val="auto"/>
                    </w:rPr>
                    <w:t>35</w:t>
                  </w:r>
                </w:p>
              </w:tc>
              <w:tc>
                <w:tcPr>
                  <w:tcW w:w="1088" w:type="dxa"/>
                  <w:vAlign w:val="center"/>
                </w:tcPr>
                <w:p w14:paraId="7B5F9202">
                  <w:pPr>
                    <w:autoSpaceDE w:val="0"/>
                    <w:autoSpaceDN w:val="0"/>
                    <w:jc w:val="center"/>
                    <w:rPr>
                      <w:color w:val="auto"/>
                    </w:rPr>
                  </w:pPr>
                  <w:r>
                    <w:rPr>
                      <w:rFonts w:hint="eastAsia"/>
                      <w:color w:val="auto"/>
                    </w:rPr>
                    <w:t>45.7</w:t>
                  </w:r>
                </w:p>
              </w:tc>
              <w:tc>
                <w:tcPr>
                  <w:tcW w:w="1213" w:type="dxa"/>
                  <w:vAlign w:val="center"/>
                </w:tcPr>
                <w:p w14:paraId="55752B7C">
                  <w:pPr>
                    <w:autoSpaceDE w:val="0"/>
                    <w:autoSpaceDN w:val="0"/>
                    <w:jc w:val="center"/>
                    <w:rPr>
                      <w:color w:val="auto"/>
                    </w:rPr>
                  </w:pPr>
                  <w:r>
                    <w:rPr>
                      <w:rFonts w:hint="eastAsia"/>
                      <w:color w:val="auto"/>
                    </w:rPr>
                    <w:t>42.9</w:t>
                  </w:r>
                </w:p>
              </w:tc>
              <w:tc>
                <w:tcPr>
                  <w:tcW w:w="1209" w:type="dxa"/>
                  <w:vAlign w:val="center"/>
                </w:tcPr>
                <w:p w14:paraId="02B6D780">
                  <w:pPr>
                    <w:autoSpaceDE w:val="0"/>
                    <w:autoSpaceDN w:val="0"/>
                    <w:jc w:val="center"/>
                    <w:rPr>
                      <w:color w:val="auto"/>
                    </w:rPr>
                  </w:pPr>
                  <w:r>
                    <w:rPr>
                      <w:rFonts w:hint="eastAsia"/>
                      <w:color w:val="auto"/>
                    </w:rPr>
                    <w:t>17.7</w:t>
                  </w:r>
                </w:p>
              </w:tc>
              <w:tc>
                <w:tcPr>
                  <w:tcW w:w="933" w:type="dxa"/>
                  <w:vAlign w:val="center"/>
                </w:tcPr>
                <w:p w14:paraId="4248D41F">
                  <w:pPr>
                    <w:autoSpaceDE w:val="0"/>
                    <w:autoSpaceDN w:val="0"/>
                    <w:jc w:val="center"/>
                    <w:rPr>
                      <w:color w:val="auto"/>
                    </w:rPr>
                  </w:pPr>
                  <w:r>
                    <w:rPr>
                      <w:rFonts w:hint="eastAsia"/>
                      <w:color w:val="auto"/>
                    </w:rPr>
                    <w:t>77.5</w:t>
                  </w:r>
                </w:p>
              </w:tc>
            </w:tr>
            <w:tr w14:paraId="63CDA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7C1D5E69">
                  <w:pPr>
                    <w:autoSpaceDE w:val="0"/>
                    <w:autoSpaceDN w:val="0"/>
                    <w:jc w:val="center"/>
                    <w:rPr>
                      <w:color w:val="auto"/>
                    </w:rPr>
                  </w:pPr>
                  <w:r>
                    <w:rPr>
                      <w:rFonts w:hint="eastAsia"/>
                      <w:color w:val="auto"/>
                    </w:rPr>
                    <w:t>达标情况</w:t>
                  </w:r>
                </w:p>
              </w:tc>
              <w:tc>
                <w:tcPr>
                  <w:tcW w:w="1201" w:type="dxa"/>
                  <w:vAlign w:val="center"/>
                </w:tcPr>
                <w:p w14:paraId="6C38D307">
                  <w:pPr>
                    <w:autoSpaceDE w:val="0"/>
                    <w:autoSpaceDN w:val="0"/>
                    <w:jc w:val="center"/>
                    <w:rPr>
                      <w:color w:val="auto"/>
                    </w:rPr>
                  </w:pPr>
                  <w:r>
                    <w:rPr>
                      <w:rFonts w:hint="eastAsia"/>
                      <w:color w:val="auto"/>
                    </w:rPr>
                    <w:t>达标</w:t>
                  </w:r>
                </w:p>
              </w:tc>
              <w:tc>
                <w:tcPr>
                  <w:tcW w:w="1186" w:type="dxa"/>
                  <w:vAlign w:val="center"/>
                </w:tcPr>
                <w:p w14:paraId="3EC8B5E4">
                  <w:pPr>
                    <w:autoSpaceDE w:val="0"/>
                    <w:autoSpaceDN w:val="0"/>
                    <w:jc w:val="center"/>
                    <w:rPr>
                      <w:color w:val="auto"/>
                    </w:rPr>
                  </w:pPr>
                  <w:r>
                    <w:rPr>
                      <w:rFonts w:hint="eastAsia"/>
                      <w:color w:val="auto"/>
                    </w:rPr>
                    <w:t>达标</w:t>
                  </w:r>
                </w:p>
              </w:tc>
              <w:tc>
                <w:tcPr>
                  <w:tcW w:w="1088" w:type="dxa"/>
                  <w:vAlign w:val="center"/>
                </w:tcPr>
                <w:p w14:paraId="08E1C79E">
                  <w:pPr>
                    <w:autoSpaceDE w:val="0"/>
                    <w:autoSpaceDN w:val="0"/>
                    <w:jc w:val="center"/>
                    <w:rPr>
                      <w:color w:val="auto"/>
                    </w:rPr>
                  </w:pPr>
                  <w:r>
                    <w:rPr>
                      <w:rFonts w:hint="eastAsia"/>
                      <w:color w:val="auto"/>
                    </w:rPr>
                    <w:t>达标</w:t>
                  </w:r>
                </w:p>
              </w:tc>
              <w:tc>
                <w:tcPr>
                  <w:tcW w:w="1213" w:type="dxa"/>
                  <w:vAlign w:val="center"/>
                </w:tcPr>
                <w:p w14:paraId="0CE981B0">
                  <w:pPr>
                    <w:autoSpaceDE w:val="0"/>
                    <w:autoSpaceDN w:val="0"/>
                    <w:jc w:val="center"/>
                    <w:rPr>
                      <w:color w:val="auto"/>
                    </w:rPr>
                  </w:pPr>
                  <w:r>
                    <w:rPr>
                      <w:rFonts w:hint="eastAsia"/>
                      <w:color w:val="auto"/>
                    </w:rPr>
                    <w:t>达标</w:t>
                  </w:r>
                </w:p>
              </w:tc>
              <w:tc>
                <w:tcPr>
                  <w:tcW w:w="1209" w:type="dxa"/>
                  <w:vAlign w:val="center"/>
                </w:tcPr>
                <w:p w14:paraId="70ADAF40">
                  <w:pPr>
                    <w:autoSpaceDE w:val="0"/>
                    <w:autoSpaceDN w:val="0"/>
                    <w:jc w:val="center"/>
                    <w:rPr>
                      <w:color w:val="auto"/>
                    </w:rPr>
                  </w:pPr>
                  <w:r>
                    <w:rPr>
                      <w:rFonts w:hint="eastAsia"/>
                      <w:color w:val="auto"/>
                    </w:rPr>
                    <w:t>达标</w:t>
                  </w:r>
                </w:p>
              </w:tc>
              <w:tc>
                <w:tcPr>
                  <w:tcW w:w="933" w:type="dxa"/>
                  <w:vAlign w:val="center"/>
                </w:tcPr>
                <w:p w14:paraId="24924F44">
                  <w:pPr>
                    <w:autoSpaceDE w:val="0"/>
                    <w:autoSpaceDN w:val="0"/>
                    <w:jc w:val="center"/>
                    <w:rPr>
                      <w:color w:val="auto"/>
                    </w:rPr>
                  </w:pPr>
                  <w:r>
                    <w:rPr>
                      <w:rFonts w:hint="eastAsia"/>
                      <w:color w:val="auto"/>
                    </w:rPr>
                    <w:t>达标</w:t>
                  </w:r>
                </w:p>
              </w:tc>
            </w:tr>
            <w:tr w14:paraId="72E61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53172124">
                  <w:pPr>
                    <w:autoSpaceDE w:val="0"/>
                    <w:autoSpaceDN w:val="0"/>
                    <w:jc w:val="center"/>
                    <w:rPr>
                      <w:color w:val="auto"/>
                      <w:kern w:val="0"/>
                      <w:szCs w:val="20"/>
                    </w:rPr>
                  </w:pPr>
                  <w:r>
                    <w:rPr>
                      <w:color w:val="auto"/>
                      <w:kern w:val="0"/>
                      <w:szCs w:val="20"/>
                    </w:rPr>
                    <w:t>备注</w:t>
                  </w:r>
                </w:p>
              </w:tc>
              <w:tc>
                <w:tcPr>
                  <w:tcW w:w="6830" w:type="dxa"/>
                  <w:gridSpan w:val="6"/>
                  <w:vAlign w:val="center"/>
                </w:tcPr>
                <w:p w14:paraId="2703B9AE">
                  <w:pPr>
                    <w:autoSpaceDE w:val="0"/>
                    <w:autoSpaceDN w:val="0"/>
                    <w:jc w:val="center"/>
                    <w:rPr>
                      <w:color w:val="auto"/>
                      <w:kern w:val="0"/>
                      <w:szCs w:val="20"/>
                    </w:rPr>
                  </w:pPr>
                  <w:r>
                    <w:rPr>
                      <w:color w:val="auto"/>
                      <w:kern w:val="0"/>
                      <w:szCs w:val="20"/>
                      <w:shd w:val="clear" w:fill="FFFFFF"/>
                    </w:rPr>
                    <w:t>*</w:t>
                  </w:r>
                  <w:r>
                    <w:rPr>
                      <w:color w:val="auto"/>
                      <w:kern w:val="0"/>
                      <w:szCs w:val="20"/>
                    </w:rPr>
                    <w:t>CO为日均值第95百分位数，O</w:t>
                  </w:r>
                  <w:r>
                    <w:rPr>
                      <w:color w:val="auto"/>
                      <w:kern w:val="0"/>
                      <w:szCs w:val="20"/>
                      <w:vertAlign w:val="subscript"/>
                    </w:rPr>
                    <w:t>3</w:t>
                  </w:r>
                  <w:r>
                    <w:rPr>
                      <w:color w:val="auto"/>
                      <w:kern w:val="0"/>
                      <w:szCs w:val="20"/>
                    </w:rPr>
                    <w:t>为日最大8小时值第90百分位数。</w:t>
                  </w:r>
                </w:p>
              </w:tc>
            </w:tr>
            <w:bookmarkEnd w:id="88"/>
          </w:tbl>
          <w:p w14:paraId="0F58A0BF">
            <w:pPr>
              <w:pStyle w:val="117"/>
              <w:wordWrap w:val="0"/>
              <w:rPr>
                <w:color w:val="auto"/>
                <w:lang w:eastAsia="zh-CN"/>
              </w:rPr>
            </w:pPr>
            <w:r>
              <w:rPr>
                <w:color w:val="auto"/>
                <w:szCs w:val="24"/>
                <w:lang w:eastAsia="zh-CN"/>
              </w:rPr>
              <w:fldChar w:fldCharType="begin"/>
            </w:r>
            <w:r>
              <w:rPr>
                <w:color w:val="auto"/>
                <w:szCs w:val="24"/>
                <w:lang w:eastAsia="zh-CN"/>
              </w:rPr>
              <w:instrText xml:space="preserve"> = 2 \* GB3 \* MERGEFORMAT </w:instrText>
            </w:r>
            <w:r>
              <w:rPr>
                <w:color w:val="auto"/>
                <w:szCs w:val="24"/>
                <w:lang w:eastAsia="zh-CN"/>
              </w:rPr>
              <w:fldChar w:fldCharType="separate"/>
            </w:r>
            <w:r>
              <w:rPr>
                <w:color w:val="auto"/>
                <w:szCs w:val="24"/>
                <w:lang w:eastAsia="zh-CN"/>
              </w:rPr>
              <w:t>②</w:t>
            </w:r>
            <w:r>
              <w:rPr>
                <w:color w:val="auto"/>
                <w:szCs w:val="24"/>
                <w:lang w:eastAsia="zh-CN"/>
              </w:rPr>
              <w:fldChar w:fldCharType="end"/>
            </w:r>
            <w:r>
              <w:rPr>
                <w:rFonts w:hint="eastAsia"/>
                <w:color w:val="auto"/>
                <w:lang w:eastAsia="zh-CN"/>
              </w:rPr>
              <w:t>特征污染因子</w:t>
            </w:r>
          </w:p>
          <w:p w14:paraId="7CB1BB5B">
            <w:pPr>
              <w:pStyle w:val="124"/>
              <w:ind w:firstLine="480"/>
              <w:rPr>
                <w:rFonts w:ascii="Times New Roman" w:hAnsi="Times New Roman"/>
                <w:color w:val="auto"/>
                <w:sz w:val="24"/>
                <w:szCs w:val="22"/>
              </w:rPr>
            </w:pPr>
            <w:r>
              <w:rPr>
                <w:rFonts w:ascii="Times New Roman" w:hAnsi="Times New Roman"/>
                <w:color w:val="auto"/>
                <w:sz w:val="24"/>
                <w:szCs w:val="24"/>
              </w:rPr>
              <w:t>根据评价区域环境情况，结合</w:t>
            </w:r>
            <w:r>
              <w:rPr>
                <w:rFonts w:hint="eastAsia" w:ascii="Times New Roman" w:hAnsi="Times New Roman"/>
                <w:color w:val="auto"/>
                <w:sz w:val="24"/>
                <w:szCs w:val="24"/>
                <w:lang w:eastAsia="zh-CN"/>
              </w:rPr>
              <w:t>迁建项目</w:t>
            </w:r>
            <w:r>
              <w:rPr>
                <w:rFonts w:ascii="Times New Roman" w:hAnsi="Times New Roman"/>
                <w:color w:val="auto"/>
                <w:sz w:val="24"/>
                <w:szCs w:val="24"/>
              </w:rPr>
              <w:t>的特征，确定项目大气环境现状调查特征因子为</w:t>
            </w:r>
            <w:r>
              <w:rPr>
                <w:rFonts w:hint="eastAsia" w:ascii="Times New Roman" w:hAnsi="Times New Roman"/>
                <w:color w:val="auto"/>
                <w:sz w:val="24"/>
                <w:szCs w:val="24"/>
              </w:rPr>
              <w:t>TSP</w:t>
            </w:r>
            <w:r>
              <w:rPr>
                <w:rFonts w:ascii="Times New Roman" w:hAnsi="Times New Roman"/>
                <w:color w:val="auto"/>
                <w:sz w:val="24"/>
                <w:szCs w:val="24"/>
              </w:rPr>
              <w:t>，本评价引用“</w:t>
            </w:r>
            <w:r>
              <w:rPr>
                <w:rFonts w:hint="eastAsia" w:ascii="Times New Roman" w:hAnsi="Times New Roman"/>
                <w:color w:val="auto"/>
                <w:sz w:val="24"/>
                <w:szCs w:val="22"/>
              </w:rPr>
              <w:t>福建乐橘新生资源再生有限公司</w:t>
            </w:r>
            <w:r>
              <w:rPr>
                <w:rFonts w:ascii="Times New Roman" w:hAnsi="Times New Roman"/>
                <w:color w:val="auto"/>
                <w:sz w:val="24"/>
                <w:szCs w:val="22"/>
              </w:rPr>
              <w:t>于202</w:t>
            </w:r>
            <w:r>
              <w:rPr>
                <w:rFonts w:hint="eastAsia" w:ascii="Times New Roman" w:hAnsi="Times New Roman"/>
                <w:color w:val="auto"/>
                <w:sz w:val="24"/>
                <w:szCs w:val="22"/>
              </w:rPr>
              <w:t>4</w:t>
            </w:r>
            <w:r>
              <w:rPr>
                <w:rFonts w:ascii="Times New Roman" w:hAnsi="Times New Roman"/>
                <w:color w:val="auto"/>
                <w:sz w:val="24"/>
                <w:szCs w:val="22"/>
              </w:rPr>
              <w:t>年</w:t>
            </w:r>
            <w:r>
              <w:rPr>
                <w:rFonts w:hint="eastAsia" w:ascii="Times New Roman" w:hAnsi="Times New Roman"/>
                <w:color w:val="auto"/>
                <w:sz w:val="24"/>
                <w:szCs w:val="22"/>
              </w:rPr>
              <w:t>1</w:t>
            </w:r>
            <w:r>
              <w:rPr>
                <w:rFonts w:ascii="Times New Roman" w:hAnsi="Times New Roman"/>
                <w:color w:val="auto"/>
                <w:sz w:val="24"/>
                <w:szCs w:val="22"/>
              </w:rPr>
              <w:t>月</w:t>
            </w:r>
            <w:r>
              <w:rPr>
                <w:rFonts w:hint="eastAsia" w:ascii="Times New Roman" w:hAnsi="Times New Roman"/>
                <w:color w:val="auto"/>
                <w:sz w:val="24"/>
                <w:szCs w:val="22"/>
              </w:rPr>
              <w:t>16</w:t>
            </w:r>
            <w:r>
              <w:rPr>
                <w:rFonts w:ascii="Times New Roman" w:hAnsi="Times New Roman"/>
                <w:color w:val="auto"/>
                <w:sz w:val="24"/>
                <w:szCs w:val="22"/>
              </w:rPr>
              <w:t>日</w:t>
            </w:r>
            <w:r>
              <w:rPr>
                <w:rFonts w:ascii="Times New Roman" w:hAnsi="Times New Roman"/>
                <w:color w:val="auto"/>
                <w:sz w:val="24"/>
                <w:szCs w:val="22"/>
                <w:shd w:val="clear" w:fill="FFFFFF"/>
              </w:rPr>
              <w:t>~</w:t>
            </w:r>
            <w:r>
              <w:rPr>
                <w:rFonts w:ascii="Times New Roman" w:hAnsi="Times New Roman"/>
                <w:color w:val="auto"/>
                <w:sz w:val="24"/>
                <w:szCs w:val="22"/>
              </w:rPr>
              <w:t>202</w:t>
            </w:r>
            <w:r>
              <w:rPr>
                <w:rFonts w:hint="eastAsia" w:ascii="Times New Roman" w:hAnsi="Times New Roman"/>
                <w:color w:val="auto"/>
                <w:sz w:val="24"/>
                <w:szCs w:val="22"/>
              </w:rPr>
              <w:t>4</w:t>
            </w:r>
            <w:r>
              <w:rPr>
                <w:rFonts w:ascii="Times New Roman" w:hAnsi="Times New Roman"/>
                <w:color w:val="auto"/>
                <w:sz w:val="24"/>
                <w:szCs w:val="22"/>
              </w:rPr>
              <w:t>年</w:t>
            </w:r>
            <w:r>
              <w:rPr>
                <w:rFonts w:hint="eastAsia" w:ascii="Times New Roman" w:hAnsi="Times New Roman"/>
                <w:color w:val="auto"/>
                <w:sz w:val="24"/>
                <w:szCs w:val="22"/>
              </w:rPr>
              <w:t>1</w:t>
            </w:r>
            <w:r>
              <w:rPr>
                <w:rFonts w:ascii="Times New Roman" w:hAnsi="Times New Roman"/>
                <w:color w:val="auto"/>
                <w:sz w:val="24"/>
                <w:szCs w:val="22"/>
              </w:rPr>
              <w:t>月</w:t>
            </w:r>
            <w:r>
              <w:rPr>
                <w:rFonts w:hint="eastAsia" w:ascii="Times New Roman" w:hAnsi="Times New Roman"/>
                <w:color w:val="auto"/>
                <w:sz w:val="24"/>
                <w:szCs w:val="22"/>
              </w:rPr>
              <w:t>22</w:t>
            </w:r>
            <w:r>
              <w:rPr>
                <w:rFonts w:ascii="Times New Roman" w:hAnsi="Times New Roman"/>
                <w:color w:val="auto"/>
                <w:sz w:val="24"/>
                <w:szCs w:val="22"/>
              </w:rPr>
              <w:t>日</w:t>
            </w:r>
            <w:r>
              <w:rPr>
                <w:rFonts w:ascii="Times New Roman" w:hAnsi="Times New Roman"/>
                <w:color w:val="auto"/>
                <w:sz w:val="24"/>
                <w:szCs w:val="22"/>
                <w:shd w:val="clear" w:fill="FFFFFF"/>
              </w:rPr>
              <w:t>(</w:t>
            </w:r>
            <w:r>
              <w:rPr>
                <w:rFonts w:ascii="Times New Roman" w:hAnsi="Times New Roman"/>
                <w:color w:val="auto"/>
                <w:sz w:val="24"/>
                <w:szCs w:val="22"/>
              </w:rPr>
              <w:t>七天</w:t>
            </w:r>
            <w:r>
              <w:rPr>
                <w:rFonts w:ascii="Times New Roman" w:hAnsi="Times New Roman"/>
                <w:color w:val="auto"/>
                <w:sz w:val="24"/>
                <w:szCs w:val="22"/>
                <w:shd w:val="clear" w:fill="FFFFFF"/>
              </w:rPr>
              <w:t>)</w:t>
            </w:r>
            <w:r>
              <w:rPr>
                <w:rFonts w:ascii="Times New Roman" w:hAnsi="Times New Roman"/>
                <w:color w:val="auto"/>
                <w:sz w:val="24"/>
                <w:szCs w:val="22"/>
              </w:rPr>
              <w:t>委托福建九五检测技术服务有限公司对项目附近的</w:t>
            </w:r>
            <w:r>
              <w:rPr>
                <w:rFonts w:hint="eastAsia" w:ascii="Times New Roman" w:hAnsi="Times New Roman"/>
                <w:color w:val="auto"/>
                <w:sz w:val="24"/>
                <w:szCs w:val="22"/>
              </w:rPr>
              <w:t>下堡村</w:t>
            </w:r>
            <w:r>
              <w:rPr>
                <w:rFonts w:ascii="Times New Roman" w:hAnsi="Times New Roman"/>
                <w:color w:val="auto"/>
                <w:sz w:val="24"/>
                <w:szCs w:val="22"/>
              </w:rPr>
              <w:t>监测点</w:t>
            </w:r>
            <w:r>
              <w:rPr>
                <w:rFonts w:hint="eastAsia" w:ascii="Times New Roman" w:hAnsi="Times New Roman"/>
                <w:color w:val="auto"/>
                <w:sz w:val="24"/>
                <w:szCs w:val="22"/>
              </w:rPr>
              <w:t>TSP</w:t>
            </w:r>
            <w:r>
              <w:rPr>
                <w:rFonts w:ascii="Times New Roman" w:hAnsi="Times New Roman"/>
                <w:color w:val="auto"/>
                <w:sz w:val="24"/>
                <w:szCs w:val="22"/>
              </w:rPr>
              <w:t>的监测数据</w:t>
            </w:r>
            <w:r>
              <w:rPr>
                <w:rFonts w:ascii="Times New Roman" w:hAnsi="Times New Roman"/>
                <w:color w:val="auto"/>
                <w:sz w:val="24"/>
                <w:szCs w:val="24"/>
              </w:rPr>
              <w:t>”</w:t>
            </w:r>
            <w:r>
              <w:rPr>
                <w:rFonts w:ascii="Times New Roman" w:hAnsi="Times New Roman"/>
                <w:color w:val="auto"/>
                <w:sz w:val="24"/>
                <w:szCs w:val="22"/>
              </w:rPr>
              <w:t>，监测点</w:t>
            </w:r>
            <w:r>
              <w:rPr>
                <w:rFonts w:hint="eastAsia" w:ascii="Times New Roman" w:hAnsi="Times New Roman"/>
                <w:color w:val="auto"/>
                <w:sz w:val="24"/>
                <w:szCs w:val="22"/>
              </w:rPr>
              <w:t>下堡村</w:t>
            </w:r>
            <w:r>
              <w:rPr>
                <w:rFonts w:hint="eastAsia" w:ascii="Times New Roman" w:hAnsi="Times New Roman"/>
                <w:color w:val="auto"/>
                <w:sz w:val="24"/>
                <w:szCs w:val="22"/>
                <w:shd w:val="clear" w:fill="FFFFFF"/>
                <w:lang w:eastAsia="zh-CN"/>
              </w:rPr>
              <w:t>(</w:t>
            </w:r>
            <w:r>
              <w:rPr>
                <w:rFonts w:hint="eastAsia" w:ascii="Times New Roman" w:hAnsi="Times New Roman"/>
                <w:color w:val="auto"/>
                <w:sz w:val="24"/>
                <w:szCs w:val="22"/>
              </w:rPr>
              <w:t>点位坐标：E：119.316195°、N：25.442930°</w:t>
            </w:r>
            <w:r>
              <w:rPr>
                <w:rFonts w:hint="eastAsia" w:ascii="Times New Roman" w:hAnsi="Times New Roman"/>
                <w:color w:val="auto"/>
                <w:sz w:val="24"/>
                <w:szCs w:val="22"/>
                <w:shd w:val="clear" w:fill="FFFFFF"/>
                <w:lang w:eastAsia="zh-CN"/>
              </w:rPr>
              <w:t>)</w:t>
            </w:r>
            <w:r>
              <w:rPr>
                <w:rFonts w:hint="eastAsia" w:ascii="Times New Roman" w:hAnsi="Times New Roman"/>
                <w:color w:val="auto"/>
                <w:sz w:val="24"/>
                <w:szCs w:val="22"/>
              </w:rPr>
              <w:t>为</w:t>
            </w:r>
            <w:r>
              <w:rPr>
                <w:rFonts w:hint="eastAsia" w:ascii="Times New Roman" w:hAnsi="Times New Roman"/>
                <w:color w:val="auto"/>
                <w:sz w:val="24"/>
                <w:szCs w:val="22"/>
                <w:lang w:eastAsia="zh-CN"/>
              </w:rPr>
              <w:t>迁建项目</w:t>
            </w:r>
            <w:r>
              <w:rPr>
                <w:rFonts w:hint="eastAsia" w:ascii="Times New Roman" w:hAnsi="Times New Roman"/>
                <w:color w:val="auto"/>
                <w:sz w:val="24"/>
                <w:szCs w:val="22"/>
              </w:rPr>
              <w:t>西北侧725m处，</w:t>
            </w:r>
            <w:r>
              <w:rPr>
                <w:rFonts w:ascii="Times New Roman" w:hAnsi="Times New Roman"/>
                <w:color w:val="auto"/>
                <w:sz w:val="24"/>
                <w:szCs w:val="22"/>
              </w:rPr>
              <w:t>该监测</w:t>
            </w:r>
            <w:r>
              <w:rPr>
                <w:rFonts w:hint="eastAsia" w:ascii="Times New Roman" w:hAnsi="Times New Roman"/>
                <w:color w:val="auto"/>
                <w:sz w:val="24"/>
                <w:szCs w:val="22"/>
              </w:rPr>
              <w:t>数据</w:t>
            </w:r>
            <w:r>
              <w:rPr>
                <w:rFonts w:ascii="Times New Roman" w:hAnsi="Times New Roman"/>
                <w:color w:val="auto"/>
                <w:sz w:val="24"/>
                <w:szCs w:val="22"/>
              </w:rPr>
              <w:t>来源于</w:t>
            </w:r>
            <w:r>
              <w:rPr>
                <w:rFonts w:hint="eastAsia" w:ascii="Times New Roman" w:hAnsi="Times New Roman"/>
                <w:color w:val="auto"/>
                <w:sz w:val="24"/>
                <w:szCs w:val="22"/>
              </w:rPr>
              <w:t>《</w:t>
            </w:r>
            <w:r>
              <w:rPr>
                <w:color w:val="auto"/>
                <w:sz w:val="24"/>
              </w:rPr>
              <w:t>乐橘循环包装和再生新材料产业化项目</w:t>
            </w:r>
            <w:r>
              <w:rPr>
                <w:color w:val="auto"/>
                <w:sz w:val="24"/>
                <w:shd w:val="clear" w:fill="FFFFFF"/>
              </w:rPr>
              <w:t>(</w:t>
            </w:r>
            <w:r>
              <w:rPr>
                <w:rFonts w:hint="eastAsia"/>
                <w:color w:val="auto"/>
                <w:sz w:val="24"/>
              </w:rPr>
              <w:t>一</w:t>
            </w:r>
            <w:r>
              <w:rPr>
                <w:color w:val="auto"/>
                <w:sz w:val="24"/>
              </w:rPr>
              <w:t>期</w:t>
            </w:r>
            <w:r>
              <w:rPr>
                <w:rFonts w:hint="eastAsia"/>
                <w:color w:val="auto"/>
                <w:sz w:val="24"/>
                <w:shd w:val="clear" w:fill="FFFFFF"/>
                <w:lang w:eastAsia="zh-CN"/>
              </w:rPr>
              <w:t>)</w:t>
            </w:r>
            <w:r>
              <w:rPr>
                <w:rFonts w:ascii="Times New Roman" w:hAnsi="Times New Roman"/>
                <w:color w:val="auto"/>
                <w:sz w:val="24"/>
                <w:szCs w:val="22"/>
              </w:rPr>
              <w:t>环境影响报告</w:t>
            </w:r>
            <w:r>
              <w:rPr>
                <w:rFonts w:hint="eastAsia" w:ascii="Times New Roman" w:hAnsi="Times New Roman"/>
                <w:color w:val="auto"/>
                <w:sz w:val="24"/>
                <w:szCs w:val="22"/>
              </w:rPr>
              <w:t>表》</w:t>
            </w:r>
            <w:r>
              <w:rPr>
                <w:rFonts w:ascii="Times New Roman" w:hAnsi="Times New Roman"/>
                <w:color w:val="auto"/>
                <w:sz w:val="24"/>
                <w:szCs w:val="22"/>
              </w:rPr>
              <w:t>，福州市生态环境局于202</w:t>
            </w:r>
            <w:r>
              <w:rPr>
                <w:rFonts w:hint="eastAsia" w:ascii="Times New Roman" w:hAnsi="Times New Roman"/>
                <w:color w:val="auto"/>
                <w:sz w:val="24"/>
                <w:szCs w:val="22"/>
              </w:rPr>
              <w:t>4</w:t>
            </w:r>
            <w:r>
              <w:rPr>
                <w:rFonts w:ascii="Times New Roman" w:hAnsi="Times New Roman"/>
                <w:color w:val="auto"/>
                <w:sz w:val="24"/>
                <w:szCs w:val="22"/>
              </w:rPr>
              <w:t>年</w:t>
            </w:r>
            <w:r>
              <w:rPr>
                <w:rFonts w:hint="eastAsia" w:ascii="Times New Roman" w:hAnsi="Times New Roman"/>
                <w:color w:val="auto"/>
                <w:sz w:val="24"/>
                <w:szCs w:val="22"/>
              </w:rPr>
              <w:t>9</w:t>
            </w:r>
            <w:r>
              <w:rPr>
                <w:rFonts w:ascii="Times New Roman" w:hAnsi="Times New Roman"/>
                <w:color w:val="auto"/>
                <w:sz w:val="24"/>
                <w:szCs w:val="22"/>
              </w:rPr>
              <w:t>月出具了关于《</w:t>
            </w:r>
            <w:r>
              <w:rPr>
                <w:color w:val="auto"/>
                <w:sz w:val="24"/>
              </w:rPr>
              <w:t>乐橘循环包装和再生新材料产业化项目</w:t>
            </w:r>
            <w:r>
              <w:rPr>
                <w:color w:val="auto"/>
                <w:sz w:val="24"/>
                <w:shd w:val="clear" w:fill="FFFFFF"/>
              </w:rPr>
              <w:t>(</w:t>
            </w:r>
            <w:r>
              <w:rPr>
                <w:rFonts w:hint="eastAsia"/>
                <w:color w:val="auto"/>
                <w:sz w:val="24"/>
              </w:rPr>
              <w:t>一</w:t>
            </w:r>
            <w:r>
              <w:rPr>
                <w:color w:val="auto"/>
                <w:sz w:val="24"/>
              </w:rPr>
              <w:t>期</w:t>
            </w:r>
            <w:r>
              <w:rPr>
                <w:rFonts w:hint="eastAsia"/>
                <w:color w:val="auto"/>
                <w:sz w:val="24"/>
                <w:shd w:val="clear" w:fill="FFFFFF"/>
                <w:lang w:eastAsia="zh-CN"/>
              </w:rPr>
              <w:t>)</w:t>
            </w:r>
            <w:r>
              <w:rPr>
                <w:rFonts w:ascii="Times New Roman" w:hAnsi="Times New Roman"/>
                <w:color w:val="auto"/>
                <w:sz w:val="24"/>
                <w:szCs w:val="22"/>
              </w:rPr>
              <w:t>环境影响报告</w:t>
            </w:r>
            <w:r>
              <w:rPr>
                <w:rFonts w:hint="eastAsia" w:ascii="Times New Roman" w:hAnsi="Times New Roman"/>
                <w:color w:val="auto"/>
                <w:sz w:val="24"/>
                <w:szCs w:val="22"/>
              </w:rPr>
              <w:t>表</w:t>
            </w:r>
            <w:r>
              <w:rPr>
                <w:rFonts w:ascii="Times New Roman" w:hAnsi="Times New Roman"/>
                <w:color w:val="auto"/>
                <w:sz w:val="24"/>
                <w:szCs w:val="22"/>
              </w:rPr>
              <w:t>》的批复意见。</w:t>
            </w:r>
          </w:p>
          <w:p w14:paraId="0FE139E1">
            <w:pPr>
              <w:pStyle w:val="124"/>
              <w:ind w:firstLine="480"/>
              <w:rPr>
                <w:color w:val="auto"/>
                <w:sz w:val="24"/>
                <w:szCs w:val="24"/>
              </w:rPr>
            </w:pPr>
            <w:r>
              <w:rPr>
                <w:rFonts w:ascii="Times New Roman" w:hAnsi="Times New Roman"/>
                <w:color w:val="auto"/>
                <w:sz w:val="24"/>
                <w:szCs w:val="24"/>
              </w:rPr>
              <w:t>引用监测评价结果</w:t>
            </w:r>
            <w:r>
              <w:rPr>
                <w:rFonts w:hint="eastAsia" w:ascii="Times New Roman" w:hAnsi="Times New Roman"/>
                <w:color w:val="auto"/>
                <w:sz w:val="24"/>
                <w:szCs w:val="24"/>
              </w:rPr>
              <w:t>为TSP满足《环境空气质量标准》</w:t>
            </w:r>
            <w:r>
              <w:rPr>
                <w:rFonts w:hint="eastAsia" w:ascii="Times New Roman" w:hAnsi="Times New Roman"/>
                <w:color w:val="auto"/>
                <w:sz w:val="24"/>
                <w:szCs w:val="24"/>
                <w:lang w:eastAsia="zh-CN"/>
              </w:rPr>
              <w:t>(</w:t>
            </w:r>
            <w:r>
              <w:rPr>
                <w:rFonts w:hint="eastAsia" w:ascii="Times New Roman" w:hAnsi="Times New Roman"/>
                <w:color w:val="auto"/>
                <w:sz w:val="24"/>
                <w:szCs w:val="24"/>
              </w:rPr>
              <w:t>GB3095-2012</w:t>
            </w:r>
            <w:r>
              <w:rPr>
                <w:rFonts w:hint="eastAsia" w:ascii="Times New Roman" w:hAnsi="Times New Roman"/>
                <w:color w:val="auto"/>
                <w:sz w:val="24"/>
                <w:szCs w:val="24"/>
                <w:shd w:val="clear" w:fill="FFFFFF"/>
                <w:lang w:eastAsia="zh-CN"/>
              </w:rPr>
              <w:t>)</w:t>
            </w:r>
            <w:r>
              <w:rPr>
                <w:rFonts w:hint="eastAsia" w:ascii="Times New Roman" w:hAnsi="Times New Roman"/>
                <w:color w:val="auto"/>
                <w:sz w:val="24"/>
                <w:szCs w:val="24"/>
              </w:rPr>
              <w:t>表2二级标准限值要求</w:t>
            </w:r>
            <w:r>
              <w:rPr>
                <w:rFonts w:ascii="Times New Roman" w:hAnsi="Times New Roman"/>
                <w:color w:val="auto"/>
                <w:sz w:val="24"/>
                <w:szCs w:val="24"/>
              </w:rPr>
              <w:t>，监测点位与</w:t>
            </w:r>
            <w:r>
              <w:rPr>
                <w:rFonts w:hint="eastAsia" w:ascii="Times New Roman" w:hAnsi="Times New Roman"/>
                <w:color w:val="auto"/>
                <w:sz w:val="24"/>
                <w:szCs w:val="24"/>
                <w:lang w:eastAsia="zh-CN"/>
              </w:rPr>
              <w:t>迁建项目</w:t>
            </w:r>
            <w:r>
              <w:rPr>
                <w:rFonts w:ascii="Times New Roman" w:hAnsi="Times New Roman"/>
                <w:color w:val="auto"/>
                <w:sz w:val="24"/>
                <w:szCs w:val="24"/>
              </w:rPr>
              <w:t>位置关系图3.1-1。</w:t>
            </w:r>
          </w:p>
          <w:p w14:paraId="20D7AC82">
            <w:pPr>
              <w:pStyle w:val="2"/>
              <w:rPr>
                <w:color w:val="auto"/>
              </w:rPr>
            </w:pPr>
            <w:bookmarkStart w:id="89" w:name="_Toc29476"/>
            <w:bookmarkStart w:id="90" w:name="_Toc28826"/>
            <w:r>
              <w:rPr>
                <w:color w:val="auto"/>
              </w:rPr>
              <w:drawing>
                <wp:inline distT="0" distB="0" distL="114300" distR="114300">
                  <wp:extent cx="5323205" cy="3288030"/>
                  <wp:effectExtent l="0" t="0" r="10795"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6" cstate="print"/>
                          <a:stretch>
                            <a:fillRect/>
                          </a:stretch>
                        </pic:blipFill>
                        <pic:spPr>
                          <a:xfrm>
                            <a:off x="0" y="0"/>
                            <a:ext cx="5323205" cy="3288030"/>
                          </a:xfrm>
                          <a:prstGeom prst="rect">
                            <a:avLst/>
                          </a:prstGeom>
                          <a:noFill/>
                          <a:ln>
                            <a:noFill/>
                          </a:ln>
                        </pic:spPr>
                      </pic:pic>
                    </a:graphicData>
                  </a:graphic>
                </wp:inline>
              </w:drawing>
            </w:r>
            <w:bookmarkEnd w:id="89"/>
            <w:bookmarkEnd w:id="90"/>
          </w:p>
          <w:p w14:paraId="17670E81">
            <w:pPr>
              <w:spacing w:line="360" w:lineRule="auto"/>
              <w:contextualSpacing/>
              <w:jc w:val="center"/>
              <w:rPr>
                <w:rFonts w:ascii="宋体" w:hAnsi="宋体" w:cs="宋体"/>
                <w:color w:val="auto"/>
                <w:sz w:val="24"/>
              </w:rPr>
            </w:pPr>
            <w:r>
              <w:rPr>
                <w:rFonts w:hint="eastAsia"/>
                <w:b/>
                <w:bCs/>
                <w:color w:val="auto"/>
                <w:sz w:val="24"/>
              </w:rPr>
              <w:t>图</w:t>
            </w:r>
            <w:r>
              <w:rPr>
                <w:b/>
                <w:bCs/>
                <w:color w:val="auto"/>
                <w:sz w:val="24"/>
              </w:rPr>
              <w:t>3.1-</w:t>
            </w:r>
            <w:r>
              <w:rPr>
                <w:rFonts w:hint="eastAsia"/>
                <w:b/>
                <w:bCs/>
                <w:color w:val="auto"/>
                <w:sz w:val="24"/>
              </w:rPr>
              <w:t>1</w:t>
            </w:r>
            <w:r>
              <w:rPr>
                <w:b/>
                <w:bCs/>
                <w:color w:val="auto"/>
                <w:sz w:val="24"/>
              </w:rPr>
              <w:t xml:space="preserve">  </w:t>
            </w:r>
            <w:r>
              <w:rPr>
                <w:rFonts w:hint="eastAsia"/>
                <w:b/>
                <w:bCs/>
                <w:color w:val="auto"/>
                <w:sz w:val="24"/>
              </w:rPr>
              <w:t>引用的大气</w:t>
            </w:r>
            <w:r>
              <w:rPr>
                <w:b/>
                <w:bCs/>
                <w:color w:val="auto"/>
                <w:sz w:val="24"/>
              </w:rPr>
              <w:t>监测点位与</w:t>
            </w:r>
            <w:r>
              <w:rPr>
                <w:rFonts w:hint="eastAsia"/>
                <w:b/>
                <w:bCs/>
                <w:color w:val="auto"/>
                <w:sz w:val="24"/>
                <w:lang w:eastAsia="zh-CN"/>
              </w:rPr>
              <w:t>迁建项目</w:t>
            </w:r>
            <w:r>
              <w:rPr>
                <w:b/>
                <w:bCs/>
                <w:color w:val="auto"/>
                <w:sz w:val="24"/>
              </w:rPr>
              <w:t>位置关系图</w:t>
            </w:r>
          </w:p>
          <w:p w14:paraId="72300560">
            <w:pPr>
              <w:pStyle w:val="124"/>
              <w:ind w:firstLine="480"/>
              <w:rPr>
                <w:rFonts w:ascii="Times New Roman" w:hAnsi="Times New Roman"/>
                <w:color w:val="auto"/>
                <w:sz w:val="24"/>
                <w:szCs w:val="24"/>
              </w:rPr>
            </w:pPr>
            <w:r>
              <w:rPr>
                <w:rFonts w:ascii="Times New Roman" w:hAnsi="Times New Roman"/>
                <w:color w:val="auto"/>
                <w:sz w:val="24"/>
                <w:szCs w:val="24"/>
              </w:rPr>
              <w:t>根据《建设项目环境影响报告表编制技术指南</w:t>
            </w:r>
            <w:r>
              <w:rPr>
                <w:rFonts w:hint="eastAsia" w:ascii="Times New Roman" w:hAnsi="Times New Roman"/>
                <w:color w:val="auto"/>
                <w:sz w:val="24"/>
                <w:szCs w:val="24"/>
                <w:shd w:val="clear" w:fill="FFFFFF"/>
                <w:lang w:eastAsia="zh-CN"/>
              </w:rPr>
              <w:t>(</w:t>
            </w:r>
            <w:r>
              <w:rPr>
                <w:rFonts w:ascii="Times New Roman" w:hAnsi="Times New Roman"/>
                <w:color w:val="auto"/>
                <w:sz w:val="24"/>
                <w:szCs w:val="24"/>
              </w:rPr>
              <w:t>污染影响类</w:t>
            </w:r>
            <w:r>
              <w:rPr>
                <w:rFonts w:hint="eastAsia" w:ascii="Times New Roman" w:hAnsi="Times New Roman"/>
                <w:color w:val="auto"/>
                <w:sz w:val="24"/>
                <w:szCs w:val="24"/>
                <w:shd w:val="clear" w:fill="FFFFFF"/>
                <w:lang w:eastAsia="zh-CN"/>
              </w:rPr>
              <w:t>)</w:t>
            </w:r>
            <w:r>
              <w:rPr>
                <w:rFonts w:ascii="Times New Roman" w:hAnsi="Times New Roman"/>
                <w:color w:val="auto"/>
                <w:sz w:val="24"/>
                <w:szCs w:val="24"/>
              </w:rPr>
              <w:t>》</w:t>
            </w:r>
            <w:r>
              <w:rPr>
                <w:rFonts w:hint="eastAsia" w:ascii="Times New Roman" w:hAnsi="Times New Roman"/>
                <w:color w:val="auto"/>
                <w:sz w:val="24"/>
                <w:szCs w:val="24"/>
                <w:shd w:val="clear" w:fill="FFFFFF"/>
                <w:lang w:eastAsia="zh-CN"/>
              </w:rPr>
              <w:t>(</w:t>
            </w:r>
            <w:r>
              <w:rPr>
                <w:rFonts w:ascii="Times New Roman" w:hAnsi="Times New Roman"/>
                <w:color w:val="auto"/>
                <w:sz w:val="24"/>
                <w:szCs w:val="24"/>
              </w:rPr>
              <w:t>试行</w:t>
            </w:r>
            <w:r>
              <w:rPr>
                <w:rFonts w:hint="eastAsia" w:ascii="Times New Roman" w:hAnsi="Times New Roman"/>
                <w:color w:val="auto"/>
                <w:sz w:val="24"/>
                <w:szCs w:val="24"/>
                <w:shd w:val="clear" w:fill="FFFFFF"/>
                <w:lang w:eastAsia="zh-CN"/>
              </w:rPr>
              <w:t>)</w:t>
            </w:r>
            <w:r>
              <w:rPr>
                <w:rFonts w:ascii="Times New Roman" w:hAnsi="Times New Roman"/>
                <w:color w:val="auto"/>
                <w:sz w:val="24"/>
                <w:szCs w:val="24"/>
              </w:rPr>
              <w:t>的要求，排放国家、地方环境空气质量标准中有标准限值要求的特征污染物时，引用建设项目周边5千米范围内近3年的现有监测数据，无相关数据的选择当季主导风向下风向1个点位补充不少于3天的监测数据。本次评价引用</w:t>
            </w:r>
            <w:r>
              <w:rPr>
                <w:rFonts w:hint="eastAsia" w:ascii="Times New Roman" w:hAnsi="Times New Roman"/>
                <w:color w:val="auto"/>
                <w:sz w:val="24"/>
                <w:szCs w:val="22"/>
              </w:rPr>
              <w:t>福建乐橘新生资源再生有限公司</w:t>
            </w:r>
            <w:r>
              <w:rPr>
                <w:rFonts w:ascii="Times New Roman" w:hAnsi="Times New Roman"/>
                <w:color w:val="auto"/>
                <w:sz w:val="24"/>
                <w:szCs w:val="22"/>
              </w:rPr>
              <w:t>于202</w:t>
            </w:r>
            <w:r>
              <w:rPr>
                <w:rFonts w:hint="eastAsia" w:ascii="Times New Roman" w:hAnsi="Times New Roman"/>
                <w:color w:val="auto"/>
                <w:sz w:val="24"/>
                <w:szCs w:val="22"/>
              </w:rPr>
              <w:t>4</w:t>
            </w:r>
            <w:r>
              <w:rPr>
                <w:rFonts w:ascii="Times New Roman" w:hAnsi="Times New Roman"/>
                <w:color w:val="auto"/>
                <w:sz w:val="24"/>
                <w:szCs w:val="22"/>
              </w:rPr>
              <w:t>年</w:t>
            </w:r>
            <w:r>
              <w:rPr>
                <w:rFonts w:hint="eastAsia" w:ascii="Times New Roman" w:hAnsi="Times New Roman"/>
                <w:color w:val="auto"/>
                <w:sz w:val="24"/>
                <w:szCs w:val="22"/>
              </w:rPr>
              <w:t>1</w:t>
            </w:r>
            <w:r>
              <w:rPr>
                <w:rFonts w:ascii="Times New Roman" w:hAnsi="Times New Roman"/>
                <w:color w:val="auto"/>
                <w:sz w:val="24"/>
                <w:szCs w:val="22"/>
              </w:rPr>
              <w:t>月</w:t>
            </w:r>
            <w:r>
              <w:rPr>
                <w:rFonts w:hint="eastAsia" w:ascii="Times New Roman" w:hAnsi="Times New Roman"/>
                <w:color w:val="auto"/>
                <w:sz w:val="24"/>
                <w:szCs w:val="22"/>
              </w:rPr>
              <w:t>16</w:t>
            </w:r>
            <w:r>
              <w:rPr>
                <w:rFonts w:ascii="Times New Roman" w:hAnsi="Times New Roman"/>
                <w:color w:val="auto"/>
                <w:sz w:val="24"/>
                <w:szCs w:val="22"/>
              </w:rPr>
              <w:t>日</w:t>
            </w:r>
            <w:r>
              <w:rPr>
                <w:rFonts w:ascii="Times New Roman" w:hAnsi="Times New Roman"/>
                <w:color w:val="auto"/>
                <w:sz w:val="24"/>
                <w:szCs w:val="22"/>
                <w:shd w:val="clear" w:fill="FFFFFF"/>
              </w:rPr>
              <w:t>~</w:t>
            </w:r>
            <w:r>
              <w:rPr>
                <w:rFonts w:ascii="Times New Roman" w:hAnsi="Times New Roman"/>
                <w:color w:val="auto"/>
                <w:sz w:val="24"/>
                <w:szCs w:val="22"/>
              </w:rPr>
              <w:t>202</w:t>
            </w:r>
            <w:r>
              <w:rPr>
                <w:rFonts w:hint="eastAsia" w:ascii="Times New Roman" w:hAnsi="Times New Roman"/>
                <w:color w:val="auto"/>
                <w:sz w:val="24"/>
                <w:szCs w:val="22"/>
              </w:rPr>
              <w:t>4</w:t>
            </w:r>
            <w:r>
              <w:rPr>
                <w:rFonts w:ascii="Times New Roman" w:hAnsi="Times New Roman"/>
                <w:color w:val="auto"/>
                <w:sz w:val="24"/>
                <w:szCs w:val="22"/>
              </w:rPr>
              <w:t>年</w:t>
            </w:r>
            <w:r>
              <w:rPr>
                <w:rFonts w:hint="eastAsia" w:ascii="Times New Roman" w:hAnsi="Times New Roman"/>
                <w:color w:val="auto"/>
                <w:sz w:val="24"/>
                <w:szCs w:val="22"/>
              </w:rPr>
              <w:t>1</w:t>
            </w:r>
            <w:r>
              <w:rPr>
                <w:rFonts w:ascii="Times New Roman" w:hAnsi="Times New Roman"/>
                <w:color w:val="auto"/>
                <w:sz w:val="24"/>
                <w:szCs w:val="22"/>
              </w:rPr>
              <w:t>月</w:t>
            </w:r>
            <w:r>
              <w:rPr>
                <w:rFonts w:hint="eastAsia" w:ascii="Times New Roman" w:hAnsi="Times New Roman"/>
                <w:color w:val="auto"/>
                <w:sz w:val="24"/>
                <w:szCs w:val="22"/>
              </w:rPr>
              <w:t>22</w:t>
            </w:r>
            <w:r>
              <w:rPr>
                <w:rFonts w:ascii="Times New Roman" w:hAnsi="Times New Roman"/>
                <w:color w:val="auto"/>
                <w:sz w:val="24"/>
                <w:szCs w:val="22"/>
              </w:rPr>
              <w:t>日</w:t>
            </w:r>
            <w:r>
              <w:rPr>
                <w:rFonts w:ascii="Times New Roman" w:hAnsi="Times New Roman"/>
                <w:color w:val="auto"/>
                <w:sz w:val="24"/>
                <w:szCs w:val="22"/>
                <w:shd w:val="clear" w:fill="FFFFFF"/>
              </w:rPr>
              <w:t>(</w:t>
            </w:r>
            <w:r>
              <w:rPr>
                <w:rFonts w:ascii="Times New Roman" w:hAnsi="Times New Roman"/>
                <w:color w:val="auto"/>
                <w:sz w:val="24"/>
                <w:szCs w:val="22"/>
              </w:rPr>
              <w:t>七天</w:t>
            </w:r>
            <w:r>
              <w:rPr>
                <w:rFonts w:ascii="Times New Roman" w:hAnsi="Times New Roman"/>
                <w:color w:val="auto"/>
                <w:sz w:val="24"/>
                <w:szCs w:val="22"/>
                <w:shd w:val="clear" w:fill="FFFFFF"/>
              </w:rPr>
              <w:t>)</w:t>
            </w:r>
            <w:r>
              <w:rPr>
                <w:rFonts w:ascii="Times New Roman" w:hAnsi="Times New Roman"/>
                <w:color w:val="auto"/>
                <w:sz w:val="24"/>
                <w:szCs w:val="22"/>
              </w:rPr>
              <w:t>委托福建九五检测技术服务有限公司对项目附近的</w:t>
            </w:r>
            <w:r>
              <w:rPr>
                <w:rFonts w:hint="eastAsia" w:ascii="Times New Roman" w:hAnsi="Times New Roman"/>
                <w:color w:val="auto"/>
                <w:sz w:val="24"/>
                <w:szCs w:val="22"/>
              </w:rPr>
              <w:t>下堡村</w:t>
            </w:r>
            <w:r>
              <w:rPr>
                <w:rFonts w:ascii="Times New Roman" w:hAnsi="Times New Roman"/>
                <w:color w:val="auto"/>
                <w:sz w:val="24"/>
                <w:szCs w:val="22"/>
              </w:rPr>
              <w:t>监测点</w:t>
            </w:r>
            <w:r>
              <w:rPr>
                <w:rFonts w:hint="eastAsia" w:ascii="Times New Roman" w:hAnsi="Times New Roman"/>
                <w:color w:val="auto"/>
                <w:sz w:val="24"/>
                <w:szCs w:val="22"/>
              </w:rPr>
              <w:t>TSP</w:t>
            </w:r>
            <w:r>
              <w:rPr>
                <w:rFonts w:ascii="Times New Roman" w:hAnsi="Times New Roman"/>
                <w:color w:val="auto"/>
                <w:sz w:val="24"/>
                <w:szCs w:val="22"/>
              </w:rPr>
              <w:t>的监测数据</w:t>
            </w:r>
            <w:r>
              <w:rPr>
                <w:rFonts w:ascii="Times New Roman" w:hAnsi="Times New Roman"/>
                <w:color w:val="auto"/>
                <w:sz w:val="24"/>
                <w:szCs w:val="24"/>
              </w:rPr>
              <w:t>，</w:t>
            </w:r>
            <w:r>
              <w:rPr>
                <w:rFonts w:ascii="Times New Roman" w:hAnsi="Times New Roman"/>
                <w:color w:val="auto"/>
                <w:sz w:val="24"/>
                <w:szCs w:val="22"/>
              </w:rPr>
              <w:t>监测点</w:t>
            </w:r>
            <w:r>
              <w:rPr>
                <w:rFonts w:hint="eastAsia" w:ascii="Times New Roman" w:hAnsi="Times New Roman"/>
                <w:color w:val="auto"/>
                <w:sz w:val="24"/>
                <w:szCs w:val="22"/>
              </w:rPr>
              <w:t>下堡村为</w:t>
            </w:r>
            <w:r>
              <w:rPr>
                <w:rFonts w:hint="eastAsia" w:ascii="Times New Roman" w:hAnsi="Times New Roman"/>
                <w:color w:val="auto"/>
                <w:sz w:val="24"/>
                <w:szCs w:val="22"/>
                <w:lang w:eastAsia="zh-CN"/>
              </w:rPr>
              <w:t>迁建项目</w:t>
            </w:r>
            <w:r>
              <w:rPr>
                <w:rFonts w:hint="eastAsia" w:ascii="Times New Roman" w:hAnsi="Times New Roman"/>
                <w:color w:val="auto"/>
                <w:sz w:val="24"/>
                <w:szCs w:val="22"/>
              </w:rPr>
              <w:t>西北侧725m处，</w:t>
            </w:r>
            <w:r>
              <w:rPr>
                <w:rFonts w:ascii="Times New Roman" w:hAnsi="Times New Roman"/>
                <w:color w:val="auto"/>
                <w:sz w:val="24"/>
                <w:szCs w:val="24"/>
              </w:rPr>
              <w:t>符合建设项目周边5千米范围内近3年</w:t>
            </w:r>
            <w:r>
              <w:rPr>
                <w:rFonts w:hint="eastAsia" w:ascii="Times New Roman" w:hAnsi="Times New Roman"/>
                <w:color w:val="auto"/>
                <w:sz w:val="24"/>
                <w:szCs w:val="24"/>
              </w:rPr>
              <w:t>内</w:t>
            </w:r>
            <w:r>
              <w:rPr>
                <w:rFonts w:ascii="Times New Roman" w:hAnsi="Times New Roman"/>
                <w:color w:val="auto"/>
                <w:sz w:val="24"/>
                <w:szCs w:val="24"/>
              </w:rPr>
              <w:t>的现有监测数据，《建设项目环境影响报告表编制技术指南</w:t>
            </w:r>
            <w:r>
              <w:rPr>
                <w:rFonts w:hint="eastAsia" w:ascii="Times New Roman" w:hAnsi="Times New Roman"/>
                <w:color w:val="auto"/>
                <w:sz w:val="24"/>
                <w:szCs w:val="24"/>
                <w:shd w:val="clear" w:fill="FFFFFF"/>
                <w:lang w:eastAsia="zh-CN"/>
              </w:rPr>
              <w:t>(</w:t>
            </w:r>
            <w:r>
              <w:rPr>
                <w:rFonts w:ascii="Times New Roman" w:hAnsi="Times New Roman"/>
                <w:color w:val="auto"/>
                <w:sz w:val="24"/>
                <w:szCs w:val="24"/>
              </w:rPr>
              <w:t>污染影响类</w:t>
            </w:r>
            <w:r>
              <w:rPr>
                <w:rFonts w:hint="eastAsia" w:ascii="Times New Roman" w:hAnsi="Times New Roman"/>
                <w:color w:val="auto"/>
                <w:sz w:val="24"/>
                <w:szCs w:val="24"/>
                <w:shd w:val="clear" w:fill="FFFFFF"/>
                <w:lang w:eastAsia="zh-CN"/>
              </w:rPr>
              <w:t>)(</w:t>
            </w:r>
            <w:r>
              <w:rPr>
                <w:rFonts w:ascii="Times New Roman" w:hAnsi="Times New Roman"/>
                <w:color w:val="auto"/>
                <w:sz w:val="24"/>
                <w:szCs w:val="24"/>
              </w:rPr>
              <w:t>试行</w:t>
            </w:r>
            <w:r>
              <w:rPr>
                <w:rFonts w:hint="eastAsia" w:ascii="Times New Roman" w:hAnsi="Times New Roman"/>
                <w:color w:val="auto"/>
                <w:sz w:val="24"/>
                <w:szCs w:val="24"/>
                <w:shd w:val="clear" w:fill="FFFFFF"/>
                <w:lang w:eastAsia="zh-CN"/>
              </w:rPr>
              <w:t>)</w:t>
            </w:r>
            <w:r>
              <w:rPr>
                <w:rFonts w:ascii="Times New Roman" w:hAnsi="Times New Roman"/>
                <w:color w:val="auto"/>
                <w:sz w:val="24"/>
                <w:szCs w:val="24"/>
              </w:rPr>
              <w:t>》要求。</w:t>
            </w:r>
          </w:p>
          <w:p w14:paraId="68E4EB0D">
            <w:pPr>
              <w:spacing w:line="360" w:lineRule="auto"/>
              <w:ind w:firstLine="480" w:firstLineChars="200"/>
              <w:contextualSpacing/>
              <w:rPr>
                <w:color w:val="auto"/>
                <w:sz w:val="24"/>
              </w:rPr>
            </w:pPr>
            <w:r>
              <w:rPr>
                <w:color w:val="auto"/>
                <w:sz w:val="24"/>
                <w:shd w:val="clear" w:fill="FFFFFF"/>
              </w:rPr>
              <w:t>(</w:t>
            </w:r>
            <w:r>
              <w:rPr>
                <w:color w:val="auto"/>
                <w:sz w:val="24"/>
              </w:rPr>
              <w:t>2</w:t>
            </w:r>
            <w:r>
              <w:rPr>
                <w:color w:val="auto"/>
                <w:sz w:val="24"/>
                <w:shd w:val="clear" w:fill="FFFFFF"/>
              </w:rPr>
              <w:t>)</w:t>
            </w:r>
            <w:r>
              <w:rPr>
                <w:color w:val="auto"/>
                <w:sz w:val="24"/>
              </w:rPr>
              <w:t>地表水</w:t>
            </w:r>
            <w:r>
              <w:rPr>
                <w:rFonts w:hint="eastAsia"/>
                <w:color w:val="auto"/>
                <w:sz w:val="24"/>
              </w:rPr>
              <w:t>环境现状</w:t>
            </w:r>
          </w:p>
          <w:p w14:paraId="7D912ABE">
            <w:pPr>
              <w:pStyle w:val="117"/>
              <w:wordWrap w:val="0"/>
              <w:rPr>
                <w:color w:val="auto"/>
                <w:lang w:eastAsia="zh-CN"/>
              </w:rPr>
            </w:pPr>
            <w:r>
              <w:rPr>
                <w:rFonts w:hint="eastAsia"/>
                <w:color w:val="auto"/>
                <w:lang w:eastAsia="zh-CN"/>
              </w:rPr>
              <w:t>①地表水水质</w:t>
            </w:r>
          </w:p>
          <w:p w14:paraId="39B373F7">
            <w:pPr>
              <w:pStyle w:val="136"/>
              <w:ind w:firstLine="480"/>
              <w:rPr>
                <w:rFonts w:ascii="宋体"/>
                <w:color w:val="auto"/>
              </w:rPr>
            </w:pPr>
            <w:r>
              <w:rPr>
                <w:rFonts w:hint="eastAsia" w:ascii="宋体"/>
                <w:color w:val="auto"/>
                <w:lang w:eastAsia="zh-CN"/>
              </w:rPr>
              <w:t>迁建项目</w:t>
            </w:r>
            <w:r>
              <w:rPr>
                <w:rFonts w:ascii="宋体"/>
                <w:color w:val="auto"/>
              </w:rPr>
              <w:t>所在区域涉及的水体为</w:t>
            </w:r>
            <w:r>
              <w:rPr>
                <w:rFonts w:hint="eastAsia" w:ascii="宋体"/>
                <w:color w:val="auto"/>
              </w:rPr>
              <w:t>占泽渠</w:t>
            </w:r>
            <w:r>
              <w:rPr>
                <w:rFonts w:ascii="宋体"/>
                <w:color w:val="auto"/>
              </w:rPr>
              <w:t>，根据《福建省人民政府办公厅关于印发加强入河入海排污口监督管理工作方案的通知》</w:t>
            </w:r>
            <w:r>
              <w:rPr>
                <w:rFonts w:hint="eastAsia"/>
                <w:color w:val="auto"/>
                <w:shd w:val="clear" w:fill="FFFFFF"/>
                <w:lang w:eastAsia="zh-CN"/>
              </w:rPr>
              <w:t>(</w:t>
            </w:r>
            <w:r>
              <w:rPr>
                <w:color w:val="auto"/>
              </w:rPr>
              <w:t>闽政办〔2022〕43号</w:t>
            </w:r>
            <w:r>
              <w:rPr>
                <w:rFonts w:hint="eastAsia"/>
                <w:color w:val="auto"/>
                <w:shd w:val="clear" w:fill="FFFFFF"/>
                <w:lang w:eastAsia="zh-CN"/>
              </w:rPr>
              <w:t>)</w:t>
            </w:r>
            <w:r>
              <w:rPr>
                <w:rFonts w:ascii="宋体"/>
                <w:color w:val="auto"/>
              </w:rPr>
              <w:t>，对于入河入海沟渠“</w:t>
            </w:r>
            <w:r>
              <w:rPr>
                <w:color w:val="auto"/>
              </w:rPr>
              <w:t>有环境功能区划的执行对应标准；无环境功能区划的，执行《地表水环境质量标准》</w:t>
            </w:r>
            <w:r>
              <w:rPr>
                <w:rFonts w:hint="eastAsia"/>
                <w:color w:val="auto"/>
                <w:lang w:eastAsia="zh-CN"/>
              </w:rPr>
              <w:t>(</w:t>
            </w:r>
            <w:r>
              <w:rPr>
                <w:color w:val="auto"/>
              </w:rPr>
              <w:t>GB3838-2002</w:t>
            </w:r>
            <w:r>
              <w:rPr>
                <w:rFonts w:hint="eastAsia"/>
                <w:color w:val="auto"/>
                <w:shd w:val="clear" w:fill="FFFFFF"/>
                <w:lang w:eastAsia="zh-CN"/>
              </w:rPr>
              <w:t>)</w:t>
            </w:r>
            <w:r>
              <w:rPr>
                <w:color w:val="auto"/>
              </w:rPr>
              <w:t>中Ⅴ类水质标准”。规划区内的占泽渠、芝港渠、圣发渠、西渠、沙塘渠、南曹渠、壁头渠、壁头支渠等地表</w:t>
            </w:r>
            <w:r>
              <w:rPr>
                <w:rFonts w:hint="eastAsia"/>
                <w:color w:val="auto"/>
                <w:lang w:eastAsia="zh-CN"/>
              </w:rPr>
              <w:t>水体</w:t>
            </w:r>
            <w:r>
              <w:rPr>
                <w:color w:val="auto"/>
              </w:rPr>
              <w:t>为泄洪渠，且未划定地表水功能区，水环境功能参照《地表水环境质量标准》</w:t>
            </w:r>
            <w:r>
              <w:rPr>
                <w:rFonts w:hint="eastAsia"/>
                <w:color w:val="auto"/>
                <w:lang w:eastAsia="zh-CN"/>
              </w:rPr>
              <w:t>(</w:t>
            </w:r>
            <w:r>
              <w:rPr>
                <w:color w:val="auto"/>
              </w:rPr>
              <w:t>GB3838-2002</w:t>
            </w:r>
            <w:r>
              <w:rPr>
                <w:rFonts w:hint="eastAsia"/>
                <w:color w:val="auto"/>
                <w:shd w:val="clear" w:fill="FFFFFF"/>
                <w:lang w:eastAsia="zh-CN"/>
              </w:rPr>
              <w:t>)</w:t>
            </w:r>
            <w:r>
              <w:rPr>
                <w:rFonts w:ascii="宋体"/>
                <w:color w:val="auto"/>
              </w:rPr>
              <w:t>中Ⅴ类水质标准执行。</w:t>
            </w:r>
          </w:p>
          <w:p w14:paraId="6D1EAEB2">
            <w:pPr>
              <w:wordWrap w:val="0"/>
              <w:autoSpaceDE w:val="0"/>
              <w:autoSpaceDN w:val="0"/>
              <w:spacing w:line="360" w:lineRule="auto"/>
              <w:ind w:firstLine="480" w:firstLineChars="200"/>
              <w:textAlignment w:val="bottom"/>
              <w:rPr>
                <w:color w:val="auto"/>
                <w:sz w:val="24"/>
              </w:rPr>
            </w:pPr>
            <w:r>
              <w:rPr>
                <w:rFonts w:hint="eastAsia"/>
                <w:color w:val="auto"/>
                <w:sz w:val="24"/>
                <w:lang w:eastAsia="zh-CN"/>
              </w:rPr>
              <w:t>迁建项目</w:t>
            </w:r>
            <w:r>
              <w:rPr>
                <w:rFonts w:hint="eastAsia"/>
                <w:color w:val="auto"/>
                <w:sz w:val="24"/>
              </w:rPr>
              <w:t>位于福建省福清市，福清市地表水域属于龙江流域，</w:t>
            </w:r>
            <w:r>
              <w:rPr>
                <w:color w:val="auto"/>
                <w:sz w:val="24"/>
              </w:rPr>
              <w:t>为了解项目</w:t>
            </w:r>
            <w:r>
              <w:rPr>
                <w:rFonts w:hint="eastAsia"/>
                <w:color w:val="auto"/>
                <w:sz w:val="24"/>
              </w:rPr>
              <w:t>所在区域</w:t>
            </w:r>
            <w:r>
              <w:rPr>
                <w:color w:val="auto"/>
                <w:sz w:val="24"/>
              </w:rPr>
              <w:t>地表水环境质量现状，根据福建省生态环境厅网站</w:t>
            </w:r>
            <w:r>
              <w:rPr>
                <w:rFonts w:hint="eastAsia"/>
                <w:color w:val="auto"/>
                <w:sz w:val="24"/>
              </w:rPr>
              <w:t>公布的《</w:t>
            </w:r>
            <w:r>
              <w:rPr>
                <w:color w:val="auto"/>
                <w:sz w:val="24"/>
              </w:rPr>
              <w:t>福建省地表水水质状况排名</w:t>
            </w:r>
            <w:r>
              <w:rPr>
                <w:rFonts w:hint="eastAsia"/>
                <w:color w:val="auto"/>
                <w:sz w:val="24"/>
                <w:shd w:val="clear" w:fill="FFFFFF"/>
                <w:lang w:eastAsia="zh-CN"/>
              </w:rPr>
              <w:t>(</w:t>
            </w:r>
            <w:r>
              <w:rPr>
                <w:color w:val="auto"/>
                <w:sz w:val="24"/>
              </w:rPr>
              <w:t>202</w:t>
            </w:r>
            <w:r>
              <w:rPr>
                <w:rFonts w:hint="eastAsia"/>
                <w:color w:val="auto"/>
                <w:sz w:val="24"/>
              </w:rPr>
              <w:t>3</w:t>
            </w:r>
            <w:r>
              <w:rPr>
                <w:color w:val="auto"/>
                <w:sz w:val="24"/>
              </w:rPr>
              <w:t>年1-12月</w:t>
            </w:r>
            <w:r>
              <w:rPr>
                <w:rFonts w:hint="eastAsia"/>
                <w:color w:val="auto"/>
                <w:sz w:val="24"/>
                <w:shd w:val="clear" w:fill="FFFFFF"/>
                <w:lang w:eastAsia="zh-CN"/>
              </w:rPr>
              <w:t>)</w:t>
            </w:r>
            <w:r>
              <w:rPr>
                <w:rFonts w:hint="eastAsia"/>
                <w:color w:val="auto"/>
                <w:sz w:val="24"/>
              </w:rPr>
              <w:t>》</w:t>
            </w:r>
            <w:r>
              <w:rPr>
                <w:rFonts w:hint="eastAsia"/>
                <w:color w:val="auto"/>
                <w:sz w:val="24"/>
                <w:shd w:val="clear" w:fill="FFFFFF"/>
                <w:lang w:eastAsia="zh-CN"/>
              </w:rPr>
              <w:t>(</w:t>
            </w:r>
            <w:r>
              <w:rPr>
                <w:rFonts w:hint="eastAsia"/>
                <w:color w:val="auto"/>
                <w:sz w:val="24"/>
              </w:rPr>
              <w:t>网址：</w:t>
            </w:r>
            <w:r>
              <w:rPr>
                <w:rFonts w:hint="eastAsia"/>
                <w:color w:val="auto"/>
                <w:sz w:val="24"/>
                <w:shd w:val="clear" w:fill="FFFFFF"/>
              </w:rPr>
              <w:t>https</w:t>
            </w:r>
            <w:r>
              <w:rPr>
                <w:rFonts w:hint="eastAsia"/>
                <w:color w:val="auto"/>
                <w:sz w:val="24"/>
                <w:shd w:val="clear" w:fill="FFFFFF"/>
                <w:lang w:eastAsia="zh-CN"/>
              </w:rPr>
              <w:t>：</w:t>
            </w:r>
            <w:r>
              <w:rPr>
                <w:rFonts w:hint="eastAsia"/>
                <w:color w:val="auto"/>
                <w:sz w:val="24"/>
              </w:rPr>
              <w:t>//sthjt.fujian.gov.cn/zwgk/sjfb/hjsj/qshjzljtb/202401/t20240122_6384455.htm</w:t>
            </w:r>
            <w:r>
              <w:rPr>
                <w:rFonts w:hint="eastAsia"/>
                <w:color w:val="auto"/>
                <w:sz w:val="24"/>
                <w:shd w:val="clear" w:fill="FFFFFF"/>
                <w:lang w:eastAsia="zh-CN"/>
              </w:rPr>
              <w:t>)</w:t>
            </w:r>
            <w:r>
              <w:rPr>
                <w:color w:val="auto"/>
                <w:sz w:val="24"/>
              </w:rPr>
              <w:t>显示，202</w:t>
            </w:r>
            <w:r>
              <w:rPr>
                <w:rFonts w:hint="eastAsia"/>
                <w:color w:val="auto"/>
                <w:sz w:val="24"/>
              </w:rPr>
              <w:t>3</w:t>
            </w:r>
            <w:r>
              <w:rPr>
                <w:color w:val="auto"/>
                <w:sz w:val="24"/>
              </w:rPr>
              <w:t>年1-12月，全省主要流域总体水质从相对较好开始排名，具体为：闽江、交溪、霍童溪、萩芦溪</w:t>
            </w:r>
            <w:r>
              <w:rPr>
                <w:rFonts w:hint="eastAsia"/>
                <w:color w:val="auto"/>
                <w:sz w:val="24"/>
              </w:rPr>
              <w:t>、</w:t>
            </w:r>
            <w:r>
              <w:rPr>
                <w:color w:val="auto"/>
                <w:sz w:val="24"/>
              </w:rPr>
              <w:t>汀江</w:t>
            </w:r>
            <w:r>
              <w:rPr>
                <w:rFonts w:hint="eastAsia"/>
                <w:color w:val="auto"/>
                <w:sz w:val="24"/>
                <w:shd w:val="clear" w:fill="FFFFFF"/>
                <w:lang w:eastAsia="zh-CN"/>
              </w:rPr>
              <w:t>(</w:t>
            </w:r>
            <w:r>
              <w:rPr>
                <w:color w:val="auto"/>
                <w:sz w:val="24"/>
              </w:rPr>
              <w:t>韩江</w:t>
            </w:r>
            <w:r>
              <w:rPr>
                <w:rFonts w:hint="eastAsia"/>
                <w:color w:val="auto"/>
                <w:sz w:val="24"/>
                <w:shd w:val="clear" w:fill="FFFFFF"/>
                <w:lang w:eastAsia="zh-CN"/>
              </w:rPr>
              <w:t>)</w:t>
            </w:r>
            <w:r>
              <w:rPr>
                <w:color w:val="auto"/>
                <w:sz w:val="24"/>
              </w:rPr>
              <w:t>、九龙江、晋江、木兰溪、敖江、东西溪、诏安东溪、龙江、漳江、鹿溪。根据福建省生态环境厅网站</w:t>
            </w:r>
            <w:r>
              <w:rPr>
                <w:rFonts w:hint="eastAsia"/>
                <w:color w:val="auto"/>
                <w:sz w:val="24"/>
              </w:rPr>
              <w:t>公布的</w:t>
            </w:r>
            <w:r>
              <w:rPr>
                <w:color w:val="auto"/>
                <w:sz w:val="24"/>
              </w:rPr>
              <w:t>《福建省流域水环境质量状况</w:t>
            </w:r>
            <w:r>
              <w:rPr>
                <w:color w:val="auto"/>
                <w:sz w:val="24"/>
                <w:shd w:val="clear" w:fill="FFFFFF"/>
              </w:rPr>
              <w:t>(</w:t>
            </w:r>
            <w:r>
              <w:rPr>
                <w:color w:val="auto"/>
                <w:sz w:val="24"/>
              </w:rPr>
              <w:t>202</w:t>
            </w:r>
            <w:r>
              <w:rPr>
                <w:rFonts w:hint="eastAsia"/>
                <w:color w:val="auto"/>
                <w:sz w:val="24"/>
              </w:rPr>
              <w:t>3</w:t>
            </w:r>
            <w:r>
              <w:rPr>
                <w:color w:val="auto"/>
                <w:sz w:val="24"/>
              </w:rPr>
              <w:t>年1-12月</w:t>
            </w:r>
            <w:r>
              <w:rPr>
                <w:color w:val="auto"/>
                <w:sz w:val="24"/>
                <w:shd w:val="clear" w:fill="FFFFFF"/>
              </w:rPr>
              <w:t>)</w:t>
            </w:r>
            <w:r>
              <w:rPr>
                <w:color w:val="auto"/>
                <w:sz w:val="24"/>
              </w:rPr>
              <w:t>》</w:t>
            </w:r>
            <w:r>
              <w:rPr>
                <w:rFonts w:hint="eastAsia"/>
                <w:color w:val="auto"/>
                <w:sz w:val="24"/>
                <w:shd w:val="clear" w:fill="FFFFFF"/>
                <w:lang w:eastAsia="zh-CN"/>
              </w:rPr>
              <w:t>(</w:t>
            </w:r>
            <w:r>
              <w:rPr>
                <w:rFonts w:hint="eastAsia"/>
                <w:color w:val="auto"/>
                <w:sz w:val="24"/>
              </w:rPr>
              <w:t>网址；</w:t>
            </w:r>
            <w:r>
              <w:rPr>
                <w:rFonts w:hint="eastAsia"/>
                <w:color w:val="auto"/>
                <w:sz w:val="24"/>
                <w:shd w:val="clear" w:fill="FFFFFF"/>
              </w:rPr>
              <w:t>https</w:t>
            </w:r>
            <w:r>
              <w:rPr>
                <w:rFonts w:hint="eastAsia"/>
                <w:color w:val="auto"/>
                <w:sz w:val="24"/>
                <w:shd w:val="clear" w:fill="FFFFFF"/>
                <w:lang w:eastAsia="zh-CN"/>
              </w:rPr>
              <w:t>：</w:t>
            </w:r>
            <w:r>
              <w:rPr>
                <w:rFonts w:hint="eastAsia"/>
                <w:color w:val="auto"/>
                <w:sz w:val="24"/>
              </w:rPr>
              <w:t>//sthjt.fujian.gov.cn/zwgk/sjfb/hjsj/qshjzljtb/202401/t20240122_6384448.htm</w:t>
            </w:r>
            <w:r>
              <w:rPr>
                <w:rFonts w:hint="eastAsia"/>
                <w:color w:val="auto"/>
                <w:sz w:val="24"/>
                <w:shd w:val="clear" w:fill="FFFFFF"/>
                <w:lang w:eastAsia="zh-CN"/>
              </w:rPr>
              <w:t>)</w:t>
            </w:r>
            <w:r>
              <w:rPr>
                <w:color w:val="auto"/>
                <w:sz w:val="24"/>
              </w:rPr>
              <w:t>显示：202</w:t>
            </w:r>
            <w:r>
              <w:rPr>
                <w:rFonts w:hint="eastAsia"/>
                <w:color w:val="auto"/>
                <w:sz w:val="24"/>
              </w:rPr>
              <w:t>3</w:t>
            </w:r>
            <w:r>
              <w:rPr>
                <w:color w:val="auto"/>
                <w:sz w:val="24"/>
              </w:rPr>
              <w:t>年1-12月，全省主要流域总体水质为优。</w:t>
            </w:r>
            <w:r>
              <w:rPr>
                <w:rFonts w:hint="eastAsia"/>
                <w:color w:val="auto"/>
                <w:sz w:val="24"/>
              </w:rPr>
              <w:t>国控断面</w:t>
            </w:r>
            <w:r>
              <w:rPr>
                <w:color w:val="auto"/>
                <w:sz w:val="24"/>
              </w:rPr>
              <w:t>Ⅰ～Ⅲ类水质比例9</w:t>
            </w:r>
            <w:r>
              <w:rPr>
                <w:rFonts w:hint="eastAsia"/>
                <w:color w:val="auto"/>
                <w:sz w:val="24"/>
              </w:rPr>
              <w:t>9.0</w:t>
            </w:r>
            <w:r>
              <w:rPr>
                <w:color w:val="auto"/>
                <w:sz w:val="24"/>
              </w:rPr>
              <w:t>%，其中Ⅰ～Ⅱ类水质比例</w:t>
            </w:r>
            <w:r>
              <w:rPr>
                <w:rFonts w:hint="eastAsia"/>
                <w:color w:val="auto"/>
                <w:sz w:val="24"/>
              </w:rPr>
              <w:t>68.6</w:t>
            </w:r>
            <w:r>
              <w:rPr>
                <w:color w:val="auto"/>
                <w:sz w:val="24"/>
              </w:rPr>
              <w:t>%</w:t>
            </w:r>
            <w:r>
              <w:rPr>
                <w:rFonts w:hint="eastAsia"/>
                <w:color w:val="auto"/>
                <w:sz w:val="24"/>
              </w:rPr>
              <w:t>；国控及省控断面Ⅰ～Ⅲ类水质比例99.5</w:t>
            </w:r>
            <w:r>
              <w:rPr>
                <w:color w:val="auto"/>
                <w:sz w:val="24"/>
              </w:rPr>
              <w:t>%</w:t>
            </w:r>
            <w:r>
              <w:rPr>
                <w:rFonts w:hint="eastAsia"/>
                <w:color w:val="auto"/>
                <w:sz w:val="24"/>
              </w:rPr>
              <w:t>，其中Ⅰ～Ⅱ类水质比例65.3</w:t>
            </w:r>
            <w:r>
              <w:rPr>
                <w:color w:val="auto"/>
                <w:sz w:val="24"/>
              </w:rPr>
              <w:t>%。各类水质比例如下：Ⅰ类占1.</w:t>
            </w:r>
            <w:r>
              <w:rPr>
                <w:rFonts w:hint="eastAsia"/>
                <w:color w:val="auto"/>
                <w:sz w:val="24"/>
              </w:rPr>
              <w:t>9</w:t>
            </w:r>
            <w:r>
              <w:rPr>
                <w:color w:val="auto"/>
                <w:sz w:val="24"/>
              </w:rPr>
              <w:t>%，Ⅱ类占</w:t>
            </w:r>
            <w:r>
              <w:rPr>
                <w:rFonts w:hint="eastAsia"/>
                <w:color w:val="auto"/>
                <w:sz w:val="24"/>
              </w:rPr>
              <w:t>63.5</w:t>
            </w:r>
            <w:r>
              <w:rPr>
                <w:color w:val="auto"/>
                <w:sz w:val="24"/>
              </w:rPr>
              <w:t>%，Ⅲ类占</w:t>
            </w:r>
            <w:r>
              <w:rPr>
                <w:rFonts w:hint="eastAsia"/>
                <w:color w:val="auto"/>
                <w:sz w:val="24"/>
              </w:rPr>
              <w:t>34.1</w:t>
            </w:r>
            <w:r>
              <w:rPr>
                <w:color w:val="auto"/>
                <w:sz w:val="24"/>
              </w:rPr>
              <w:t>%，Ⅳ类占</w:t>
            </w:r>
            <w:r>
              <w:rPr>
                <w:rFonts w:hint="eastAsia"/>
                <w:color w:val="auto"/>
                <w:sz w:val="24"/>
              </w:rPr>
              <w:t>0.5</w:t>
            </w:r>
            <w:r>
              <w:rPr>
                <w:color w:val="auto"/>
                <w:sz w:val="24"/>
              </w:rPr>
              <w:t>%，无Ⅴ类和劣Ⅴ类水。由此可知龙江水质可达到《地表水环境质量标准》(GB3838-2002)Ⅴ类水标准。</w:t>
            </w:r>
          </w:p>
          <w:p w14:paraId="3EF8E09D">
            <w:pPr>
              <w:pStyle w:val="117"/>
              <w:wordWrap w:val="0"/>
              <w:rPr>
                <w:color w:val="auto"/>
                <w:lang w:eastAsia="zh-CN"/>
              </w:rPr>
            </w:pPr>
            <w:r>
              <w:rPr>
                <w:color w:val="auto"/>
                <w:szCs w:val="24"/>
                <w:shd w:val="clear" w:color="auto" w:fill="FFFFFF"/>
                <w:lang w:eastAsia="zh-CN"/>
              </w:rPr>
              <w:fldChar w:fldCharType="begin"/>
            </w:r>
            <w:r>
              <w:rPr>
                <w:color w:val="auto"/>
                <w:szCs w:val="24"/>
                <w:shd w:val="clear" w:color="auto" w:fill="FFFFFF"/>
                <w:lang w:eastAsia="zh-CN"/>
              </w:rPr>
              <w:instrText xml:space="preserve"> = 2 \* GB3 \* MERGEFORMAT </w:instrText>
            </w:r>
            <w:r>
              <w:rPr>
                <w:color w:val="auto"/>
                <w:szCs w:val="24"/>
                <w:shd w:val="clear" w:color="auto" w:fill="FFFFFF"/>
                <w:lang w:eastAsia="zh-CN"/>
              </w:rPr>
              <w:fldChar w:fldCharType="separate"/>
            </w:r>
            <w:r>
              <w:rPr>
                <w:color w:val="auto"/>
                <w:szCs w:val="24"/>
                <w:lang w:eastAsia="zh-CN"/>
              </w:rPr>
              <w:t>②</w:t>
            </w:r>
            <w:r>
              <w:rPr>
                <w:color w:val="auto"/>
                <w:szCs w:val="24"/>
                <w:shd w:val="clear" w:color="auto" w:fill="FFFFFF"/>
                <w:lang w:eastAsia="zh-CN"/>
              </w:rPr>
              <w:fldChar w:fldCharType="end"/>
            </w:r>
            <w:r>
              <w:rPr>
                <w:rFonts w:hint="eastAsia"/>
                <w:color w:val="auto"/>
                <w:lang w:eastAsia="zh-CN"/>
              </w:rPr>
              <w:t>海域水质</w:t>
            </w:r>
          </w:p>
          <w:p w14:paraId="4CE10062">
            <w:pPr>
              <w:pStyle w:val="137"/>
              <w:rPr>
                <w:color w:val="auto"/>
              </w:rPr>
            </w:pPr>
            <w:r>
              <w:rPr>
                <w:color w:val="auto"/>
              </w:rPr>
              <w:t>项目周边的海域为兴化湾，根据福建省人民政府《关于印发福建省近岸海域环境功能区划</w:t>
            </w:r>
            <w:r>
              <w:rPr>
                <w:rFonts w:hint="eastAsia"/>
                <w:color w:val="auto"/>
                <w:shd w:val="clear" w:fill="FFFFFF"/>
                <w:lang w:eastAsia="zh-CN"/>
              </w:rPr>
              <w:t>(</w:t>
            </w:r>
            <w:r>
              <w:rPr>
                <w:color w:val="auto"/>
              </w:rPr>
              <w:t>修编</w:t>
            </w:r>
            <w:r>
              <w:rPr>
                <w:rFonts w:hint="eastAsia"/>
                <w:color w:val="auto"/>
                <w:shd w:val="clear" w:fill="FFFFFF"/>
                <w:lang w:eastAsia="zh-CN"/>
              </w:rPr>
              <w:t>)</w:t>
            </w:r>
            <w:r>
              <w:rPr>
                <w:color w:val="auto"/>
              </w:rPr>
              <w:t>的通知》</w:t>
            </w:r>
            <w:r>
              <w:rPr>
                <w:rFonts w:hint="eastAsia"/>
                <w:color w:val="auto"/>
                <w:shd w:val="clear" w:fill="FFFFFF"/>
                <w:lang w:eastAsia="zh-CN"/>
              </w:rPr>
              <w:t>(</w:t>
            </w:r>
            <w:r>
              <w:rPr>
                <w:color w:val="auto"/>
              </w:rPr>
              <w:t>闽政文</w:t>
            </w:r>
            <w:r>
              <w:rPr>
                <w:color w:val="auto"/>
                <w:shd w:val="clear" w:fill="FFFFFF"/>
              </w:rPr>
              <w:t>[2011]45号</w:t>
            </w:r>
            <w:r>
              <w:rPr>
                <w:rFonts w:hint="eastAsia"/>
                <w:color w:val="auto"/>
                <w:shd w:val="clear" w:fill="FFFFFF"/>
                <w:lang w:eastAsia="zh-CN"/>
              </w:rPr>
              <w:t>)</w:t>
            </w:r>
            <w:r>
              <w:rPr>
                <w:color w:val="auto"/>
              </w:rPr>
              <w:t>，规划区周边海域兴化湾主体海域为二类区，江阴港区近岸海域环境功能为四类区。</w:t>
            </w:r>
            <w:r>
              <w:rPr>
                <w:rFonts w:hint="eastAsia"/>
                <w:color w:val="auto"/>
                <w:lang w:eastAsia="zh-CN"/>
              </w:rPr>
              <w:t>迁建项目</w:t>
            </w:r>
            <w:r>
              <w:rPr>
                <w:color w:val="auto"/>
              </w:rPr>
              <w:t>所在区域位于福建省兴化湾西北部江阴半岛东南部海域，隶属福清市行政管辖。</w:t>
            </w:r>
            <w:r>
              <w:rPr>
                <w:rFonts w:hint="eastAsia"/>
                <w:color w:val="auto"/>
                <w:lang w:eastAsia="zh-CN"/>
              </w:rPr>
              <w:t>江阴污水处理厂</w:t>
            </w:r>
            <w:r>
              <w:rPr>
                <w:color w:val="auto"/>
              </w:rPr>
              <w:t>排污口处于江阴港区1#码头南侧前沿约768m位置，</w:t>
            </w:r>
            <w:r>
              <w:rPr>
                <w:rFonts w:ascii="宋体"/>
                <w:color w:val="auto"/>
              </w:rPr>
              <w:t>根据《福</w:t>
            </w:r>
            <w:r>
              <w:rPr>
                <w:color w:val="auto"/>
              </w:rPr>
              <w:t>建省近岸海域环境功能区划</w:t>
            </w:r>
            <w:r>
              <w:rPr>
                <w:rFonts w:hint="eastAsia"/>
                <w:color w:val="auto"/>
                <w:shd w:val="clear" w:fill="FFFFFF"/>
                <w:lang w:eastAsia="zh-CN"/>
              </w:rPr>
              <w:t>(</w:t>
            </w:r>
            <w:r>
              <w:rPr>
                <w:color w:val="auto"/>
              </w:rPr>
              <w:t>2011</w:t>
            </w:r>
            <w:r>
              <w:rPr>
                <w:color w:val="auto"/>
                <w:shd w:val="clear" w:fill="FFFFFF"/>
              </w:rPr>
              <w:t>～</w:t>
            </w:r>
            <w:r>
              <w:rPr>
                <w:color w:val="auto"/>
              </w:rPr>
              <w:t>2020年</w:t>
            </w:r>
            <w:r>
              <w:rPr>
                <w:rFonts w:hint="eastAsia"/>
                <w:color w:val="auto"/>
                <w:shd w:val="clear" w:fill="FFFFFF"/>
                <w:lang w:eastAsia="zh-CN"/>
              </w:rPr>
              <w:t>)</w:t>
            </w:r>
            <w:r>
              <w:rPr>
                <w:color w:val="auto"/>
              </w:rPr>
              <w:t>》，该海域属于兴化湾江阴</w:t>
            </w:r>
            <w:r>
              <w:rPr>
                <w:color w:val="auto"/>
                <w:shd w:val="clear" w:fill="FFFFFF"/>
              </w:rPr>
              <w:t>壁头</w:t>
            </w:r>
            <w:r>
              <w:rPr>
                <w:color w:val="auto"/>
              </w:rPr>
              <w:t>四类区</w:t>
            </w:r>
            <w:r>
              <w:rPr>
                <w:rFonts w:hint="eastAsia"/>
                <w:color w:val="auto"/>
                <w:shd w:val="clear" w:fill="FFFFFF"/>
                <w:lang w:eastAsia="zh-CN"/>
              </w:rPr>
              <w:t>(</w:t>
            </w:r>
            <w:r>
              <w:rPr>
                <w:color w:val="auto"/>
              </w:rPr>
              <w:t>FJ053-D-Ⅲ</w:t>
            </w:r>
            <w:r>
              <w:rPr>
                <w:rFonts w:hint="eastAsia"/>
                <w:color w:val="auto"/>
                <w:shd w:val="clear" w:fill="FFFFFF"/>
                <w:lang w:eastAsia="zh-CN"/>
              </w:rPr>
              <w:t>)</w:t>
            </w:r>
            <w:r>
              <w:rPr>
                <w:color w:val="auto"/>
              </w:rPr>
              <w:t>，</w:t>
            </w:r>
            <w:r>
              <w:rPr>
                <w:rFonts w:ascii="宋体"/>
                <w:color w:val="auto"/>
              </w:rPr>
              <w:t>主要环境功能为港口、航运，辅助环境功能为一般工业用水，海水</w:t>
            </w:r>
            <w:r>
              <w:rPr>
                <w:color w:val="auto"/>
              </w:rPr>
              <w:t>水质执行《海水水质标准》</w:t>
            </w:r>
            <w:r>
              <w:rPr>
                <w:rFonts w:hint="eastAsia"/>
                <w:color w:val="auto"/>
                <w:lang w:eastAsia="zh-CN"/>
              </w:rPr>
              <w:t>(</w:t>
            </w:r>
            <w:r>
              <w:rPr>
                <w:color w:val="auto"/>
              </w:rPr>
              <w:t>GB3097-1997</w:t>
            </w:r>
            <w:r>
              <w:rPr>
                <w:rFonts w:hint="eastAsia"/>
                <w:color w:val="auto"/>
                <w:shd w:val="clear" w:fill="FFFFFF"/>
                <w:lang w:eastAsia="zh-CN"/>
              </w:rPr>
              <w:t>)</w:t>
            </w:r>
            <w:r>
              <w:rPr>
                <w:color w:val="auto"/>
              </w:rPr>
              <w:t>第三类</w:t>
            </w:r>
            <w:r>
              <w:rPr>
                <w:rFonts w:ascii="宋体"/>
                <w:color w:val="auto"/>
              </w:rPr>
              <w:t>标准</w:t>
            </w:r>
            <w:r>
              <w:rPr>
                <w:rFonts w:hint="eastAsia" w:ascii="宋体"/>
                <w:color w:val="auto"/>
              </w:rPr>
              <w:t>。</w:t>
            </w:r>
          </w:p>
          <w:p w14:paraId="7D054DB0">
            <w:pPr>
              <w:pStyle w:val="137"/>
              <w:wordWrap w:val="0"/>
              <w:rPr>
                <w:color w:val="auto"/>
              </w:rPr>
            </w:pPr>
            <w:r>
              <w:rPr>
                <w:color w:val="auto"/>
              </w:rPr>
              <w:t>根据福建省生态环境厅网站</w:t>
            </w:r>
            <w:r>
              <w:rPr>
                <w:rFonts w:hint="eastAsia"/>
                <w:color w:val="auto"/>
              </w:rPr>
              <w:t>公布的《</w:t>
            </w:r>
            <w:r>
              <w:rPr>
                <w:color w:val="auto"/>
              </w:rPr>
              <w:t>福建省近岸海域水质状况</w:t>
            </w:r>
            <w:r>
              <w:rPr>
                <w:color w:val="auto"/>
                <w:shd w:val="clear" w:fill="FFFFFF"/>
              </w:rPr>
              <w:t>(</w:t>
            </w:r>
            <w:r>
              <w:rPr>
                <w:color w:val="auto"/>
              </w:rPr>
              <w:t>2023年1-1</w:t>
            </w:r>
            <w:r>
              <w:rPr>
                <w:rFonts w:hint="eastAsia"/>
                <w:color w:val="auto"/>
              </w:rPr>
              <w:t>2</w:t>
            </w:r>
            <w:r>
              <w:rPr>
                <w:color w:val="auto"/>
              </w:rPr>
              <w:t>月</w:t>
            </w:r>
            <w:r>
              <w:rPr>
                <w:color w:val="auto"/>
                <w:shd w:val="clear" w:fill="FFFFFF"/>
              </w:rPr>
              <w:t>)</w:t>
            </w:r>
            <w:r>
              <w:rPr>
                <w:rFonts w:hint="eastAsia"/>
                <w:color w:val="auto"/>
              </w:rPr>
              <w:t>》</w:t>
            </w:r>
            <w:r>
              <w:rPr>
                <w:rFonts w:hint="eastAsia"/>
                <w:color w:val="auto"/>
                <w:shd w:val="clear" w:fill="FFFFFF"/>
                <w:lang w:eastAsia="zh-CN"/>
              </w:rPr>
              <w:t>(</w:t>
            </w:r>
            <w:r>
              <w:rPr>
                <w:rFonts w:hint="eastAsia"/>
                <w:color w:val="auto"/>
              </w:rPr>
              <w:t>网址：</w:t>
            </w:r>
            <w:r>
              <w:rPr>
                <w:rFonts w:hint="eastAsia"/>
                <w:color w:val="auto"/>
                <w:shd w:val="clear" w:fill="FFFFFF"/>
              </w:rPr>
              <w:t>https</w:t>
            </w:r>
            <w:r>
              <w:rPr>
                <w:rFonts w:hint="eastAsia"/>
                <w:color w:val="auto"/>
                <w:shd w:val="clear" w:fill="FFFFFF"/>
                <w:lang w:eastAsia="zh-CN"/>
              </w:rPr>
              <w:t>：</w:t>
            </w:r>
            <w:r>
              <w:rPr>
                <w:rFonts w:hint="eastAsia"/>
                <w:color w:val="auto"/>
              </w:rPr>
              <w:t>//sthjt.fujian.gov.cn/zwgk/sjfb/hjsj/jahysz_1/202312/t20231229_6369592.htm</w:t>
            </w:r>
            <w:r>
              <w:rPr>
                <w:rFonts w:hint="eastAsia"/>
                <w:color w:val="auto"/>
                <w:shd w:val="clear" w:fill="FFFFFF"/>
                <w:lang w:eastAsia="zh-CN"/>
              </w:rPr>
              <w:t>)</w:t>
            </w:r>
            <w:r>
              <w:rPr>
                <w:color w:val="auto"/>
              </w:rPr>
              <w:t>显示，2023年1-1</w:t>
            </w:r>
            <w:r>
              <w:rPr>
                <w:rFonts w:hint="eastAsia"/>
                <w:color w:val="auto"/>
              </w:rPr>
              <w:t>1</w:t>
            </w:r>
            <w:r>
              <w:rPr>
                <w:color w:val="auto"/>
              </w:rPr>
              <w:t>月，全省近岸海域142个国控监测点位，按面积法评价，优良面积水质比例88.7%；全省近岸海域235个国省控监测点位，按照面积法评价，优良面积水质比例89.1%，各类水质比例如下：一类占74.5%，二类占14.6%，三类占5.5%，四类占3.0%，劣四类占2.4%。其中，2023年秋季，全省近岸海域235个国省控监测点位，按照面积法评价，优良面积水质比例为78.9%。各类水质比例为：一类占53.5%，二类占25.4%，三类占12.2%，四类占5.8%，劣四类占3.1%。沿海各设区市近岸海域优良面积水质比例分别为：泉州93.0%、莆田92.8%、漳州89.3%、福州71.7%、厦门71.4%、宁德58.4%。</w:t>
            </w:r>
          </w:p>
          <w:p w14:paraId="7A2C7506">
            <w:pPr>
              <w:pStyle w:val="137"/>
              <w:rPr>
                <w:color w:val="auto"/>
              </w:rPr>
            </w:pPr>
            <w:r>
              <w:rPr>
                <w:color w:val="auto"/>
              </w:rPr>
              <w:t>根据《建设项目环境影响报告表编制技术指南</w:t>
            </w:r>
            <w:r>
              <w:rPr>
                <w:color w:val="auto"/>
                <w:shd w:val="clear" w:fill="FFFFFF"/>
              </w:rPr>
              <w:t>(</w:t>
            </w:r>
            <w:r>
              <w:rPr>
                <w:color w:val="auto"/>
              </w:rPr>
              <w:t>污染影响类</w:t>
            </w:r>
            <w:r>
              <w:rPr>
                <w:color w:val="auto"/>
                <w:shd w:val="clear" w:fill="FFFFFF"/>
              </w:rPr>
              <w:t>)(</w:t>
            </w:r>
            <w:r>
              <w:rPr>
                <w:color w:val="auto"/>
              </w:rPr>
              <w:t>试行</w:t>
            </w:r>
            <w:r>
              <w:rPr>
                <w:color w:val="auto"/>
                <w:shd w:val="clear" w:fill="FFFFFF"/>
              </w:rPr>
              <w:t>)</w:t>
            </w:r>
            <w:r>
              <w:rPr>
                <w:color w:val="auto"/>
              </w:rPr>
              <w:t>》</w:t>
            </w:r>
            <w:r>
              <w:rPr>
                <w:color w:val="auto"/>
                <w:shd w:val="clear" w:fill="FFFFFF"/>
              </w:rPr>
              <w:t>(</w:t>
            </w:r>
            <w:r>
              <w:rPr>
                <w:color w:val="auto"/>
              </w:rPr>
              <w:t>环办环评〔2020〕33号</w:t>
            </w:r>
            <w:r>
              <w:rPr>
                <w:color w:val="auto"/>
                <w:shd w:val="clear" w:fill="FFFFFF"/>
              </w:rPr>
              <w:t>)</w:t>
            </w:r>
            <w:r>
              <w:rPr>
                <w:color w:val="auto"/>
              </w:rPr>
              <w:t>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auto"/>
              </w:rPr>
              <w:t>本次</w:t>
            </w:r>
            <w:r>
              <w:rPr>
                <w:color w:val="auto"/>
              </w:rPr>
              <w:t>评价选取福建省生态环境厅网站发布</w:t>
            </w:r>
            <w:r>
              <w:rPr>
                <w:rFonts w:hint="eastAsia"/>
                <w:color w:val="auto"/>
              </w:rPr>
              <w:t>的</w:t>
            </w:r>
            <w:r>
              <w:rPr>
                <w:color w:val="auto"/>
              </w:rPr>
              <w:t>水环境状况信息，符合《建设项目环境影响报告表编制技术指南</w:t>
            </w:r>
            <w:r>
              <w:rPr>
                <w:color w:val="auto"/>
                <w:shd w:val="clear" w:fill="FFFFFF"/>
              </w:rPr>
              <w:t>(</w:t>
            </w:r>
            <w:r>
              <w:rPr>
                <w:color w:val="auto"/>
              </w:rPr>
              <w:t>污染影响类</w:t>
            </w:r>
            <w:r>
              <w:rPr>
                <w:color w:val="auto"/>
                <w:shd w:val="clear" w:fill="FFFFFF"/>
              </w:rPr>
              <w:t>)(</w:t>
            </w:r>
            <w:r>
              <w:rPr>
                <w:color w:val="auto"/>
              </w:rPr>
              <w:t>试行</w:t>
            </w:r>
            <w:r>
              <w:rPr>
                <w:color w:val="auto"/>
                <w:shd w:val="clear" w:fill="FFFFFF"/>
              </w:rPr>
              <w:t>)</w:t>
            </w:r>
            <w:r>
              <w:rPr>
                <w:color w:val="auto"/>
              </w:rPr>
              <w:t>》</w:t>
            </w:r>
            <w:r>
              <w:rPr>
                <w:color w:val="auto"/>
                <w:shd w:val="clear" w:fill="FFFFFF"/>
              </w:rPr>
              <w:t>(</w:t>
            </w:r>
            <w:r>
              <w:rPr>
                <w:color w:val="auto"/>
              </w:rPr>
              <w:t>环办环评〔2020〕33号</w:t>
            </w:r>
            <w:r>
              <w:rPr>
                <w:color w:val="auto"/>
                <w:shd w:val="clear" w:fill="FFFFFF"/>
              </w:rPr>
              <w:t>)</w:t>
            </w:r>
            <w:r>
              <w:rPr>
                <w:color w:val="auto"/>
              </w:rPr>
              <w:t>的要求。</w:t>
            </w:r>
          </w:p>
          <w:p w14:paraId="5DE537C7">
            <w:pPr>
              <w:spacing w:line="360" w:lineRule="auto"/>
              <w:ind w:firstLine="480" w:firstLineChars="200"/>
              <w:contextualSpacing/>
              <w:rPr>
                <w:color w:val="auto"/>
                <w:sz w:val="24"/>
              </w:rPr>
            </w:pPr>
            <w:r>
              <w:rPr>
                <w:rFonts w:hint="eastAsia"/>
                <w:color w:val="auto"/>
                <w:sz w:val="24"/>
                <w:shd w:val="clear" w:fill="FFFFFF"/>
              </w:rPr>
              <w:t>(</w:t>
            </w:r>
            <w:r>
              <w:rPr>
                <w:rFonts w:hint="eastAsia"/>
                <w:color w:val="auto"/>
                <w:sz w:val="24"/>
              </w:rPr>
              <w:t>3</w:t>
            </w:r>
            <w:r>
              <w:rPr>
                <w:rFonts w:hint="eastAsia"/>
                <w:color w:val="auto"/>
                <w:sz w:val="24"/>
                <w:shd w:val="clear" w:fill="FFFFFF"/>
              </w:rPr>
              <w:t>)</w:t>
            </w:r>
            <w:r>
              <w:rPr>
                <w:color w:val="auto"/>
                <w:sz w:val="24"/>
              </w:rPr>
              <w:t>声环境质量现状</w:t>
            </w:r>
          </w:p>
          <w:p w14:paraId="7537FFAF">
            <w:pPr>
              <w:spacing w:line="360" w:lineRule="auto"/>
              <w:ind w:firstLine="480" w:firstLineChars="200"/>
              <w:rPr>
                <w:color w:val="auto"/>
                <w:sz w:val="24"/>
              </w:rPr>
            </w:pPr>
            <w:r>
              <w:rPr>
                <w:rFonts w:hint="eastAsia"/>
                <w:color w:val="auto"/>
                <w:sz w:val="24"/>
                <w:lang w:eastAsia="zh-CN"/>
              </w:rPr>
              <w:t>迁建项目</w:t>
            </w:r>
            <w:r>
              <w:rPr>
                <w:color w:val="auto"/>
                <w:sz w:val="24"/>
              </w:rPr>
              <w:t>位于</w:t>
            </w:r>
            <w:r>
              <w:rPr>
                <w:rFonts w:hint="eastAsia"/>
                <w:color w:val="auto"/>
                <w:sz w:val="24"/>
              </w:rPr>
              <w:t>福州市福清市</w:t>
            </w:r>
            <w:r>
              <w:rPr>
                <w:color w:val="auto"/>
                <w:sz w:val="24"/>
              </w:rPr>
              <w:t>江阴港城经济区的</w:t>
            </w:r>
            <w:r>
              <w:rPr>
                <w:rFonts w:hint="eastAsia"/>
                <w:color w:val="auto"/>
                <w:sz w:val="24"/>
              </w:rPr>
              <w:t>东</w:t>
            </w:r>
            <w:r>
              <w:rPr>
                <w:color w:val="auto"/>
                <w:sz w:val="24"/>
              </w:rPr>
              <w:t>部临港产业区内</w:t>
            </w:r>
            <w:r>
              <w:rPr>
                <w:rFonts w:hint="eastAsia"/>
                <w:color w:val="auto"/>
              </w:rPr>
              <w:t>，</w:t>
            </w:r>
            <w:r>
              <w:rPr>
                <w:color w:val="auto"/>
                <w:sz w:val="24"/>
              </w:rPr>
              <w:t>项目周边以工业生产、仓储物流为主要功能的区域，项目所在区域声环境为3类功能区，声环境功能执行《声环境质量标准》(GB3096-2008</w:t>
            </w:r>
            <w:r>
              <w:rPr>
                <w:color w:val="auto"/>
                <w:sz w:val="24"/>
                <w:shd w:val="clear" w:fill="FFFFFF"/>
              </w:rPr>
              <w:t>)</w:t>
            </w:r>
            <w:r>
              <w:rPr>
                <w:color w:val="auto"/>
                <w:sz w:val="24"/>
              </w:rPr>
              <w:t>表1中3类标准。</w:t>
            </w:r>
          </w:p>
          <w:p w14:paraId="1F4076E1">
            <w:pPr>
              <w:pStyle w:val="125"/>
              <w:ind w:firstLine="480"/>
              <w:rPr>
                <w:color w:val="auto"/>
                <w:kern w:val="2"/>
                <w:szCs w:val="24"/>
              </w:rPr>
            </w:pPr>
            <w:r>
              <w:rPr>
                <w:color w:val="auto"/>
                <w:kern w:val="2"/>
                <w:szCs w:val="24"/>
              </w:rPr>
              <w:t>根据生态环境部环境工程评估中心《建设项目环境影响报告表》内容、格式及编制技术指南常见问题解答：“厂界外周边50米范围内存在声环境保护目标的建设项目，应监测声环境质量现状，监测点位为声环境保护目标处</w:t>
            </w:r>
            <w:r>
              <w:rPr>
                <w:rFonts w:hint="eastAsia"/>
                <w:color w:val="auto"/>
                <w:kern w:val="2"/>
                <w:szCs w:val="24"/>
              </w:rPr>
              <w:t>；</w:t>
            </w:r>
            <w:r>
              <w:rPr>
                <w:color w:val="auto"/>
                <w:kern w:val="2"/>
                <w:szCs w:val="24"/>
              </w:rPr>
              <w:t>厂界外周边50米范围内无声环境保护目标建设项目，不要求提供声环境质量现状监测数据”</w:t>
            </w:r>
            <w:r>
              <w:rPr>
                <w:rFonts w:hint="eastAsia"/>
                <w:color w:val="auto"/>
                <w:kern w:val="2"/>
                <w:szCs w:val="24"/>
              </w:rPr>
              <w:t>。</w:t>
            </w:r>
          </w:p>
          <w:p w14:paraId="774CEBB4">
            <w:pPr>
              <w:pStyle w:val="125"/>
              <w:ind w:firstLine="480"/>
              <w:rPr>
                <w:color w:val="auto"/>
              </w:rPr>
            </w:pPr>
            <w:r>
              <w:rPr>
                <w:color w:val="auto"/>
              </w:rPr>
              <w:t>根据现场踏勘可知，项目</w:t>
            </w:r>
            <w:r>
              <w:rPr>
                <w:rFonts w:hint="eastAsia"/>
                <w:color w:val="auto"/>
              </w:rPr>
              <w:t>厂界外</w:t>
            </w:r>
            <w:r>
              <w:rPr>
                <w:color w:val="auto"/>
              </w:rPr>
              <w:t>周边50米范围内无声环境保护目标，可不进行声环境质量现状的监测。</w:t>
            </w:r>
          </w:p>
          <w:p w14:paraId="6599D4C3">
            <w:pPr>
              <w:spacing w:line="360" w:lineRule="auto"/>
              <w:ind w:firstLine="480" w:firstLineChars="200"/>
              <w:contextualSpacing/>
              <w:rPr>
                <w:color w:val="auto"/>
                <w:sz w:val="24"/>
              </w:rPr>
            </w:pPr>
            <w:r>
              <w:rPr>
                <w:rFonts w:hint="eastAsia"/>
                <w:color w:val="auto"/>
                <w:sz w:val="24"/>
                <w:shd w:val="clear" w:fill="FFFFFF"/>
              </w:rPr>
              <w:t>(</w:t>
            </w:r>
            <w:r>
              <w:rPr>
                <w:rFonts w:hint="eastAsia"/>
                <w:color w:val="auto"/>
                <w:sz w:val="24"/>
              </w:rPr>
              <w:t>4</w:t>
            </w:r>
            <w:r>
              <w:rPr>
                <w:rFonts w:hint="eastAsia"/>
                <w:color w:val="auto"/>
                <w:sz w:val="24"/>
                <w:shd w:val="clear" w:fill="FFFFFF"/>
              </w:rPr>
              <w:t>)</w:t>
            </w:r>
            <w:r>
              <w:rPr>
                <w:rFonts w:hint="eastAsia"/>
                <w:color w:val="auto"/>
                <w:sz w:val="24"/>
              </w:rPr>
              <w:t>生态环境质量现状</w:t>
            </w:r>
          </w:p>
          <w:p w14:paraId="7A7BF124">
            <w:pPr>
              <w:spacing w:line="360" w:lineRule="auto"/>
              <w:ind w:firstLine="480"/>
              <w:rPr>
                <w:color w:val="auto"/>
                <w:kern w:val="0"/>
                <w:sz w:val="24"/>
              </w:rPr>
            </w:pPr>
            <w:r>
              <w:rPr>
                <w:rFonts w:hint="eastAsia"/>
                <w:color w:val="auto"/>
                <w:kern w:val="0"/>
                <w:sz w:val="24"/>
                <w:lang w:eastAsia="zh-CN"/>
              </w:rPr>
              <w:t>迁建项目</w:t>
            </w:r>
            <w:r>
              <w:rPr>
                <w:color w:val="auto"/>
                <w:kern w:val="0"/>
                <w:sz w:val="24"/>
              </w:rPr>
              <w:t>位于福州市福清市江阴港城经济区内，无需进行生态现状调查。</w:t>
            </w:r>
          </w:p>
          <w:p w14:paraId="7BD22222">
            <w:pPr>
              <w:spacing w:line="360" w:lineRule="auto"/>
              <w:ind w:firstLine="480" w:firstLineChars="200"/>
              <w:contextualSpacing/>
              <w:rPr>
                <w:color w:val="auto"/>
                <w:sz w:val="24"/>
              </w:rPr>
            </w:pPr>
            <w:r>
              <w:rPr>
                <w:rFonts w:hint="eastAsia"/>
                <w:color w:val="auto"/>
                <w:sz w:val="24"/>
                <w:shd w:val="clear" w:fill="FFFFFF"/>
              </w:rPr>
              <w:t>(</w:t>
            </w:r>
            <w:r>
              <w:rPr>
                <w:rFonts w:hint="eastAsia"/>
                <w:color w:val="auto"/>
                <w:sz w:val="24"/>
              </w:rPr>
              <w:t>5</w:t>
            </w:r>
            <w:r>
              <w:rPr>
                <w:rFonts w:hint="eastAsia"/>
                <w:color w:val="auto"/>
                <w:sz w:val="24"/>
                <w:shd w:val="clear" w:fill="FFFFFF"/>
              </w:rPr>
              <w:t>)</w:t>
            </w:r>
            <w:r>
              <w:rPr>
                <w:rFonts w:hint="eastAsia"/>
                <w:color w:val="auto"/>
                <w:sz w:val="24"/>
              </w:rPr>
              <w:t>地下水、土壤环境质量现状</w:t>
            </w:r>
          </w:p>
          <w:p w14:paraId="0D8FF037">
            <w:pPr>
              <w:spacing w:line="360" w:lineRule="auto"/>
              <w:ind w:firstLine="480" w:firstLineChars="200"/>
              <w:rPr>
                <w:color w:val="auto"/>
                <w:kern w:val="0"/>
                <w:sz w:val="24"/>
              </w:rPr>
            </w:pPr>
            <w:r>
              <w:rPr>
                <w:color w:val="auto"/>
                <w:kern w:val="0"/>
                <w:sz w:val="24"/>
              </w:rPr>
              <w:t>根据《建设项目环境影响报告表编制技术指南</w:t>
            </w:r>
            <w:r>
              <w:rPr>
                <w:color w:val="auto"/>
                <w:kern w:val="0"/>
                <w:sz w:val="24"/>
                <w:shd w:val="clear" w:fill="FFFFFF"/>
              </w:rPr>
              <w:t>(</w:t>
            </w:r>
            <w:r>
              <w:rPr>
                <w:color w:val="auto"/>
                <w:kern w:val="0"/>
                <w:sz w:val="24"/>
              </w:rPr>
              <w:t>污染影响类</w:t>
            </w:r>
            <w:r>
              <w:rPr>
                <w:color w:val="auto"/>
                <w:kern w:val="0"/>
                <w:sz w:val="24"/>
                <w:shd w:val="clear" w:fill="FFFFFF"/>
              </w:rPr>
              <w:t>)</w:t>
            </w:r>
            <w:r>
              <w:rPr>
                <w:rFonts w:hint="eastAsia"/>
                <w:color w:val="auto"/>
                <w:kern w:val="0"/>
                <w:sz w:val="24"/>
                <w:shd w:val="clear" w:fill="FFFFFF"/>
              </w:rPr>
              <w:t>(</w:t>
            </w:r>
            <w:r>
              <w:rPr>
                <w:color w:val="auto"/>
                <w:kern w:val="0"/>
                <w:sz w:val="24"/>
              </w:rPr>
              <w:t>试行</w:t>
            </w:r>
            <w:r>
              <w:rPr>
                <w:color w:val="auto"/>
                <w:kern w:val="0"/>
                <w:sz w:val="24"/>
                <w:shd w:val="clear" w:fill="FFFFFF"/>
              </w:rPr>
              <w:t>)</w:t>
            </w:r>
            <w:r>
              <w:rPr>
                <w:color w:val="auto"/>
                <w:kern w:val="0"/>
                <w:sz w:val="24"/>
              </w:rPr>
              <w:t>》</w:t>
            </w:r>
            <w:r>
              <w:rPr>
                <w:color w:val="auto"/>
                <w:kern w:val="0"/>
                <w:sz w:val="24"/>
                <w:shd w:val="clear" w:fill="FFFFFF"/>
              </w:rPr>
              <w:t>(</w:t>
            </w:r>
            <w:r>
              <w:rPr>
                <w:color w:val="auto"/>
                <w:kern w:val="0"/>
                <w:sz w:val="24"/>
              </w:rPr>
              <w:t>环办环评〔2020〕33号</w:t>
            </w:r>
            <w:r>
              <w:rPr>
                <w:color w:val="auto"/>
                <w:kern w:val="0"/>
                <w:sz w:val="24"/>
                <w:shd w:val="clear" w:fill="FFFFFF"/>
              </w:rPr>
              <w:t>)</w:t>
            </w:r>
            <w:r>
              <w:rPr>
                <w:color w:val="auto"/>
                <w:kern w:val="0"/>
                <w:sz w:val="24"/>
              </w:rPr>
              <w:t>规定，</w:t>
            </w:r>
            <w:r>
              <w:rPr>
                <w:color w:val="auto"/>
                <w:kern w:val="0"/>
                <w:sz w:val="24"/>
                <w:shd w:val="clear" w:fill="FFFFFF"/>
              </w:rPr>
              <w:t>“</w:t>
            </w:r>
            <w:r>
              <w:rPr>
                <w:color w:val="auto"/>
                <w:kern w:val="0"/>
                <w:sz w:val="24"/>
              </w:rPr>
              <w:t>原则上不开展环境质量现状调查。建设项目存在土壤、地下水环境污染途径的，应结合污染源、保护目标分布情况开展现状调查以留作背景值。</w:t>
            </w:r>
          </w:p>
          <w:p w14:paraId="6D6A33F2">
            <w:pPr>
              <w:spacing w:line="360" w:lineRule="auto"/>
              <w:ind w:firstLine="480" w:firstLineChars="200"/>
              <w:rPr>
                <w:color w:val="auto"/>
                <w:sz w:val="24"/>
              </w:rPr>
            </w:pPr>
            <w:r>
              <w:rPr>
                <w:color w:val="auto"/>
                <w:sz w:val="24"/>
              </w:rPr>
              <w:t>项目位于</w:t>
            </w:r>
            <w:r>
              <w:rPr>
                <w:rFonts w:hint="eastAsia"/>
                <w:color w:val="auto"/>
                <w:sz w:val="24"/>
              </w:rPr>
              <w:t>福建省福州市福清市江阴镇江阴港城经济区三峡路与兴林路交叉口东南侧，</w:t>
            </w:r>
            <w:r>
              <w:rPr>
                <w:color w:val="auto"/>
                <w:sz w:val="24"/>
              </w:rPr>
              <w:t>根据现场勘查，周边以</w:t>
            </w:r>
            <w:r>
              <w:rPr>
                <w:rFonts w:hint="eastAsia"/>
                <w:color w:val="auto"/>
                <w:sz w:val="24"/>
              </w:rPr>
              <w:t>农田、</w:t>
            </w:r>
            <w:r>
              <w:rPr>
                <w:color w:val="auto"/>
                <w:sz w:val="24"/>
              </w:rPr>
              <w:t>工业企业为主；项目周边地下水、土壤环境相对不敏感，采取有效的防渗措施后，项目对地下水、土壤环境影响很小，基本不存在</w:t>
            </w:r>
            <w:r>
              <w:rPr>
                <w:color w:val="auto"/>
                <w:kern w:val="0"/>
                <w:sz w:val="24"/>
              </w:rPr>
              <w:t>土壤、地下水环境污染途径，因此，</w:t>
            </w:r>
            <w:r>
              <w:rPr>
                <w:color w:val="auto"/>
                <w:sz w:val="24"/>
              </w:rPr>
              <w:t>本评价不对项目地下水、土壤环境质量进行补充监测。</w:t>
            </w:r>
          </w:p>
          <w:p w14:paraId="0CEF7A35">
            <w:pPr>
              <w:spacing w:line="360" w:lineRule="auto"/>
              <w:ind w:firstLine="480" w:firstLineChars="200"/>
              <w:contextualSpacing/>
              <w:rPr>
                <w:color w:val="auto"/>
                <w:sz w:val="24"/>
              </w:rPr>
            </w:pPr>
            <w:r>
              <w:rPr>
                <w:rFonts w:hint="eastAsia"/>
                <w:color w:val="auto"/>
                <w:sz w:val="24"/>
                <w:shd w:val="clear" w:fill="FFFFFF"/>
              </w:rPr>
              <w:t>(</w:t>
            </w:r>
            <w:r>
              <w:rPr>
                <w:rFonts w:hint="eastAsia"/>
                <w:color w:val="auto"/>
                <w:sz w:val="24"/>
              </w:rPr>
              <w:t>6</w:t>
            </w:r>
            <w:r>
              <w:rPr>
                <w:rFonts w:hint="eastAsia"/>
                <w:color w:val="auto"/>
                <w:sz w:val="24"/>
                <w:shd w:val="clear" w:fill="FFFFFF"/>
              </w:rPr>
              <w:t>)</w:t>
            </w:r>
            <w:r>
              <w:rPr>
                <w:rFonts w:hint="eastAsia"/>
                <w:color w:val="auto"/>
                <w:sz w:val="24"/>
              </w:rPr>
              <w:t>电磁辐射</w:t>
            </w:r>
          </w:p>
          <w:p w14:paraId="00C3C0EE">
            <w:pPr>
              <w:pStyle w:val="35"/>
              <w:ind w:leftChars="0" w:firstLine="480"/>
              <w:rPr>
                <w:color w:val="auto"/>
              </w:rPr>
            </w:pPr>
            <w:r>
              <w:rPr>
                <w:rFonts w:hint="eastAsia"/>
                <w:color w:val="auto"/>
                <w:lang w:eastAsia="zh-CN"/>
              </w:rPr>
              <w:t>迁建项目</w:t>
            </w:r>
            <w:r>
              <w:rPr>
                <w:rFonts w:hint="eastAsia"/>
                <w:color w:val="auto"/>
              </w:rPr>
              <w:t>非电磁辐射类项目，无需对电磁辐射现状开展监测与评价。</w:t>
            </w:r>
          </w:p>
        </w:tc>
      </w:tr>
      <w:tr w14:paraId="2CC82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3" w:type="dxa"/>
            <w:vAlign w:val="center"/>
          </w:tcPr>
          <w:p w14:paraId="200259FC">
            <w:pPr>
              <w:jc w:val="center"/>
              <w:rPr>
                <w:rFonts w:ascii="宋体" w:hAnsi="宋体" w:cs="宋体"/>
                <w:color w:val="auto"/>
                <w:kern w:val="21"/>
                <w:sz w:val="24"/>
              </w:rPr>
            </w:pPr>
            <w:r>
              <w:rPr>
                <w:rFonts w:hint="eastAsia" w:ascii="宋体" w:hAnsi="宋体" w:cs="宋体"/>
                <w:color w:val="auto"/>
                <w:kern w:val="21"/>
                <w:sz w:val="24"/>
              </w:rPr>
              <w:t>环境</w:t>
            </w:r>
          </w:p>
          <w:p w14:paraId="5EE4A238">
            <w:pPr>
              <w:jc w:val="center"/>
              <w:rPr>
                <w:rFonts w:ascii="宋体" w:hAnsi="宋体" w:cs="宋体"/>
                <w:color w:val="auto"/>
                <w:kern w:val="21"/>
                <w:sz w:val="24"/>
              </w:rPr>
            </w:pPr>
            <w:r>
              <w:rPr>
                <w:rFonts w:hint="eastAsia" w:ascii="宋体" w:hAnsi="宋体" w:cs="宋体"/>
                <w:color w:val="auto"/>
                <w:kern w:val="21"/>
                <w:sz w:val="24"/>
              </w:rPr>
              <w:t>保护</w:t>
            </w:r>
          </w:p>
          <w:p w14:paraId="34622BB9">
            <w:pPr>
              <w:jc w:val="center"/>
              <w:rPr>
                <w:rFonts w:ascii="宋体" w:hAnsi="宋体" w:cs="宋体"/>
                <w:color w:val="auto"/>
                <w:kern w:val="21"/>
                <w:szCs w:val="21"/>
              </w:rPr>
            </w:pPr>
            <w:r>
              <w:rPr>
                <w:rFonts w:hint="eastAsia" w:ascii="宋体" w:hAnsi="宋体" w:cs="宋体"/>
                <w:color w:val="auto"/>
                <w:kern w:val="21"/>
                <w:sz w:val="24"/>
              </w:rPr>
              <w:t>目标</w:t>
            </w:r>
          </w:p>
        </w:tc>
        <w:tc>
          <w:tcPr>
            <w:tcW w:w="8608" w:type="dxa"/>
            <w:vAlign w:val="center"/>
          </w:tcPr>
          <w:p w14:paraId="5F20FF99">
            <w:pPr>
              <w:pStyle w:val="68"/>
              <w:ind w:firstLine="0" w:firstLineChars="0"/>
              <w:rPr>
                <w:b/>
                <w:bCs/>
                <w:color w:val="auto"/>
                <w:kern w:val="2"/>
                <w:sz w:val="24"/>
                <w:szCs w:val="24"/>
              </w:rPr>
            </w:pPr>
            <w:r>
              <w:rPr>
                <w:b/>
                <w:bCs/>
                <w:color w:val="auto"/>
                <w:kern w:val="2"/>
                <w:sz w:val="24"/>
                <w:szCs w:val="24"/>
              </w:rPr>
              <w:t>3.2环境保护目标</w:t>
            </w:r>
          </w:p>
          <w:p w14:paraId="5C931644">
            <w:pPr>
              <w:spacing w:line="360" w:lineRule="auto"/>
              <w:ind w:firstLine="480"/>
              <w:rPr>
                <w:color w:val="auto"/>
                <w:kern w:val="0"/>
                <w:sz w:val="24"/>
              </w:rPr>
            </w:pPr>
            <w:r>
              <w:rPr>
                <w:rFonts w:hint="eastAsia"/>
                <w:color w:val="auto"/>
                <w:kern w:val="0"/>
                <w:sz w:val="24"/>
                <w:shd w:val="clear" w:fill="FFFFFF"/>
              </w:rPr>
              <w:t>(</w:t>
            </w:r>
            <w:r>
              <w:rPr>
                <w:rFonts w:hint="eastAsia"/>
                <w:color w:val="auto"/>
                <w:kern w:val="0"/>
                <w:sz w:val="24"/>
              </w:rPr>
              <w:t>1</w:t>
            </w:r>
            <w:r>
              <w:rPr>
                <w:rFonts w:hint="eastAsia"/>
                <w:color w:val="auto"/>
                <w:kern w:val="0"/>
                <w:sz w:val="24"/>
                <w:shd w:val="clear" w:fill="FFFFFF"/>
              </w:rPr>
              <w:t>)</w:t>
            </w:r>
            <w:r>
              <w:rPr>
                <w:rFonts w:hint="eastAsia"/>
                <w:color w:val="auto"/>
                <w:kern w:val="0"/>
                <w:sz w:val="24"/>
              </w:rPr>
              <w:t>大气、声、地下水环境保护目标</w:t>
            </w:r>
          </w:p>
          <w:p w14:paraId="16868423">
            <w:pPr>
              <w:spacing w:line="360" w:lineRule="auto"/>
              <w:ind w:firstLine="480"/>
              <w:rPr>
                <w:color w:val="auto"/>
                <w:sz w:val="24"/>
              </w:rPr>
            </w:pPr>
            <w:r>
              <w:rPr>
                <w:color w:val="auto"/>
                <w:kern w:val="0"/>
                <w:sz w:val="24"/>
              </w:rPr>
              <w:t>根据《建设项目环境影响报告表编制技术指南</w:t>
            </w:r>
            <w:r>
              <w:rPr>
                <w:color w:val="auto"/>
                <w:kern w:val="0"/>
                <w:sz w:val="24"/>
                <w:shd w:val="clear" w:fill="FFFFFF"/>
              </w:rPr>
              <w:t>(</w:t>
            </w:r>
            <w:r>
              <w:rPr>
                <w:color w:val="auto"/>
                <w:kern w:val="0"/>
                <w:sz w:val="24"/>
              </w:rPr>
              <w:t>污染影响类</w:t>
            </w:r>
            <w:r>
              <w:rPr>
                <w:color w:val="auto"/>
                <w:kern w:val="0"/>
                <w:sz w:val="24"/>
                <w:shd w:val="clear" w:fill="FFFFFF"/>
              </w:rPr>
              <w:t>)(</w:t>
            </w:r>
            <w:r>
              <w:rPr>
                <w:color w:val="auto"/>
                <w:kern w:val="0"/>
                <w:sz w:val="24"/>
              </w:rPr>
              <w:t>试行</w:t>
            </w:r>
            <w:r>
              <w:rPr>
                <w:color w:val="auto"/>
                <w:kern w:val="0"/>
                <w:sz w:val="24"/>
                <w:shd w:val="clear" w:fill="FFFFFF"/>
              </w:rPr>
              <w:t>)</w:t>
            </w:r>
            <w:r>
              <w:rPr>
                <w:color w:val="auto"/>
                <w:kern w:val="0"/>
                <w:sz w:val="24"/>
              </w:rPr>
              <w:t>》</w:t>
            </w:r>
            <w:r>
              <w:rPr>
                <w:color w:val="auto"/>
                <w:kern w:val="0"/>
                <w:sz w:val="24"/>
                <w:shd w:val="clear" w:fill="FFFFFF"/>
              </w:rPr>
              <w:t>(</w:t>
            </w:r>
            <w:r>
              <w:rPr>
                <w:color w:val="auto"/>
                <w:kern w:val="0"/>
                <w:sz w:val="24"/>
              </w:rPr>
              <w:t>环办环评〔2020〕33号</w:t>
            </w:r>
            <w:r>
              <w:rPr>
                <w:color w:val="auto"/>
                <w:kern w:val="0"/>
                <w:sz w:val="24"/>
                <w:shd w:val="clear" w:fill="FFFFFF"/>
              </w:rPr>
              <w:t>)</w:t>
            </w:r>
            <w:r>
              <w:rPr>
                <w:color w:val="auto"/>
                <w:kern w:val="0"/>
                <w:sz w:val="24"/>
              </w:rPr>
              <w:t>要求以及对项目周边环境的调查，</w:t>
            </w:r>
            <w:r>
              <w:rPr>
                <w:rFonts w:hint="eastAsia"/>
                <w:color w:val="auto"/>
                <w:kern w:val="0"/>
                <w:sz w:val="24"/>
              </w:rPr>
              <w:t>项目厂界外500m范围内有下堡村1</w:t>
            </w:r>
            <w:r>
              <w:rPr>
                <w:rFonts w:hint="eastAsia"/>
                <w:color w:val="auto"/>
                <w:kern w:val="0"/>
                <w:sz w:val="24"/>
                <w:lang w:eastAsia="zh-CN"/>
              </w:rPr>
              <w:t>处</w:t>
            </w:r>
            <w:r>
              <w:rPr>
                <w:rFonts w:hint="eastAsia"/>
                <w:color w:val="auto"/>
                <w:kern w:val="0"/>
                <w:sz w:val="24"/>
              </w:rPr>
              <w:t>大气环境敏感目标，</w:t>
            </w:r>
            <w:r>
              <w:rPr>
                <w:color w:val="auto"/>
                <w:sz w:val="24"/>
              </w:rPr>
              <w:t>项目厂界外50米范围内无声环境保护目标，</w:t>
            </w:r>
            <w:r>
              <w:rPr>
                <w:rFonts w:hint="eastAsia"/>
                <w:color w:val="auto"/>
                <w:sz w:val="24"/>
              </w:rPr>
              <w:t>项目</w:t>
            </w:r>
            <w:r>
              <w:rPr>
                <w:color w:val="auto"/>
                <w:sz w:val="24"/>
              </w:rPr>
              <w:t>厂界外500米范围内无地下水集中式饮用水水源和热水、矿泉水、温泉等特殊地下水资源。</w:t>
            </w:r>
          </w:p>
          <w:p w14:paraId="419CEF00">
            <w:pPr>
              <w:pStyle w:val="68"/>
              <w:ind w:firstLine="480"/>
              <w:rPr>
                <w:color w:val="auto"/>
                <w:kern w:val="2"/>
                <w:sz w:val="24"/>
                <w:szCs w:val="24"/>
              </w:rPr>
            </w:pPr>
            <w:r>
              <w:rPr>
                <w:rFonts w:hint="eastAsia"/>
                <w:color w:val="auto"/>
                <w:sz w:val="24"/>
                <w:lang w:eastAsia="zh-CN"/>
              </w:rPr>
              <w:t>迁建项目</w:t>
            </w:r>
            <w:r>
              <w:rPr>
                <w:color w:val="auto"/>
                <w:sz w:val="24"/>
              </w:rPr>
              <w:t>大气环境</w:t>
            </w:r>
            <w:r>
              <w:rPr>
                <w:rFonts w:hint="eastAsia"/>
                <w:color w:val="auto"/>
                <w:sz w:val="24"/>
                <w:shd w:val="clear" w:fill="FFFFFF"/>
              </w:rPr>
              <w:t>(</w:t>
            </w:r>
            <w:r>
              <w:rPr>
                <w:rFonts w:hint="eastAsia"/>
                <w:color w:val="auto"/>
                <w:sz w:val="24"/>
              </w:rPr>
              <w:t>厂界外500m范围内</w:t>
            </w:r>
            <w:r>
              <w:rPr>
                <w:rFonts w:hint="eastAsia"/>
                <w:color w:val="auto"/>
                <w:sz w:val="24"/>
                <w:shd w:val="clear" w:fill="FFFFFF"/>
              </w:rPr>
              <w:t>)</w:t>
            </w:r>
            <w:r>
              <w:rPr>
                <w:color w:val="auto"/>
                <w:sz w:val="24"/>
              </w:rPr>
              <w:t>、</w:t>
            </w:r>
            <w:r>
              <w:rPr>
                <w:rFonts w:hint="eastAsia"/>
                <w:color w:val="auto"/>
                <w:sz w:val="24"/>
              </w:rPr>
              <w:t>地下水环境</w:t>
            </w:r>
            <w:r>
              <w:rPr>
                <w:rFonts w:hint="eastAsia"/>
                <w:color w:val="auto"/>
                <w:sz w:val="24"/>
                <w:shd w:val="clear" w:fill="FFFFFF"/>
                <w:lang w:eastAsia="zh-CN"/>
              </w:rPr>
              <w:t>(</w:t>
            </w:r>
            <w:r>
              <w:rPr>
                <w:rFonts w:hint="eastAsia"/>
                <w:color w:val="auto"/>
                <w:sz w:val="24"/>
              </w:rPr>
              <w:t>500m范围内</w:t>
            </w:r>
            <w:r>
              <w:rPr>
                <w:rFonts w:hint="eastAsia"/>
                <w:color w:val="auto"/>
                <w:sz w:val="24"/>
                <w:shd w:val="clear" w:fill="FFFFFF"/>
                <w:lang w:eastAsia="zh-CN"/>
              </w:rPr>
              <w:t>)</w:t>
            </w:r>
            <w:r>
              <w:rPr>
                <w:rFonts w:hint="eastAsia"/>
                <w:color w:val="auto"/>
                <w:sz w:val="24"/>
              </w:rPr>
              <w:t>、</w:t>
            </w:r>
            <w:r>
              <w:rPr>
                <w:color w:val="auto"/>
                <w:sz w:val="24"/>
              </w:rPr>
              <w:t>声环境</w:t>
            </w:r>
            <w:r>
              <w:rPr>
                <w:rFonts w:hint="eastAsia"/>
                <w:color w:val="auto"/>
                <w:sz w:val="24"/>
                <w:shd w:val="clear" w:fill="FFFFFF"/>
              </w:rPr>
              <w:t>(</w:t>
            </w:r>
            <w:r>
              <w:rPr>
                <w:rFonts w:hint="eastAsia"/>
                <w:color w:val="auto"/>
                <w:sz w:val="24"/>
              </w:rPr>
              <w:t>厂界外50m范围内</w:t>
            </w:r>
            <w:r>
              <w:rPr>
                <w:rFonts w:hint="eastAsia"/>
                <w:color w:val="auto"/>
                <w:sz w:val="24"/>
                <w:shd w:val="clear" w:fill="FFFFFF"/>
              </w:rPr>
              <w:t>)</w:t>
            </w:r>
            <w:r>
              <w:rPr>
                <w:rFonts w:hint="eastAsia"/>
                <w:color w:val="auto"/>
                <w:sz w:val="24"/>
              </w:rPr>
              <w:t>的环境保护目标</w:t>
            </w:r>
            <w:r>
              <w:rPr>
                <w:color w:val="auto"/>
                <w:sz w:val="24"/>
              </w:rPr>
              <w:t>见表3.</w:t>
            </w:r>
            <w:r>
              <w:rPr>
                <w:rFonts w:hint="eastAsia"/>
                <w:color w:val="auto"/>
                <w:sz w:val="24"/>
              </w:rPr>
              <w:t>2-1和附图2</w:t>
            </w:r>
            <w:r>
              <w:rPr>
                <w:rFonts w:hint="eastAsia"/>
                <w:color w:val="auto"/>
                <w:kern w:val="2"/>
                <w:sz w:val="24"/>
                <w:szCs w:val="24"/>
              </w:rPr>
              <w:t>。</w:t>
            </w:r>
          </w:p>
          <w:p w14:paraId="167CA72F">
            <w:pPr>
              <w:pStyle w:val="77"/>
              <w:ind w:firstLine="482"/>
              <w:rPr>
                <w:color w:val="auto"/>
                <w:sz w:val="24"/>
              </w:rPr>
            </w:pPr>
            <w:bookmarkStart w:id="91" w:name="_Toc17865_WPSOffice_Level2"/>
            <w:r>
              <w:rPr>
                <w:color w:val="auto"/>
                <w:sz w:val="24"/>
              </w:rPr>
              <w:t>表</w:t>
            </w:r>
            <w:r>
              <w:rPr>
                <w:rFonts w:hint="eastAsia"/>
                <w:color w:val="auto"/>
                <w:sz w:val="24"/>
              </w:rPr>
              <w:t xml:space="preserve">3.2-1 </w:t>
            </w:r>
            <w:r>
              <w:rPr>
                <w:color w:val="auto"/>
                <w:sz w:val="24"/>
              </w:rPr>
              <w:t xml:space="preserve"> 项目主要环境敏感保护目标一览表</w:t>
            </w:r>
            <w:bookmarkEnd w:id="91"/>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879"/>
              <w:gridCol w:w="659"/>
              <w:gridCol w:w="1226"/>
              <w:gridCol w:w="926"/>
              <w:gridCol w:w="3698"/>
            </w:tblGrid>
            <w:tr w14:paraId="70FA0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4FAF6AAE">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0" w:type="auto"/>
                  <w:noWrap w:val="0"/>
                  <w:vAlign w:val="center"/>
                </w:tcPr>
                <w:p w14:paraId="4A3FA00F">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环境保护目标</w:t>
                  </w:r>
                </w:p>
              </w:tc>
              <w:tc>
                <w:tcPr>
                  <w:tcW w:w="0" w:type="auto"/>
                  <w:noWrap w:val="0"/>
                  <w:vAlign w:val="center"/>
                </w:tcPr>
                <w:p w14:paraId="6C78DDD2">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方向</w:t>
                  </w:r>
                </w:p>
              </w:tc>
              <w:tc>
                <w:tcPr>
                  <w:tcW w:w="0" w:type="auto"/>
                  <w:noWrap w:val="0"/>
                  <w:vAlign w:val="center"/>
                </w:tcPr>
                <w:p w14:paraId="0DFA5EEB">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环境基本特征/人口</w:t>
                  </w:r>
                </w:p>
              </w:tc>
              <w:tc>
                <w:tcPr>
                  <w:tcW w:w="0" w:type="auto"/>
                  <w:noWrap w:val="0"/>
                  <w:vAlign w:val="center"/>
                </w:tcPr>
                <w:p w14:paraId="489DECE5">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w:t>
                  </w:r>
                </w:p>
              </w:tc>
              <w:tc>
                <w:tcPr>
                  <w:tcW w:w="0" w:type="auto"/>
                  <w:noWrap w:val="0"/>
                  <w:vAlign w:val="center"/>
                </w:tcPr>
                <w:p w14:paraId="70EA5DD8">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环境质量要求</w:t>
                  </w:r>
                </w:p>
              </w:tc>
            </w:tr>
            <w:tr w14:paraId="10430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74507CF1">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地表水环境</w:t>
                  </w:r>
                </w:p>
              </w:tc>
              <w:tc>
                <w:tcPr>
                  <w:tcW w:w="0" w:type="auto"/>
                  <w:noWrap w:val="0"/>
                  <w:vAlign w:val="center"/>
                </w:tcPr>
                <w:p w14:paraId="087970FE">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占泽渠</w:t>
                  </w:r>
                </w:p>
              </w:tc>
              <w:tc>
                <w:tcPr>
                  <w:tcW w:w="0" w:type="auto"/>
                  <w:noWrap w:val="0"/>
                  <w:vAlign w:val="center"/>
                </w:tcPr>
                <w:p w14:paraId="2F6D1D80">
                  <w:pPr>
                    <w:keepNext w:val="0"/>
                    <w:keepLines w:val="0"/>
                    <w:pageBreakBefore w:val="0"/>
                    <w:widowControl w:val="0"/>
                    <w:tabs>
                      <w:tab w:val="left" w:pos="621"/>
                    </w:tabs>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cs="Times New Roman"/>
                      <w:color w:val="auto"/>
                      <w:sz w:val="21"/>
                      <w:szCs w:val="21"/>
                      <w:shd w:val="clear" w:color="auto" w:fill="FFFFFF"/>
                      <w:lang w:val="en-US" w:eastAsia="zh-CN"/>
                    </w:rPr>
                  </w:pPr>
                  <w:r>
                    <w:rPr>
                      <w:rFonts w:hint="default" w:ascii="Times New Roman" w:hAnsi="Times New Roman" w:cs="Times New Roman"/>
                      <w:color w:val="auto"/>
                      <w:sz w:val="21"/>
                      <w:szCs w:val="21"/>
                      <w:shd w:val="clear" w:color="auto" w:fill="FFFFFF"/>
                      <w:lang w:val="en-US" w:eastAsia="zh-CN"/>
                    </w:rPr>
                    <w:t>北侧</w:t>
                  </w:r>
                </w:p>
              </w:tc>
              <w:tc>
                <w:tcPr>
                  <w:tcW w:w="0" w:type="auto"/>
                  <w:noWrap w:val="0"/>
                  <w:vAlign w:val="center"/>
                </w:tcPr>
                <w:p w14:paraId="1676FCAC">
                  <w:pPr>
                    <w:keepNext w:val="0"/>
                    <w:keepLines w:val="0"/>
                    <w:pageBreakBefore w:val="0"/>
                    <w:widowControl w:val="0"/>
                    <w:tabs>
                      <w:tab w:val="left" w:pos="621"/>
                    </w:tabs>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内河</w:t>
                  </w:r>
                </w:p>
              </w:tc>
              <w:tc>
                <w:tcPr>
                  <w:tcW w:w="0" w:type="auto"/>
                  <w:noWrap w:val="0"/>
                  <w:vAlign w:val="center"/>
                </w:tcPr>
                <w:p w14:paraId="7F3E7F86">
                  <w:pPr>
                    <w:keepNext w:val="0"/>
                    <w:keepLines w:val="0"/>
                    <w:pageBreakBefore w:val="0"/>
                    <w:widowControl w:val="0"/>
                    <w:tabs>
                      <w:tab w:val="left" w:pos="621"/>
                    </w:tabs>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189</w:t>
                  </w:r>
                  <w:r>
                    <w:rPr>
                      <w:rFonts w:hint="default" w:ascii="Times New Roman" w:hAnsi="Times New Roman" w:eastAsia="宋体" w:cs="Times New Roman"/>
                      <w:color w:val="auto"/>
                      <w:sz w:val="21"/>
                      <w:szCs w:val="21"/>
                      <w:lang w:val="en-US" w:eastAsia="zh-CN"/>
                    </w:rPr>
                    <w:t>m</w:t>
                  </w:r>
                </w:p>
              </w:tc>
              <w:tc>
                <w:tcPr>
                  <w:tcW w:w="0" w:type="auto"/>
                  <w:noWrap w:val="0"/>
                  <w:vAlign w:val="center"/>
                </w:tcPr>
                <w:p w14:paraId="2590E031">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《地表水环境质量标准》</w:t>
                  </w:r>
                  <w:r>
                    <w:rPr>
                      <w:rFonts w:hint="eastAsia" w:eastAsia="宋体" w:cs="Times New Roman"/>
                      <w:snapToGrid w:val="0"/>
                      <w:color w:val="auto"/>
                      <w:kern w:val="18"/>
                      <w:sz w:val="21"/>
                      <w:szCs w:val="21"/>
                      <w:lang w:eastAsia="zh-CN"/>
                    </w:rPr>
                    <w:t>(</w:t>
                  </w:r>
                  <w:r>
                    <w:rPr>
                      <w:rFonts w:hint="default" w:ascii="Times New Roman" w:hAnsi="Times New Roman" w:eastAsia="宋体" w:cs="Times New Roman"/>
                      <w:snapToGrid w:val="0"/>
                      <w:color w:val="auto"/>
                      <w:kern w:val="18"/>
                      <w:sz w:val="21"/>
                      <w:szCs w:val="21"/>
                    </w:rPr>
                    <w:t>GB3838-2002</w:t>
                  </w:r>
                  <w:r>
                    <w:rPr>
                      <w:rFonts w:hint="eastAsia" w:eastAsia="宋体" w:cs="Times New Roman"/>
                      <w:snapToGrid w:val="0"/>
                      <w:color w:val="auto"/>
                      <w:kern w:val="18"/>
                      <w:sz w:val="21"/>
                      <w:szCs w:val="21"/>
                      <w:lang w:eastAsia="zh-CN"/>
                    </w:rPr>
                    <w:t>)</w:t>
                  </w:r>
                  <w:r>
                    <w:rPr>
                      <w:rFonts w:hint="default" w:ascii="Times New Roman" w:hAnsi="Times New Roman" w:eastAsia="宋体" w:cs="Times New Roman"/>
                      <w:snapToGrid w:val="0"/>
                      <w:color w:val="auto"/>
                      <w:kern w:val="18"/>
                      <w:sz w:val="21"/>
                      <w:szCs w:val="21"/>
                    </w:rPr>
                    <w:t>Ⅲ类标准</w:t>
                  </w:r>
                </w:p>
              </w:tc>
            </w:tr>
            <w:tr w14:paraId="5D127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41877817">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大气环境</w:t>
                  </w:r>
                  <w:r>
                    <w:rPr>
                      <w:rFonts w:hint="eastAsia" w:cs="Times New Roman"/>
                      <w:color w:val="auto"/>
                      <w:sz w:val="21"/>
                      <w:szCs w:val="21"/>
                      <w:shd w:val="clear" w:fill="FFFFFF"/>
                      <w:lang w:val="en-US" w:eastAsia="zh-CN"/>
                    </w:rPr>
                    <w:t>(</w:t>
                  </w:r>
                  <w:r>
                    <w:rPr>
                      <w:rFonts w:hint="default" w:ascii="Times New Roman" w:hAnsi="Times New Roman" w:cs="Times New Roman"/>
                      <w:color w:val="auto"/>
                      <w:sz w:val="21"/>
                      <w:szCs w:val="21"/>
                      <w:lang w:val="en-US" w:eastAsia="zh-CN"/>
                    </w:rPr>
                    <w:t>500m范围内</w:t>
                  </w:r>
                  <w:r>
                    <w:rPr>
                      <w:rFonts w:hint="eastAsia" w:cs="Times New Roman"/>
                      <w:color w:val="auto"/>
                      <w:sz w:val="21"/>
                      <w:szCs w:val="21"/>
                      <w:shd w:val="clear" w:fill="FFFFFF"/>
                      <w:lang w:val="en-US" w:eastAsia="zh-CN"/>
                    </w:rPr>
                    <w:t>)</w:t>
                  </w:r>
                </w:p>
              </w:tc>
              <w:tc>
                <w:tcPr>
                  <w:tcW w:w="0" w:type="auto"/>
                  <w:noWrap w:val="0"/>
                  <w:vAlign w:val="center"/>
                </w:tcPr>
                <w:p w14:paraId="0FEE2953">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color w:val="auto"/>
                      <w:sz w:val="21"/>
                      <w:szCs w:val="21"/>
                    </w:rPr>
                    <w:t>下堡村</w:t>
                  </w:r>
                </w:p>
              </w:tc>
              <w:tc>
                <w:tcPr>
                  <w:tcW w:w="0" w:type="auto"/>
                  <w:noWrap w:val="0"/>
                  <w:vAlign w:val="center"/>
                </w:tcPr>
                <w:p w14:paraId="16F10700">
                  <w:pPr>
                    <w:keepNext w:val="0"/>
                    <w:keepLines w:val="0"/>
                    <w:pageBreakBefore w:val="0"/>
                    <w:widowControl w:val="0"/>
                    <w:tabs>
                      <w:tab w:val="left" w:pos="621"/>
                    </w:tabs>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西北侧</w:t>
                  </w:r>
                </w:p>
              </w:tc>
              <w:tc>
                <w:tcPr>
                  <w:tcW w:w="0" w:type="auto"/>
                  <w:noWrap w:val="0"/>
                  <w:vAlign w:val="center"/>
                </w:tcPr>
                <w:p w14:paraId="6CA3F9EF">
                  <w:pPr>
                    <w:keepNext w:val="0"/>
                    <w:keepLines w:val="0"/>
                    <w:pageBreakBefore w:val="0"/>
                    <w:widowControl w:val="0"/>
                    <w:tabs>
                      <w:tab w:val="left" w:pos="621"/>
                    </w:tabs>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约2631人</w:t>
                  </w:r>
                </w:p>
              </w:tc>
              <w:tc>
                <w:tcPr>
                  <w:tcW w:w="0" w:type="auto"/>
                  <w:noWrap w:val="0"/>
                  <w:vAlign w:val="center"/>
                </w:tcPr>
                <w:p w14:paraId="471E7552">
                  <w:pPr>
                    <w:keepNext w:val="0"/>
                    <w:keepLines w:val="0"/>
                    <w:pageBreakBefore w:val="0"/>
                    <w:widowControl w:val="0"/>
                    <w:tabs>
                      <w:tab w:val="left" w:pos="621"/>
                    </w:tabs>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约</w:t>
                  </w:r>
                  <w:r>
                    <w:rPr>
                      <w:rFonts w:hint="eastAsia"/>
                      <w:color w:val="auto"/>
                      <w:sz w:val="21"/>
                      <w:szCs w:val="21"/>
                    </w:rPr>
                    <w:t>250m</w:t>
                  </w:r>
                </w:p>
              </w:tc>
              <w:tc>
                <w:tcPr>
                  <w:tcW w:w="0" w:type="auto"/>
                  <w:noWrap w:val="0"/>
                  <w:vAlign w:val="center"/>
                </w:tcPr>
                <w:p w14:paraId="409B040E">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《环境空气质量标准》</w:t>
                  </w:r>
                  <w:r>
                    <w:rPr>
                      <w:rFonts w:hint="eastAsia" w:eastAsia="宋体" w:cs="Times New Roman"/>
                      <w:snapToGrid w:val="0"/>
                      <w:color w:val="auto"/>
                      <w:kern w:val="18"/>
                      <w:sz w:val="21"/>
                      <w:szCs w:val="21"/>
                      <w:lang w:eastAsia="zh-CN"/>
                    </w:rPr>
                    <w:t>(</w:t>
                  </w:r>
                  <w:r>
                    <w:rPr>
                      <w:rFonts w:hint="default" w:ascii="Times New Roman" w:hAnsi="Times New Roman" w:eastAsia="宋体" w:cs="Times New Roman"/>
                      <w:snapToGrid w:val="0"/>
                      <w:color w:val="auto"/>
                      <w:kern w:val="18"/>
                      <w:sz w:val="21"/>
                      <w:szCs w:val="21"/>
                    </w:rPr>
                    <w:t>GB3095-2012</w:t>
                  </w:r>
                  <w:r>
                    <w:rPr>
                      <w:rFonts w:hint="eastAsia" w:eastAsia="宋体" w:cs="Times New Roman"/>
                      <w:snapToGrid w:val="0"/>
                      <w:color w:val="auto"/>
                      <w:kern w:val="18"/>
                      <w:sz w:val="21"/>
                      <w:szCs w:val="21"/>
                      <w:shd w:val="clear" w:fill="FFFFFF"/>
                      <w:lang w:eastAsia="zh-CN"/>
                    </w:rPr>
                    <w:t>)</w:t>
                  </w:r>
                  <w:r>
                    <w:rPr>
                      <w:rFonts w:hint="default" w:ascii="Times New Roman" w:hAnsi="Times New Roman" w:eastAsia="宋体" w:cs="Times New Roman"/>
                      <w:snapToGrid w:val="0"/>
                      <w:color w:val="auto"/>
                      <w:kern w:val="18"/>
                      <w:sz w:val="21"/>
                      <w:szCs w:val="21"/>
                    </w:rPr>
                    <w:t>及2018年修改单中二级标准</w:t>
                  </w:r>
                </w:p>
              </w:tc>
            </w:tr>
            <w:tr w14:paraId="44EC2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3F7A8270">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声环境</w:t>
                  </w:r>
                </w:p>
              </w:tc>
              <w:tc>
                <w:tcPr>
                  <w:tcW w:w="0" w:type="auto"/>
                  <w:gridSpan w:val="5"/>
                  <w:noWrap w:val="0"/>
                  <w:vAlign w:val="center"/>
                </w:tcPr>
                <w:p w14:paraId="706D1879">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50m范围内不涉及声环境敏感目标</w:t>
                  </w:r>
                </w:p>
              </w:tc>
            </w:tr>
            <w:tr w14:paraId="5638F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150E1A8A">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地下水环境</w:t>
                  </w:r>
                </w:p>
              </w:tc>
              <w:tc>
                <w:tcPr>
                  <w:tcW w:w="0" w:type="auto"/>
                  <w:gridSpan w:val="5"/>
                  <w:noWrap w:val="0"/>
                  <w:vAlign w:val="center"/>
                </w:tcPr>
                <w:p w14:paraId="1BD00D9A">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厂界外500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范围内的地下水集中式饮用水水源和热水、矿泉水、温泉等特殊地下水资源</w:t>
                  </w:r>
                </w:p>
              </w:tc>
            </w:tr>
            <w:tr w14:paraId="6F57F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08CCA0A6">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生态环境</w:t>
                  </w:r>
                </w:p>
              </w:tc>
              <w:tc>
                <w:tcPr>
                  <w:tcW w:w="0" w:type="auto"/>
                  <w:gridSpan w:val="5"/>
                  <w:noWrap w:val="0"/>
                  <w:vAlign w:val="center"/>
                </w:tcPr>
                <w:p w14:paraId="476084E8">
                  <w:pPr>
                    <w:keepNext w:val="0"/>
                    <w:keepLines w:val="0"/>
                    <w:pageBreakBefore w:val="0"/>
                    <w:widowControl w:val="0"/>
                    <w:kinsoku/>
                    <w:wordWrap/>
                    <w:overflowPunct/>
                    <w:topLinePunct w:val="0"/>
                    <w:autoSpaceDE/>
                    <w:autoSpaceDN/>
                    <w:bidi w:val="0"/>
                    <w:adjustRightInd/>
                    <w:snapToGrid/>
                    <w:spacing w:before="0" w:beforeAutospacing="0" w:after="0" w:afterAutospacing="0" w:line="3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根据《建设项目环境影响报告表编制技术指南</w:t>
                  </w:r>
                  <w:r>
                    <w:rPr>
                      <w:rFonts w:hint="default" w:ascii="Times New Roman" w:hAnsi="Times New Roman" w:eastAsia="宋体" w:cs="Times New Roman"/>
                      <w:color w:val="auto"/>
                      <w:sz w:val="21"/>
                      <w:szCs w:val="21"/>
                      <w:shd w:val="clear" w:fill="FFFFFF"/>
                      <w:lang w:eastAsia="zh-CN"/>
                    </w:rPr>
                    <w:t>(</w:t>
                  </w:r>
                  <w:r>
                    <w:rPr>
                      <w:rFonts w:hint="default" w:ascii="Times New Roman" w:hAnsi="Times New Roman" w:eastAsia="宋体" w:cs="Times New Roman"/>
                      <w:color w:val="auto"/>
                      <w:sz w:val="21"/>
                      <w:szCs w:val="21"/>
                      <w:lang w:eastAsia="zh-CN"/>
                    </w:rPr>
                    <w:t>污染影响类</w:t>
                  </w:r>
                  <w:r>
                    <w:rPr>
                      <w:rFonts w:hint="default" w:ascii="Times New Roman" w:hAnsi="Times New Roman" w:eastAsia="宋体" w:cs="Times New Roman"/>
                      <w:color w:val="auto"/>
                      <w:sz w:val="21"/>
                      <w:szCs w:val="21"/>
                      <w:shd w:val="clear" w:fill="FFFFFF"/>
                      <w:lang w:eastAsia="zh-CN"/>
                    </w:rPr>
                    <w:t>)(</w:t>
                  </w:r>
                  <w:r>
                    <w:rPr>
                      <w:rFonts w:hint="default" w:ascii="Times New Roman" w:hAnsi="Times New Roman" w:eastAsia="宋体" w:cs="Times New Roman"/>
                      <w:color w:val="auto"/>
                      <w:sz w:val="21"/>
                      <w:szCs w:val="21"/>
                      <w:lang w:eastAsia="zh-CN"/>
                    </w:rPr>
                    <w:t>试行</w:t>
                  </w:r>
                  <w:r>
                    <w:rPr>
                      <w:rFonts w:hint="default" w:ascii="Times New Roman" w:hAnsi="Times New Roman" w:eastAsia="宋体" w:cs="Times New Roman"/>
                      <w:color w:val="auto"/>
                      <w:sz w:val="21"/>
                      <w:szCs w:val="21"/>
                      <w:shd w:val="clear" w:fill="FFFFFF"/>
                      <w:lang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shd w:val="clear" w:fill="FFFFFF"/>
                      <w:lang w:eastAsia="zh-CN"/>
                    </w:rPr>
                    <w:t>(</w:t>
                  </w:r>
                  <w:r>
                    <w:rPr>
                      <w:rFonts w:hint="default" w:ascii="Times New Roman" w:hAnsi="Times New Roman" w:eastAsia="宋体" w:cs="Times New Roman"/>
                      <w:color w:val="auto"/>
                      <w:sz w:val="21"/>
                      <w:szCs w:val="21"/>
                      <w:lang w:eastAsia="zh-CN"/>
                    </w:rPr>
                    <w:t>环办环评〔2020〕33号</w:t>
                  </w:r>
                  <w:r>
                    <w:rPr>
                      <w:rFonts w:hint="default" w:ascii="Times New Roman" w:hAnsi="Times New Roman" w:eastAsia="宋体" w:cs="Times New Roman"/>
                      <w:color w:val="auto"/>
                      <w:sz w:val="21"/>
                      <w:szCs w:val="21"/>
                      <w:shd w:val="clear" w:fill="FFFFFF"/>
                      <w:lang w:eastAsia="zh-CN"/>
                    </w:rPr>
                    <w:t>)</w:t>
                  </w:r>
                  <w:r>
                    <w:rPr>
                      <w:rFonts w:hint="default" w:ascii="Times New Roman" w:hAnsi="Times New Roman" w:eastAsia="宋体" w:cs="Times New Roman"/>
                      <w:color w:val="auto"/>
                      <w:sz w:val="21"/>
                      <w:szCs w:val="21"/>
                      <w:lang w:eastAsia="zh-CN"/>
                    </w:rPr>
                    <w:t>，“产业园区外建设项目新增用地的，应明确新增用地范围内生态环境保护目标”。迁建项目所在区域为福州市福清市江阴港城经济区内，占地均为工业用地，因此不新增用地范围内生态环境保护目标</w:t>
                  </w:r>
                </w:p>
              </w:tc>
            </w:tr>
          </w:tbl>
          <w:p w14:paraId="282B2F56">
            <w:pPr>
              <w:spacing w:line="360" w:lineRule="auto"/>
              <w:ind w:firstLine="420" w:firstLineChars="200"/>
              <w:rPr>
                <w:color w:val="auto"/>
              </w:rPr>
            </w:pPr>
          </w:p>
        </w:tc>
      </w:tr>
      <w:tr w14:paraId="7E702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tcMar>
              <w:left w:w="28" w:type="dxa"/>
              <w:right w:w="28" w:type="dxa"/>
            </w:tcMar>
            <w:vAlign w:val="center"/>
          </w:tcPr>
          <w:p w14:paraId="329EE808">
            <w:pPr>
              <w:jc w:val="center"/>
              <w:rPr>
                <w:rFonts w:ascii="宋体" w:hAnsi="宋体" w:cs="宋体"/>
                <w:color w:val="auto"/>
                <w:kern w:val="21"/>
                <w:sz w:val="24"/>
              </w:rPr>
            </w:pPr>
            <w:r>
              <w:rPr>
                <w:rFonts w:hint="eastAsia" w:ascii="宋体" w:hAnsi="宋体" w:cs="宋体"/>
                <w:color w:val="auto"/>
                <w:kern w:val="21"/>
                <w:sz w:val="24"/>
              </w:rPr>
              <w:t>污染</w:t>
            </w:r>
          </w:p>
          <w:p w14:paraId="75228841">
            <w:pPr>
              <w:jc w:val="center"/>
              <w:rPr>
                <w:rFonts w:ascii="宋体" w:hAnsi="宋体" w:cs="宋体"/>
                <w:color w:val="auto"/>
                <w:kern w:val="21"/>
                <w:sz w:val="24"/>
              </w:rPr>
            </w:pPr>
            <w:r>
              <w:rPr>
                <w:rFonts w:hint="eastAsia" w:ascii="宋体" w:hAnsi="宋体" w:cs="宋体"/>
                <w:color w:val="auto"/>
                <w:kern w:val="21"/>
                <w:sz w:val="24"/>
              </w:rPr>
              <w:t>物排</w:t>
            </w:r>
          </w:p>
          <w:p w14:paraId="388CE4C3">
            <w:pPr>
              <w:jc w:val="center"/>
              <w:rPr>
                <w:rFonts w:ascii="宋体" w:hAnsi="宋体" w:cs="宋体"/>
                <w:color w:val="auto"/>
                <w:kern w:val="21"/>
                <w:sz w:val="24"/>
              </w:rPr>
            </w:pPr>
            <w:r>
              <w:rPr>
                <w:rFonts w:hint="eastAsia" w:ascii="宋体" w:hAnsi="宋体" w:cs="宋体"/>
                <w:color w:val="auto"/>
                <w:kern w:val="21"/>
                <w:sz w:val="24"/>
              </w:rPr>
              <w:t>放控</w:t>
            </w:r>
          </w:p>
          <w:p w14:paraId="4F55344B">
            <w:pPr>
              <w:jc w:val="center"/>
              <w:rPr>
                <w:rFonts w:ascii="宋体" w:hAnsi="宋体" w:cs="宋体"/>
                <w:color w:val="auto"/>
                <w:kern w:val="21"/>
                <w:sz w:val="24"/>
              </w:rPr>
            </w:pPr>
            <w:r>
              <w:rPr>
                <w:rFonts w:hint="eastAsia" w:ascii="宋体" w:hAnsi="宋体" w:cs="宋体"/>
                <w:color w:val="auto"/>
                <w:kern w:val="21"/>
                <w:sz w:val="24"/>
              </w:rPr>
              <w:t>制标</w:t>
            </w:r>
          </w:p>
          <w:p w14:paraId="42DBE666">
            <w:pPr>
              <w:jc w:val="center"/>
              <w:rPr>
                <w:rFonts w:ascii="宋体" w:hAnsi="宋体" w:cs="宋体"/>
                <w:color w:val="auto"/>
                <w:kern w:val="21"/>
                <w:szCs w:val="21"/>
              </w:rPr>
            </w:pPr>
            <w:r>
              <w:rPr>
                <w:rFonts w:hint="eastAsia" w:ascii="宋体" w:hAnsi="宋体" w:cs="宋体"/>
                <w:color w:val="auto"/>
                <w:kern w:val="21"/>
                <w:sz w:val="24"/>
              </w:rPr>
              <w:t>准</w:t>
            </w:r>
          </w:p>
        </w:tc>
        <w:tc>
          <w:tcPr>
            <w:tcW w:w="8608" w:type="dxa"/>
            <w:vAlign w:val="center"/>
          </w:tcPr>
          <w:p w14:paraId="63983B70">
            <w:pPr>
              <w:pStyle w:val="68"/>
              <w:ind w:firstLine="0" w:firstLineChars="0"/>
              <w:rPr>
                <w:b/>
                <w:bCs/>
                <w:color w:val="auto"/>
                <w:kern w:val="2"/>
                <w:sz w:val="24"/>
                <w:szCs w:val="24"/>
              </w:rPr>
            </w:pPr>
            <w:r>
              <w:rPr>
                <w:rFonts w:hint="eastAsia"/>
                <w:b/>
                <w:bCs/>
                <w:color w:val="auto"/>
                <w:kern w:val="2"/>
                <w:sz w:val="24"/>
                <w:szCs w:val="24"/>
              </w:rPr>
              <w:t>3.3污染物排放标准</w:t>
            </w:r>
          </w:p>
          <w:p w14:paraId="5DA2B830">
            <w:pPr>
              <w:spacing w:line="360" w:lineRule="auto"/>
              <w:ind w:firstLine="480" w:firstLineChars="200"/>
              <w:jc w:val="left"/>
              <w:rPr>
                <w:color w:val="auto"/>
                <w:sz w:val="24"/>
              </w:rPr>
            </w:pPr>
            <w:r>
              <w:rPr>
                <w:color w:val="auto"/>
                <w:sz w:val="24"/>
                <w:shd w:val="clear" w:fill="FFFFFF"/>
              </w:rPr>
              <w:t>(</w:t>
            </w:r>
            <w:r>
              <w:rPr>
                <w:rFonts w:hint="eastAsia"/>
                <w:color w:val="auto"/>
                <w:sz w:val="24"/>
              </w:rPr>
              <w:t>1</w:t>
            </w:r>
            <w:r>
              <w:rPr>
                <w:color w:val="auto"/>
                <w:sz w:val="24"/>
                <w:shd w:val="clear" w:fill="FFFFFF"/>
              </w:rPr>
              <w:t>)</w:t>
            </w:r>
            <w:r>
              <w:rPr>
                <w:rFonts w:hint="eastAsia"/>
                <w:color w:val="auto"/>
                <w:sz w:val="24"/>
              </w:rPr>
              <w:t>水污染物排放标准</w:t>
            </w:r>
          </w:p>
          <w:p w14:paraId="30C864F8">
            <w:pPr>
              <w:spacing w:line="360" w:lineRule="auto"/>
              <w:ind w:firstLine="480" w:firstLineChars="200"/>
              <w:jc w:val="left"/>
              <w:rPr>
                <w:color w:val="auto"/>
                <w:sz w:val="24"/>
              </w:rPr>
            </w:pPr>
            <w:r>
              <w:rPr>
                <w:color w:val="auto"/>
                <w:sz w:val="24"/>
              </w:rPr>
              <w:fldChar w:fldCharType="begin"/>
            </w:r>
            <w:r>
              <w:rPr>
                <w:color w:val="auto"/>
                <w:sz w:val="24"/>
              </w:rPr>
              <w:instrText xml:space="preserve"> = 1 \* GB3 \* MERGEFORMAT </w:instrText>
            </w:r>
            <w:r>
              <w:rPr>
                <w:color w:val="auto"/>
                <w:sz w:val="24"/>
              </w:rPr>
              <w:fldChar w:fldCharType="separate"/>
            </w:r>
            <w:r>
              <w:rPr>
                <w:color w:val="auto"/>
                <w:sz w:val="24"/>
              </w:rPr>
              <w:t>①</w:t>
            </w:r>
            <w:r>
              <w:rPr>
                <w:color w:val="auto"/>
                <w:sz w:val="24"/>
              </w:rPr>
              <w:fldChar w:fldCharType="end"/>
            </w:r>
            <w:r>
              <w:rPr>
                <w:rFonts w:hint="eastAsia"/>
                <w:color w:val="auto"/>
                <w:sz w:val="24"/>
              </w:rPr>
              <w:t>项目</w:t>
            </w:r>
            <w:r>
              <w:rPr>
                <w:color w:val="auto"/>
                <w:sz w:val="24"/>
              </w:rPr>
              <w:t>水污染物排放标准</w:t>
            </w:r>
          </w:p>
          <w:p w14:paraId="32442638">
            <w:pPr>
              <w:spacing w:line="360" w:lineRule="auto"/>
              <w:ind w:firstLine="480" w:firstLineChars="200"/>
              <w:rPr>
                <w:color w:val="auto"/>
                <w:sz w:val="24"/>
                <w:szCs w:val="22"/>
              </w:rPr>
            </w:pPr>
            <w:r>
              <w:rPr>
                <w:color w:val="auto"/>
                <w:sz w:val="24"/>
                <w:szCs w:val="22"/>
              </w:rPr>
              <w:t>项目无其他生产废水，只有少量的职工生活污水</w:t>
            </w:r>
            <w:r>
              <w:rPr>
                <w:rFonts w:hint="eastAsia"/>
                <w:color w:val="auto"/>
                <w:sz w:val="24"/>
                <w:szCs w:val="22"/>
              </w:rPr>
              <w:t>，</w:t>
            </w:r>
            <w:r>
              <w:rPr>
                <w:color w:val="auto"/>
                <w:sz w:val="24"/>
                <w:szCs w:val="22"/>
              </w:rPr>
              <w:t>参照生态环境部部长信箱2019年3月21日关于行业标准中生活污水执行问题的回复：若项目生活与生产废水完全隔绝，且采取了有效措施防止二者混排等风险，这类生活污水可按一般生活污水管理”，</w:t>
            </w:r>
            <w:r>
              <w:rPr>
                <w:rFonts w:hint="eastAsia"/>
                <w:color w:val="auto"/>
                <w:sz w:val="24"/>
                <w:szCs w:val="22"/>
                <w:lang w:eastAsia="zh-CN"/>
              </w:rPr>
              <w:t>迁建项目</w:t>
            </w:r>
            <w:r>
              <w:rPr>
                <w:color w:val="auto"/>
                <w:sz w:val="24"/>
                <w:szCs w:val="22"/>
              </w:rPr>
              <w:t>无生产废水排放，因此，可不执行行业水污染物排放标准。</w:t>
            </w:r>
          </w:p>
          <w:p w14:paraId="64080E2F">
            <w:pPr>
              <w:spacing w:line="360" w:lineRule="auto"/>
              <w:ind w:firstLine="480" w:firstLineChars="200"/>
              <w:jc w:val="left"/>
              <w:rPr>
                <w:color w:val="auto"/>
                <w:sz w:val="24"/>
                <w:szCs w:val="22"/>
              </w:rPr>
            </w:pPr>
            <w:r>
              <w:rPr>
                <w:rFonts w:hint="eastAsia"/>
                <w:color w:val="auto"/>
                <w:sz w:val="24"/>
                <w:szCs w:val="22"/>
                <w:lang w:eastAsia="zh-CN"/>
              </w:rPr>
              <w:t>迁建项目</w:t>
            </w:r>
            <w:r>
              <w:rPr>
                <w:color w:val="auto"/>
                <w:sz w:val="24"/>
                <w:szCs w:val="22"/>
              </w:rPr>
              <w:t>产生的生活污水</w:t>
            </w:r>
            <w:r>
              <w:rPr>
                <w:rFonts w:hint="eastAsia"/>
                <w:color w:val="auto"/>
                <w:sz w:val="24"/>
                <w:szCs w:val="22"/>
              </w:rPr>
              <w:t>经厂区内化粪池处理后</w:t>
            </w:r>
            <w:r>
              <w:rPr>
                <w:color w:val="auto"/>
                <w:sz w:val="24"/>
              </w:rPr>
              <w:t>接入市政污水管网</w:t>
            </w:r>
            <w:r>
              <w:rPr>
                <w:rFonts w:hint="eastAsia"/>
                <w:color w:val="auto"/>
                <w:sz w:val="24"/>
              </w:rPr>
              <w:t>进入</w:t>
            </w:r>
            <w:r>
              <w:rPr>
                <w:rFonts w:hint="eastAsia"/>
                <w:color w:val="auto"/>
                <w:sz w:val="24"/>
                <w:lang w:eastAsia="zh-CN"/>
              </w:rPr>
              <w:t>江阴污水处理厂</w:t>
            </w:r>
            <w:r>
              <w:rPr>
                <w:rFonts w:hint="eastAsia"/>
                <w:color w:val="auto"/>
                <w:sz w:val="24"/>
              </w:rPr>
              <w:t>处理，</w:t>
            </w:r>
            <w:r>
              <w:rPr>
                <w:color w:val="auto"/>
                <w:sz w:val="24"/>
                <w:szCs w:val="20"/>
              </w:rPr>
              <w:t>处理后</w:t>
            </w:r>
            <w:r>
              <w:rPr>
                <w:rFonts w:hint="eastAsia"/>
                <w:color w:val="auto"/>
                <w:sz w:val="24"/>
                <w:szCs w:val="20"/>
                <w:lang w:eastAsia="zh-CN"/>
              </w:rPr>
              <w:t>污水处理厂</w:t>
            </w:r>
            <w:r>
              <w:rPr>
                <w:color w:val="auto"/>
                <w:sz w:val="24"/>
                <w:szCs w:val="20"/>
              </w:rPr>
              <w:t>尾水最终排入兴化湾深海。</w:t>
            </w:r>
            <w:r>
              <w:rPr>
                <w:color w:val="auto"/>
                <w:sz w:val="24"/>
              </w:rPr>
              <w:t>项目生活污水排放执行《污水综合排放标准》(GB8978-1996</w:t>
            </w:r>
            <w:r>
              <w:rPr>
                <w:color w:val="auto"/>
                <w:sz w:val="24"/>
                <w:shd w:val="clear" w:fill="FFFFFF"/>
              </w:rPr>
              <w:t>)</w:t>
            </w:r>
            <w:r>
              <w:rPr>
                <w:color w:val="auto"/>
                <w:sz w:val="24"/>
              </w:rPr>
              <w:t>表4三级标准</w:t>
            </w:r>
            <w:r>
              <w:rPr>
                <w:color w:val="auto"/>
                <w:sz w:val="24"/>
                <w:shd w:val="clear" w:fill="FFFFFF"/>
              </w:rPr>
              <w:t>(</w:t>
            </w:r>
            <w:r>
              <w:rPr>
                <w:color w:val="auto"/>
                <w:sz w:val="24"/>
              </w:rPr>
              <w:t>其中氨氮参照执行《污水排入城镇下水道水质标准》</w:t>
            </w:r>
            <w:r>
              <w:rPr>
                <w:color w:val="auto"/>
                <w:sz w:val="24"/>
                <w:shd w:val="clear" w:fill="FFFFFF"/>
              </w:rPr>
              <w:t>(</w:t>
            </w:r>
            <w:r>
              <w:rPr>
                <w:color w:val="auto"/>
                <w:sz w:val="24"/>
              </w:rPr>
              <w:t>GB/T31962-2015</w:t>
            </w:r>
            <w:r>
              <w:rPr>
                <w:color w:val="auto"/>
                <w:sz w:val="24"/>
                <w:shd w:val="clear" w:fill="FFFFFF"/>
              </w:rPr>
              <w:t>)</w:t>
            </w:r>
            <w:r>
              <w:rPr>
                <w:color w:val="auto"/>
                <w:sz w:val="24"/>
              </w:rPr>
              <w:t>表1中B级标准限值</w:t>
            </w:r>
            <w:r>
              <w:rPr>
                <w:color w:val="auto"/>
                <w:sz w:val="24"/>
                <w:shd w:val="clear" w:fill="FFFFFF"/>
              </w:rPr>
              <w:t>)</w:t>
            </w:r>
            <w:r>
              <w:rPr>
                <w:color w:val="auto"/>
                <w:sz w:val="24"/>
              </w:rPr>
              <w:t>，</w:t>
            </w:r>
            <w:r>
              <w:rPr>
                <w:color w:val="auto"/>
                <w:sz w:val="24"/>
                <w:szCs w:val="22"/>
              </w:rPr>
              <w:t>具体详见表3.3-1。</w:t>
            </w:r>
          </w:p>
          <w:p w14:paraId="395ECD3F">
            <w:pPr>
              <w:jc w:val="center"/>
              <w:rPr>
                <w:b/>
                <w:bCs/>
                <w:color w:val="auto"/>
                <w:sz w:val="24"/>
              </w:rPr>
            </w:pPr>
            <w:r>
              <w:rPr>
                <w:b/>
                <w:bCs/>
                <w:color w:val="auto"/>
                <w:sz w:val="24"/>
              </w:rPr>
              <w:t>表3.</w:t>
            </w:r>
            <w:r>
              <w:rPr>
                <w:rFonts w:hint="eastAsia"/>
                <w:b/>
                <w:bCs/>
                <w:color w:val="auto"/>
                <w:sz w:val="24"/>
              </w:rPr>
              <w:t>3-</w:t>
            </w:r>
            <w:r>
              <w:rPr>
                <w:b/>
                <w:bCs/>
                <w:color w:val="auto"/>
                <w:sz w:val="24"/>
              </w:rPr>
              <w:t>1  项目</w:t>
            </w:r>
            <w:r>
              <w:rPr>
                <w:rFonts w:hint="eastAsia"/>
                <w:b/>
                <w:bCs/>
                <w:color w:val="auto"/>
                <w:sz w:val="24"/>
              </w:rPr>
              <w:t>生活污水</w:t>
            </w:r>
            <w:r>
              <w:rPr>
                <w:b/>
                <w:bCs/>
                <w:color w:val="auto"/>
                <w:sz w:val="24"/>
              </w:rPr>
              <w:t>执行的污水排放标准</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2370"/>
              <w:gridCol w:w="4471"/>
            </w:tblGrid>
            <w:tr w14:paraId="3F18C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300D7E40">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污染物名称</w:t>
                  </w:r>
                </w:p>
              </w:tc>
              <w:tc>
                <w:tcPr>
                  <w:tcW w:w="2370" w:type="dxa"/>
                  <w:vAlign w:val="center"/>
                </w:tcPr>
                <w:p w14:paraId="557B0CDA">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标准值</w:t>
                  </w:r>
                </w:p>
              </w:tc>
              <w:tc>
                <w:tcPr>
                  <w:tcW w:w="4471" w:type="dxa"/>
                  <w:vAlign w:val="center"/>
                </w:tcPr>
                <w:p w14:paraId="7F171F80">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标准来源</w:t>
                  </w:r>
                </w:p>
              </w:tc>
            </w:tr>
            <w:tr w14:paraId="08D6C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28978152">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pH</w:t>
                  </w:r>
                </w:p>
              </w:tc>
              <w:tc>
                <w:tcPr>
                  <w:tcW w:w="2370" w:type="dxa"/>
                  <w:vAlign w:val="center"/>
                </w:tcPr>
                <w:p w14:paraId="4ECAE657">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6～9</w:t>
                  </w:r>
                  <w:r>
                    <w:rPr>
                      <w:snapToGrid w:val="0"/>
                      <w:color w:val="auto"/>
                      <w:kern w:val="18"/>
                      <w:szCs w:val="21"/>
                      <w:shd w:val="clear" w:fill="FFFFFF"/>
                    </w:rPr>
                    <w:t>(</w:t>
                  </w:r>
                  <w:r>
                    <w:rPr>
                      <w:snapToGrid w:val="0"/>
                      <w:color w:val="auto"/>
                      <w:kern w:val="18"/>
                      <w:szCs w:val="21"/>
                    </w:rPr>
                    <w:t>无量纲</w:t>
                  </w:r>
                  <w:r>
                    <w:rPr>
                      <w:snapToGrid w:val="0"/>
                      <w:color w:val="auto"/>
                      <w:kern w:val="18"/>
                      <w:szCs w:val="21"/>
                      <w:shd w:val="clear" w:fill="FFFFFF"/>
                    </w:rPr>
                    <w:t>)</w:t>
                  </w:r>
                </w:p>
              </w:tc>
              <w:tc>
                <w:tcPr>
                  <w:tcW w:w="4471" w:type="dxa"/>
                  <w:vMerge w:val="restart"/>
                  <w:vAlign w:val="center"/>
                </w:tcPr>
                <w:p w14:paraId="01C786A4">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《污水综合排放标准》(GB8978-1996)</w:t>
                  </w:r>
                </w:p>
                <w:p w14:paraId="5B6EF94D">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中表4三级标准</w:t>
                  </w:r>
                </w:p>
              </w:tc>
            </w:tr>
            <w:tr w14:paraId="7143E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6BF178DE">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COD</w:t>
                  </w:r>
                </w:p>
              </w:tc>
              <w:tc>
                <w:tcPr>
                  <w:tcW w:w="2370" w:type="dxa"/>
                  <w:vAlign w:val="center"/>
                </w:tcPr>
                <w:p w14:paraId="1C056986">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500mg/L</w:t>
                  </w:r>
                </w:p>
              </w:tc>
              <w:tc>
                <w:tcPr>
                  <w:tcW w:w="4471" w:type="dxa"/>
                  <w:vMerge w:val="continue"/>
                  <w:vAlign w:val="center"/>
                </w:tcPr>
                <w:p w14:paraId="2CAE4B89">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p>
              </w:tc>
            </w:tr>
            <w:tr w14:paraId="11A04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240830DA">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BOD</w:t>
                  </w:r>
                  <w:r>
                    <w:rPr>
                      <w:snapToGrid w:val="0"/>
                      <w:color w:val="auto"/>
                      <w:kern w:val="18"/>
                      <w:szCs w:val="21"/>
                      <w:vertAlign w:val="subscript"/>
                    </w:rPr>
                    <w:t>5</w:t>
                  </w:r>
                </w:p>
              </w:tc>
              <w:tc>
                <w:tcPr>
                  <w:tcW w:w="2370" w:type="dxa"/>
                  <w:vAlign w:val="center"/>
                </w:tcPr>
                <w:p w14:paraId="04F702BE">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300mg/L</w:t>
                  </w:r>
                </w:p>
              </w:tc>
              <w:tc>
                <w:tcPr>
                  <w:tcW w:w="4471" w:type="dxa"/>
                  <w:vMerge w:val="continue"/>
                  <w:vAlign w:val="center"/>
                </w:tcPr>
                <w:p w14:paraId="5A8762A4">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p>
              </w:tc>
            </w:tr>
            <w:tr w14:paraId="34D36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46437873">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SS</w:t>
                  </w:r>
                </w:p>
              </w:tc>
              <w:tc>
                <w:tcPr>
                  <w:tcW w:w="2370" w:type="dxa"/>
                  <w:vAlign w:val="center"/>
                </w:tcPr>
                <w:p w14:paraId="4E49AFB2">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400mg/L</w:t>
                  </w:r>
                </w:p>
              </w:tc>
              <w:tc>
                <w:tcPr>
                  <w:tcW w:w="4471" w:type="dxa"/>
                  <w:vMerge w:val="continue"/>
                  <w:vAlign w:val="center"/>
                </w:tcPr>
                <w:p w14:paraId="118F57EA">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p>
              </w:tc>
            </w:tr>
            <w:tr w14:paraId="699A3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3D4F0696">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NH</w:t>
                  </w:r>
                  <w:r>
                    <w:rPr>
                      <w:snapToGrid w:val="0"/>
                      <w:color w:val="auto"/>
                      <w:kern w:val="18"/>
                      <w:szCs w:val="21"/>
                      <w:vertAlign w:val="subscript"/>
                    </w:rPr>
                    <w:t>3</w:t>
                  </w:r>
                  <w:r>
                    <w:rPr>
                      <w:snapToGrid w:val="0"/>
                      <w:color w:val="auto"/>
                      <w:kern w:val="18"/>
                      <w:szCs w:val="21"/>
                    </w:rPr>
                    <w:t>-N</w:t>
                  </w:r>
                </w:p>
              </w:tc>
              <w:tc>
                <w:tcPr>
                  <w:tcW w:w="2370" w:type="dxa"/>
                  <w:vAlign w:val="center"/>
                </w:tcPr>
                <w:p w14:paraId="5BF42BBD">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45mg/L</w:t>
                  </w:r>
                </w:p>
              </w:tc>
              <w:tc>
                <w:tcPr>
                  <w:tcW w:w="4471" w:type="dxa"/>
                  <w:vAlign w:val="center"/>
                </w:tcPr>
                <w:p w14:paraId="6DCC2A85">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szCs w:val="21"/>
                    </w:rPr>
                  </w:pPr>
                  <w:r>
                    <w:rPr>
                      <w:snapToGrid w:val="0"/>
                      <w:color w:val="auto"/>
                      <w:kern w:val="18"/>
                      <w:szCs w:val="21"/>
                    </w:rPr>
                    <w:t>参照执行《污水排入城镇下水道水质标准》(GB/T31962-2015</w:t>
                  </w:r>
                  <w:r>
                    <w:rPr>
                      <w:snapToGrid w:val="0"/>
                      <w:color w:val="auto"/>
                      <w:kern w:val="18"/>
                      <w:szCs w:val="21"/>
                      <w:shd w:val="clear" w:fill="FFFFFF"/>
                    </w:rPr>
                    <w:t>)</w:t>
                  </w:r>
                  <w:r>
                    <w:rPr>
                      <w:snapToGrid w:val="0"/>
                      <w:color w:val="auto"/>
                      <w:kern w:val="18"/>
                      <w:szCs w:val="21"/>
                    </w:rPr>
                    <w:t>表1中B级标准</w:t>
                  </w:r>
                </w:p>
              </w:tc>
            </w:tr>
          </w:tbl>
          <w:p w14:paraId="401BB0A8">
            <w:pPr>
              <w:numPr>
                <w:ins w:id="0" w:author="fu qiang" w:date="2018-03-27T11:06:00Z"/>
              </w:numPr>
              <w:spacing w:beforeLines="50" w:line="360" w:lineRule="auto"/>
              <w:ind w:firstLine="480" w:firstLineChars="200"/>
              <w:rPr>
                <w:color w:val="auto"/>
                <w:sz w:val="24"/>
                <w:shd w:val="clear" w:color="auto" w:fill="FFFFFF"/>
              </w:rPr>
            </w:pPr>
            <w:bookmarkStart w:id="92" w:name="_Toc492278611"/>
            <w:bookmarkStart w:id="93" w:name="_Toc490031198"/>
            <w:bookmarkStart w:id="94" w:name="_Toc461002554"/>
            <w:bookmarkStart w:id="95" w:name="_Toc7698"/>
            <w:bookmarkStart w:id="96" w:name="_Toc31355_WPSOffice_Level2"/>
            <w:r>
              <w:rPr>
                <w:color w:val="auto"/>
                <w:sz w:val="24"/>
              </w:rPr>
              <w:fldChar w:fldCharType="begin"/>
            </w:r>
            <w:r>
              <w:rPr>
                <w:color w:val="auto"/>
                <w:sz w:val="24"/>
              </w:rPr>
              <w:instrText xml:space="preserve"> = 2 \* GB3 \* MERGEFORMAT </w:instrText>
            </w:r>
            <w:r>
              <w:rPr>
                <w:color w:val="auto"/>
                <w:sz w:val="24"/>
              </w:rPr>
              <w:fldChar w:fldCharType="separate"/>
            </w:r>
            <w:r>
              <w:rPr>
                <w:color w:val="auto"/>
                <w:sz w:val="24"/>
              </w:rPr>
              <w:t>②</w:t>
            </w:r>
            <w:r>
              <w:rPr>
                <w:rFonts w:hint="eastAsia"/>
                <w:color w:val="auto"/>
                <w:sz w:val="24"/>
                <w:lang w:eastAsia="zh-CN"/>
              </w:rPr>
              <w:t>污水处理厂</w:t>
            </w:r>
            <w:r>
              <w:rPr>
                <w:color w:val="auto"/>
                <w:sz w:val="24"/>
              </w:rPr>
              <w:fldChar w:fldCharType="end"/>
            </w:r>
            <w:r>
              <w:rPr>
                <w:color w:val="auto"/>
                <w:sz w:val="24"/>
                <w:shd w:val="clear" w:color="auto" w:fill="FFFFFF"/>
              </w:rPr>
              <w:t>排放标准</w:t>
            </w:r>
          </w:p>
          <w:bookmarkEnd w:id="92"/>
          <w:bookmarkEnd w:id="93"/>
          <w:bookmarkEnd w:id="94"/>
          <w:bookmarkEnd w:id="95"/>
          <w:p w14:paraId="2A035F5A">
            <w:pPr>
              <w:spacing w:line="360" w:lineRule="auto"/>
              <w:ind w:firstLine="480" w:firstLineChars="200"/>
              <w:rPr>
                <w:color w:val="auto"/>
                <w:sz w:val="24"/>
              </w:rPr>
            </w:pPr>
            <w:r>
              <w:rPr>
                <w:color w:val="auto"/>
                <w:sz w:val="24"/>
              </w:rPr>
              <w:t>根据调查，</w:t>
            </w:r>
            <w:r>
              <w:rPr>
                <w:rFonts w:hint="eastAsia"/>
                <w:color w:val="auto"/>
                <w:sz w:val="24"/>
                <w:lang w:eastAsia="zh-CN"/>
              </w:rPr>
              <w:t>江阴污水处理厂</w:t>
            </w:r>
            <w:r>
              <w:rPr>
                <w:color w:val="auto"/>
                <w:sz w:val="24"/>
              </w:rPr>
              <w:t>尾水排放执行《城镇污水处理厂污染物排放标准》(GB18918-2002</w:t>
            </w:r>
            <w:r>
              <w:rPr>
                <w:color w:val="auto"/>
                <w:sz w:val="24"/>
                <w:shd w:val="clear" w:fill="FFFFFF"/>
              </w:rPr>
              <w:t>)</w:t>
            </w:r>
            <w:r>
              <w:rPr>
                <w:color w:val="auto"/>
                <w:sz w:val="24"/>
              </w:rPr>
              <w:t>及其修改单表1的一级标准A标准，</w:t>
            </w:r>
            <w:r>
              <w:rPr>
                <w:rFonts w:hint="eastAsia"/>
                <w:color w:val="auto"/>
                <w:sz w:val="24"/>
              </w:rPr>
              <w:t>尾水达标后排入</w:t>
            </w:r>
            <w:r>
              <w:rPr>
                <w:color w:val="auto"/>
                <w:sz w:val="24"/>
                <w:szCs w:val="20"/>
              </w:rPr>
              <w:t>兴化湾深海</w:t>
            </w:r>
            <w:r>
              <w:rPr>
                <w:rFonts w:hint="eastAsia"/>
                <w:color w:val="auto"/>
                <w:sz w:val="24"/>
              </w:rPr>
              <w:t>。</w:t>
            </w:r>
            <w:r>
              <w:rPr>
                <w:color w:val="auto"/>
                <w:sz w:val="24"/>
              </w:rPr>
              <w:t>具体详见表</w:t>
            </w:r>
            <w:r>
              <w:rPr>
                <w:rFonts w:hint="eastAsia"/>
                <w:color w:val="auto"/>
                <w:sz w:val="24"/>
              </w:rPr>
              <w:t>3.3-2</w:t>
            </w:r>
            <w:r>
              <w:rPr>
                <w:color w:val="auto"/>
                <w:sz w:val="24"/>
              </w:rPr>
              <w:t>。</w:t>
            </w:r>
          </w:p>
          <w:p w14:paraId="145496E7">
            <w:pPr>
              <w:jc w:val="center"/>
              <w:rPr>
                <w:b/>
                <w:bCs/>
                <w:color w:val="auto"/>
                <w:sz w:val="24"/>
              </w:rPr>
            </w:pPr>
            <w:r>
              <w:rPr>
                <w:rFonts w:hint="eastAsia"/>
                <w:b/>
                <w:bCs/>
                <w:color w:val="auto"/>
                <w:sz w:val="24"/>
              </w:rPr>
              <w:t xml:space="preserve">表3.3-2  </w:t>
            </w:r>
            <w:r>
              <w:rPr>
                <w:b/>
                <w:bCs/>
                <w:color w:val="auto"/>
                <w:sz w:val="24"/>
              </w:rPr>
              <w:t>污水处理厂污水排放标准</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2430"/>
              <w:gridCol w:w="4786"/>
            </w:tblGrid>
            <w:tr w14:paraId="176DA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88" w:type="dxa"/>
                  <w:vAlign w:val="center"/>
                </w:tcPr>
                <w:p w14:paraId="2AC9DEA5">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污染物名称</w:t>
                  </w:r>
                </w:p>
              </w:tc>
              <w:tc>
                <w:tcPr>
                  <w:tcW w:w="2430" w:type="dxa"/>
                  <w:vAlign w:val="center"/>
                </w:tcPr>
                <w:p w14:paraId="4545D2C4">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一级标准A标准限值</w:t>
                  </w:r>
                </w:p>
              </w:tc>
              <w:tc>
                <w:tcPr>
                  <w:tcW w:w="4786" w:type="dxa"/>
                  <w:vAlign w:val="center"/>
                </w:tcPr>
                <w:p w14:paraId="122E7E0C">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标准来源</w:t>
                  </w:r>
                </w:p>
              </w:tc>
            </w:tr>
            <w:tr w14:paraId="621C3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88" w:type="dxa"/>
                  <w:vAlign w:val="center"/>
                </w:tcPr>
                <w:p w14:paraId="14C36363">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pH</w:t>
                  </w:r>
                </w:p>
              </w:tc>
              <w:tc>
                <w:tcPr>
                  <w:tcW w:w="2430" w:type="dxa"/>
                  <w:vAlign w:val="center"/>
                </w:tcPr>
                <w:p w14:paraId="609EFEC2">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 xml:space="preserve">6～9 </w:t>
                  </w:r>
                  <w:r>
                    <w:rPr>
                      <w:snapToGrid w:val="0"/>
                      <w:color w:val="auto"/>
                      <w:kern w:val="18"/>
                      <w:shd w:val="clear" w:fill="FFFFFF"/>
                    </w:rPr>
                    <w:t>(</w:t>
                  </w:r>
                  <w:r>
                    <w:rPr>
                      <w:snapToGrid w:val="0"/>
                      <w:color w:val="auto"/>
                      <w:kern w:val="18"/>
                    </w:rPr>
                    <w:t>无量纲</w:t>
                  </w:r>
                  <w:r>
                    <w:rPr>
                      <w:snapToGrid w:val="0"/>
                      <w:color w:val="auto"/>
                      <w:kern w:val="18"/>
                      <w:shd w:val="clear" w:fill="FFFFFF"/>
                    </w:rPr>
                    <w:t>)</w:t>
                  </w:r>
                </w:p>
              </w:tc>
              <w:tc>
                <w:tcPr>
                  <w:tcW w:w="4786" w:type="dxa"/>
                  <w:vMerge w:val="restart"/>
                  <w:vAlign w:val="center"/>
                </w:tcPr>
                <w:p w14:paraId="47881EE7">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《城镇污水处理厂污染物排放标准》(GB18918-2002</w:t>
                  </w:r>
                  <w:r>
                    <w:rPr>
                      <w:snapToGrid w:val="0"/>
                      <w:color w:val="auto"/>
                      <w:kern w:val="18"/>
                      <w:shd w:val="clear" w:fill="FFFFFF"/>
                    </w:rPr>
                    <w:t>)</w:t>
                  </w:r>
                  <w:r>
                    <w:rPr>
                      <w:snapToGrid w:val="0"/>
                      <w:color w:val="auto"/>
                      <w:kern w:val="18"/>
                    </w:rPr>
                    <w:t>及其修改单表1的一级标准A标准</w:t>
                  </w:r>
                </w:p>
              </w:tc>
            </w:tr>
            <w:tr w14:paraId="334CA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88" w:type="dxa"/>
                  <w:vAlign w:val="center"/>
                </w:tcPr>
                <w:p w14:paraId="21AD305E">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COD</w:t>
                  </w:r>
                </w:p>
              </w:tc>
              <w:tc>
                <w:tcPr>
                  <w:tcW w:w="2430" w:type="dxa"/>
                  <w:vAlign w:val="center"/>
                </w:tcPr>
                <w:p w14:paraId="13F03F2A">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50mg/L</w:t>
                  </w:r>
                </w:p>
              </w:tc>
              <w:tc>
                <w:tcPr>
                  <w:tcW w:w="4786" w:type="dxa"/>
                  <w:vMerge w:val="continue"/>
                  <w:vAlign w:val="center"/>
                </w:tcPr>
                <w:p w14:paraId="799DC4CC">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p>
              </w:tc>
            </w:tr>
            <w:tr w14:paraId="0CC3E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88" w:type="dxa"/>
                  <w:vAlign w:val="center"/>
                </w:tcPr>
                <w:p w14:paraId="2EDBB6AE">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BOD</w:t>
                  </w:r>
                  <w:r>
                    <w:rPr>
                      <w:snapToGrid w:val="0"/>
                      <w:color w:val="auto"/>
                      <w:kern w:val="18"/>
                      <w:vertAlign w:val="subscript"/>
                    </w:rPr>
                    <w:t>5</w:t>
                  </w:r>
                </w:p>
              </w:tc>
              <w:tc>
                <w:tcPr>
                  <w:tcW w:w="2430" w:type="dxa"/>
                  <w:vAlign w:val="center"/>
                </w:tcPr>
                <w:p w14:paraId="4FE89E9F">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10mg/L</w:t>
                  </w:r>
                </w:p>
              </w:tc>
              <w:tc>
                <w:tcPr>
                  <w:tcW w:w="4786" w:type="dxa"/>
                  <w:vMerge w:val="continue"/>
                  <w:vAlign w:val="center"/>
                </w:tcPr>
                <w:p w14:paraId="30628047">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p>
              </w:tc>
            </w:tr>
            <w:tr w14:paraId="15D92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88" w:type="dxa"/>
                  <w:vAlign w:val="center"/>
                </w:tcPr>
                <w:p w14:paraId="4041EFB3">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SS</w:t>
                  </w:r>
                </w:p>
              </w:tc>
              <w:tc>
                <w:tcPr>
                  <w:tcW w:w="2430" w:type="dxa"/>
                  <w:vAlign w:val="center"/>
                </w:tcPr>
                <w:p w14:paraId="7784260A">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10mg/L</w:t>
                  </w:r>
                </w:p>
              </w:tc>
              <w:tc>
                <w:tcPr>
                  <w:tcW w:w="4786" w:type="dxa"/>
                  <w:vMerge w:val="continue"/>
                  <w:vAlign w:val="center"/>
                </w:tcPr>
                <w:p w14:paraId="4A1D2765">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p>
              </w:tc>
            </w:tr>
            <w:tr w14:paraId="13A71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88" w:type="dxa"/>
                  <w:vAlign w:val="center"/>
                </w:tcPr>
                <w:p w14:paraId="33A98FEA">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NH</w:t>
                  </w:r>
                  <w:r>
                    <w:rPr>
                      <w:snapToGrid w:val="0"/>
                      <w:color w:val="auto"/>
                      <w:kern w:val="18"/>
                      <w:vertAlign w:val="subscript"/>
                    </w:rPr>
                    <w:t>3</w:t>
                  </w:r>
                  <w:r>
                    <w:rPr>
                      <w:snapToGrid w:val="0"/>
                      <w:color w:val="auto"/>
                      <w:kern w:val="18"/>
                    </w:rPr>
                    <w:t>-N</w:t>
                  </w:r>
                </w:p>
              </w:tc>
              <w:tc>
                <w:tcPr>
                  <w:tcW w:w="2430" w:type="dxa"/>
                  <w:vAlign w:val="center"/>
                </w:tcPr>
                <w:p w14:paraId="5641F148">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r>
                    <w:rPr>
                      <w:snapToGrid w:val="0"/>
                      <w:color w:val="auto"/>
                      <w:kern w:val="18"/>
                    </w:rPr>
                    <w:t>5</w:t>
                  </w:r>
                  <w:r>
                    <w:rPr>
                      <w:rFonts w:hint="eastAsia"/>
                      <w:snapToGrid w:val="0"/>
                      <w:color w:val="auto"/>
                      <w:kern w:val="18"/>
                      <w:lang w:eastAsia="zh-CN"/>
                    </w:rPr>
                    <w:t>(</w:t>
                  </w:r>
                  <w:r>
                    <w:rPr>
                      <w:rFonts w:hint="eastAsia"/>
                      <w:snapToGrid w:val="0"/>
                      <w:color w:val="auto"/>
                      <w:kern w:val="18"/>
                    </w:rPr>
                    <w:t>8</w:t>
                  </w:r>
                  <w:r>
                    <w:rPr>
                      <w:rFonts w:hint="eastAsia"/>
                      <w:snapToGrid w:val="0"/>
                      <w:color w:val="auto"/>
                      <w:kern w:val="18"/>
                      <w:lang w:eastAsia="zh-CN"/>
                    </w:rPr>
                    <w:t>)</w:t>
                  </w:r>
                  <w:r>
                    <w:rPr>
                      <w:snapToGrid w:val="0"/>
                      <w:color w:val="auto"/>
                      <w:kern w:val="18"/>
                    </w:rPr>
                    <w:t>mg/L</w:t>
                  </w:r>
                </w:p>
              </w:tc>
              <w:tc>
                <w:tcPr>
                  <w:tcW w:w="4786" w:type="dxa"/>
                  <w:vMerge w:val="continue"/>
                  <w:vAlign w:val="center"/>
                </w:tcPr>
                <w:p w14:paraId="664E94A5">
                  <w:pPr>
                    <w:pStyle w:val="87"/>
                    <w:keepNext w:val="0"/>
                    <w:keepLines w:val="0"/>
                    <w:pageBreakBefore w:val="0"/>
                    <w:widowControl w:val="0"/>
                    <w:kinsoku/>
                    <w:wordWrap/>
                    <w:overflowPunct/>
                    <w:topLinePunct w:val="0"/>
                    <w:autoSpaceDE/>
                    <w:autoSpaceDN/>
                    <w:bidi w:val="0"/>
                    <w:adjustRightInd w:val="0"/>
                    <w:snapToGrid w:val="0"/>
                    <w:spacing w:line="340" w:lineRule="exact"/>
                    <w:textAlignment w:val="auto"/>
                    <w:rPr>
                      <w:snapToGrid w:val="0"/>
                      <w:color w:val="auto"/>
                      <w:kern w:val="18"/>
                    </w:rPr>
                  </w:pPr>
                </w:p>
              </w:tc>
            </w:tr>
            <w:tr w14:paraId="4A823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04" w:type="dxa"/>
                  <w:gridSpan w:val="3"/>
                  <w:vAlign w:val="center"/>
                </w:tcPr>
                <w:p w14:paraId="16A0F794">
                  <w:pPr>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szCs w:val="21"/>
                    </w:rPr>
                  </w:pPr>
                  <w:r>
                    <w:rPr>
                      <w:color w:val="auto"/>
                      <w:szCs w:val="21"/>
                    </w:rPr>
                    <w:t>注：括号外数值为水温&gt;12℃时的控制指标，括号内数值为水温≤12℃时的控制指标。</w:t>
                  </w:r>
                </w:p>
                <w:p w14:paraId="53E1D494">
                  <w:pPr>
                    <w:pStyle w:val="87"/>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snapToGrid w:val="0"/>
                      <w:color w:val="auto"/>
                      <w:kern w:val="18"/>
                    </w:rPr>
                  </w:pPr>
                </w:p>
              </w:tc>
            </w:tr>
          </w:tbl>
          <w:p w14:paraId="00A7F17D">
            <w:pPr>
              <w:spacing w:line="360" w:lineRule="auto"/>
              <w:ind w:firstLine="480" w:firstLineChars="200"/>
              <w:jc w:val="left"/>
              <w:rPr>
                <w:color w:val="auto"/>
                <w:sz w:val="24"/>
              </w:rPr>
            </w:pPr>
            <w:r>
              <w:rPr>
                <w:color w:val="auto"/>
                <w:sz w:val="24"/>
              </w:rPr>
              <w:t>(</w:t>
            </w:r>
            <w:r>
              <w:rPr>
                <w:rFonts w:hint="eastAsia"/>
                <w:color w:val="auto"/>
                <w:sz w:val="24"/>
              </w:rPr>
              <w:t>2</w:t>
            </w:r>
            <w:r>
              <w:rPr>
                <w:color w:val="auto"/>
                <w:sz w:val="24"/>
                <w:shd w:val="clear" w:fill="FFFFFF"/>
              </w:rPr>
              <w:t>)</w:t>
            </w:r>
            <w:r>
              <w:rPr>
                <w:rFonts w:hint="eastAsia"/>
                <w:color w:val="auto"/>
                <w:sz w:val="24"/>
              </w:rPr>
              <w:t>废气污染物排放标准</w:t>
            </w:r>
          </w:p>
          <w:p w14:paraId="3430B728">
            <w:pPr>
              <w:spacing w:line="360" w:lineRule="auto"/>
              <w:ind w:firstLine="480" w:firstLineChars="200"/>
              <w:rPr>
                <w:color w:val="auto"/>
                <w:sz w:val="24"/>
                <w:shd w:val="clear" w:color="auto" w:fill="FFFFFF"/>
              </w:rPr>
            </w:pPr>
            <w:r>
              <w:rPr>
                <w:color w:val="auto"/>
                <w:sz w:val="24"/>
                <w:shd w:val="clear" w:color="auto" w:fill="FFFFFF"/>
              </w:rPr>
              <w:fldChar w:fldCharType="begin"/>
            </w:r>
            <w:r>
              <w:rPr>
                <w:color w:val="auto"/>
                <w:sz w:val="24"/>
                <w:shd w:val="clear" w:color="auto" w:fill="FFFFFF"/>
              </w:rPr>
              <w:instrText xml:space="preserve"> = 1 \* GB3 \* MERGEFORMAT </w:instrText>
            </w:r>
            <w:r>
              <w:rPr>
                <w:color w:val="auto"/>
                <w:sz w:val="24"/>
                <w:shd w:val="clear" w:color="auto" w:fill="FFFFFF"/>
              </w:rPr>
              <w:fldChar w:fldCharType="separate"/>
            </w:r>
            <w:r>
              <w:rPr>
                <w:color w:val="auto"/>
                <w:sz w:val="24"/>
              </w:rPr>
              <w:t>①</w:t>
            </w:r>
            <w:r>
              <w:rPr>
                <w:color w:val="auto"/>
                <w:sz w:val="24"/>
                <w:shd w:val="clear" w:color="auto" w:fill="FFFFFF"/>
              </w:rPr>
              <w:fldChar w:fldCharType="end"/>
            </w:r>
            <w:r>
              <w:rPr>
                <w:rFonts w:hint="eastAsia"/>
                <w:color w:val="auto"/>
                <w:sz w:val="24"/>
                <w:shd w:val="clear" w:color="auto" w:fill="FFFFFF"/>
              </w:rPr>
              <w:t>施工期：</w:t>
            </w:r>
            <w:r>
              <w:rPr>
                <w:color w:val="auto"/>
                <w:sz w:val="24"/>
              </w:rPr>
              <w:t>施工过程产生施工粉尘废气排放执行《大气污染物综合排放标准》</w:t>
            </w:r>
            <w:r>
              <w:rPr>
                <w:rFonts w:hint="eastAsia"/>
                <w:color w:val="auto"/>
                <w:sz w:val="24"/>
                <w:lang w:eastAsia="zh-CN"/>
              </w:rPr>
              <w:t>(</w:t>
            </w:r>
            <w:r>
              <w:rPr>
                <w:color w:val="auto"/>
                <w:sz w:val="24"/>
              </w:rPr>
              <w:t>GB16297-1996</w:t>
            </w:r>
            <w:r>
              <w:rPr>
                <w:rFonts w:hint="eastAsia"/>
                <w:color w:val="auto"/>
                <w:sz w:val="24"/>
                <w:shd w:val="clear" w:fill="FFFFFF"/>
                <w:lang w:eastAsia="zh-CN"/>
              </w:rPr>
              <w:t>)</w:t>
            </w:r>
            <w:r>
              <w:rPr>
                <w:color w:val="auto"/>
                <w:sz w:val="24"/>
              </w:rPr>
              <w:t>表2“无组织排放监控浓度限值”，颗粒物1.0mg/m</w:t>
            </w:r>
            <w:r>
              <w:rPr>
                <w:color w:val="auto"/>
                <w:sz w:val="24"/>
                <w:vertAlign w:val="superscript"/>
              </w:rPr>
              <w:t>3</w:t>
            </w:r>
            <w:r>
              <w:rPr>
                <w:color w:val="auto"/>
                <w:sz w:val="24"/>
              </w:rPr>
              <w:t>。</w:t>
            </w:r>
          </w:p>
          <w:p w14:paraId="561DD834">
            <w:pPr>
              <w:spacing w:line="360" w:lineRule="auto"/>
              <w:ind w:firstLine="480" w:firstLineChars="200"/>
              <w:rPr>
                <w:color w:val="auto"/>
                <w:sz w:val="24"/>
                <w:shd w:val="clear" w:color="auto" w:fill="FFFFFF"/>
              </w:rPr>
            </w:pPr>
            <w:r>
              <w:rPr>
                <w:color w:val="auto"/>
                <w:sz w:val="24"/>
                <w:shd w:val="clear" w:color="auto" w:fill="FFFFFF"/>
              </w:rPr>
              <w:fldChar w:fldCharType="begin"/>
            </w:r>
            <w:r>
              <w:rPr>
                <w:color w:val="auto"/>
                <w:sz w:val="24"/>
                <w:shd w:val="clear" w:color="auto" w:fill="FFFFFF"/>
              </w:rPr>
              <w:instrText xml:space="preserve"> = 2 \* GB3 \* MERGEFORMAT </w:instrText>
            </w:r>
            <w:r>
              <w:rPr>
                <w:color w:val="auto"/>
                <w:sz w:val="24"/>
                <w:shd w:val="clear" w:color="auto" w:fill="FFFFFF"/>
              </w:rPr>
              <w:fldChar w:fldCharType="separate"/>
            </w:r>
            <w:r>
              <w:rPr>
                <w:color w:val="auto"/>
                <w:sz w:val="24"/>
              </w:rPr>
              <w:t>②</w:t>
            </w:r>
            <w:r>
              <w:rPr>
                <w:color w:val="auto"/>
                <w:sz w:val="24"/>
                <w:shd w:val="clear" w:color="auto" w:fill="FFFFFF"/>
              </w:rPr>
              <w:fldChar w:fldCharType="end"/>
            </w:r>
            <w:r>
              <w:rPr>
                <w:rFonts w:hint="eastAsia"/>
                <w:color w:val="auto"/>
                <w:sz w:val="24"/>
                <w:shd w:val="clear" w:color="auto" w:fill="FFFFFF"/>
              </w:rPr>
              <w:t>运营期：</w:t>
            </w:r>
            <w:r>
              <w:rPr>
                <w:color w:val="auto"/>
                <w:sz w:val="24"/>
                <w:shd w:val="clear" w:color="auto" w:fill="FFFFFF"/>
              </w:rPr>
              <w:t>项目</w:t>
            </w:r>
            <w:r>
              <w:rPr>
                <w:rFonts w:hint="eastAsia"/>
                <w:color w:val="auto"/>
                <w:sz w:val="24"/>
                <w:shd w:val="clear" w:color="auto" w:fill="FFFFFF"/>
              </w:rPr>
              <w:t>运营期</w:t>
            </w:r>
            <w:r>
              <w:rPr>
                <w:color w:val="auto"/>
                <w:sz w:val="24"/>
                <w:shd w:val="clear" w:color="auto" w:fill="FFFFFF"/>
              </w:rPr>
              <w:t>废气</w:t>
            </w:r>
            <w:r>
              <w:rPr>
                <w:rFonts w:hint="eastAsia"/>
                <w:color w:val="auto"/>
                <w:sz w:val="24"/>
                <w:shd w:val="clear" w:color="auto" w:fill="FFFFFF"/>
              </w:rPr>
              <w:t>污染物主要为颗粒物和厨房油烟，颗粒物</w:t>
            </w:r>
            <w:r>
              <w:rPr>
                <w:rFonts w:hint="eastAsia"/>
                <w:color w:val="auto"/>
                <w:sz w:val="24"/>
                <w:shd w:val="clear" w:color="auto" w:fill="FFFFFF"/>
                <w:lang w:val="en-US" w:eastAsia="zh-CN"/>
              </w:rPr>
              <w:t>有组织</w:t>
            </w:r>
            <w:r>
              <w:rPr>
                <w:rFonts w:hint="eastAsia"/>
                <w:color w:val="auto"/>
                <w:sz w:val="24"/>
                <w:shd w:val="clear" w:color="auto" w:fill="FFFFFF"/>
              </w:rPr>
              <w:t>执行</w:t>
            </w:r>
            <w:r>
              <w:rPr>
                <w:rFonts w:hint="eastAsia"/>
                <w:color w:val="auto"/>
                <w:sz w:val="24"/>
                <w:shd w:val="clear" w:color="auto" w:fill="FFFFFF"/>
                <w:lang w:val="en-US" w:eastAsia="zh-CN"/>
              </w:rPr>
              <w:t>福建省地方标准</w:t>
            </w:r>
            <w:r>
              <w:rPr>
                <w:rFonts w:hint="eastAsia"/>
                <w:color w:val="auto"/>
                <w:sz w:val="24"/>
                <w:shd w:val="clear" w:color="auto" w:fill="FFFFFF"/>
              </w:rPr>
              <w:t>《</w:t>
            </w:r>
            <w:r>
              <w:rPr>
                <w:rFonts w:hint="eastAsia"/>
                <w:color w:val="auto"/>
                <w:sz w:val="24"/>
                <w:shd w:val="clear" w:color="auto" w:fill="FFFFFF"/>
                <w:lang w:eastAsia="zh-CN"/>
              </w:rPr>
              <w:t>水泥工业大气污染物排放标准</w:t>
            </w:r>
            <w:r>
              <w:rPr>
                <w:rFonts w:hint="eastAsia"/>
                <w:color w:val="auto"/>
                <w:sz w:val="24"/>
                <w:shd w:val="clear" w:color="auto" w:fill="FFFFFF"/>
              </w:rPr>
              <w:t>》</w:t>
            </w:r>
            <w:r>
              <w:rPr>
                <w:rFonts w:hint="eastAsia"/>
                <w:color w:val="auto"/>
                <w:sz w:val="24"/>
                <w:shd w:val="clear" w:color="auto" w:fill="FFFFFF"/>
                <w:lang w:eastAsia="zh-CN"/>
              </w:rPr>
              <w:t>(DB35/1311-2013)</w:t>
            </w:r>
            <w:r>
              <w:rPr>
                <w:rFonts w:hint="eastAsia"/>
                <w:color w:val="auto"/>
                <w:sz w:val="24"/>
                <w:shd w:val="clear" w:color="auto" w:fill="FFFFFF"/>
                <w:lang w:val="en-US" w:eastAsia="zh-CN"/>
              </w:rPr>
              <w:t>表2中水泥制品生产的类别限值要求</w:t>
            </w:r>
            <w:r>
              <w:rPr>
                <w:rFonts w:hint="eastAsia"/>
                <w:color w:val="auto"/>
                <w:sz w:val="24"/>
              </w:rPr>
              <w:t>，</w:t>
            </w:r>
            <w:r>
              <w:rPr>
                <w:rFonts w:hint="eastAsia"/>
                <w:color w:val="auto"/>
                <w:sz w:val="24"/>
                <w:shd w:val="clear" w:color="auto" w:fill="FFFFFF"/>
              </w:rPr>
              <w:t>具体详见表3.3-3</w:t>
            </w:r>
            <w:r>
              <w:rPr>
                <w:rFonts w:hint="eastAsia"/>
                <w:color w:val="auto"/>
                <w:sz w:val="24"/>
                <w:shd w:val="clear" w:color="auto" w:fill="FFFFFF"/>
                <w:lang w:val="en-US" w:eastAsia="zh-CN"/>
              </w:rPr>
              <w:t>；颗粒物无组织排放执行福建省地方标准《</w:t>
            </w:r>
            <w:r>
              <w:rPr>
                <w:rFonts w:hint="eastAsia"/>
                <w:color w:val="auto"/>
                <w:sz w:val="24"/>
                <w:shd w:val="clear" w:color="auto" w:fill="FFFFFF"/>
                <w:lang w:eastAsia="zh-CN"/>
              </w:rPr>
              <w:t>水泥工业大气污染物排放标准</w:t>
            </w:r>
            <w:r>
              <w:rPr>
                <w:rFonts w:hint="eastAsia"/>
                <w:color w:val="auto"/>
                <w:sz w:val="24"/>
                <w:shd w:val="clear" w:color="auto" w:fill="FFFFFF"/>
              </w:rPr>
              <w:t>》</w:t>
            </w:r>
            <w:r>
              <w:rPr>
                <w:rFonts w:hint="eastAsia"/>
                <w:color w:val="auto"/>
                <w:sz w:val="24"/>
                <w:shd w:val="clear" w:color="auto" w:fill="FFFFFF"/>
                <w:lang w:eastAsia="zh-CN"/>
              </w:rPr>
              <w:t>(DB35/1311-2013)</w:t>
            </w:r>
            <w:r>
              <w:rPr>
                <w:rFonts w:hint="eastAsia"/>
                <w:color w:val="auto"/>
                <w:sz w:val="24"/>
                <w:shd w:val="clear" w:color="auto" w:fill="FFFFFF"/>
              </w:rPr>
              <w:t>表3中无组织排放限值要求</w:t>
            </w:r>
            <w:r>
              <w:rPr>
                <w:rFonts w:hint="eastAsia"/>
                <w:color w:val="auto"/>
                <w:sz w:val="24"/>
              </w:rPr>
              <w:t>，</w:t>
            </w:r>
            <w:r>
              <w:rPr>
                <w:rFonts w:hint="eastAsia"/>
                <w:color w:val="auto"/>
                <w:sz w:val="24"/>
                <w:shd w:val="clear" w:color="auto" w:fill="FFFFFF"/>
              </w:rPr>
              <w:t>具体详见表3.3-</w:t>
            </w:r>
            <w:r>
              <w:rPr>
                <w:rFonts w:hint="eastAsia"/>
                <w:color w:val="auto"/>
                <w:sz w:val="24"/>
                <w:shd w:val="clear" w:color="auto" w:fill="FFFFFF"/>
                <w:lang w:val="en-US" w:eastAsia="zh-CN"/>
              </w:rPr>
              <w:t>4</w:t>
            </w:r>
            <w:r>
              <w:rPr>
                <w:rFonts w:hint="eastAsia"/>
                <w:color w:val="auto"/>
                <w:sz w:val="24"/>
                <w:shd w:val="clear" w:color="auto" w:fill="FFFFFF"/>
              </w:rPr>
              <w:t>。</w:t>
            </w:r>
          </w:p>
          <w:p w14:paraId="5AAF6489">
            <w:pPr>
              <w:pStyle w:val="80"/>
              <w:rPr>
                <w:color w:val="auto"/>
                <w:sz w:val="24"/>
                <w:szCs w:val="24"/>
              </w:rPr>
            </w:pPr>
            <w:r>
              <w:rPr>
                <w:rFonts w:hint="eastAsia"/>
                <w:color w:val="auto"/>
                <w:sz w:val="24"/>
                <w:szCs w:val="24"/>
              </w:rPr>
              <w:t>表3.3-3  运营期</w:t>
            </w:r>
            <w:r>
              <w:rPr>
                <w:rFonts w:hint="eastAsia"/>
                <w:color w:val="auto"/>
                <w:sz w:val="24"/>
                <w:szCs w:val="24"/>
                <w:lang w:val="en-US" w:eastAsia="zh-CN"/>
              </w:rPr>
              <w:t>有组织颗粒物排放标准</w:t>
            </w:r>
            <w:r>
              <w:rPr>
                <w:rFonts w:hint="eastAsia"/>
                <w:color w:val="auto"/>
                <w:sz w:val="24"/>
                <w:szCs w:val="24"/>
                <w:shd w:val="clear" w:fill="FFFFFF"/>
                <w:lang w:val="en-US" w:eastAsia="zh-CN"/>
              </w:rPr>
              <w:t>(</w:t>
            </w:r>
            <w:r>
              <w:rPr>
                <w:rFonts w:hint="eastAsia"/>
                <w:color w:val="auto"/>
                <w:sz w:val="24"/>
                <w:szCs w:val="24"/>
                <w:lang w:val="en-US" w:eastAsia="zh-CN"/>
              </w:rPr>
              <w:t>摘录</w:t>
            </w:r>
            <w:r>
              <w:rPr>
                <w:rFonts w:hint="eastAsia"/>
                <w:color w:val="auto"/>
                <w:sz w:val="24"/>
                <w:szCs w:val="24"/>
                <w:shd w:val="clear" w:fill="FFFFFF"/>
                <w:lang w:val="en-US" w:eastAsia="zh-CN"/>
              </w:rPr>
              <w:t>)</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3308"/>
              <w:gridCol w:w="2868"/>
              <w:gridCol w:w="1107"/>
            </w:tblGrid>
            <w:tr w14:paraId="0A9B1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9" w:type="pct"/>
                  <w:tcBorders>
                    <w:tl2br w:val="nil"/>
                    <w:tr2bl w:val="nil"/>
                  </w:tcBorders>
                  <w:vAlign w:val="center"/>
                </w:tcPr>
                <w:p w14:paraId="1FD4E022">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污染项目</w:t>
                  </w:r>
                </w:p>
              </w:tc>
              <w:tc>
                <w:tcPr>
                  <w:tcW w:w="1971" w:type="pct"/>
                  <w:tcBorders>
                    <w:tl2br w:val="nil"/>
                    <w:tr2bl w:val="nil"/>
                  </w:tcBorders>
                  <w:vAlign w:val="center"/>
                </w:tcPr>
                <w:p w14:paraId="2A7DD3B5">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eastAsia" w:eastAsia="宋体"/>
                      <w:color w:val="auto"/>
                      <w:szCs w:val="21"/>
                      <w:lang w:eastAsia="zh-CN"/>
                    </w:rPr>
                  </w:pPr>
                  <w:r>
                    <w:rPr>
                      <w:rFonts w:hint="eastAsia"/>
                      <w:color w:val="auto"/>
                      <w:szCs w:val="21"/>
                      <w:lang w:val="en-US" w:eastAsia="zh-CN"/>
                    </w:rPr>
                    <w:t>生产过程</w:t>
                  </w:r>
                </w:p>
              </w:tc>
              <w:tc>
                <w:tcPr>
                  <w:tcW w:w="1709" w:type="pct"/>
                  <w:tcBorders>
                    <w:tl2br w:val="nil"/>
                    <w:tr2bl w:val="nil"/>
                  </w:tcBorders>
                  <w:vAlign w:val="center"/>
                </w:tcPr>
                <w:p w14:paraId="68E85B0B">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eastAsia" w:eastAsia="宋体"/>
                      <w:color w:val="auto"/>
                      <w:szCs w:val="21"/>
                      <w:lang w:eastAsia="zh-CN"/>
                    </w:rPr>
                  </w:pPr>
                  <w:r>
                    <w:rPr>
                      <w:rFonts w:hint="eastAsia"/>
                      <w:color w:val="auto"/>
                      <w:szCs w:val="21"/>
                      <w:lang w:val="en-US" w:eastAsia="zh-CN"/>
                    </w:rPr>
                    <w:t>生产设备</w:t>
                  </w:r>
                </w:p>
              </w:tc>
              <w:tc>
                <w:tcPr>
                  <w:tcW w:w="659" w:type="pct"/>
                  <w:tcBorders>
                    <w:tl2br w:val="nil"/>
                    <w:tr2bl w:val="nil"/>
                  </w:tcBorders>
                  <w:vAlign w:val="center"/>
                </w:tcPr>
                <w:p w14:paraId="1FDB1F35">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default" w:eastAsia="宋体"/>
                      <w:color w:val="auto"/>
                      <w:szCs w:val="21"/>
                      <w:lang w:val="en-US" w:eastAsia="zh-CN"/>
                    </w:rPr>
                  </w:pPr>
                  <w:r>
                    <w:rPr>
                      <w:rFonts w:hint="eastAsia"/>
                      <w:color w:val="auto"/>
                      <w:szCs w:val="21"/>
                      <w:lang w:val="en-US" w:eastAsia="zh-CN"/>
                    </w:rPr>
                    <w:t>排放限值</w:t>
                  </w:r>
                </w:p>
              </w:tc>
            </w:tr>
            <w:tr w14:paraId="796A9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9" w:type="pct"/>
                  <w:tcBorders>
                    <w:tl2br w:val="nil"/>
                    <w:tr2bl w:val="nil"/>
                  </w:tcBorders>
                  <w:vAlign w:val="center"/>
                </w:tcPr>
                <w:p w14:paraId="09E892D2">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颗粒物</w:t>
                  </w:r>
                </w:p>
              </w:tc>
              <w:tc>
                <w:tcPr>
                  <w:tcW w:w="1971" w:type="pct"/>
                  <w:tcBorders>
                    <w:tl2br w:val="nil"/>
                    <w:tr2bl w:val="nil"/>
                  </w:tcBorders>
                  <w:vAlign w:val="center"/>
                </w:tcPr>
                <w:p w14:paraId="08318E83">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eastAsia" w:eastAsia="宋体"/>
                      <w:color w:val="auto"/>
                      <w:szCs w:val="21"/>
                      <w:lang w:eastAsia="zh-CN"/>
                    </w:rPr>
                  </w:pPr>
                  <w:r>
                    <w:rPr>
                      <w:rFonts w:hint="eastAsia"/>
                      <w:color w:val="auto"/>
                      <w:szCs w:val="21"/>
                      <w:lang w:eastAsia="zh-CN"/>
                    </w:rPr>
                    <w:t>水泥制品生产</w:t>
                  </w:r>
                </w:p>
              </w:tc>
              <w:tc>
                <w:tcPr>
                  <w:tcW w:w="1709" w:type="pct"/>
                  <w:tcBorders>
                    <w:tl2br w:val="nil"/>
                    <w:tr2bl w:val="nil"/>
                  </w:tcBorders>
                  <w:vAlign w:val="center"/>
                </w:tcPr>
                <w:p w14:paraId="3BFBA51E">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eastAsia"/>
                      <w:color w:val="auto"/>
                      <w:szCs w:val="21"/>
                    </w:rPr>
                  </w:pPr>
                  <w:r>
                    <w:rPr>
                      <w:rFonts w:hint="eastAsia"/>
                      <w:color w:val="auto"/>
                      <w:szCs w:val="21"/>
                    </w:rPr>
                    <w:t>水泥仓及其他通风生产设备</w:t>
                  </w:r>
                </w:p>
              </w:tc>
              <w:tc>
                <w:tcPr>
                  <w:tcW w:w="659" w:type="pct"/>
                  <w:tcBorders>
                    <w:tl2br w:val="nil"/>
                    <w:tr2bl w:val="nil"/>
                  </w:tcBorders>
                  <w:vAlign w:val="center"/>
                </w:tcPr>
                <w:p w14:paraId="11960028">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eastAsia"/>
                      <w:color w:val="auto"/>
                      <w:szCs w:val="21"/>
                    </w:rPr>
                  </w:pPr>
                  <w:r>
                    <w:rPr>
                      <w:rFonts w:hint="eastAsia"/>
                      <w:color w:val="auto"/>
                      <w:szCs w:val="21"/>
                      <w:lang w:val="en-US" w:eastAsia="zh-CN"/>
                    </w:rPr>
                    <w:t>20mg/m</w:t>
                  </w:r>
                  <w:r>
                    <w:rPr>
                      <w:rFonts w:hint="eastAsia"/>
                      <w:color w:val="auto"/>
                      <w:sz w:val="21"/>
                      <w:szCs w:val="21"/>
                      <w:vertAlign w:val="superscript"/>
                      <w:lang w:val="en-US" w:eastAsia="zh-CN"/>
                    </w:rPr>
                    <w:t>3</w:t>
                  </w:r>
                </w:p>
              </w:tc>
            </w:tr>
          </w:tbl>
          <w:p w14:paraId="18FBAAC7">
            <w:pPr>
              <w:pStyle w:val="80"/>
              <w:keepNext w:val="0"/>
              <w:keepLines w:val="0"/>
              <w:pageBreakBefore w:val="0"/>
              <w:widowControl w:val="0"/>
              <w:kinsoku/>
              <w:wordWrap/>
              <w:overflowPunct/>
              <w:topLinePunct w:val="0"/>
              <w:autoSpaceDE/>
              <w:autoSpaceDN/>
              <w:bidi w:val="0"/>
              <w:adjustRightInd w:val="0"/>
              <w:snapToGrid w:val="0"/>
              <w:spacing w:before="313" w:beforeLines="100"/>
              <w:textAlignment w:val="auto"/>
              <w:rPr>
                <w:rFonts w:hint="default" w:eastAsia="宋体"/>
                <w:color w:val="auto"/>
                <w:sz w:val="24"/>
                <w:szCs w:val="24"/>
                <w:lang w:val="en-US" w:eastAsia="zh-CN"/>
              </w:rPr>
            </w:pPr>
            <w:r>
              <w:rPr>
                <w:rFonts w:hint="eastAsia"/>
                <w:color w:val="auto"/>
                <w:sz w:val="24"/>
                <w:szCs w:val="24"/>
              </w:rPr>
              <w:t>表3.3-</w:t>
            </w:r>
            <w:r>
              <w:rPr>
                <w:rFonts w:hint="eastAsia"/>
                <w:color w:val="auto"/>
                <w:sz w:val="24"/>
                <w:szCs w:val="24"/>
                <w:lang w:val="en-US" w:eastAsia="zh-CN"/>
              </w:rPr>
              <w:t>4</w:t>
            </w:r>
            <w:r>
              <w:rPr>
                <w:rFonts w:hint="eastAsia"/>
                <w:color w:val="auto"/>
                <w:sz w:val="24"/>
                <w:szCs w:val="24"/>
              </w:rPr>
              <w:t xml:space="preserve">  运营期</w:t>
            </w:r>
            <w:r>
              <w:rPr>
                <w:rFonts w:hint="eastAsia"/>
                <w:color w:val="auto"/>
                <w:sz w:val="24"/>
                <w:szCs w:val="24"/>
                <w:lang w:val="en-US" w:eastAsia="zh-CN"/>
              </w:rPr>
              <w:t>厂界无组织颗粒物排放标准</w:t>
            </w:r>
            <w:r>
              <w:rPr>
                <w:rFonts w:hint="eastAsia"/>
                <w:color w:val="auto"/>
                <w:sz w:val="24"/>
                <w:szCs w:val="24"/>
                <w:shd w:val="clear" w:fill="FFFFFF"/>
                <w:lang w:val="en-US" w:eastAsia="zh-CN"/>
              </w:rPr>
              <w:t>(</w:t>
            </w:r>
            <w:r>
              <w:rPr>
                <w:rFonts w:hint="eastAsia"/>
                <w:color w:val="auto"/>
                <w:sz w:val="24"/>
                <w:szCs w:val="24"/>
                <w:lang w:val="en-US" w:eastAsia="zh-CN"/>
              </w:rPr>
              <w:t>摘录</w:t>
            </w:r>
            <w:r>
              <w:rPr>
                <w:rFonts w:hint="eastAsia"/>
                <w:color w:val="auto"/>
                <w:sz w:val="24"/>
                <w:szCs w:val="24"/>
                <w:shd w:val="clear" w:fill="FFFFFF"/>
                <w:lang w:val="en-US" w:eastAsia="zh-CN"/>
              </w:rPr>
              <w:t>)</w:t>
            </w:r>
          </w:p>
          <w:bookmarkEnd w:id="96"/>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317"/>
              <w:gridCol w:w="1856"/>
              <w:gridCol w:w="2081"/>
              <w:gridCol w:w="2106"/>
            </w:tblGrid>
            <w:tr w14:paraId="3A015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tcBorders>
                    <w:tl2br w:val="nil"/>
                    <w:tr2bl w:val="nil"/>
                  </w:tcBorders>
                  <w:vAlign w:val="center"/>
                </w:tcPr>
                <w:p w14:paraId="3EEF0624">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污染项目</w:t>
                  </w:r>
                </w:p>
              </w:tc>
              <w:tc>
                <w:tcPr>
                  <w:tcW w:w="1317" w:type="dxa"/>
                  <w:tcBorders>
                    <w:tl2br w:val="nil"/>
                    <w:tr2bl w:val="nil"/>
                  </w:tcBorders>
                  <w:vAlign w:val="center"/>
                </w:tcPr>
                <w:p w14:paraId="5859459D">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限值</w:t>
                  </w:r>
                </w:p>
              </w:tc>
              <w:tc>
                <w:tcPr>
                  <w:tcW w:w="1856" w:type="dxa"/>
                  <w:tcBorders>
                    <w:tl2br w:val="nil"/>
                    <w:tr2bl w:val="nil"/>
                  </w:tcBorders>
                  <w:vAlign w:val="center"/>
                </w:tcPr>
                <w:p w14:paraId="337D28C3">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eastAsia" w:eastAsia="宋体"/>
                      <w:color w:val="auto"/>
                      <w:szCs w:val="21"/>
                      <w:lang w:eastAsia="zh-CN"/>
                    </w:rPr>
                  </w:pPr>
                  <w:r>
                    <w:rPr>
                      <w:rFonts w:hint="eastAsia"/>
                      <w:color w:val="auto"/>
                      <w:szCs w:val="21"/>
                      <w:lang w:val="en-US" w:eastAsia="zh-CN"/>
                    </w:rPr>
                    <w:t>作业场所</w:t>
                  </w:r>
                </w:p>
              </w:tc>
              <w:tc>
                <w:tcPr>
                  <w:tcW w:w="2081" w:type="dxa"/>
                  <w:tcBorders>
                    <w:tl2br w:val="nil"/>
                    <w:tr2bl w:val="nil"/>
                  </w:tcBorders>
                  <w:vAlign w:val="center"/>
                </w:tcPr>
                <w:p w14:paraId="5BDF14AB">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无组织排放监控位置</w:t>
                  </w:r>
                </w:p>
              </w:tc>
              <w:tc>
                <w:tcPr>
                  <w:tcW w:w="2106" w:type="dxa"/>
                  <w:tcBorders>
                    <w:tl2br w:val="nil"/>
                    <w:tr2bl w:val="nil"/>
                  </w:tcBorders>
                  <w:vAlign w:val="center"/>
                </w:tcPr>
                <w:p w14:paraId="05B0EA6B">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default" w:eastAsia="宋体"/>
                      <w:color w:val="auto"/>
                      <w:szCs w:val="21"/>
                      <w:lang w:val="en-US" w:eastAsia="zh-CN"/>
                    </w:rPr>
                  </w:pPr>
                  <w:r>
                    <w:rPr>
                      <w:rFonts w:hint="eastAsia"/>
                      <w:color w:val="auto"/>
                      <w:szCs w:val="21"/>
                      <w:lang w:val="en-US" w:eastAsia="zh-CN"/>
                    </w:rPr>
                    <w:t>备注</w:t>
                  </w:r>
                </w:p>
              </w:tc>
            </w:tr>
            <w:tr w14:paraId="2C523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tcBorders>
                    <w:tl2br w:val="nil"/>
                    <w:tr2bl w:val="nil"/>
                  </w:tcBorders>
                  <w:vAlign w:val="center"/>
                </w:tcPr>
                <w:p w14:paraId="2D08D53B">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颗粒物</w:t>
                  </w:r>
                </w:p>
              </w:tc>
              <w:tc>
                <w:tcPr>
                  <w:tcW w:w="1317" w:type="dxa"/>
                  <w:tcBorders>
                    <w:tl2br w:val="nil"/>
                    <w:tr2bl w:val="nil"/>
                  </w:tcBorders>
                  <w:vAlign w:val="center"/>
                </w:tcPr>
                <w:p w14:paraId="76404AD6">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rFonts w:hint="default" w:eastAsia="宋体"/>
                      <w:color w:val="auto"/>
                      <w:szCs w:val="21"/>
                      <w:lang w:val="en-US" w:eastAsia="zh-CN"/>
                    </w:rPr>
                  </w:pPr>
                  <w:r>
                    <w:rPr>
                      <w:rFonts w:hint="eastAsia"/>
                      <w:color w:val="auto"/>
                      <w:szCs w:val="21"/>
                    </w:rPr>
                    <w:t>0.5</w:t>
                  </w:r>
                  <w:r>
                    <w:rPr>
                      <w:rFonts w:hint="eastAsia"/>
                      <w:color w:val="auto"/>
                      <w:szCs w:val="21"/>
                      <w:lang w:val="en-US" w:eastAsia="zh-CN"/>
                    </w:rPr>
                    <w:t>mg/m</w:t>
                  </w:r>
                  <w:r>
                    <w:rPr>
                      <w:rFonts w:hint="eastAsia"/>
                      <w:color w:val="auto"/>
                      <w:sz w:val="21"/>
                      <w:szCs w:val="21"/>
                      <w:vertAlign w:val="superscript"/>
                      <w:lang w:val="en-US" w:eastAsia="zh-CN"/>
                    </w:rPr>
                    <w:t>3</w:t>
                  </w:r>
                  <w:r>
                    <w:rPr>
                      <w:rFonts w:hint="eastAsia"/>
                      <w:color w:val="auto"/>
                      <w:szCs w:val="21"/>
                      <w:shd w:val="clear" w:fill="FFFFFF"/>
                      <w:lang w:val="en-US" w:eastAsia="zh-CN"/>
                    </w:rPr>
                    <w:t>(</w:t>
                  </w:r>
                  <w:r>
                    <w:rPr>
                      <w:rFonts w:hint="eastAsia"/>
                      <w:color w:val="auto"/>
                      <w:szCs w:val="21"/>
                      <w:lang w:val="en-US" w:eastAsia="zh-CN"/>
                    </w:rPr>
                    <w:t>扣除参考值</w:t>
                  </w:r>
                  <w:r>
                    <w:rPr>
                      <w:rFonts w:hint="eastAsia"/>
                      <w:color w:val="auto"/>
                      <w:szCs w:val="21"/>
                      <w:shd w:val="clear" w:fill="FFFFFF"/>
                      <w:lang w:val="en-US" w:eastAsia="zh-CN"/>
                    </w:rPr>
                    <w:t>)</w:t>
                  </w:r>
                </w:p>
              </w:tc>
              <w:tc>
                <w:tcPr>
                  <w:tcW w:w="1856" w:type="dxa"/>
                  <w:tcBorders>
                    <w:tl2br w:val="nil"/>
                    <w:tr2bl w:val="nil"/>
                  </w:tcBorders>
                  <w:vAlign w:val="center"/>
                </w:tcPr>
                <w:p w14:paraId="64D767A6">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水泥制造</w:t>
                  </w:r>
                  <w:r>
                    <w:rPr>
                      <w:rFonts w:hint="eastAsia"/>
                      <w:color w:val="auto"/>
                      <w:szCs w:val="21"/>
                      <w:shd w:val="clear" w:fill="FFFFFF"/>
                    </w:rPr>
                    <w:t>(</w:t>
                  </w:r>
                  <w:r>
                    <w:rPr>
                      <w:rFonts w:hint="eastAsia"/>
                      <w:color w:val="auto"/>
                      <w:szCs w:val="21"/>
                    </w:rPr>
                    <w:t>含粉磨站</w:t>
                  </w:r>
                  <w:r>
                    <w:rPr>
                      <w:rFonts w:hint="eastAsia"/>
                      <w:color w:val="auto"/>
                      <w:szCs w:val="21"/>
                      <w:shd w:val="clear" w:fill="FFFFFF"/>
                    </w:rPr>
                    <w:t>)</w:t>
                  </w:r>
                  <w:r>
                    <w:rPr>
                      <w:rFonts w:hint="eastAsia"/>
                      <w:color w:val="auto"/>
                      <w:szCs w:val="21"/>
                    </w:rPr>
                    <w:t>、水泥制品厂、散装水泥中转站</w:t>
                  </w:r>
                </w:p>
              </w:tc>
              <w:tc>
                <w:tcPr>
                  <w:tcW w:w="2081" w:type="dxa"/>
                  <w:tcBorders>
                    <w:tl2br w:val="nil"/>
                    <w:tr2bl w:val="nil"/>
                  </w:tcBorders>
                  <w:vAlign w:val="center"/>
                </w:tcPr>
                <w:p w14:paraId="269247AD">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厂界外20m处</w:t>
                  </w:r>
                </w:p>
              </w:tc>
              <w:tc>
                <w:tcPr>
                  <w:tcW w:w="2106" w:type="dxa"/>
                  <w:tcBorders>
                    <w:tl2br w:val="nil"/>
                    <w:tr2bl w:val="nil"/>
                  </w:tcBorders>
                  <w:vAlign w:val="center"/>
                </w:tcPr>
                <w:p w14:paraId="560D854B">
                  <w:pPr>
                    <w:pStyle w:val="29"/>
                    <w:keepNext w:val="0"/>
                    <w:keepLines w:val="0"/>
                    <w:pageBreakBefore w:val="0"/>
                    <w:widowControl w:val="0"/>
                    <w:kinsoku/>
                    <w:wordWrap/>
                    <w:overflowPunct/>
                    <w:topLinePunct w:val="0"/>
                    <w:autoSpaceDE/>
                    <w:autoSpaceDN/>
                    <w:bidi w:val="0"/>
                    <w:adjustRightInd w:val="0"/>
                    <w:snapToGrid w:val="0"/>
                    <w:spacing w:line="340" w:lineRule="atLeast"/>
                    <w:jc w:val="center"/>
                    <w:textAlignment w:val="auto"/>
                    <w:rPr>
                      <w:color w:val="auto"/>
                      <w:szCs w:val="21"/>
                    </w:rPr>
                  </w:pPr>
                  <w:r>
                    <w:rPr>
                      <w:rFonts w:hint="eastAsia"/>
                      <w:color w:val="auto"/>
                      <w:szCs w:val="21"/>
                    </w:rPr>
                    <w:t>指监控点处的总悬浮颗粒物</w:t>
                  </w:r>
                  <w:r>
                    <w:rPr>
                      <w:rFonts w:hint="eastAsia"/>
                      <w:color w:val="auto"/>
                      <w:szCs w:val="21"/>
                      <w:shd w:val="clear" w:fill="FFFFFF"/>
                    </w:rPr>
                    <w:t>(</w:t>
                  </w:r>
                  <w:r>
                    <w:rPr>
                      <w:rFonts w:hint="eastAsia"/>
                      <w:color w:val="auto"/>
                      <w:szCs w:val="21"/>
                    </w:rPr>
                    <w:t>TSP</w:t>
                  </w:r>
                  <w:r>
                    <w:rPr>
                      <w:rFonts w:hint="eastAsia"/>
                      <w:color w:val="auto"/>
                      <w:szCs w:val="21"/>
                      <w:shd w:val="clear" w:fill="FFFFFF"/>
                    </w:rPr>
                    <w:t>)</w:t>
                  </w:r>
                  <w:r>
                    <w:rPr>
                      <w:rFonts w:hint="eastAsia"/>
                      <w:color w:val="auto"/>
                      <w:szCs w:val="21"/>
                    </w:rPr>
                    <w:t>1小时浓度值</w:t>
                  </w:r>
                </w:p>
              </w:tc>
            </w:tr>
          </w:tbl>
          <w:p w14:paraId="0145EEB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③</w:t>
            </w:r>
            <w:r>
              <w:rPr>
                <w:rFonts w:hint="eastAsia" w:ascii="Times New Roman" w:hAnsi="Times New Roman" w:cs="Times New Roman"/>
                <w:color w:val="auto"/>
                <w:sz w:val="24"/>
                <w:lang w:val="en-US" w:eastAsia="zh-CN"/>
              </w:rPr>
              <w:t>食堂油烟：</w:t>
            </w:r>
            <w:r>
              <w:rPr>
                <w:rFonts w:hint="default" w:ascii="Times New Roman" w:hAnsi="Times New Roman" w:cs="Times New Roman"/>
                <w:color w:val="auto"/>
                <w:sz w:val="24"/>
                <w:lang w:eastAsia="zh-CN"/>
              </w:rPr>
              <w:t>根据业主提供的资料</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项目食堂</w:t>
            </w:r>
            <w:r>
              <w:rPr>
                <w:rFonts w:hint="default" w:ascii="Times New Roman" w:hAnsi="Times New Roman" w:cs="Times New Roman"/>
                <w:color w:val="auto"/>
                <w:sz w:val="24"/>
              </w:rPr>
              <w:t>共设</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个灶头，其他设备均以电能为能源</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因此，项目运营过程产生废气为油烟废气，油烟废气排放执行《饮食业油烟排放标准</w:t>
            </w:r>
            <w:r>
              <w:rPr>
                <w:rFonts w:hint="default" w:ascii="Times New Roman" w:hAnsi="Times New Roman" w:cs="Times New Roman"/>
                <w:color w:val="auto"/>
                <w:sz w:val="24"/>
                <w:szCs w:val="24"/>
                <w:shd w:val="clear" w:fill="FFFFFF"/>
              </w:rPr>
              <w:t>(</w:t>
            </w:r>
            <w:r>
              <w:rPr>
                <w:rFonts w:hint="default" w:ascii="Times New Roman" w:hAnsi="Times New Roman" w:cs="Times New Roman"/>
                <w:color w:val="auto"/>
                <w:sz w:val="24"/>
                <w:szCs w:val="24"/>
              </w:rPr>
              <w:t>试行</w:t>
            </w:r>
            <w:r>
              <w:rPr>
                <w:rFonts w:hint="default" w:ascii="Times New Roman" w:hAnsi="Times New Roman" w:cs="Times New Roman"/>
                <w:color w:val="auto"/>
                <w:sz w:val="24"/>
                <w:szCs w:val="24"/>
                <w:shd w:val="clear" w:fill="FFFFFF"/>
              </w:rPr>
              <w:t>)</w:t>
            </w:r>
            <w:r>
              <w:rPr>
                <w:rFonts w:hint="default" w:ascii="Times New Roman" w:hAnsi="Times New Roman" w:cs="Times New Roman"/>
                <w:color w:val="auto"/>
                <w:sz w:val="24"/>
              </w:rPr>
              <w:t>》(GB18483-2001</w:t>
            </w:r>
            <w:r>
              <w:rPr>
                <w:rFonts w:hint="default" w:ascii="Times New Roman" w:hAnsi="Times New Roman" w:cs="Times New Roman"/>
                <w:color w:val="auto"/>
                <w:sz w:val="24"/>
                <w:shd w:val="clear" w:fill="FFFFFF"/>
              </w:rPr>
              <w:t>)</w:t>
            </w:r>
            <w:r>
              <w:rPr>
                <w:rFonts w:hint="default" w:ascii="Times New Roman" w:hAnsi="Times New Roman" w:cs="Times New Roman"/>
                <w:color w:val="auto"/>
                <w:sz w:val="24"/>
              </w:rPr>
              <w:t>中的标准限值，具体详见表3.4-</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p>
          <w:p w14:paraId="59388882">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color w:val="auto"/>
                <w:kern w:val="0"/>
                <w:sz w:val="24"/>
                <w:szCs w:val="24"/>
                <w:lang w:val="en-US" w:eastAsia="zh-CN" w:bidi="ar-SA"/>
              </w:rPr>
              <w:t>表3.4-10《饮食业油烟排放标准</w:t>
            </w:r>
            <w:r>
              <w:rPr>
                <w:rFonts w:hint="default" w:ascii="Times New Roman" w:hAnsi="Times New Roman" w:eastAsia="宋体" w:cs="Times New Roman"/>
                <w:b/>
                <w:color w:val="auto"/>
                <w:kern w:val="0"/>
                <w:sz w:val="24"/>
                <w:szCs w:val="24"/>
                <w:shd w:val="clear" w:fill="FFFFFF"/>
                <w:lang w:val="en-US" w:eastAsia="zh-CN" w:bidi="ar-SA"/>
              </w:rPr>
              <w:t>(</w:t>
            </w:r>
            <w:r>
              <w:rPr>
                <w:rFonts w:hint="default" w:ascii="Times New Roman" w:hAnsi="Times New Roman" w:eastAsia="宋体" w:cs="Times New Roman"/>
                <w:b/>
                <w:color w:val="auto"/>
                <w:kern w:val="0"/>
                <w:sz w:val="24"/>
                <w:szCs w:val="24"/>
                <w:lang w:val="en-US" w:eastAsia="zh-CN" w:bidi="ar-SA"/>
              </w:rPr>
              <w:t>试行</w:t>
            </w:r>
            <w:r>
              <w:rPr>
                <w:rFonts w:hint="default" w:ascii="Times New Roman" w:hAnsi="Times New Roman" w:eastAsia="宋体" w:cs="Times New Roman"/>
                <w:b/>
                <w:color w:val="auto"/>
                <w:kern w:val="0"/>
                <w:sz w:val="24"/>
                <w:szCs w:val="24"/>
                <w:shd w:val="clear" w:fill="FFFFFF"/>
                <w:lang w:val="en-US" w:eastAsia="zh-CN" w:bidi="ar-SA"/>
              </w:rPr>
              <w:t>)</w:t>
            </w:r>
            <w:r>
              <w:rPr>
                <w:rFonts w:hint="default" w:ascii="Times New Roman" w:hAnsi="Times New Roman" w:eastAsia="宋体" w:cs="Times New Roman"/>
                <w:b/>
                <w:color w:val="auto"/>
                <w:kern w:val="0"/>
                <w:sz w:val="24"/>
                <w:szCs w:val="24"/>
                <w:lang w:val="en-US" w:eastAsia="zh-CN" w:bidi="ar-SA"/>
              </w:rPr>
              <w:t>》(GB18483-2001) 表1</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927"/>
              <w:gridCol w:w="1732"/>
              <w:gridCol w:w="1829"/>
              <w:gridCol w:w="1740"/>
            </w:tblGrid>
            <w:tr w14:paraId="7E798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9" w:type="dxa"/>
                  <w:vMerge w:val="restart"/>
                  <w:shd w:val="clear" w:color="auto" w:fill="auto"/>
                  <w:noWrap w:val="0"/>
                  <w:vAlign w:val="center"/>
                </w:tcPr>
                <w:p w14:paraId="7E88813F">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规模</w:t>
                  </w:r>
                </w:p>
              </w:tc>
              <w:tc>
                <w:tcPr>
                  <w:tcW w:w="2040" w:type="dxa"/>
                  <w:shd w:val="clear" w:color="auto" w:fill="auto"/>
                  <w:noWrap w:val="0"/>
                  <w:vAlign w:val="center"/>
                </w:tcPr>
                <w:p w14:paraId="3EB34165">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规模</w:t>
                  </w:r>
                </w:p>
              </w:tc>
              <w:tc>
                <w:tcPr>
                  <w:tcW w:w="1815" w:type="dxa"/>
                  <w:shd w:val="clear" w:color="auto" w:fill="D7D7D7"/>
                  <w:noWrap w:val="0"/>
                  <w:vAlign w:val="center"/>
                </w:tcPr>
                <w:p w14:paraId="5FD71522">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小型</w:t>
                  </w:r>
                </w:p>
              </w:tc>
              <w:tc>
                <w:tcPr>
                  <w:tcW w:w="1920" w:type="dxa"/>
                  <w:noWrap w:val="0"/>
                  <w:vAlign w:val="center"/>
                </w:tcPr>
                <w:p w14:paraId="13CEB2F5">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大型</w:t>
                  </w:r>
                </w:p>
              </w:tc>
              <w:tc>
                <w:tcPr>
                  <w:tcW w:w="1840" w:type="dxa"/>
                  <w:noWrap w:val="0"/>
                  <w:vAlign w:val="center"/>
                </w:tcPr>
                <w:p w14:paraId="0DB376D8">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中型</w:t>
                  </w:r>
                </w:p>
              </w:tc>
            </w:tr>
            <w:tr w14:paraId="10592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9" w:type="dxa"/>
                  <w:vMerge w:val="continue"/>
                  <w:shd w:val="clear" w:color="auto" w:fill="auto"/>
                  <w:noWrap w:val="0"/>
                  <w:vAlign w:val="center"/>
                </w:tcPr>
                <w:p w14:paraId="04EF4620">
                  <w:pPr>
                    <w:snapToGrid w:val="0"/>
                    <w:spacing w:line="360" w:lineRule="exact"/>
                    <w:jc w:val="center"/>
                    <w:rPr>
                      <w:rFonts w:hint="default" w:ascii="Times New Roman" w:hAnsi="Times New Roman" w:cs="Times New Roman"/>
                      <w:snapToGrid w:val="0"/>
                      <w:color w:val="auto"/>
                      <w:kern w:val="18"/>
                      <w:sz w:val="21"/>
                      <w:szCs w:val="21"/>
                    </w:rPr>
                  </w:pPr>
                </w:p>
              </w:tc>
              <w:tc>
                <w:tcPr>
                  <w:tcW w:w="2040" w:type="dxa"/>
                  <w:shd w:val="clear" w:color="auto" w:fill="auto"/>
                  <w:noWrap w:val="0"/>
                  <w:vAlign w:val="center"/>
                </w:tcPr>
                <w:p w14:paraId="1C123BF1">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基准灶头数</w:t>
                  </w:r>
                </w:p>
              </w:tc>
              <w:tc>
                <w:tcPr>
                  <w:tcW w:w="1815" w:type="dxa"/>
                  <w:shd w:val="clear" w:color="auto" w:fill="D7D7D7"/>
                  <w:noWrap w:val="0"/>
                  <w:vAlign w:val="center"/>
                </w:tcPr>
                <w:p w14:paraId="0F379488">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≥1</w:t>
                  </w:r>
                  <w:r>
                    <w:rPr>
                      <w:rFonts w:hint="default" w:ascii="Times New Roman" w:hAnsi="Times New Roman" w:cs="Times New Roman"/>
                      <w:snapToGrid w:val="0"/>
                      <w:color w:val="auto"/>
                      <w:kern w:val="18"/>
                      <w:sz w:val="21"/>
                      <w:szCs w:val="21"/>
                      <w:shd w:val="clear" w:fill="FFFFFF"/>
                    </w:rPr>
                    <w:t>，＜</w:t>
                  </w:r>
                  <w:r>
                    <w:rPr>
                      <w:rFonts w:hint="default" w:ascii="Times New Roman" w:hAnsi="Times New Roman" w:cs="Times New Roman"/>
                      <w:snapToGrid w:val="0"/>
                      <w:color w:val="auto"/>
                      <w:kern w:val="18"/>
                      <w:sz w:val="21"/>
                      <w:szCs w:val="21"/>
                    </w:rPr>
                    <w:t>3</w:t>
                  </w:r>
                </w:p>
              </w:tc>
              <w:tc>
                <w:tcPr>
                  <w:tcW w:w="1920" w:type="dxa"/>
                  <w:noWrap w:val="0"/>
                  <w:vAlign w:val="center"/>
                </w:tcPr>
                <w:p w14:paraId="670FFE8B">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≥3</w:t>
                  </w:r>
                  <w:r>
                    <w:rPr>
                      <w:rFonts w:hint="default" w:ascii="Times New Roman" w:hAnsi="Times New Roman" w:cs="Times New Roman"/>
                      <w:snapToGrid w:val="0"/>
                      <w:color w:val="auto"/>
                      <w:kern w:val="18"/>
                      <w:sz w:val="21"/>
                      <w:szCs w:val="21"/>
                      <w:shd w:val="clear" w:fill="FFFFFF"/>
                    </w:rPr>
                    <w:t>，＜</w:t>
                  </w:r>
                  <w:r>
                    <w:rPr>
                      <w:rFonts w:hint="default" w:ascii="Times New Roman" w:hAnsi="Times New Roman" w:cs="Times New Roman"/>
                      <w:snapToGrid w:val="0"/>
                      <w:color w:val="auto"/>
                      <w:kern w:val="18"/>
                      <w:sz w:val="21"/>
                      <w:szCs w:val="21"/>
                    </w:rPr>
                    <w:t>6</w:t>
                  </w:r>
                </w:p>
              </w:tc>
              <w:tc>
                <w:tcPr>
                  <w:tcW w:w="1840" w:type="dxa"/>
                  <w:noWrap w:val="0"/>
                  <w:vAlign w:val="center"/>
                </w:tcPr>
                <w:p w14:paraId="36A6F2DF">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≥6</w:t>
                  </w:r>
                </w:p>
              </w:tc>
            </w:tr>
            <w:tr w14:paraId="244BC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9" w:type="dxa"/>
                  <w:gridSpan w:val="2"/>
                  <w:shd w:val="clear" w:color="auto" w:fill="auto"/>
                  <w:noWrap w:val="0"/>
                  <w:vAlign w:val="center"/>
                </w:tcPr>
                <w:p w14:paraId="3118D610">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eastAsia="宋体" w:cs="Times New Roman"/>
                      <w:color w:val="auto"/>
                      <w:sz w:val="21"/>
                      <w:szCs w:val="21"/>
                    </w:rPr>
                    <w:t>最高允许排放浓度</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shd w:val="clear" w:fill="FFFFFF"/>
                      <w:lang w:eastAsia="zh-CN"/>
                    </w:rPr>
                    <w:t>)</w:t>
                  </w:r>
                </w:p>
              </w:tc>
              <w:tc>
                <w:tcPr>
                  <w:tcW w:w="5575" w:type="dxa"/>
                  <w:gridSpan w:val="3"/>
                  <w:shd w:val="clear" w:color="auto" w:fill="D7D7D7"/>
                  <w:noWrap w:val="0"/>
                  <w:vAlign w:val="center"/>
                </w:tcPr>
                <w:p w14:paraId="12EBEC23">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2.0</w:t>
                  </w:r>
                </w:p>
              </w:tc>
            </w:tr>
            <w:tr w14:paraId="07233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9" w:type="dxa"/>
                  <w:gridSpan w:val="2"/>
                  <w:shd w:val="clear" w:color="auto" w:fill="auto"/>
                  <w:noWrap w:val="0"/>
                  <w:vAlign w:val="center"/>
                </w:tcPr>
                <w:p w14:paraId="5278013B">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eastAsia="宋体" w:cs="Times New Roman"/>
                      <w:color w:val="auto"/>
                      <w:sz w:val="21"/>
                      <w:szCs w:val="21"/>
                    </w:rPr>
                    <w:t>净化设施最低去除效率</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shd w:val="clear" w:fill="FFFFFF"/>
                      <w:lang w:eastAsia="zh-CN"/>
                    </w:rPr>
                    <w:t>)</w:t>
                  </w:r>
                </w:p>
              </w:tc>
              <w:tc>
                <w:tcPr>
                  <w:tcW w:w="1815" w:type="dxa"/>
                  <w:shd w:val="clear" w:color="auto" w:fill="D7D7D7"/>
                  <w:noWrap w:val="0"/>
                  <w:vAlign w:val="center"/>
                </w:tcPr>
                <w:p w14:paraId="1CFC84B6">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60</w:t>
                  </w:r>
                </w:p>
              </w:tc>
              <w:tc>
                <w:tcPr>
                  <w:tcW w:w="1920" w:type="dxa"/>
                  <w:noWrap w:val="0"/>
                  <w:vAlign w:val="center"/>
                </w:tcPr>
                <w:p w14:paraId="2F25FB03">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75</w:t>
                  </w:r>
                </w:p>
              </w:tc>
              <w:tc>
                <w:tcPr>
                  <w:tcW w:w="1840" w:type="dxa"/>
                  <w:noWrap w:val="0"/>
                  <w:vAlign w:val="center"/>
                </w:tcPr>
                <w:p w14:paraId="282A8846">
                  <w:pPr>
                    <w:snapToGrid w:val="0"/>
                    <w:spacing w:line="360" w:lineRule="exact"/>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85</w:t>
                  </w:r>
                </w:p>
              </w:tc>
            </w:tr>
          </w:tbl>
          <w:p w14:paraId="72523DFD">
            <w:pPr>
              <w:pStyle w:val="68"/>
              <w:ind w:firstLine="480"/>
              <w:rPr>
                <w:color w:val="auto"/>
                <w:kern w:val="2"/>
                <w:sz w:val="24"/>
                <w:szCs w:val="24"/>
              </w:rPr>
            </w:pPr>
            <w:r>
              <w:rPr>
                <w:rFonts w:hint="eastAsia"/>
                <w:color w:val="auto"/>
                <w:kern w:val="2"/>
                <w:sz w:val="24"/>
                <w:szCs w:val="24"/>
              </w:rPr>
              <w:t>(3</w:t>
            </w:r>
            <w:r>
              <w:rPr>
                <w:rFonts w:hint="eastAsia"/>
                <w:color w:val="auto"/>
                <w:kern w:val="2"/>
                <w:sz w:val="24"/>
                <w:szCs w:val="24"/>
                <w:shd w:val="clear" w:fill="FFFFFF"/>
              </w:rPr>
              <w:t>)</w:t>
            </w:r>
            <w:r>
              <w:rPr>
                <w:rFonts w:hint="eastAsia"/>
                <w:color w:val="auto"/>
                <w:kern w:val="2"/>
                <w:sz w:val="24"/>
                <w:szCs w:val="24"/>
              </w:rPr>
              <w:t>噪声污染物排放标准</w:t>
            </w:r>
          </w:p>
          <w:p w14:paraId="3EF70A29">
            <w:pPr>
              <w:pStyle w:val="68"/>
              <w:ind w:firstLine="480"/>
              <w:rPr>
                <w:color w:val="auto"/>
                <w:kern w:val="2"/>
                <w:sz w:val="24"/>
                <w:szCs w:val="24"/>
              </w:rPr>
            </w:pPr>
            <w:r>
              <w:rPr>
                <w:color w:val="auto"/>
                <w:sz w:val="24"/>
                <w:szCs w:val="24"/>
                <w:shd w:val="clear" w:color="auto" w:fill="FFFFFF"/>
              </w:rPr>
              <w:fldChar w:fldCharType="begin"/>
            </w:r>
            <w:r>
              <w:rPr>
                <w:color w:val="auto"/>
                <w:sz w:val="24"/>
                <w:szCs w:val="24"/>
                <w:shd w:val="clear" w:color="auto" w:fill="FFFFFF"/>
              </w:rPr>
              <w:instrText xml:space="preserve"> = 1 \* GB3 \* MERGEFORMAT </w:instrText>
            </w:r>
            <w:r>
              <w:rPr>
                <w:color w:val="auto"/>
                <w:sz w:val="24"/>
                <w:szCs w:val="24"/>
                <w:shd w:val="clear" w:color="auto" w:fill="FFFFFF"/>
              </w:rPr>
              <w:fldChar w:fldCharType="separate"/>
            </w:r>
            <w:r>
              <w:rPr>
                <w:color w:val="auto"/>
                <w:sz w:val="24"/>
                <w:szCs w:val="24"/>
              </w:rPr>
              <w:t>①</w:t>
            </w:r>
            <w:r>
              <w:rPr>
                <w:color w:val="auto"/>
                <w:sz w:val="24"/>
                <w:szCs w:val="24"/>
                <w:shd w:val="clear" w:color="auto" w:fill="FFFFFF"/>
              </w:rPr>
              <w:fldChar w:fldCharType="end"/>
            </w:r>
            <w:r>
              <w:rPr>
                <w:rFonts w:hint="eastAsia"/>
                <w:color w:val="auto"/>
                <w:sz w:val="24"/>
                <w:szCs w:val="24"/>
                <w:shd w:val="clear" w:color="auto" w:fill="FFFFFF"/>
              </w:rPr>
              <w:t>施工期：</w:t>
            </w:r>
            <w:r>
              <w:rPr>
                <w:rFonts w:hint="eastAsia"/>
                <w:color w:val="auto"/>
                <w:sz w:val="24"/>
                <w:szCs w:val="24"/>
                <w:shd w:val="clear" w:color="auto" w:fill="FFFFFF"/>
                <w:lang w:eastAsia="zh-CN"/>
              </w:rPr>
              <w:t>迁建项目</w:t>
            </w:r>
            <w:r>
              <w:rPr>
                <w:rFonts w:hint="eastAsia"/>
                <w:color w:val="auto"/>
                <w:sz w:val="24"/>
                <w:szCs w:val="24"/>
                <w:shd w:val="clear" w:color="auto" w:fill="FFFFFF"/>
              </w:rPr>
              <w:t>施工期噪声执行《建筑施工场界环境噪声排放标准》</w:t>
            </w:r>
            <w:r>
              <w:rPr>
                <w:rFonts w:hint="eastAsia"/>
                <w:color w:val="auto"/>
                <w:sz w:val="24"/>
                <w:szCs w:val="24"/>
                <w:shd w:val="clear" w:color="auto" w:fill="FFFFFF"/>
                <w:lang w:eastAsia="zh-CN"/>
              </w:rPr>
              <w:t>(</w:t>
            </w:r>
            <w:r>
              <w:rPr>
                <w:rFonts w:hint="eastAsia"/>
                <w:color w:val="auto"/>
                <w:sz w:val="24"/>
                <w:szCs w:val="24"/>
                <w:shd w:val="clear" w:color="auto" w:fill="FFFFFF"/>
              </w:rPr>
              <w:t>GB12523-2011</w:t>
            </w:r>
            <w:r>
              <w:rPr>
                <w:rFonts w:hint="eastAsia"/>
                <w:color w:val="auto"/>
                <w:sz w:val="24"/>
                <w:szCs w:val="24"/>
                <w:shd w:val="clear" w:color="auto" w:fill="FFFFFF"/>
                <w:lang w:eastAsia="zh-CN"/>
              </w:rPr>
              <w:t>)</w:t>
            </w:r>
            <w:r>
              <w:rPr>
                <w:rFonts w:hint="eastAsia"/>
                <w:color w:val="auto"/>
                <w:sz w:val="24"/>
                <w:szCs w:val="24"/>
                <w:shd w:val="clear" w:color="auto" w:fill="FFFFFF"/>
              </w:rPr>
              <w:t>，详见表3.3-</w:t>
            </w:r>
            <w:r>
              <w:rPr>
                <w:rFonts w:hint="eastAsia"/>
                <w:color w:val="auto"/>
                <w:sz w:val="24"/>
                <w:szCs w:val="24"/>
                <w:shd w:val="clear" w:color="auto" w:fill="FFFFFF"/>
                <w:lang w:val="en-US" w:eastAsia="zh-CN"/>
              </w:rPr>
              <w:t>6</w:t>
            </w:r>
            <w:r>
              <w:rPr>
                <w:rFonts w:hint="eastAsia"/>
                <w:color w:val="auto"/>
                <w:sz w:val="24"/>
                <w:szCs w:val="24"/>
                <w:shd w:val="clear" w:color="auto" w:fill="FFFFFF"/>
              </w:rPr>
              <w:t>。</w:t>
            </w:r>
          </w:p>
          <w:p w14:paraId="75FA886D">
            <w:pPr>
              <w:spacing w:line="360" w:lineRule="auto"/>
              <w:ind w:firstLine="480" w:firstLineChars="200"/>
              <w:rPr>
                <w:color w:val="auto"/>
                <w:sz w:val="24"/>
              </w:rPr>
            </w:pPr>
            <w:r>
              <w:rPr>
                <w:color w:val="auto"/>
                <w:sz w:val="24"/>
                <w:shd w:val="clear" w:color="auto" w:fill="FFFFFF"/>
              </w:rPr>
              <w:fldChar w:fldCharType="begin"/>
            </w:r>
            <w:r>
              <w:rPr>
                <w:color w:val="auto"/>
                <w:sz w:val="24"/>
                <w:shd w:val="clear" w:color="auto" w:fill="FFFFFF"/>
              </w:rPr>
              <w:instrText xml:space="preserve"> = 2 \* GB3 \* MERGEFORMAT </w:instrText>
            </w:r>
            <w:r>
              <w:rPr>
                <w:color w:val="auto"/>
                <w:sz w:val="24"/>
                <w:shd w:val="clear" w:color="auto" w:fill="FFFFFF"/>
              </w:rPr>
              <w:fldChar w:fldCharType="separate"/>
            </w:r>
            <w:r>
              <w:rPr>
                <w:color w:val="auto"/>
                <w:sz w:val="24"/>
              </w:rPr>
              <w:t>②</w:t>
            </w:r>
            <w:r>
              <w:rPr>
                <w:color w:val="auto"/>
                <w:sz w:val="24"/>
                <w:shd w:val="clear" w:color="auto" w:fill="FFFFFF"/>
              </w:rPr>
              <w:fldChar w:fldCharType="end"/>
            </w:r>
            <w:r>
              <w:rPr>
                <w:color w:val="auto"/>
                <w:sz w:val="24"/>
              </w:rPr>
              <w:t>运营期：</w:t>
            </w:r>
            <w:r>
              <w:rPr>
                <w:rFonts w:hint="eastAsia"/>
                <w:color w:val="auto"/>
                <w:sz w:val="24"/>
                <w:lang w:eastAsia="zh-CN"/>
              </w:rPr>
              <w:t>迁建项目</w:t>
            </w:r>
            <w:r>
              <w:rPr>
                <w:color w:val="auto"/>
                <w:sz w:val="24"/>
              </w:rPr>
              <w:t>位于</w:t>
            </w:r>
            <w:r>
              <w:rPr>
                <w:rFonts w:hint="eastAsia"/>
                <w:color w:val="auto"/>
                <w:sz w:val="24"/>
              </w:rPr>
              <w:t>福建省福州市福清市江阴镇江阴港城经济区三峡路与兴林路交叉口东南侧，属于</w:t>
            </w:r>
            <w:r>
              <w:rPr>
                <w:color w:val="auto"/>
                <w:sz w:val="24"/>
              </w:rPr>
              <w:t>工业集中区，属于《声环境质量标准》</w:t>
            </w:r>
            <w:r>
              <w:rPr>
                <w:rFonts w:hint="eastAsia"/>
                <w:color w:val="auto"/>
                <w:sz w:val="24"/>
                <w:lang w:eastAsia="zh-CN"/>
              </w:rPr>
              <w:t>(</w:t>
            </w:r>
            <w:r>
              <w:rPr>
                <w:color w:val="auto"/>
                <w:sz w:val="24"/>
              </w:rPr>
              <w:t>GB3096-2008</w:t>
            </w:r>
            <w:r>
              <w:rPr>
                <w:rFonts w:hint="eastAsia"/>
                <w:color w:val="auto"/>
                <w:sz w:val="24"/>
                <w:shd w:val="clear" w:fill="FFFFFF"/>
                <w:lang w:eastAsia="zh-CN"/>
              </w:rPr>
              <w:t>)</w:t>
            </w:r>
            <w:r>
              <w:rPr>
                <w:color w:val="auto"/>
                <w:sz w:val="24"/>
              </w:rPr>
              <w:t>中的3类区，运营期间厂界噪声执行《工业企业厂界环境噪声排放标准》(GB12348-2008</w:t>
            </w:r>
            <w:r>
              <w:rPr>
                <w:color w:val="auto"/>
                <w:sz w:val="24"/>
                <w:shd w:val="clear" w:fill="FFFFFF"/>
              </w:rPr>
              <w:t>)</w:t>
            </w:r>
            <w:r>
              <w:rPr>
                <w:color w:val="auto"/>
                <w:sz w:val="24"/>
              </w:rPr>
              <w:t>中3类标准</w:t>
            </w:r>
            <w:r>
              <w:rPr>
                <w:rFonts w:hint="eastAsia"/>
                <w:color w:val="auto"/>
                <w:sz w:val="24"/>
              </w:rPr>
              <w:t>，</w:t>
            </w:r>
            <w:r>
              <w:rPr>
                <w:color w:val="auto"/>
                <w:sz w:val="24"/>
              </w:rPr>
              <w:t>详见表</w:t>
            </w:r>
            <w:r>
              <w:rPr>
                <w:rFonts w:hint="eastAsia"/>
                <w:color w:val="auto"/>
                <w:sz w:val="24"/>
                <w:shd w:val="clear" w:color="auto" w:fill="FFFFFF"/>
              </w:rPr>
              <w:t>3.3-</w:t>
            </w:r>
            <w:r>
              <w:rPr>
                <w:rFonts w:hint="eastAsia"/>
                <w:color w:val="auto"/>
                <w:sz w:val="24"/>
                <w:shd w:val="clear" w:color="auto" w:fill="FFFFFF"/>
                <w:lang w:val="en-US" w:eastAsia="zh-CN"/>
              </w:rPr>
              <w:t>7</w:t>
            </w:r>
            <w:r>
              <w:rPr>
                <w:rFonts w:hint="eastAsia"/>
                <w:color w:val="auto"/>
                <w:sz w:val="24"/>
                <w:shd w:val="clear" w:color="auto" w:fill="FFFFFF"/>
              </w:rPr>
              <w:t>。</w:t>
            </w:r>
          </w:p>
          <w:p w14:paraId="59B0C481">
            <w:pPr>
              <w:pStyle w:val="80"/>
              <w:rPr>
                <w:color w:val="auto"/>
                <w:sz w:val="24"/>
                <w:szCs w:val="24"/>
              </w:rPr>
            </w:pPr>
            <w:r>
              <w:rPr>
                <w:rFonts w:hint="eastAsia"/>
                <w:color w:val="auto"/>
                <w:sz w:val="24"/>
                <w:szCs w:val="24"/>
              </w:rPr>
              <w:t>表3.3-</w:t>
            </w:r>
            <w:r>
              <w:rPr>
                <w:rFonts w:hint="eastAsia"/>
                <w:color w:val="auto"/>
                <w:sz w:val="24"/>
                <w:szCs w:val="24"/>
                <w:lang w:val="en-US" w:eastAsia="zh-CN"/>
              </w:rPr>
              <w:t>6</w:t>
            </w:r>
            <w:r>
              <w:rPr>
                <w:rFonts w:hint="eastAsia"/>
                <w:color w:val="auto"/>
                <w:sz w:val="24"/>
                <w:szCs w:val="24"/>
              </w:rPr>
              <w:t xml:space="preserve">  《建筑施工场界环境噪声排放标准》</w:t>
            </w:r>
            <w:r>
              <w:rPr>
                <w:rFonts w:hint="eastAsia"/>
                <w:color w:val="auto"/>
                <w:sz w:val="24"/>
                <w:szCs w:val="24"/>
                <w:lang w:eastAsia="zh-CN"/>
              </w:rPr>
              <w:t>(</w:t>
            </w:r>
            <w:r>
              <w:rPr>
                <w:rFonts w:hint="eastAsia"/>
                <w:color w:val="auto"/>
                <w:sz w:val="24"/>
                <w:szCs w:val="24"/>
              </w:rPr>
              <w:t>GB12523-2011</w:t>
            </w:r>
            <w:r>
              <w:rPr>
                <w:rFonts w:hint="eastAsia"/>
                <w:color w:val="auto"/>
                <w:sz w:val="24"/>
                <w:szCs w:val="24"/>
                <w:shd w:val="clear" w:fill="FFFFFF"/>
                <w:lang w:eastAsia="zh-CN"/>
              </w:rPr>
              <w:t>)</w:t>
            </w:r>
            <w:r>
              <w:rPr>
                <w:rFonts w:hint="eastAsia"/>
                <w:color w:val="auto"/>
                <w:sz w:val="24"/>
                <w:szCs w:val="24"/>
              </w:rPr>
              <w:t>单位：dB(A)</w:t>
            </w:r>
          </w:p>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3"/>
              <w:gridCol w:w="3991"/>
            </w:tblGrid>
            <w:tr w14:paraId="5095D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3" w:type="dxa"/>
                  <w:tcBorders>
                    <w:tl2br w:val="nil"/>
                    <w:tr2bl w:val="nil"/>
                  </w:tcBorders>
                  <w:vAlign w:val="center"/>
                </w:tcPr>
                <w:p w14:paraId="5ECBD0B9">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昼间</w:t>
                  </w:r>
                </w:p>
              </w:tc>
              <w:tc>
                <w:tcPr>
                  <w:tcW w:w="3991" w:type="dxa"/>
                  <w:tcBorders>
                    <w:tl2br w:val="nil"/>
                    <w:tr2bl w:val="nil"/>
                  </w:tcBorders>
                  <w:vAlign w:val="center"/>
                </w:tcPr>
                <w:p w14:paraId="1F5F7CF4">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夜间</w:t>
                  </w:r>
                </w:p>
              </w:tc>
            </w:tr>
            <w:tr w14:paraId="4737F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3" w:type="dxa"/>
                  <w:tcBorders>
                    <w:tl2br w:val="nil"/>
                    <w:tr2bl w:val="nil"/>
                  </w:tcBorders>
                  <w:vAlign w:val="center"/>
                </w:tcPr>
                <w:p w14:paraId="26B1CE54">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70</w:t>
                  </w:r>
                </w:p>
              </w:tc>
              <w:tc>
                <w:tcPr>
                  <w:tcW w:w="3991" w:type="dxa"/>
                  <w:tcBorders>
                    <w:tl2br w:val="nil"/>
                    <w:tr2bl w:val="nil"/>
                  </w:tcBorders>
                  <w:vAlign w:val="center"/>
                </w:tcPr>
                <w:p w14:paraId="2CF5D66A">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55</w:t>
                  </w:r>
                </w:p>
              </w:tc>
            </w:tr>
          </w:tbl>
          <w:p w14:paraId="6C04AD43">
            <w:pPr>
              <w:pStyle w:val="80"/>
              <w:keepNext w:val="0"/>
              <w:keepLines w:val="0"/>
              <w:pageBreakBefore w:val="0"/>
              <w:widowControl w:val="0"/>
              <w:kinsoku/>
              <w:wordWrap/>
              <w:overflowPunct/>
              <w:topLinePunct w:val="0"/>
              <w:autoSpaceDE/>
              <w:autoSpaceDN/>
              <w:bidi w:val="0"/>
              <w:adjustRightInd w:val="0"/>
              <w:snapToGrid w:val="0"/>
              <w:spacing w:before="313" w:beforeLines="100"/>
              <w:textAlignment w:val="auto"/>
              <w:rPr>
                <w:rFonts w:hint="eastAsia"/>
                <w:color w:val="auto"/>
                <w:sz w:val="24"/>
                <w:szCs w:val="24"/>
              </w:rPr>
            </w:pPr>
          </w:p>
          <w:p w14:paraId="6600C1A1">
            <w:pPr>
              <w:pStyle w:val="80"/>
              <w:keepNext w:val="0"/>
              <w:keepLines w:val="0"/>
              <w:pageBreakBefore w:val="0"/>
              <w:widowControl w:val="0"/>
              <w:kinsoku/>
              <w:wordWrap/>
              <w:overflowPunct/>
              <w:topLinePunct w:val="0"/>
              <w:autoSpaceDE/>
              <w:autoSpaceDN/>
              <w:bidi w:val="0"/>
              <w:adjustRightInd w:val="0"/>
              <w:snapToGrid w:val="0"/>
              <w:spacing w:before="313" w:beforeLines="100"/>
              <w:textAlignment w:val="auto"/>
              <w:rPr>
                <w:color w:val="auto"/>
                <w:sz w:val="24"/>
                <w:szCs w:val="24"/>
              </w:rPr>
            </w:pPr>
            <w:r>
              <w:rPr>
                <w:rFonts w:hint="eastAsia"/>
                <w:color w:val="auto"/>
                <w:sz w:val="24"/>
                <w:szCs w:val="24"/>
              </w:rPr>
              <w:t>表3.3-</w:t>
            </w:r>
            <w:r>
              <w:rPr>
                <w:rFonts w:hint="eastAsia"/>
                <w:color w:val="auto"/>
                <w:sz w:val="24"/>
                <w:szCs w:val="24"/>
                <w:lang w:val="en-US" w:eastAsia="zh-CN"/>
              </w:rPr>
              <w:t>7</w:t>
            </w:r>
            <w:r>
              <w:rPr>
                <w:rFonts w:hint="eastAsia"/>
                <w:color w:val="auto"/>
                <w:sz w:val="24"/>
                <w:szCs w:val="24"/>
              </w:rPr>
              <w:t xml:space="preserve">  </w:t>
            </w:r>
            <w:r>
              <w:rPr>
                <w:color w:val="auto"/>
                <w:sz w:val="24"/>
              </w:rPr>
              <w:t>《工业企业厂界环境噪声排放标准》(GB12348-2008</w:t>
            </w:r>
            <w:r>
              <w:rPr>
                <w:color w:val="auto"/>
                <w:sz w:val="24"/>
                <w:shd w:val="clear" w:fill="FFFFFF"/>
              </w:rPr>
              <w:t>)</w:t>
            </w:r>
            <w:r>
              <w:rPr>
                <w:rFonts w:hint="eastAsia"/>
                <w:color w:val="auto"/>
                <w:sz w:val="24"/>
                <w:szCs w:val="24"/>
              </w:rPr>
              <w:t>单位：dB(A)</w:t>
            </w:r>
          </w:p>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43"/>
              <w:gridCol w:w="2835"/>
              <w:gridCol w:w="2326"/>
            </w:tblGrid>
            <w:tr w14:paraId="2BD8D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43" w:type="dxa"/>
                  <w:tcBorders>
                    <w:tl2br w:val="nil"/>
                    <w:tr2bl w:val="nil"/>
                  </w:tcBorders>
                  <w:vAlign w:val="center"/>
                </w:tcPr>
                <w:p w14:paraId="16F14C14">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类别</w:t>
                  </w:r>
                </w:p>
              </w:tc>
              <w:tc>
                <w:tcPr>
                  <w:tcW w:w="2835" w:type="dxa"/>
                  <w:tcBorders>
                    <w:tl2br w:val="nil"/>
                    <w:tr2bl w:val="nil"/>
                  </w:tcBorders>
                  <w:vAlign w:val="center"/>
                </w:tcPr>
                <w:p w14:paraId="5AF51641">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昼间</w:t>
                  </w:r>
                </w:p>
              </w:tc>
              <w:tc>
                <w:tcPr>
                  <w:tcW w:w="2326" w:type="dxa"/>
                  <w:tcBorders>
                    <w:tl2br w:val="nil"/>
                    <w:tr2bl w:val="nil"/>
                  </w:tcBorders>
                  <w:vAlign w:val="center"/>
                </w:tcPr>
                <w:p w14:paraId="4F9FE48A">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夜间</w:t>
                  </w:r>
                </w:p>
              </w:tc>
            </w:tr>
            <w:tr w14:paraId="4AB27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43" w:type="dxa"/>
                  <w:tcBorders>
                    <w:tl2br w:val="nil"/>
                    <w:tr2bl w:val="nil"/>
                  </w:tcBorders>
                  <w:vAlign w:val="center"/>
                </w:tcPr>
                <w:p w14:paraId="75E86905">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3类</w:t>
                  </w:r>
                </w:p>
              </w:tc>
              <w:tc>
                <w:tcPr>
                  <w:tcW w:w="2835" w:type="dxa"/>
                  <w:tcBorders>
                    <w:tl2br w:val="nil"/>
                    <w:tr2bl w:val="nil"/>
                  </w:tcBorders>
                  <w:vAlign w:val="center"/>
                </w:tcPr>
                <w:p w14:paraId="60B3F25A">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65</w:t>
                  </w:r>
                </w:p>
              </w:tc>
              <w:tc>
                <w:tcPr>
                  <w:tcW w:w="2326" w:type="dxa"/>
                  <w:tcBorders>
                    <w:tl2br w:val="nil"/>
                    <w:tr2bl w:val="nil"/>
                  </w:tcBorders>
                  <w:vAlign w:val="center"/>
                </w:tcPr>
                <w:p w14:paraId="7C10A100">
                  <w:pPr>
                    <w:pStyle w:val="29"/>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55</w:t>
                  </w:r>
                </w:p>
              </w:tc>
            </w:tr>
          </w:tbl>
          <w:p w14:paraId="645FA95D">
            <w:pPr>
              <w:pStyle w:val="68"/>
              <w:ind w:firstLine="480"/>
              <w:rPr>
                <w:color w:val="auto"/>
                <w:kern w:val="2"/>
                <w:sz w:val="24"/>
                <w:szCs w:val="24"/>
              </w:rPr>
            </w:pPr>
            <w:r>
              <w:rPr>
                <w:rFonts w:hint="eastAsia"/>
                <w:color w:val="auto"/>
                <w:kern w:val="2"/>
                <w:sz w:val="24"/>
                <w:szCs w:val="24"/>
              </w:rPr>
              <w:t>(4</w:t>
            </w:r>
            <w:r>
              <w:rPr>
                <w:rFonts w:hint="eastAsia"/>
                <w:color w:val="auto"/>
                <w:kern w:val="2"/>
                <w:sz w:val="24"/>
                <w:szCs w:val="24"/>
                <w:shd w:val="clear" w:fill="FFFFFF"/>
              </w:rPr>
              <w:t>)</w:t>
            </w:r>
            <w:r>
              <w:rPr>
                <w:rFonts w:hint="eastAsia"/>
                <w:color w:val="auto"/>
                <w:kern w:val="2"/>
                <w:sz w:val="24"/>
                <w:szCs w:val="24"/>
              </w:rPr>
              <w:t>固废执行标准</w:t>
            </w:r>
          </w:p>
          <w:p w14:paraId="020F7043">
            <w:pPr>
              <w:pStyle w:val="68"/>
              <w:ind w:firstLine="480"/>
              <w:rPr>
                <w:color w:val="auto"/>
                <w:kern w:val="21"/>
                <w:sz w:val="24"/>
                <w:szCs w:val="24"/>
              </w:rPr>
            </w:pPr>
            <w:r>
              <w:rPr>
                <w:rFonts w:hint="eastAsia"/>
                <w:color w:val="auto"/>
                <w:sz w:val="24"/>
                <w:szCs w:val="24"/>
              </w:rPr>
              <w:t>一般工业固体废物执行《一般工业固体废物贮存和填埋污染控制标准》</w:t>
            </w:r>
            <w:r>
              <w:rPr>
                <w:rFonts w:hint="eastAsia"/>
                <w:color w:val="auto"/>
                <w:sz w:val="24"/>
                <w:szCs w:val="24"/>
                <w:lang w:eastAsia="zh-CN"/>
              </w:rPr>
              <w:t>(</w:t>
            </w:r>
            <w:r>
              <w:rPr>
                <w:rFonts w:hint="eastAsia"/>
                <w:color w:val="auto"/>
                <w:sz w:val="24"/>
                <w:szCs w:val="24"/>
              </w:rPr>
              <w:t>GB18599-2020</w:t>
            </w:r>
            <w:r>
              <w:rPr>
                <w:rFonts w:hint="eastAsia"/>
                <w:color w:val="auto"/>
                <w:sz w:val="24"/>
                <w:szCs w:val="24"/>
                <w:shd w:val="clear" w:fill="FFFFFF"/>
                <w:lang w:eastAsia="zh-CN"/>
              </w:rPr>
              <w:t>)</w:t>
            </w:r>
            <w:r>
              <w:rPr>
                <w:rFonts w:hint="eastAsia"/>
                <w:color w:val="auto"/>
                <w:sz w:val="24"/>
                <w:szCs w:val="24"/>
              </w:rPr>
              <w:t>中的相关要求。</w:t>
            </w:r>
          </w:p>
        </w:tc>
      </w:tr>
      <w:tr w14:paraId="6BF2A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3" w:type="dxa"/>
            <w:vAlign w:val="center"/>
          </w:tcPr>
          <w:p w14:paraId="39AA2172">
            <w:pPr>
              <w:jc w:val="center"/>
              <w:rPr>
                <w:rFonts w:ascii="宋体" w:hAnsi="宋体" w:cs="宋体"/>
                <w:color w:val="auto"/>
                <w:kern w:val="21"/>
                <w:sz w:val="24"/>
              </w:rPr>
            </w:pPr>
            <w:r>
              <w:rPr>
                <w:rFonts w:hint="eastAsia" w:ascii="宋体" w:hAnsi="宋体" w:cs="宋体"/>
                <w:color w:val="auto"/>
                <w:kern w:val="21"/>
                <w:sz w:val="24"/>
              </w:rPr>
              <w:t>总量</w:t>
            </w:r>
          </w:p>
          <w:p w14:paraId="30312A34">
            <w:pPr>
              <w:jc w:val="center"/>
              <w:rPr>
                <w:rFonts w:ascii="宋体" w:hAnsi="宋体" w:cs="宋体"/>
                <w:color w:val="auto"/>
                <w:kern w:val="21"/>
                <w:sz w:val="24"/>
              </w:rPr>
            </w:pPr>
            <w:r>
              <w:rPr>
                <w:rFonts w:hint="eastAsia" w:ascii="宋体" w:hAnsi="宋体" w:cs="宋体"/>
                <w:color w:val="auto"/>
                <w:kern w:val="21"/>
                <w:sz w:val="24"/>
              </w:rPr>
              <w:t>控制</w:t>
            </w:r>
          </w:p>
          <w:p w14:paraId="2FD403F3">
            <w:pPr>
              <w:jc w:val="center"/>
              <w:rPr>
                <w:rFonts w:ascii="宋体" w:hAnsi="宋体" w:cs="宋体"/>
                <w:color w:val="auto"/>
                <w:kern w:val="21"/>
                <w:szCs w:val="21"/>
              </w:rPr>
            </w:pPr>
            <w:r>
              <w:rPr>
                <w:rFonts w:hint="eastAsia" w:ascii="宋体" w:hAnsi="宋体" w:cs="宋体"/>
                <w:color w:val="auto"/>
                <w:kern w:val="21"/>
                <w:sz w:val="24"/>
              </w:rPr>
              <w:t>指标</w:t>
            </w:r>
          </w:p>
        </w:tc>
        <w:tc>
          <w:tcPr>
            <w:tcW w:w="8608" w:type="dxa"/>
            <w:vAlign w:val="center"/>
          </w:tcPr>
          <w:p w14:paraId="56770DD7">
            <w:pPr>
              <w:pStyle w:val="68"/>
              <w:ind w:firstLine="0" w:firstLineChars="0"/>
              <w:rPr>
                <w:b/>
                <w:bCs/>
                <w:color w:val="auto"/>
                <w:kern w:val="2"/>
                <w:sz w:val="24"/>
                <w:szCs w:val="24"/>
              </w:rPr>
            </w:pPr>
            <w:r>
              <w:rPr>
                <w:b/>
                <w:bCs/>
                <w:color w:val="auto"/>
                <w:kern w:val="2"/>
                <w:sz w:val="24"/>
                <w:szCs w:val="24"/>
              </w:rPr>
              <w:t>3.4总量控制指标</w:t>
            </w:r>
          </w:p>
          <w:p w14:paraId="40D3F575">
            <w:pPr>
              <w:pStyle w:val="68"/>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污染物排放总量参照执行《福建省环保局关于做好建设项目环保审批污染物总量控制有关工作的通知》</w:t>
            </w:r>
            <w:r>
              <w:rPr>
                <w:rFonts w:hint="eastAsia"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rPr>
              <w:t>闽环保监</w:t>
            </w:r>
            <w:r>
              <w:rPr>
                <w:rFonts w:hint="eastAsia" w:eastAsia="宋体" w:cs="Times New Roman"/>
                <w:color w:val="auto"/>
                <w:sz w:val="24"/>
                <w:szCs w:val="24"/>
                <w:lang w:eastAsia="zh-CN"/>
              </w:rPr>
              <w:t>〔2007〕52号</w:t>
            </w:r>
            <w:r>
              <w:rPr>
                <w:rFonts w:hint="default" w:ascii="Times New Roman" w:hAnsi="Times New Roman" w:eastAsia="宋体" w:cs="Times New Roman"/>
                <w:color w:val="auto"/>
                <w:sz w:val="24"/>
                <w:szCs w:val="24"/>
              </w:rPr>
              <w:t>文</w:t>
            </w:r>
            <w:r>
              <w:rPr>
                <w:rFonts w:hint="eastAsia" w:eastAsia="宋体" w:cs="Times New Roman"/>
                <w:color w:val="auto"/>
                <w:sz w:val="24"/>
                <w:szCs w:val="24"/>
                <w:shd w:val="clear" w:fill="FFFFFF"/>
                <w:lang w:eastAsia="zh-CN"/>
              </w:rPr>
              <w:t>)</w:t>
            </w:r>
            <w:r>
              <w:rPr>
                <w:rFonts w:hint="default" w:ascii="Times New Roman" w:hAnsi="Times New Roman" w:eastAsia="宋体" w:cs="Times New Roman"/>
                <w:color w:val="auto"/>
                <w:sz w:val="24"/>
                <w:szCs w:val="24"/>
              </w:rPr>
              <w:t>和《“十三五”主要污染物总量控制规划编制技术指南》的有关总量调剂要求和项目排污特征，</w:t>
            </w:r>
            <w:r>
              <w:rPr>
                <w:rFonts w:hint="eastAsia" w:cs="Times New Roman"/>
                <w:color w:val="auto"/>
                <w:sz w:val="24"/>
                <w:szCs w:val="24"/>
                <w:lang w:val="en-US" w:eastAsia="zh-CN"/>
              </w:rPr>
              <w:t>确定本项目的总量控制指标。</w:t>
            </w:r>
          </w:p>
          <w:p w14:paraId="5EA274CC">
            <w:pPr>
              <w:pStyle w:val="68"/>
              <w:ind w:firstLine="480"/>
              <w:rPr>
                <w:rFonts w:hint="eastAsia"/>
                <w:color w:val="auto"/>
                <w:sz w:val="24"/>
                <w:lang w:val="en-US" w:eastAsia="zh-CN"/>
              </w:rPr>
            </w:pPr>
            <w:r>
              <w:rPr>
                <w:rFonts w:hint="eastAsia"/>
                <w:color w:val="auto"/>
                <w:sz w:val="24"/>
                <w:lang w:eastAsia="zh-CN"/>
              </w:rPr>
              <w:t>⑴</w:t>
            </w:r>
            <w:r>
              <w:rPr>
                <w:rFonts w:hint="eastAsia"/>
                <w:color w:val="auto"/>
                <w:sz w:val="24"/>
                <w:lang w:val="en-US" w:eastAsia="zh-CN"/>
              </w:rPr>
              <w:t>废水</w:t>
            </w:r>
          </w:p>
          <w:p w14:paraId="22E68415">
            <w:pPr>
              <w:pStyle w:val="68"/>
              <w:ind w:firstLine="480"/>
              <w:rPr>
                <w:color w:val="auto"/>
                <w:kern w:val="2"/>
                <w:sz w:val="24"/>
                <w:szCs w:val="24"/>
              </w:rPr>
            </w:pPr>
            <w:r>
              <w:rPr>
                <w:rFonts w:hint="eastAsia"/>
                <w:color w:val="auto"/>
                <w:sz w:val="24"/>
                <w:lang w:eastAsia="zh-CN"/>
              </w:rPr>
              <w:t>迁建项目</w:t>
            </w:r>
            <w:r>
              <w:rPr>
                <w:color w:val="auto"/>
                <w:sz w:val="24"/>
              </w:rPr>
              <w:t>无生产废水的排放，</w:t>
            </w:r>
            <w:r>
              <w:rPr>
                <w:rFonts w:hint="eastAsia"/>
                <w:color w:val="auto"/>
                <w:sz w:val="24"/>
              </w:rPr>
              <w:t>根据《福建省环保厅关于进一步明确排污权工作有关问题的通知》</w:t>
            </w:r>
            <w:r>
              <w:rPr>
                <w:rFonts w:hint="eastAsia"/>
                <w:color w:val="auto"/>
                <w:sz w:val="24"/>
                <w:shd w:val="clear" w:fill="FFFFFF"/>
              </w:rPr>
              <w:t>(</w:t>
            </w:r>
            <w:r>
              <w:rPr>
                <w:rFonts w:hint="eastAsia"/>
                <w:color w:val="auto"/>
                <w:sz w:val="24"/>
              </w:rPr>
              <w:t>闽环保财</w:t>
            </w:r>
            <w:r>
              <w:rPr>
                <w:rFonts w:hint="eastAsia"/>
                <w:color w:val="auto"/>
                <w:sz w:val="24"/>
                <w:shd w:val="clear" w:fill="FFFFFF"/>
              </w:rPr>
              <w:t>[2017]22号)</w:t>
            </w:r>
            <w:r>
              <w:rPr>
                <w:rFonts w:hint="eastAsia"/>
                <w:color w:val="auto"/>
                <w:sz w:val="24"/>
              </w:rPr>
              <w:t>，现有工业排污单位的水污染物的初始排污权只核定工业废水部分，项目生活污水排放暂不需要购买相应的排污权指标，因此，无需申请</w:t>
            </w:r>
            <w:r>
              <w:rPr>
                <w:rFonts w:hint="eastAsia"/>
                <w:color w:val="auto"/>
                <w:sz w:val="24"/>
                <w:lang w:val="en-US" w:eastAsia="zh-CN"/>
              </w:rPr>
              <w:t>废水</w:t>
            </w:r>
            <w:r>
              <w:rPr>
                <w:rFonts w:hint="eastAsia"/>
                <w:color w:val="auto"/>
                <w:sz w:val="24"/>
              </w:rPr>
              <w:t>总量控制指标。</w:t>
            </w:r>
          </w:p>
          <w:p w14:paraId="16971F1F">
            <w:pPr>
              <w:pStyle w:val="131"/>
              <w:spacing w:after="0" w:line="360" w:lineRule="auto"/>
              <w:ind w:left="0" w:leftChars="0" w:firstLine="480"/>
              <w:rPr>
                <w:rFonts w:hint="eastAsia" w:eastAsia="宋体" w:cs="Times New Roman"/>
                <w:color w:val="auto"/>
                <w:kern w:val="2"/>
                <w:szCs w:val="24"/>
                <w:shd w:val="clear" w:color="auto" w:fill="FFFFFF"/>
                <w:lang w:val="en-US" w:eastAsia="zh-CN"/>
              </w:rPr>
            </w:pPr>
            <w:r>
              <w:rPr>
                <w:rFonts w:hint="eastAsia" w:cs="Times New Roman"/>
                <w:color w:val="auto"/>
                <w:kern w:val="2"/>
                <w:szCs w:val="24"/>
                <w:shd w:val="clear" w:color="auto" w:fill="FFFFFF"/>
              </w:rPr>
              <w:t>⑵</w:t>
            </w:r>
            <w:r>
              <w:rPr>
                <w:rFonts w:hint="eastAsia" w:cs="Times New Roman"/>
                <w:color w:val="auto"/>
                <w:kern w:val="2"/>
                <w:szCs w:val="24"/>
                <w:shd w:val="clear" w:color="auto" w:fill="FFFFFF"/>
                <w:lang w:val="en-US" w:eastAsia="zh-CN"/>
              </w:rPr>
              <w:t>废气</w:t>
            </w:r>
          </w:p>
          <w:p w14:paraId="6F89AD29">
            <w:pPr>
              <w:pStyle w:val="131"/>
              <w:spacing w:after="0" w:line="360" w:lineRule="auto"/>
              <w:ind w:left="0" w:leftChars="0" w:firstLine="480"/>
              <w:rPr>
                <w:rFonts w:cs="Times New Roman"/>
                <w:color w:val="auto"/>
                <w:kern w:val="2"/>
                <w:szCs w:val="24"/>
                <w:shd w:val="clear" w:color="auto" w:fill="FFFFFF"/>
              </w:rPr>
            </w:pPr>
            <w:r>
              <w:rPr>
                <w:rFonts w:hint="eastAsia" w:cs="Times New Roman"/>
                <w:color w:val="auto"/>
                <w:kern w:val="2"/>
                <w:szCs w:val="24"/>
                <w:shd w:val="clear" w:color="auto" w:fill="FFFFFF"/>
                <w:lang w:val="en-US" w:eastAsia="zh-CN"/>
              </w:rPr>
              <w:t>迁建</w:t>
            </w:r>
            <w:r>
              <w:rPr>
                <w:rFonts w:cs="Times New Roman"/>
                <w:color w:val="auto"/>
                <w:kern w:val="2"/>
                <w:szCs w:val="24"/>
                <w:shd w:val="clear" w:color="auto" w:fill="FFFFFF"/>
              </w:rPr>
              <w:t>项目废气</w:t>
            </w:r>
            <w:r>
              <w:rPr>
                <w:rFonts w:hint="eastAsia" w:cs="Times New Roman"/>
                <w:color w:val="auto"/>
                <w:kern w:val="2"/>
                <w:szCs w:val="24"/>
                <w:shd w:val="clear" w:color="auto" w:fill="FFFFFF"/>
              </w:rPr>
              <w:t>不涉及</w:t>
            </w:r>
            <w:r>
              <w:rPr>
                <w:rFonts w:cs="Times New Roman"/>
                <w:color w:val="auto"/>
                <w:kern w:val="2"/>
                <w:szCs w:val="24"/>
                <w:shd w:val="clear" w:color="auto" w:fill="FFFFFF"/>
              </w:rPr>
              <w:t>SO</w:t>
            </w:r>
            <w:r>
              <w:rPr>
                <w:rFonts w:cs="Times New Roman"/>
                <w:color w:val="auto"/>
                <w:kern w:val="2"/>
                <w:szCs w:val="24"/>
                <w:shd w:val="clear" w:color="auto" w:fill="FFFFFF"/>
                <w:vertAlign w:val="subscript"/>
              </w:rPr>
              <w:t>2</w:t>
            </w:r>
            <w:r>
              <w:rPr>
                <w:rFonts w:cs="Times New Roman"/>
                <w:color w:val="auto"/>
                <w:kern w:val="2"/>
                <w:szCs w:val="24"/>
                <w:shd w:val="clear" w:color="auto" w:fill="FFFFFF"/>
              </w:rPr>
              <w:t>、NO</w:t>
            </w:r>
            <w:r>
              <w:rPr>
                <w:rFonts w:cs="Times New Roman"/>
                <w:color w:val="auto"/>
                <w:kern w:val="2"/>
                <w:szCs w:val="24"/>
                <w:shd w:val="clear" w:color="auto" w:fill="FFFFFF"/>
                <w:vertAlign w:val="subscript"/>
              </w:rPr>
              <w:t>x</w:t>
            </w:r>
            <w:r>
              <w:rPr>
                <w:rFonts w:hint="eastAsia" w:cs="Times New Roman"/>
                <w:color w:val="auto"/>
                <w:kern w:val="2"/>
                <w:szCs w:val="24"/>
                <w:shd w:val="clear" w:color="auto" w:fill="FFFFFF"/>
              </w:rPr>
              <w:t>等</w:t>
            </w:r>
            <w:r>
              <w:rPr>
                <w:rFonts w:cs="Times New Roman"/>
                <w:color w:val="auto"/>
                <w:kern w:val="2"/>
                <w:szCs w:val="24"/>
                <w:shd w:val="clear" w:color="auto" w:fill="FFFFFF"/>
              </w:rPr>
              <w:t>属于国家和地方有偿使用和交易的排污权总量指标</w:t>
            </w:r>
            <w:r>
              <w:rPr>
                <w:rFonts w:hint="eastAsia" w:cs="Times New Roman"/>
                <w:color w:val="auto"/>
                <w:kern w:val="2"/>
                <w:szCs w:val="24"/>
                <w:shd w:val="clear" w:color="auto" w:fill="FFFFFF"/>
              </w:rPr>
              <w:t>；项目废气污染物排放总量指标详见表3.4-1。</w:t>
            </w:r>
          </w:p>
          <w:p w14:paraId="31B84561">
            <w:pPr>
              <w:pStyle w:val="31"/>
              <w:widowControl w:val="0"/>
              <w:autoSpaceDE w:val="0"/>
              <w:autoSpaceDN w:val="0"/>
              <w:spacing w:before="0" w:beforeAutospacing="0" w:after="0" w:afterAutospacing="0"/>
              <w:jc w:val="center"/>
              <w:textAlignment w:val="baseline"/>
              <w:rPr>
                <w:rFonts w:ascii="Times New Roman" w:hAnsi="Times New Roman"/>
                <w:b/>
                <w:bCs/>
                <w:color w:val="auto"/>
              </w:rPr>
            </w:pPr>
            <w:r>
              <w:rPr>
                <w:rFonts w:ascii="Times New Roman" w:hAnsi="Times New Roman"/>
                <w:b/>
                <w:bCs/>
                <w:color w:val="auto"/>
              </w:rPr>
              <w:t>表</w:t>
            </w:r>
            <w:r>
              <w:rPr>
                <w:rFonts w:hint="eastAsia" w:ascii="Times New Roman" w:hAnsi="Times New Roman"/>
                <w:b/>
                <w:bCs/>
                <w:color w:val="auto"/>
              </w:rPr>
              <w:t xml:space="preserve">3.4-1  </w:t>
            </w:r>
            <w:r>
              <w:rPr>
                <w:rFonts w:ascii="Times New Roman" w:hAnsi="Times New Roman"/>
                <w:b/>
                <w:bCs/>
                <w:color w:val="auto"/>
              </w:rPr>
              <w:t>项目废气污染物排放总量指标一览表</w:t>
            </w:r>
          </w:p>
          <w:tbl>
            <w:tblPr>
              <w:tblStyle w:val="36"/>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371"/>
              <w:gridCol w:w="1853"/>
              <w:gridCol w:w="3280"/>
            </w:tblGrid>
            <w:tr w14:paraId="7C37E8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71" w:type="dxa"/>
                  <w:vAlign w:val="center"/>
                </w:tcPr>
                <w:p w14:paraId="6D41EB6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snapToGrid w:val="0"/>
                      <w:color w:val="auto"/>
                      <w:kern w:val="18"/>
                      <w:szCs w:val="21"/>
                    </w:rPr>
                  </w:pPr>
                  <w:r>
                    <w:rPr>
                      <w:snapToGrid w:val="0"/>
                      <w:color w:val="auto"/>
                      <w:kern w:val="18"/>
                      <w:szCs w:val="21"/>
                    </w:rPr>
                    <w:t>污染物</w:t>
                  </w:r>
                </w:p>
              </w:tc>
              <w:tc>
                <w:tcPr>
                  <w:tcW w:w="1853" w:type="dxa"/>
                  <w:vAlign w:val="center"/>
                </w:tcPr>
                <w:p w14:paraId="45F91E2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snapToGrid w:val="0"/>
                      <w:color w:val="auto"/>
                      <w:kern w:val="18"/>
                      <w:szCs w:val="21"/>
                    </w:rPr>
                  </w:pPr>
                  <w:r>
                    <w:rPr>
                      <w:snapToGrid w:val="0"/>
                      <w:color w:val="auto"/>
                      <w:kern w:val="18"/>
                      <w:szCs w:val="21"/>
                    </w:rPr>
                    <w:t>排放量</w:t>
                  </w:r>
                </w:p>
              </w:tc>
              <w:tc>
                <w:tcPr>
                  <w:tcW w:w="3280" w:type="dxa"/>
                  <w:vAlign w:val="center"/>
                </w:tcPr>
                <w:p w14:paraId="72A77B6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snapToGrid w:val="0"/>
                      <w:color w:val="auto"/>
                      <w:kern w:val="18"/>
                      <w:szCs w:val="21"/>
                    </w:rPr>
                  </w:pPr>
                  <w:r>
                    <w:rPr>
                      <w:snapToGrid w:val="0"/>
                      <w:color w:val="auto"/>
                      <w:kern w:val="18"/>
                      <w:szCs w:val="21"/>
                    </w:rPr>
                    <w:t>总量控制指标</w:t>
                  </w:r>
                </w:p>
              </w:tc>
            </w:tr>
            <w:tr w14:paraId="4E3CEE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71" w:type="dxa"/>
                  <w:vAlign w:val="center"/>
                </w:tcPr>
                <w:p w14:paraId="10512A4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snapToGrid w:val="0"/>
                      <w:color w:val="auto"/>
                      <w:kern w:val="18"/>
                      <w:szCs w:val="21"/>
                    </w:rPr>
                  </w:pPr>
                  <w:r>
                    <w:rPr>
                      <w:rFonts w:hint="eastAsia"/>
                      <w:snapToGrid w:val="0"/>
                      <w:color w:val="auto"/>
                      <w:kern w:val="18"/>
                      <w:szCs w:val="21"/>
                    </w:rPr>
                    <w:t>颗粒物</w:t>
                  </w:r>
                </w:p>
              </w:tc>
              <w:tc>
                <w:tcPr>
                  <w:tcW w:w="1853" w:type="dxa"/>
                  <w:vAlign w:val="center"/>
                </w:tcPr>
                <w:p w14:paraId="43DFF28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snapToGrid w:val="0"/>
                      <w:color w:val="auto"/>
                      <w:kern w:val="18"/>
                      <w:szCs w:val="21"/>
                    </w:rPr>
                  </w:pPr>
                  <w:r>
                    <w:rPr>
                      <w:rFonts w:hint="eastAsia"/>
                      <w:snapToGrid w:val="0"/>
                      <w:color w:val="auto"/>
                      <w:kern w:val="18"/>
                      <w:szCs w:val="21"/>
                      <w:lang w:val="en-US" w:eastAsia="zh-CN"/>
                    </w:rPr>
                    <w:t>2.302t</w:t>
                  </w:r>
                  <w:r>
                    <w:rPr>
                      <w:snapToGrid w:val="0"/>
                      <w:color w:val="auto"/>
                      <w:kern w:val="18"/>
                      <w:szCs w:val="21"/>
                    </w:rPr>
                    <w:t>/a</w:t>
                  </w:r>
                </w:p>
              </w:tc>
              <w:tc>
                <w:tcPr>
                  <w:tcW w:w="3280" w:type="dxa"/>
                  <w:vAlign w:val="center"/>
                </w:tcPr>
                <w:p w14:paraId="16F7CDE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snapToGrid w:val="0"/>
                      <w:color w:val="auto"/>
                      <w:kern w:val="18"/>
                      <w:szCs w:val="21"/>
                    </w:rPr>
                  </w:pPr>
                  <w:r>
                    <w:rPr>
                      <w:rFonts w:hint="eastAsia"/>
                      <w:snapToGrid w:val="0"/>
                      <w:color w:val="auto"/>
                      <w:kern w:val="18"/>
                      <w:szCs w:val="21"/>
                    </w:rPr>
                    <w:t>/</w:t>
                  </w:r>
                </w:p>
              </w:tc>
            </w:tr>
          </w:tbl>
          <w:p w14:paraId="2B12E518">
            <w:pPr>
              <w:spacing w:beforeLines="50" w:line="360" w:lineRule="auto"/>
              <w:ind w:firstLine="480" w:firstLineChars="200"/>
              <w:rPr>
                <w:color w:val="auto"/>
                <w:sz w:val="24"/>
              </w:rPr>
            </w:pPr>
            <w:r>
              <w:rPr>
                <w:color w:val="auto"/>
                <w:sz w:val="24"/>
                <w:shd w:val="clear" w:color="auto" w:fill="FFFFFF"/>
              </w:rPr>
              <w:t>项目</w:t>
            </w:r>
            <w:r>
              <w:rPr>
                <w:rFonts w:hint="eastAsia"/>
                <w:color w:val="auto"/>
                <w:sz w:val="24"/>
                <w:shd w:val="clear" w:color="auto" w:fill="FFFFFF"/>
              </w:rPr>
              <w:t>颗粒物排放量为2.302t/a</w:t>
            </w:r>
            <w:r>
              <w:rPr>
                <w:rFonts w:hint="eastAsia"/>
                <w:color w:val="auto"/>
                <w:sz w:val="24"/>
                <w:shd w:val="clear" w:color="auto" w:fill="FFFFFF"/>
                <w:lang w:eastAsia="zh-CN"/>
              </w:rPr>
              <w:t>，</w:t>
            </w:r>
            <w:r>
              <w:rPr>
                <w:rFonts w:hint="eastAsia"/>
                <w:color w:val="auto"/>
                <w:sz w:val="24"/>
                <w:shd w:val="clear" w:color="auto" w:fill="FFFFFF"/>
                <w:lang w:val="en-US" w:eastAsia="zh-CN"/>
              </w:rPr>
              <w:t>不涉及国家规定的二氧化硫、氮氧化物和VOCs的产生和排放，因此，</w:t>
            </w:r>
            <w:r>
              <w:rPr>
                <w:rFonts w:hint="eastAsia"/>
                <w:color w:val="auto"/>
                <w:sz w:val="24"/>
              </w:rPr>
              <w:t>无需申请</w:t>
            </w:r>
            <w:r>
              <w:rPr>
                <w:rFonts w:hint="eastAsia"/>
                <w:color w:val="auto"/>
                <w:sz w:val="24"/>
                <w:lang w:val="en-US" w:eastAsia="zh-CN"/>
              </w:rPr>
              <w:t>废气</w:t>
            </w:r>
            <w:r>
              <w:rPr>
                <w:rFonts w:hint="eastAsia"/>
                <w:color w:val="auto"/>
                <w:sz w:val="24"/>
              </w:rPr>
              <w:t>总量控制指标</w:t>
            </w:r>
            <w:r>
              <w:rPr>
                <w:rFonts w:hint="eastAsia"/>
                <w:color w:val="auto"/>
                <w:sz w:val="24"/>
                <w:shd w:val="clear" w:color="auto" w:fill="FFFFFF"/>
              </w:rPr>
              <w:t>。</w:t>
            </w:r>
          </w:p>
        </w:tc>
      </w:tr>
    </w:tbl>
    <w:p w14:paraId="390AA374">
      <w:pPr>
        <w:pStyle w:val="31"/>
        <w:jc w:val="center"/>
        <w:outlineLvl w:val="0"/>
        <w:rPr>
          <w:rFonts w:ascii="黑体" w:hAnsi="黑体" w:eastAsia="黑体"/>
          <w:snapToGrid w:val="0"/>
          <w:color w:val="auto"/>
          <w:kern w:val="21"/>
          <w:sz w:val="30"/>
          <w:szCs w:val="30"/>
        </w:rPr>
      </w:pPr>
      <w:r>
        <w:rPr>
          <w:rFonts w:ascii="黑体" w:hAnsi="黑体" w:eastAsia="黑体"/>
          <w:snapToGrid w:val="0"/>
          <w:color w:val="auto"/>
          <w:kern w:val="21"/>
          <w:sz w:val="36"/>
          <w:szCs w:val="36"/>
        </w:rPr>
        <w:br w:type="page"/>
      </w:r>
      <w:bookmarkStart w:id="97" w:name="_Toc29821"/>
      <w:r>
        <w:rPr>
          <w:rFonts w:hint="eastAsia" w:ascii="黑体" w:hAnsi="黑体" w:eastAsia="黑体"/>
          <w:snapToGrid w:val="0"/>
          <w:color w:val="auto"/>
          <w:kern w:val="21"/>
          <w:sz w:val="30"/>
          <w:szCs w:val="30"/>
        </w:rPr>
        <w:t>四、主要环境影响和保护措施</w:t>
      </w:r>
      <w:bookmarkEnd w:id="97"/>
    </w:p>
    <w:tbl>
      <w:tblPr>
        <w:tblStyle w:val="3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14:paraId="268E5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51ACC57A">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施工</w:t>
            </w:r>
          </w:p>
          <w:p w14:paraId="2DB88589">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期环</w:t>
            </w:r>
          </w:p>
          <w:p w14:paraId="6E4A03F8">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境保</w:t>
            </w:r>
          </w:p>
          <w:p w14:paraId="5DAB039A">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护措</w:t>
            </w:r>
          </w:p>
          <w:p w14:paraId="7A58490C">
            <w:pPr>
              <w:pStyle w:val="31"/>
              <w:spacing w:before="0" w:beforeAutospacing="0" w:after="0" w:afterAutospacing="0"/>
              <w:jc w:val="center"/>
              <w:rPr>
                <w:rFonts w:ascii="Times New Roman" w:hAnsi="Times New Roman"/>
                <w:bCs/>
                <w:color w:val="auto"/>
                <w:kern w:val="21"/>
                <w:sz w:val="21"/>
                <w:szCs w:val="21"/>
              </w:rPr>
            </w:pPr>
            <w:r>
              <w:rPr>
                <w:rFonts w:ascii="Times New Roman" w:hAnsi="Times New Roman"/>
                <w:color w:val="auto"/>
                <w:kern w:val="21"/>
                <w:szCs w:val="24"/>
              </w:rPr>
              <w:t>施</w:t>
            </w:r>
          </w:p>
        </w:tc>
        <w:tc>
          <w:tcPr>
            <w:tcW w:w="8606" w:type="dxa"/>
            <w:vAlign w:val="center"/>
          </w:tcPr>
          <w:p w14:paraId="05451AE0">
            <w:pPr>
              <w:pStyle w:val="68"/>
              <w:ind w:firstLine="0" w:firstLineChars="0"/>
              <w:rPr>
                <w:b/>
                <w:bCs/>
                <w:color w:val="auto"/>
                <w:kern w:val="2"/>
                <w:sz w:val="24"/>
                <w:szCs w:val="24"/>
              </w:rPr>
            </w:pPr>
            <w:r>
              <w:rPr>
                <w:b/>
                <w:bCs/>
                <w:color w:val="auto"/>
                <w:kern w:val="2"/>
                <w:sz w:val="24"/>
                <w:szCs w:val="24"/>
              </w:rPr>
              <w:t>4.</w:t>
            </w:r>
            <w:r>
              <w:rPr>
                <w:rFonts w:hint="eastAsia"/>
                <w:b/>
                <w:bCs/>
                <w:color w:val="auto"/>
                <w:kern w:val="2"/>
                <w:sz w:val="24"/>
                <w:szCs w:val="24"/>
              </w:rPr>
              <w:t>1施工期环境保护</w:t>
            </w:r>
            <w:r>
              <w:rPr>
                <w:b/>
                <w:bCs/>
                <w:color w:val="auto"/>
                <w:kern w:val="2"/>
                <w:sz w:val="24"/>
                <w:szCs w:val="24"/>
              </w:rPr>
              <w:t>措施</w:t>
            </w:r>
          </w:p>
          <w:p w14:paraId="5ED18E73">
            <w:pPr>
              <w:autoSpaceDE w:val="0"/>
              <w:autoSpaceDN w:val="0"/>
              <w:spacing w:line="360" w:lineRule="auto"/>
              <w:ind w:firstLine="480" w:firstLineChars="200"/>
              <w:rPr>
                <w:color w:val="auto"/>
                <w:sz w:val="24"/>
              </w:rPr>
            </w:pPr>
            <w:r>
              <w:rPr>
                <w:color w:val="auto"/>
                <w:sz w:val="24"/>
              </w:rPr>
              <w:t>项目厂址位于</w:t>
            </w:r>
            <w:r>
              <w:rPr>
                <w:rFonts w:hint="eastAsia"/>
                <w:color w:val="auto"/>
                <w:sz w:val="24"/>
              </w:rPr>
              <w:t>福建省福州市福清市江阴镇江阴港城经济区三峡路与兴林路交叉口东南侧，</w:t>
            </w:r>
            <w:r>
              <w:rPr>
                <w:rFonts w:hint="eastAsia"/>
                <w:color w:val="auto"/>
                <w:kern w:val="0"/>
                <w:sz w:val="24"/>
              </w:rPr>
              <w:t>根据现场踏勘，场地现状门卫、宿舍楼、办公楼已基本建设完成，施工期主要为生产车间、厂区道路、停车场等建设以及设备安装、调试等，施工期主要会有施工废气、施工废水、施工噪声、施工固废等。</w:t>
            </w:r>
          </w:p>
          <w:p w14:paraId="02C8BE2C">
            <w:pPr>
              <w:numPr>
                <w:ilvl w:val="0"/>
                <w:numId w:val="0"/>
              </w:numPr>
              <w:spacing w:line="360" w:lineRule="auto"/>
              <w:ind w:firstLine="482" w:firstLineChars="200"/>
              <w:rPr>
                <w:b/>
                <w:bCs/>
                <w:color w:val="auto"/>
                <w:kern w:val="0"/>
                <w:sz w:val="24"/>
              </w:rPr>
            </w:pPr>
            <w:r>
              <w:rPr>
                <w:rFonts w:ascii="Times New Roman" w:hAnsi="Times New Roman" w:eastAsia="宋体" w:cs="Times New Roman"/>
                <w:b/>
                <w:bCs/>
                <w:color w:val="auto"/>
                <w:kern w:val="0"/>
                <w:sz w:val="24"/>
                <w:szCs w:val="24"/>
                <w:lang w:val="en-US" w:eastAsia="zh-CN" w:bidi="ar-SA"/>
              </w:rPr>
              <w:t>1、</w:t>
            </w:r>
            <w:r>
              <w:rPr>
                <w:rFonts w:hint="eastAsia"/>
                <w:b/>
                <w:bCs/>
                <w:color w:val="auto"/>
                <w:kern w:val="0"/>
                <w:sz w:val="24"/>
              </w:rPr>
              <w:t>施工期废气</w:t>
            </w:r>
          </w:p>
          <w:p w14:paraId="08841DF3">
            <w:pPr>
              <w:spacing w:line="360" w:lineRule="auto"/>
              <w:ind w:firstLine="480" w:firstLineChars="200"/>
              <w:rPr>
                <w:color w:val="auto"/>
                <w:kern w:val="0"/>
                <w:sz w:val="24"/>
              </w:rPr>
            </w:pPr>
            <w:r>
              <w:rPr>
                <w:rFonts w:hint="eastAsia"/>
                <w:color w:val="auto"/>
                <w:kern w:val="0"/>
                <w:sz w:val="24"/>
                <w:lang w:eastAsia="zh-CN"/>
              </w:rPr>
              <w:t>迁建项目</w:t>
            </w:r>
            <w:r>
              <w:rPr>
                <w:color w:val="auto"/>
                <w:kern w:val="0"/>
                <w:sz w:val="24"/>
              </w:rPr>
              <w:t>施工期大气环境污染源主要有：施工道路扬尘；施工车辆、施工机械出的含NO</w:t>
            </w:r>
            <w:r>
              <w:rPr>
                <w:color w:val="auto"/>
                <w:kern w:val="0"/>
                <w:sz w:val="24"/>
                <w:vertAlign w:val="subscript"/>
              </w:rPr>
              <w:t>2</w:t>
            </w:r>
            <w:r>
              <w:rPr>
                <w:color w:val="auto"/>
                <w:kern w:val="0"/>
                <w:sz w:val="24"/>
              </w:rPr>
              <w:t>、CO、THC等尾气。</w:t>
            </w:r>
          </w:p>
          <w:p w14:paraId="5B80B91F">
            <w:pPr>
              <w:spacing w:line="360" w:lineRule="auto"/>
              <w:ind w:firstLine="480" w:firstLineChars="200"/>
              <w:rPr>
                <w:color w:val="auto"/>
                <w:kern w:val="0"/>
                <w:sz w:val="24"/>
              </w:rPr>
            </w:pPr>
            <w:r>
              <w:rPr>
                <w:rFonts w:hint="eastAsia"/>
                <w:color w:val="auto"/>
                <w:kern w:val="0"/>
                <w:sz w:val="24"/>
                <w:shd w:val="clear" w:fill="FFFFFF"/>
              </w:rPr>
              <w:t>(</w:t>
            </w:r>
            <w:r>
              <w:rPr>
                <w:rFonts w:hint="eastAsia"/>
                <w:color w:val="auto"/>
                <w:kern w:val="0"/>
                <w:sz w:val="24"/>
              </w:rPr>
              <w:t>1</w:t>
            </w:r>
            <w:r>
              <w:rPr>
                <w:rFonts w:hint="eastAsia"/>
                <w:color w:val="auto"/>
                <w:kern w:val="0"/>
                <w:sz w:val="24"/>
                <w:shd w:val="clear" w:fill="FFFFFF"/>
              </w:rPr>
              <w:t>)</w:t>
            </w:r>
            <w:r>
              <w:rPr>
                <w:color w:val="auto"/>
                <w:kern w:val="0"/>
                <w:sz w:val="24"/>
              </w:rPr>
              <w:t>施工粉尘</w:t>
            </w:r>
          </w:p>
          <w:p w14:paraId="12FA3BDA">
            <w:pPr>
              <w:spacing w:line="360" w:lineRule="auto"/>
              <w:ind w:firstLine="480" w:firstLineChars="200"/>
              <w:rPr>
                <w:color w:val="auto"/>
                <w:kern w:val="0"/>
                <w:sz w:val="24"/>
              </w:rPr>
            </w:pPr>
            <w:r>
              <w:rPr>
                <w:rFonts w:hint="eastAsia"/>
                <w:color w:val="auto"/>
                <w:kern w:val="0"/>
                <w:sz w:val="24"/>
                <w:lang w:eastAsia="zh-CN"/>
              </w:rPr>
              <w:t>迁建项目</w:t>
            </w:r>
            <w:r>
              <w:rPr>
                <w:color w:val="auto"/>
                <w:kern w:val="0"/>
                <w:sz w:val="24"/>
              </w:rPr>
              <w:t>建筑材料及建筑渣土在运输过程中如管理不当，会造成撒漏而逸散进入空气；另外施工及运输车辆在通过未硬化路面或落有较多尘土的路面时，将有路面二次扬尘的产生；此外，建筑材料在堆存和制备过程，遇大风等气象条件，均可能有粉状物料逸散，产生施工扬尘。</w:t>
            </w:r>
          </w:p>
          <w:p w14:paraId="66081D63">
            <w:pPr>
              <w:spacing w:line="360" w:lineRule="auto"/>
              <w:ind w:firstLine="480" w:firstLineChars="200"/>
              <w:rPr>
                <w:color w:val="auto"/>
                <w:kern w:val="0"/>
                <w:sz w:val="24"/>
              </w:rPr>
            </w:pPr>
            <w:r>
              <w:rPr>
                <w:color w:val="auto"/>
                <w:kern w:val="0"/>
                <w:sz w:val="24"/>
              </w:rPr>
              <w:t>施工扬尘的排放源属于无组织的面源，地面上的粉尘在环境风速足够大时</w:t>
            </w:r>
            <w:r>
              <w:rPr>
                <w:color w:val="auto"/>
                <w:kern w:val="0"/>
                <w:sz w:val="24"/>
                <w:shd w:val="clear" w:fill="FFFFFF"/>
              </w:rPr>
              <w:t>(</w:t>
            </w:r>
            <w:r>
              <w:rPr>
                <w:color w:val="auto"/>
                <w:kern w:val="0"/>
                <w:sz w:val="24"/>
              </w:rPr>
              <w:t>大于颗粒土沙的起动速度时</w:t>
            </w:r>
            <w:r>
              <w:rPr>
                <w:color w:val="auto"/>
                <w:kern w:val="0"/>
                <w:sz w:val="24"/>
                <w:shd w:val="clear" w:fill="FFFFFF"/>
              </w:rPr>
              <w:t>)</w:t>
            </w:r>
            <w:r>
              <w:rPr>
                <w:color w:val="auto"/>
                <w:kern w:val="0"/>
                <w:sz w:val="24"/>
              </w:rPr>
              <w:t>就产生了扬尘，其源强大小与颗粒物的粒径大小、比重，以及环境的风速、湿度等因素有关，风速越大，颗粒越小，土沙的含水率越小，扬尘的含水率越小，扬尘的产生量就越大。</w:t>
            </w:r>
          </w:p>
          <w:p w14:paraId="297AB2EC">
            <w:pPr>
              <w:spacing w:line="360" w:lineRule="auto"/>
              <w:ind w:firstLine="480" w:firstLineChars="200"/>
              <w:rPr>
                <w:color w:val="auto"/>
                <w:kern w:val="0"/>
                <w:sz w:val="24"/>
              </w:rPr>
            </w:pPr>
            <w:r>
              <w:rPr>
                <w:color w:val="auto"/>
                <w:kern w:val="0"/>
                <w:sz w:val="24"/>
              </w:rPr>
              <w:t>从类比结果来看，一般情况下施工扬尘的影响范围在200m以内。在扬尘点下风向0~50m为较重污染带、50</w:t>
            </w:r>
            <w:r>
              <w:rPr>
                <w:color w:val="auto"/>
                <w:kern w:val="0"/>
                <w:sz w:val="24"/>
                <w:shd w:val="clear" w:fill="FFFFFF"/>
              </w:rPr>
              <w:t>~</w:t>
            </w:r>
            <w:r>
              <w:rPr>
                <w:color w:val="auto"/>
                <w:kern w:val="0"/>
                <w:sz w:val="24"/>
              </w:rPr>
              <w:t>100m为污染带、100</w:t>
            </w:r>
            <w:r>
              <w:rPr>
                <w:color w:val="auto"/>
                <w:kern w:val="0"/>
                <w:sz w:val="24"/>
                <w:shd w:val="clear" w:fill="FFFFFF"/>
              </w:rPr>
              <w:t>~</w:t>
            </w:r>
            <w:r>
              <w:rPr>
                <w:color w:val="auto"/>
                <w:kern w:val="0"/>
                <w:sz w:val="24"/>
              </w:rPr>
              <w:t>200m为轻污染带，200m以外对大气影响甚微。根据调查，工程区周边距离200m范围没有村庄等居民密集点分布。因此，项目施工对附近村庄的环境空气影响不大。考虑工程区施工过程中会进行开挖土石方、清除表土层等场地平整作业，运输车辆沿途扬尘客观存在，施工场地四周</w:t>
            </w:r>
            <w:r>
              <w:rPr>
                <w:rFonts w:hint="eastAsia"/>
                <w:color w:val="auto"/>
                <w:kern w:val="0"/>
                <w:sz w:val="24"/>
              </w:rPr>
              <w:t>已</w:t>
            </w:r>
            <w:r>
              <w:rPr>
                <w:color w:val="auto"/>
                <w:kern w:val="0"/>
                <w:sz w:val="24"/>
              </w:rPr>
              <w:t>设置屏障控制</w:t>
            </w:r>
            <w:r>
              <w:rPr>
                <w:rFonts w:hint="eastAsia"/>
                <w:color w:val="auto"/>
                <w:kern w:val="0"/>
                <w:sz w:val="24"/>
              </w:rPr>
              <w:t>扬尘</w:t>
            </w:r>
            <w:r>
              <w:rPr>
                <w:color w:val="auto"/>
                <w:kern w:val="0"/>
                <w:sz w:val="24"/>
              </w:rPr>
              <w:t>措施，建议工程在施工过程中针对施工场地采取洒水保湿、降低大风季节施工扬尘对</w:t>
            </w:r>
            <w:r>
              <w:rPr>
                <w:rFonts w:hint="eastAsia"/>
                <w:color w:val="auto"/>
                <w:kern w:val="0"/>
                <w:sz w:val="24"/>
                <w:lang w:eastAsia="zh-CN"/>
              </w:rPr>
              <w:t>施工场</w:t>
            </w:r>
            <w:r>
              <w:rPr>
                <w:color w:val="auto"/>
                <w:kern w:val="0"/>
                <w:sz w:val="24"/>
              </w:rPr>
              <w:t>界外环境空气的影响，确保将工程建设对当地居民的生活环境不利影响降至最低。</w:t>
            </w:r>
          </w:p>
          <w:p w14:paraId="0C13C8D9">
            <w:pPr>
              <w:spacing w:line="360" w:lineRule="auto"/>
              <w:ind w:firstLine="480" w:firstLineChars="200"/>
              <w:rPr>
                <w:color w:val="auto"/>
                <w:kern w:val="0"/>
                <w:sz w:val="24"/>
              </w:rPr>
            </w:pPr>
            <w:r>
              <w:rPr>
                <w:color w:val="auto"/>
                <w:kern w:val="0"/>
                <w:sz w:val="24"/>
              </w:rPr>
              <w:t>工程建筑材料及建筑渣土的运输主要采用陆运方式，如在建筑材料运输过程中未采取必要的遮盖措施，导致建筑渣土等散落至路面，在运输车辆行驶过程中将产生二次扬尘，对沿途村庄的环境空气造成较大影响，为此，工程建设方应采取措施保持运输路面的清洁，并要求运输车辆限速行驶，减少建筑材料运输过程的起尘量，降低对沿途居住区的不利影响，混凝土应采用全封闭式搅拌车制备运输，降低扬尘的污染。</w:t>
            </w:r>
          </w:p>
          <w:p w14:paraId="4751C863">
            <w:pPr>
              <w:spacing w:line="360" w:lineRule="auto"/>
              <w:ind w:firstLine="480" w:firstLineChars="200"/>
              <w:rPr>
                <w:color w:val="auto"/>
                <w:kern w:val="0"/>
                <w:sz w:val="24"/>
              </w:rPr>
            </w:pPr>
            <w:r>
              <w:rPr>
                <w:color w:val="auto"/>
                <w:kern w:val="0"/>
                <w:sz w:val="24"/>
              </w:rPr>
              <w:t>总体而言，施工期间，建筑材料及渣土的运输和堆放、装卸过程将产生二次扬尘，在一定范围内对工程区及其附近和运输道路沿线的村庄环境空气造成不利影响，但其影响范围和程度有限，且能够通过加强环境管理和采取必要的措施得到有效的控制。</w:t>
            </w:r>
          </w:p>
          <w:p w14:paraId="5C3CDAEA">
            <w:pPr>
              <w:spacing w:line="360" w:lineRule="auto"/>
              <w:ind w:firstLine="480" w:firstLineChars="200"/>
              <w:rPr>
                <w:color w:val="auto"/>
                <w:kern w:val="0"/>
                <w:sz w:val="24"/>
              </w:rPr>
            </w:pPr>
            <w:r>
              <w:rPr>
                <w:rFonts w:hint="eastAsia"/>
                <w:color w:val="auto"/>
                <w:kern w:val="0"/>
                <w:sz w:val="24"/>
                <w:shd w:val="clear" w:fill="FFFFFF"/>
              </w:rPr>
              <w:t>(</w:t>
            </w:r>
            <w:r>
              <w:rPr>
                <w:rFonts w:hint="eastAsia"/>
                <w:color w:val="auto"/>
                <w:kern w:val="0"/>
                <w:sz w:val="24"/>
              </w:rPr>
              <w:t>2</w:t>
            </w:r>
            <w:r>
              <w:rPr>
                <w:rFonts w:hint="eastAsia"/>
                <w:color w:val="auto"/>
                <w:kern w:val="0"/>
                <w:sz w:val="24"/>
                <w:shd w:val="clear" w:fill="FFFFFF"/>
              </w:rPr>
              <w:t>)</w:t>
            </w:r>
            <w:r>
              <w:rPr>
                <w:color w:val="auto"/>
                <w:kern w:val="0"/>
                <w:sz w:val="24"/>
              </w:rPr>
              <w:t>施工机械、施工车辆燃油产生的尾气</w:t>
            </w:r>
          </w:p>
          <w:p w14:paraId="38BDF790">
            <w:pPr>
              <w:pStyle w:val="146"/>
              <w:spacing w:after="0"/>
              <w:ind w:firstLine="240" w:firstLineChars="100"/>
              <w:rPr>
                <w:rFonts w:ascii="Times New Roman" w:hAnsi="Times New Roman"/>
                <w:color w:val="auto"/>
              </w:rPr>
            </w:pPr>
            <w:r>
              <w:rPr>
                <w:rFonts w:ascii="Times New Roman" w:hAnsi="Times New Roman"/>
                <w:color w:val="auto"/>
              </w:rPr>
              <w:t>施工机械运输和车辆动力源为柴油，主要污染物为NO</w:t>
            </w:r>
            <w:r>
              <w:rPr>
                <w:rFonts w:ascii="Times New Roman" w:hAnsi="Times New Roman"/>
                <w:color w:val="auto"/>
                <w:vertAlign w:val="subscript"/>
              </w:rPr>
              <w:t>2</w:t>
            </w:r>
            <w:r>
              <w:rPr>
                <w:rFonts w:ascii="Times New Roman" w:hAnsi="Times New Roman"/>
                <w:color w:val="auto"/>
              </w:rPr>
              <w:t>、CO和THC</w:t>
            </w:r>
            <w:r>
              <w:rPr>
                <w:rFonts w:hint="eastAsia" w:ascii="Times New Roman" w:hAnsi="Times New Roman"/>
                <w:color w:val="auto"/>
                <w:shd w:val="clear" w:fill="FFFFFF"/>
                <w:lang w:eastAsia="zh-CN"/>
              </w:rPr>
              <w:t>(</w:t>
            </w:r>
            <w:r>
              <w:rPr>
                <w:rFonts w:ascii="Times New Roman" w:hAnsi="Times New Roman"/>
                <w:color w:val="auto"/>
              </w:rPr>
              <w:t>碳氢化合物</w:t>
            </w:r>
            <w:r>
              <w:rPr>
                <w:rFonts w:hint="eastAsia" w:ascii="Times New Roman" w:hAnsi="Times New Roman"/>
                <w:color w:val="auto"/>
                <w:shd w:val="clear" w:fill="FFFFFF"/>
                <w:lang w:eastAsia="zh-CN"/>
              </w:rPr>
              <w:t>)</w:t>
            </w:r>
            <w:r>
              <w:rPr>
                <w:rFonts w:ascii="Times New Roman" w:hAnsi="Times New Roman"/>
                <w:color w:val="auto"/>
              </w:rPr>
              <w:t>等。一般来说，施工机械排放的废气和运输车辆尾气的污染源较分散，且是流动性的，因数量少，影响较为轻微。</w:t>
            </w:r>
          </w:p>
          <w:p w14:paraId="2EE7BFD6">
            <w:pPr>
              <w:numPr>
                <w:ilvl w:val="0"/>
                <w:numId w:val="0"/>
              </w:numPr>
              <w:spacing w:line="360" w:lineRule="auto"/>
              <w:ind w:firstLine="482" w:firstLineChars="200"/>
              <w:rPr>
                <w:b/>
                <w:bCs/>
                <w:color w:val="auto"/>
                <w:kern w:val="0"/>
                <w:sz w:val="24"/>
              </w:rPr>
            </w:pPr>
            <w:r>
              <w:rPr>
                <w:rFonts w:ascii="Times New Roman" w:hAnsi="Times New Roman" w:eastAsia="宋体" w:cs="Times New Roman"/>
                <w:b/>
                <w:bCs/>
                <w:color w:val="auto"/>
                <w:kern w:val="0"/>
                <w:sz w:val="24"/>
                <w:szCs w:val="24"/>
                <w:lang w:val="en-US" w:eastAsia="zh-CN" w:bidi="ar-SA"/>
              </w:rPr>
              <w:t>2、</w:t>
            </w:r>
            <w:r>
              <w:rPr>
                <w:rFonts w:hint="eastAsia"/>
                <w:b/>
                <w:bCs/>
                <w:color w:val="auto"/>
                <w:kern w:val="0"/>
                <w:sz w:val="24"/>
              </w:rPr>
              <w:t>施工期废水</w:t>
            </w:r>
          </w:p>
          <w:p w14:paraId="498B80C0">
            <w:pPr>
              <w:pStyle w:val="148"/>
              <w:spacing w:after="0"/>
              <w:ind w:firstLine="480"/>
              <w:rPr>
                <w:rFonts w:ascii="Times New Roman" w:hAnsi="Times New Roman" w:eastAsia="宋体"/>
                <w:color w:val="auto"/>
                <w:sz w:val="24"/>
                <w:szCs w:val="24"/>
              </w:rPr>
            </w:pPr>
            <w:r>
              <w:rPr>
                <w:rFonts w:ascii="Times New Roman" w:hAnsi="Times New Roman" w:eastAsia="宋体"/>
                <w:color w:val="auto"/>
                <w:sz w:val="24"/>
                <w:szCs w:val="24"/>
              </w:rPr>
              <w:t>施工期水污染源来自施工营地的施工生产废水与施工生活污水，主要包括施工人员生活污水、施工泥浆水、水泥混凝土浇筑养护用水、车辆和机械设备洗涤水等。</w:t>
            </w:r>
          </w:p>
          <w:p w14:paraId="4A9DAE53">
            <w:pPr>
              <w:pStyle w:val="148"/>
              <w:spacing w:after="0"/>
              <w:ind w:firstLine="480"/>
              <w:rPr>
                <w:rFonts w:ascii="Times New Roman" w:hAnsi="Times New Roman" w:eastAsia="宋体"/>
                <w:color w:val="auto"/>
                <w:sz w:val="24"/>
                <w:szCs w:val="24"/>
              </w:rPr>
            </w:pPr>
            <w:r>
              <w:rPr>
                <w:rFonts w:hint="eastAsia" w:ascii="Times New Roman" w:hAnsi="Times New Roman" w:eastAsia="宋体"/>
                <w:color w:val="auto"/>
                <w:sz w:val="24"/>
                <w:szCs w:val="24"/>
                <w:shd w:val="clear" w:fill="FFFFFF"/>
              </w:rPr>
              <w:t>(</w:t>
            </w:r>
            <w:r>
              <w:rPr>
                <w:rFonts w:hint="eastAsia" w:ascii="Times New Roman" w:hAnsi="Times New Roman" w:eastAsia="宋体"/>
                <w:color w:val="auto"/>
                <w:sz w:val="24"/>
                <w:szCs w:val="24"/>
              </w:rPr>
              <w:t>1</w:t>
            </w:r>
            <w:r>
              <w:rPr>
                <w:rFonts w:hint="eastAsia" w:ascii="Times New Roman" w:hAnsi="Times New Roman" w:eastAsia="宋体"/>
                <w:color w:val="auto"/>
                <w:sz w:val="24"/>
                <w:szCs w:val="24"/>
                <w:shd w:val="clear" w:fill="FFFFFF"/>
              </w:rPr>
              <w:t>)</w:t>
            </w:r>
            <w:r>
              <w:rPr>
                <w:rFonts w:ascii="Times New Roman" w:hAnsi="Times New Roman" w:eastAsia="宋体"/>
                <w:color w:val="auto"/>
                <w:sz w:val="24"/>
                <w:szCs w:val="24"/>
              </w:rPr>
              <w:t>施工人员生活污水</w:t>
            </w:r>
          </w:p>
          <w:p w14:paraId="5AF7462F">
            <w:pPr>
              <w:pStyle w:val="148"/>
              <w:spacing w:after="0"/>
              <w:ind w:firstLine="480"/>
              <w:jc w:val="both"/>
              <w:rPr>
                <w:rFonts w:ascii="Times New Roman" w:hAnsi="Times New Roman" w:eastAsia="宋体"/>
                <w:color w:val="auto"/>
                <w:sz w:val="24"/>
                <w:szCs w:val="24"/>
              </w:rPr>
            </w:pPr>
            <w:r>
              <w:rPr>
                <w:rFonts w:hint="eastAsia" w:ascii="Times New Roman" w:hAnsi="Times New Roman" w:eastAsia="宋体"/>
                <w:color w:val="auto"/>
                <w:sz w:val="24"/>
                <w:szCs w:val="24"/>
                <w:lang w:eastAsia="zh-CN"/>
              </w:rPr>
              <w:t>迁建项目</w:t>
            </w:r>
            <w:r>
              <w:rPr>
                <w:rFonts w:ascii="Times New Roman" w:hAnsi="Times New Roman" w:eastAsia="宋体"/>
                <w:color w:val="auto"/>
                <w:sz w:val="24"/>
                <w:szCs w:val="24"/>
              </w:rPr>
              <w:t>施工期生活污水包括施工人员粪便污水、洗涤污水等，主要含有COD、BOD</w:t>
            </w:r>
            <w:r>
              <w:rPr>
                <w:rFonts w:ascii="Times New Roman" w:hAnsi="Times New Roman" w:eastAsia="宋体"/>
                <w:color w:val="auto"/>
                <w:sz w:val="24"/>
                <w:szCs w:val="24"/>
                <w:vertAlign w:val="subscript"/>
              </w:rPr>
              <w:t>5</w:t>
            </w:r>
            <w:r>
              <w:rPr>
                <w:rFonts w:ascii="Times New Roman" w:hAnsi="Times New Roman" w:eastAsia="宋体"/>
                <w:color w:val="auto"/>
                <w:sz w:val="24"/>
                <w:szCs w:val="24"/>
              </w:rPr>
              <w:t>、SS、NH</w:t>
            </w:r>
            <w:r>
              <w:rPr>
                <w:rFonts w:ascii="Times New Roman" w:hAnsi="Times New Roman" w:eastAsia="宋体"/>
                <w:color w:val="auto"/>
                <w:sz w:val="24"/>
                <w:szCs w:val="24"/>
                <w:vertAlign w:val="subscript"/>
              </w:rPr>
              <w:t>3</w:t>
            </w:r>
            <w:r>
              <w:rPr>
                <w:rFonts w:ascii="Times New Roman" w:hAnsi="Times New Roman" w:eastAsia="宋体"/>
                <w:color w:val="auto"/>
                <w:sz w:val="24"/>
                <w:szCs w:val="24"/>
              </w:rPr>
              <w:t>-N以及粪大肠菌群等污染物</w:t>
            </w:r>
            <w:r>
              <w:rPr>
                <w:rFonts w:hint="eastAsia" w:ascii="Times New Roman" w:hAnsi="Times New Roman" w:eastAsia="宋体"/>
                <w:color w:val="auto"/>
                <w:sz w:val="24"/>
                <w:szCs w:val="24"/>
              </w:rPr>
              <w:t>，</w:t>
            </w:r>
            <w:r>
              <w:rPr>
                <w:rFonts w:ascii="Times New Roman" w:hAnsi="Times New Roman" w:eastAsia="宋体"/>
                <w:color w:val="auto"/>
                <w:sz w:val="24"/>
                <w:szCs w:val="24"/>
              </w:rPr>
              <w:t>施工生活污水</w:t>
            </w:r>
            <w:r>
              <w:rPr>
                <w:rFonts w:hint="eastAsia" w:ascii="Times New Roman" w:hAnsi="Times New Roman" w:eastAsia="宋体"/>
                <w:color w:val="auto"/>
                <w:sz w:val="24"/>
                <w:szCs w:val="24"/>
              </w:rPr>
              <w:t>经简易化粪池预处理后委托有资质的单位拉运处理</w:t>
            </w:r>
            <w:r>
              <w:rPr>
                <w:rFonts w:ascii="Times New Roman" w:hAnsi="Times New Roman" w:eastAsia="宋体"/>
                <w:color w:val="auto"/>
                <w:sz w:val="24"/>
                <w:szCs w:val="24"/>
              </w:rPr>
              <w:t>，对周围环境影响较小。</w:t>
            </w:r>
          </w:p>
          <w:p w14:paraId="58DF0EDA">
            <w:pPr>
              <w:pStyle w:val="148"/>
              <w:spacing w:after="0"/>
              <w:ind w:firstLine="480"/>
              <w:rPr>
                <w:rFonts w:ascii="Times New Roman" w:hAnsi="Times New Roman" w:eastAsia="宋体"/>
                <w:color w:val="auto"/>
                <w:sz w:val="24"/>
                <w:szCs w:val="24"/>
              </w:rPr>
            </w:pPr>
            <w:r>
              <w:rPr>
                <w:rFonts w:hint="eastAsia" w:ascii="Times New Roman" w:hAnsi="Times New Roman" w:eastAsia="宋体"/>
                <w:color w:val="auto"/>
                <w:sz w:val="24"/>
                <w:szCs w:val="24"/>
                <w:shd w:val="clear" w:fill="FFFFFF"/>
              </w:rPr>
              <w:t>(</w:t>
            </w:r>
            <w:r>
              <w:rPr>
                <w:rFonts w:hint="eastAsia" w:ascii="Times New Roman" w:hAnsi="Times New Roman" w:eastAsia="宋体"/>
                <w:color w:val="auto"/>
                <w:sz w:val="24"/>
                <w:szCs w:val="24"/>
              </w:rPr>
              <w:t>2</w:t>
            </w:r>
            <w:r>
              <w:rPr>
                <w:rFonts w:hint="eastAsia" w:ascii="Times New Roman" w:hAnsi="Times New Roman" w:eastAsia="宋体"/>
                <w:color w:val="auto"/>
                <w:sz w:val="24"/>
                <w:szCs w:val="24"/>
                <w:shd w:val="clear" w:fill="FFFFFF"/>
              </w:rPr>
              <w:t>)</w:t>
            </w:r>
            <w:r>
              <w:rPr>
                <w:rFonts w:ascii="Times New Roman" w:hAnsi="Times New Roman" w:eastAsia="宋体"/>
                <w:color w:val="auto"/>
                <w:sz w:val="24"/>
                <w:szCs w:val="24"/>
              </w:rPr>
              <w:t>施工生产废水</w:t>
            </w:r>
          </w:p>
          <w:p w14:paraId="1F7532EF">
            <w:pPr>
              <w:pStyle w:val="148"/>
              <w:spacing w:after="0"/>
              <w:ind w:firstLine="480"/>
              <w:jc w:val="both"/>
              <w:rPr>
                <w:rFonts w:ascii="Times New Roman" w:hAnsi="Times New Roman" w:eastAsia="宋体"/>
                <w:color w:val="auto"/>
                <w:sz w:val="24"/>
                <w:szCs w:val="24"/>
              </w:rPr>
            </w:pPr>
            <w:r>
              <w:rPr>
                <w:rFonts w:hint="eastAsia" w:ascii="Times New Roman" w:hAnsi="Times New Roman" w:eastAsia="宋体"/>
                <w:color w:val="auto"/>
                <w:sz w:val="24"/>
                <w:szCs w:val="24"/>
                <w:lang w:eastAsia="zh-CN"/>
              </w:rPr>
              <w:t>迁建项目</w:t>
            </w:r>
            <w:r>
              <w:rPr>
                <w:rFonts w:ascii="Times New Roman" w:hAnsi="Times New Roman" w:eastAsia="宋体"/>
                <w:color w:val="auto"/>
                <w:sz w:val="24"/>
                <w:szCs w:val="24"/>
              </w:rPr>
              <w:t>施工期生产废水主要来自汽车机械设备冲洗含油废水以及施工场地泥浆水、水泥混凝土浇筑养护用水等。</w:t>
            </w:r>
          </w:p>
          <w:p w14:paraId="0AADA062">
            <w:pPr>
              <w:pStyle w:val="148"/>
              <w:spacing w:after="0"/>
              <w:ind w:firstLine="480"/>
              <w:rPr>
                <w:rFonts w:ascii="Times New Roman" w:hAnsi="Times New Roman" w:eastAsia="宋体"/>
                <w:color w:val="auto"/>
                <w:sz w:val="24"/>
                <w:szCs w:val="24"/>
              </w:rPr>
            </w:pPr>
            <w:r>
              <w:rPr>
                <w:rFonts w:ascii="Times New Roman" w:hAnsi="Times New Roman" w:eastAsia="宋体"/>
                <w:color w:val="auto"/>
                <w:sz w:val="24"/>
                <w:szCs w:val="24"/>
              </w:rPr>
              <w:t>施工高峰期运输车辆和机械设备包括挖掘机、推土机、自卸汽车以及各类车辆大约共有</w:t>
            </w:r>
            <w:r>
              <w:rPr>
                <w:rFonts w:hint="eastAsia" w:ascii="Times New Roman" w:hAnsi="Times New Roman" w:eastAsia="宋体"/>
                <w:color w:val="auto"/>
                <w:sz w:val="24"/>
                <w:szCs w:val="24"/>
              </w:rPr>
              <w:t>2</w:t>
            </w:r>
            <w:r>
              <w:rPr>
                <w:rFonts w:ascii="Times New Roman" w:hAnsi="Times New Roman" w:eastAsia="宋体"/>
                <w:color w:val="auto"/>
                <w:sz w:val="24"/>
                <w:szCs w:val="24"/>
              </w:rPr>
              <w:t>0辆</w:t>
            </w:r>
            <w:r>
              <w:rPr>
                <w:rFonts w:hint="eastAsia" w:ascii="Times New Roman" w:hAnsi="Times New Roman" w:eastAsia="宋体"/>
                <w:color w:val="auto"/>
                <w:sz w:val="24"/>
                <w:szCs w:val="24"/>
                <w:shd w:val="clear" w:fill="FFFFFF"/>
                <w:lang w:eastAsia="zh-CN"/>
              </w:rPr>
              <w:t>(</w:t>
            </w:r>
            <w:r>
              <w:rPr>
                <w:rFonts w:ascii="Times New Roman" w:hAnsi="Times New Roman" w:eastAsia="宋体"/>
                <w:color w:val="auto"/>
                <w:sz w:val="24"/>
                <w:szCs w:val="24"/>
              </w:rPr>
              <w:t>台</w:t>
            </w:r>
            <w:r>
              <w:rPr>
                <w:rFonts w:hint="eastAsia" w:ascii="Times New Roman" w:hAnsi="Times New Roman" w:eastAsia="宋体"/>
                <w:color w:val="auto"/>
                <w:sz w:val="24"/>
                <w:szCs w:val="24"/>
                <w:shd w:val="clear" w:fill="FFFFFF"/>
                <w:lang w:eastAsia="zh-CN"/>
              </w:rPr>
              <w:t>)</w:t>
            </w:r>
            <w:r>
              <w:rPr>
                <w:rFonts w:ascii="Times New Roman" w:hAnsi="Times New Roman" w:eastAsia="宋体"/>
                <w:color w:val="auto"/>
                <w:sz w:val="24"/>
                <w:szCs w:val="24"/>
              </w:rPr>
              <w:t>。汽车机械临时保养站</w:t>
            </w:r>
            <w:r>
              <w:rPr>
                <w:rFonts w:hint="eastAsia" w:ascii="Times New Roman" w:hAnsi="Times New Roman" w:eastAsia="宋体"/>
                <w:color w:val="auto"/>
                <w:sz w:val="24"/>
                <w:szCs w:val="24"/>
                <w:shd w:val="clear" w:fill="FFFFFF"/>
                <w:lang w:eastAsia="zh-CN"/>
              </w:rPr>
              <w:t>(</w:t>
            </w:r>
            <w:r>
              <w:rPr>
                <w:rFonts w:ascii="Times New Roman" w:hAnsi="Times New Roman" w:eastAsia="宋体"/>
                <w:color w:val="auto"/>
                <w:sz w:val="24"/>
                <w:szCs w:val="24"/>
              </w:rPr>
              <w:t>含停车场</w:t>
            </w:r>
            <w:r>
              <w:rPr>
                <w:rFonts w:hint="eastAsia" w:ascii="Times New Roman" w:hAnsi="Times New Roman" w:eastAsia="宋体"/>
                <w:color w:val="auto"/>
                <w:sz w:val="24"/>
                <w:szCs w:val="24"/>
                <w:shd w:val="clear" w:fill="FFFFFF"/>
                <w:lang w:eastAsia="zh-CN"/>
              </w:rPr>
              <w:t>)</w:t>
            </w:r>
            <w:r>
              <w:rPr>
                <w:rFonts w:ascii="Times New Roman" w:hAnsi="Times New Roman" w:eastAsia="宋体"/>
                <w:color w:val="auto"/>
                <w:sz w:val="24"/>
                <w:szCs w:val="24"/>
              </w:rPr>
              <w:t>对运输车辆和机械设备冲洗主要集中在每日晚上进行1次，冲洗废水主要污染物是含有高浓度的泥沙和较高浓度的石油类物质，在厂区内经隔油沉淀后回用。施工场地设置简易的泥浆水收集池，使泥浆水自然渗透过滤，避免泥浆水直接流入周边水域，影响水域水质环境。水泥混凝土浇筑养护用水自然蒸发不外排。</w:t>
            </w:r>
          </w:p>
          <w:p w14:paraId="4E41B173">
            <w:pPr>
              <w:spacing w:line="360" w:lineRule="auto"/>
              <w:ind w:firstLine="482" w:firstLineChars="200"/>
              <w:rPr>
                <w:b/>
                <w:bCs/>
                <w:color w:val="auto"/>
                <w:sz w:val="24"/>
              </w:rPr>
            </w:pPr>
            <w:r>
              <w:rPr>
                <w:rFonts w:hint="eastAsia"/>
                <w:b/>
                <w:bCs/>
                <w:color w:val="auto"/>
                <w:sz w:val="24"/>
              </w:rPr>
              <w:t>3、施工期噪声</w:t>
            </w:r>
          </w:p>
          <w:p w14:paraId="304F23B1">
            <w:pPr>
              <w:spacing w:line="360" w:lineRule="auto"/>
              <w:ind w:firstLine="480" w:firstLineChars="200"/>
              <w:rPr>
                <w:color w:val="auto"/>
                <w:sz w:val="24"/>
              </w:rPr>
            </w:pPr>
            <w:r>
              <w:rPr>
                <w:color w:val="auto"/>
                <w:sz w:val="24"/>
              </w:rPr>
              <w:t>施工期间，运输车辆和各种施工机械如挖掘机、推土机、起重机都是主要的噪声源。根据有关资料，这些机械、设备运行时的噪声值在80-105dB(A</w:t>
            </w:r>
            <w:r>
              <w:rPr>
                <w:color w:val="auto"/>
                <w:sz w:val="24"/>
                <w:shd w:val="clear" w:fill="FFFFFF"/>
              </w:rPr>
              <w:t>)</w:t>
            </w:r>
            <w:r>
              <w:rPr>
                <w:color w:val="auto"/>
                <w:sz w:val="24"/>
              </w:rPr>
              <w:t>之间，具有间歇性。施工单位</w:t>
            </w:r>
            <w:r>
              <w:rPr>
                <w:rFonts w:hint="eastAsia"/>
                <w:color w:val="auto"/>
                <w:sz w:val="24"/>
              </w:rPr>
              <w:t>应</w:t>
            </w:r>
            <w:r>
              <w:rPr>
                <w:color w:val="auto"/>
                <w:sz w:val="24"/>
              </w:rPr>
              <w:t>通过</w:t>
            </w:r>
            <w:r>
              <w:rPr>
                <w:rFonts w:hint="eastAsia"/>
                <w:color w:val="auto"/>
                <w:sz w:val="24"/>
              </w:rPr>
              <w:t>采取以下措施，减少噪声污染。</w:t>
            </w:r>
          </w:p>
          <w:p w14:paraId="3BD49231">
            <w:pPr>
              <w:spacing w:line="360" w:lineRule="auto"/>
              <w:ind w:firstLine="480" w:firstLineChars="200"/>
              <w:rPr>
                <w:color w:val="auto"/>
                <w:sz w:val="24"/>
              </w:rPr>
            </w:pPr>
            <w:r>
              <w:rPr>
                <w:rFonts w:hint="eastAsia"/>
                <w:color w:val="auto"/>
                <w:sz w:val="24"/>
                <w:shd w:val="clear" w:fill="FFFFFF"/>
              </w:rPr>
              <w:t>(</w:t>
            </w:r>
            <w:r>
              <w:rPr>
                <w:rFonts w:hint="eastAsia"/>
                <w:color w:val="auto"/>
                <w:sz w:val="24"/>
              </w:rPr>
              <w:t>1</w:t>
            </w:r>
            <w:r>
              <w:rPr>
                <w:rFonts w:hint="eastAsia"/>
                <w:color w:val="auto"/>
                <w:sz w:val="24"/>
                <w:shd w:val="clear" w:fill="FFFFFF"/>
              </w:rPr>
              <w:t>)</w:t>
            </w:r>
            <w:r>
              <w:rPr>
                <w:color w:val="auto"/>
                <w:sz w:val="24"/>
              </w:rPr>
              <w:t>严禁夜间施工，从严控制车辆鸣笛。</w:t>
            </w:r>
          </w:p>
          <w:p w14:paraId="51138571">
            <w:pPr>
              <w:spacing w:line="360" w:lineRule="auto"/>
              <w:ind w:firstLine="480" w:firstLineChars="200"/>
              <w:rPr>
                <w:color w:val="auto"/>
                <w:sz w:val="24"/>
              </w:rPr>
            </w:pPr>
            <w:r>
              <w:rPr>
                <w:rFonts w:hint="eastAsia"/>
                <w:color w:val="auto"/>
                <w:sz w:val="24"/>
                <w:shd w:val="clear" w:fill="FFFFFF"/>
              </w:rPr>
              <w:t>(</w:t>
            </w:r>
            <w:r>
              <w:rPr>
                <w:rFonts w:hint="eastAsia"/>
                <w:color w:val="auto"/>
                <w:sz w:val="24"/>
              </w:rPr>
              <w:t>2</w:t>
            </w:r>
            <w:r>
              <w:rPr>
                <w:rFonts w:hint="eastAsia"/>
                <w:color w:val="auto"/>
                <w:sz w:val="24"/>
                <w:shd w:val="clear" w:fill="FFFFFF"/>
              </w:rPr>
              <w:t>)</w:t>
            </w:r>
            <w:r>
              <w:rPr>
                <w:color w:val="auto"/>
                <w:sz w:val="24"/>
              </w:rPr>
              <w:t>建设单位应合理安排施工进度，避免高噪声设备集中</w:t>
            </w:r>
            <w:r>
              <w:rPr>
                <w:rFonts w:hint="eastAsia"/>
                <w:color w:val="auto"/>
                <w:sz w:val="24"/>
                <w:lang w:eastAsia="zh-CN"/>
              </w:rPr>
              <w:t>运转</w:t>
            </w:r>
            <w:r>
              <w:rPr>
                <w:color w:val="auto"/>
                <w:sz w:val="24"/>
              </w:rPr>
              <w:t>，尽量将高噪声设备摆放在距离厂界较远的位置，定期进行维护和检修。</w:t>
            </w:r>
          </w:p>
          <w:p w14:paraId="5291E9EE">
            <w:pPr>
              <w:spacing w:line="360" w:lineRule="auto"/>
              <w:ind w:firstLine="480" w:firstLineChars="200"/>
              <w:rPr>
                <w:color w:val="auto"/>
                <w:sz w:val="24"/>
              </w:rPr>
            </w:pPr>
            <w:r>
              <w:rPr>
                <w:rFonts w:hint="eastAsia"/>
                <w:color w:val="auto"/>
                <w:sz w:val="24"/>
                <w:shd w:val="clear" w:fill="FFFFFF"/>
              </w:rPr>
              <w:t>(</w:t>
            </w:r>
            <w:r>
              <w:rPr>
                <w:rFonts w:hint="eastAsia"/>
                <w:color w:val="auto"/>
                <w:sz w:val="24"/>
              </w:rPr>
              <w:t>3</w:t>
            </w:r>
            <w:r>
              <w:rPr>
                <w:rFonts w:hint="eastAsia"/>
                <w:color w:val="auto"/>
                <w:sz w:val="24"/>
                <w:shd w:val="clear" w:fill="FFFFFF"/>
              </w:rPr>
              <w:t>)</w:t>
            </w:r>
            <w:r>
              <w:rPr>
                <w:color w:val="auto"/>
                <w:sz w:val="24"/>
              </w:rPr>
              <w:t>施工期厂界周边设置围墙。</w:t>
            </w:r>
          </w:p>
          <w:p w14:paraId="07F56411">
            <w:pPr>
              <w:spacing w:line="360" w:lineRule="auto"/>
              <w:ind w:firstLine="480" w:firstLineChars="200"/>
              <w:rPr>
                <w:color w:val="auto"/>
                <w:sz w:val="24"/>
              </w:rPr>
            </w:pPr>
            <w:r>
              <w:rPr>
                <w:rFonts w:hint="eastAsia"/>
                <w:color w:val="auto"/>
                <w:sz w:val="24"/>
                <w:shd w:val="clear" w:fill="FFFFFF"/>
              </w:rPr>
              <w:t>(</w:t>
            </w:r>
            <w:r>
              <w:rPr>
                <w:rFonts w:hint="eastAsia"/>
                <w:color w:val="auto"/>
                <w:sz w:val="24"/>
              </w:rPr>
              <w:t>4</w:t>
            </w:r>
            <w:r>
              <w:rPr>
                <w:rFonts w:hint="eastAsia"/>
                <w:color w:val="auto"/>
                <w:sz w:val="24"/>
                <w:shd w:val="clear" w:fill="FFFFFF"/>
              </w:rPr>
              <w:t>)</w:t>
            </w:r>
            <w:r>
              <w:rPr>
                <w:color w:val="auto"/>
                <w:sz w:val="24"/>
              </w:rPr>
              <w:t>对高噪声设备进行隔声减振处理。</w:t>
            </w:r>
          </w:p>
          <w:p w14:paraId="48B84576">
            <w:pPr>
              <w:spacing w:line="360" w:lineRule="auto"/>
              <w:ind w:firstLine="482" w:firstLineChars="200"/>
              <w:rPr>
                <w:b/>
                <w:bCs/>
                <w:color w:val="auto"/>
                <w:sz w:val="24"/>
              </w:rPr>
            </w:pPr>
            <w:r>
              <w:rPr>
                <w:rFonts w:hint="eastAsia"/>
                <w:b/>
                <w:bCs/>
                <w:color w:val="auto"/>
                <w:sz w:val="24"/>
              </w:rPr>
              <w:t>4、施工期固废</w:t>
            </w:r>
          </w:p>
          <w:p w14:paraId="7CBD3C7B">
            <w:pPr>
              <w:spacing w:line="360" w:lineRule="auto"/>
              <w:ind w:firstLine="480" w:firstLineChars="200"/>
              <w:rPr>
                <w:color w:val="auto"/>
                <w:sz w:val="24"/>
              </w:rPr>
            </w:pPr>
            <w:r>
              <w:rPr>
                <w:rFonts w:hint="eastAsia"/>
                <w:color w:val="auto"/>
                <w:sz w:val="24"/>
                <w:shd w:val="clear" w:fill="FFFFFF"/>
              </w:rPr>
              <w:t>(</w:t>
            </w:r>
            <w:r>
              <w:rPr>
                <w:rFonts w:hint="eastAsia"/>
                <w:color w:val="auto"/>
                <w:sz w:val="24"/>
              </w:rPr>
              <w:t>1</w:t>
            </w:r>
            <w:r>
              <w:rPr>
                <w:rFonts w:hint="eastAsia"/>
                <w:color w:val="auto"/>
                <w:sz w:val="24"/>
                <w:shd w:val="clear" w:fill="FFFFFF"/>
              </w:rPr>
              <w:t>)</w:t>
            </w:r>
            <w:r>
              <w:rPr>
                <w:color w:val="auto"/>
                <w:sz w:val="24"/>
              </w:rPr>
              <w:t>施工建筑垃圾</w:t>
            </w:r>
          </w:p>
          <w:p w14:paraId="39D2C6A2">
            <w:pPr>
              <w:spacing w:line="360" w:lineRule="auto"/>
              <w:ind w:firstLine="480" w:firstLineChars="200"/>
              <w:rPr>
                <w:color w:val="auto"/>
                <w:sz w:val="24"/>
              </w:rPr>
            </w:pPr>
            <w:r>
              <w:rPr>
                <w:rFonts w:hint="eastAsia"/>
                <w:color w:val="auto"/>
                <w:sz w:val="24"/>
                <w:lang w:eastAsia="zh-CN"/>
              </w:rPr>
              <w:t>迁建项目</w:t>
            </w:r>
            <w:r>
              <w:rPr>
                <w:color w:val="auto"/>
                <w:sz w:val="24"/>
              </w:rPr>
              <w:t>施工作业固体废物主要为建筑模板、建筑材料下脚料、断残钢筋头、破钢管、包装袋、废旧设备零件以及建筑碎片、碎砖头、水泥块、石子、沙子等建筑材料废弃物和少量机械修配擦油布等。这些施工固体废物中，建筑模板、建筑材料下脚料、断残钢筋头、破钢管、包装袋、废旧设备零件等可回收综合利用；建筑碎片、碎砖头、水泥块、石子、沙子等建筑材料废弃物可作为</w:t>
            </w:r>
            <w:r>
              <w:rPr>
                <w:rFonts w:hint="eastAsia"/>
                <w:color w:val="auto"/>
                <w:sz w:val="24"/>
                <w:lang w:eastAsia="zh-CN"/>
              </w:rPr>
              <w:t>迁建项目</w:t>
            </w:r>
            <w:r>
              <w:rPr>
                <w:color w:val="auto"/>
                <w:sz w:val="24"/>
              </w:rPr>
              <w:t>厂区场地</w:t>
            </w:r>
            <w:r>
              <w:rPr>
                <w:rFonts w:hint="eastAsia"/>
                <w:color w:val="auto"/>
                <w:sz w:val="24"/>
              </w:rPr>
              <w:t>低洼地</w:t>
            </w:r>
            <w:r>
              <w:rPr>
                <w:color w:val="auto"/>
                <w:sz w:val="24"/>
              </w:rPr>
              <w:t>平整填方。</w:t>
            </w:r>
          </w:p>
          <w:p w14:paraId="7FDD9F9E">
            <w:pPr>
              <w:spacing w:line="360" w:lineRule="auto"/>
              <w:ind w:firstLine="480" w:firstLineChars="200"/>
              <w:rPr>
                <w:color w:val="auto"/>
                <w:sz w:val="24"/>
              </w:rPr>
            </w:pPr>
            <w:r>
              <w:rPr>
                <w:rFonts w:hint="eastAsia"/>
                <w:color w:val="auto"/>
                <w:sz w:val="24"/>
                <w:shd w:val="clear" w:fill="FFFFFF"/>
              </w:rPr>
              <w:t>(</w:t>
            </w:r>
            <w:r>
              <w:rPr>
                <w:rFonts w:hint="eastAsia"/>
                <w:color w:val="auto"/>
                <w:sz w:val="24"/>
              </w:rPr>
              <w:t>2</w:t>
            </w:r>
            <w:r>
              <w:rPr>
                <w:rFonts w:hint="eastAsia"/>
                <w:color w:val="auto"/>
                <w:sz w:val="24"/>
                <w:shd w:val="clear" w:fill="FFFFFF"/>
              </w:rPr>
              <w:t>)</w:t>
            </w:r>
            <w:r>
              <w:rPr>
                <w:color w:val="auto"/>
                <w:sz w:val="24"/>
              </w:rPr>
              <w:t>生活垃圾</w:t>
            </w:r>
          </w:p>
          <w:p w14:paraId="773A8995">
            <w:pPr>
              <w:spacing w:line="360" w:lineRule="auto"/>
              <w:ind w:firstLine="480" w:firstLineChars="200"/>
              <w:rPr>
                <w:color w:val="auto"/>
              </w:rPr>
            </w:pPr>
            <w:r>
              <w:rPr>
                <w:color w:val="auto"/>
                <w:sz w:val="24"/>
              </w:rPr>
              <w:t>拟建项目施工高峰期各类施工人员约</w:t>
            </w:r>
            <w:r>
              <w:rPr>
                <w:rFonts w:hint="eastAsia"/>
                <w:color w:val="auto"/>
                <w:sz w:val="24"/>
              </w:rPr>
              <w:t>4</w:t>
            </w:r>
            <w:r>
              <w:rPr>
                <w:color w:val="auto"/>
                <w:sz w:val="24"/>
              </w:rPr>
              <w:t>0人，按每人每天产生1kg生活垃圾估算，则项目施工期生活垃圾产生量为</w:t>
            </w:r>
            <w:r>
              <w:rPr>
                <w:rFonts w:hint="eastAsia"/>
                <w:color w:val="auto"/>
                <w:sz w:val="24"/>
              </w:rPr>
              <w:t>4</w:t>
            </w:r>
            <w:r>
              <w:rPr>
                <w:color w:val="auto"/>
                <w:sz w:val="24"/>
              </w:rPr>
              <w:t>0kg/d。生活垃圾包括残剩食物、废纸、塑料和各种玻璃瓶等，由当地环卫部门统一收集处理。</w:t>
            </w:r>
          </w:p>
        </w:tc>
      </w:tr>
      <w:tr w14:paraId="39B54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61F6933B">
            <w:pPr>
              <w:jc w:val="center"/>
              <w:rPr>
                <w:bCs/>
                <w:color w:val="auto"/>
                <w:kern w:val="21"/>
                <w:sz w:val="24"/>
              </w:rPr>
            </w:pPr>
            <w:r>
              <w:rPr>
                <w:bCs/>
                <w:color w:val="auto"/>
                <w:kern w:val="21"/>
                <w:sz w:val="24"/>
              </w:rPr>
              <w:t>运营</w:t>
            </w:r>
          </w:p>
          <w:p w14:paraId="0982C045">
            <w:pPr>
              <w:jc w:val="center"/>
              <w:rPr>
                <w:bCs/>
                <w:color w:val="auto"/>
                <w:kern w:val="21"/>
                <w:sz w:val="24"/>
              </w:rPr>
            </w:pPr>
            <w:r>
              <w:rPr>
                <w:bCs/>
                <w:color w:val="auto"/>
                <w:kern w:val="21"/>
                <w:sz w:val="24"/>
              </w:rPr>
              <w:t>期环</w:t>
            </w:r>
          </w:p>
          <w:p w14:paraId="79D82155">
            <w:pPr>
              <w:jc w:val="center"/>
              <w:rPr>
                <w:bCs/>
                <w:color w:val="auto"/>
                <w:kern w:val="21"/>
                <w:sz w:val="24"/>
              </w:rPr>
            </w:pPr>
            <w:r>
              <w:rPr>
                <w:bCs/>
                <w:color w:val="auto"/>
                <w:kern w:val="21"/>
                <w:sz w:val="24"/>
              </w:rPr>
              <w:t>境影</w:t>
            </w:r>
          </w:p>
          <w:p w14:paraId="00162222">
            <w:pPr>
              <w:jc w:val="center"/>
              <w:rPr>
                <w:bCs/>
                <w:color w:val="auto"/>
                <w:kern w:val="21"/>
                <w:sz w:val="24"/>
              </w:rPr>
            </w:pPr>
            <w:r>
              <w:rPr>
                <w:bCs/>
                <w:color w:val="auto"/>
                <w:kern w:val="21"/>
                <w:sz w:val="24"/>
              </w:rPr>
              <w:t>响和</w:t>
            </w:r>
          </w:p>
          <w:p w14:paraId="0EE377B6">
            <w:pPr>
              <w:jc w:val="center"/>
              <w:rPr>
                <w:bCs/>
                <w:color w:val="auto"/>
                <w:kern w:val="21"/>
                <w:sz w:val="24"/>
              </w:rPr>
            </w:pPr>
            <w:r>
              <w:rPr>
                <w:bCs/>
                <w:color w:val="auto"/>
                <w:kern w:val="21"/>
                <w:sz w:val="24"/>
              </w:rPr>
              <w:t>保护</w:t>
            </w:r>
          </w:p>
          <w:p w14:paraId="5F19B989">
            <w:pPr>
              <w:jc w:val="center"/>
              <w:rPr>
                <w:bCs/>
                <w:color w:val="auto"/>
                <w:kern w:val="21"/>
                <w:szCs w:val="21"/>
              </w:rPr>
            </w:pPr>
            <w:r>
              <w:rPr>
                <w:bCs/>
                <w:color w:val="auto"/>
                <w:kern w:val="21"/>
                <w:sz w:val="24"/>
              </w:rPr>
              <w:t>措施</w:t>
            </w:r>
          </w:p>
        </w:tc>
        <w:tc>
          <w:tcPr>
            <w:tcW w:w="8606" w:type="dxa"/>
            <w:vAlign w:val="center"/>
          </w:tcPr>
          <w:p w14:paraId="36449C8C">
            <w:pPr>
              <w:pStyle w:val="68"/>
              <w:ind w:firstLine="0" w:firstLineChars="0"/>
              <w:rPr>
                <w:b/>
                <w:bCs/>
                <w:color w:val="auto"/>
                <w:kern w:val="2"/>
                <w:sz w:val="24"/>
                <w:szCs w:val="24"/>
              </w:rPr>
            </w:pPr>
            <w:r>
              <w:rPr>
                <w:b/>
                <w:bCs/>
                <w:color w:val="auto"/>
                <w:kern w:val="2"/>
                <w:sz w:val="24"/>
                <w:szCs w:val="24"/>
              </w:rPr>
              <w:t>4.</w:t>
            </w:r>
            <w:r>
              <w:rPr>
                <w:rFonts w:hint="eastAsia"/>
                <w:b/>
                <w:bCs/>
                <w:color w:val="auto"/>
                <w:kern w:val="2"/>
                <w:sz w:val="24"/>
                <w:szCs w:val="24"/>
              </w:rPr>
              <w:t>2运营期废气</w:t>
            </w:r>
            <w:r>
              <w:rPr>
                <w:b/>
                <w:bCs/>
                <w:color w:val="auto"/>
                <w:kern w:val="2"/>
                <w:sz w:val="24"/>
                <w:szCs w:val="24"/>
              </w:rPr>
              <w:t>污染源核算及环保措施</w:t>
            </w:r>
          </w:p>
          <w:p w14:paraId="4372E1E7">
            <w:pPr>
              <w:pStyle w:val="68"/>
              <w:ind w:firstLine="482"/>
              <w:rPr>
                <w:b/>
                <w:bCs/>
                <w:color w:val="auto"/>
                <w:kern w:val="2"/>
                <w:sz w:val="24"/>
                <w:szCs w:val="24"/>
              </w:rPr>
            </w:pPr>
            <w:r>
              <w:rPr>
                <w:rFonts w:hint="eastAsia"/>
                <w:b/>
                <w:bCs/>
                <w:color w:val="auto"/>
                <w:kern w:val="2"/>
                <w:sz w:val="24"/>
                <w:szCs w:val="24"/>
              </w:rPr>
              <w:t>1.</w:t>
            </w:r>
            <w:r>
              <w:rPr>
                <w:b/>
                <w:bCs/>
                <w:color w:val="auto"/>
                <w:kern w:val="2"/>
                <w:sz w:val="24"/>
                <w:szCs w:val="24"/>
              </w:rPr>
              <w:t>废气</w:t>
            </w:r>
            <w:r>
              <w:rPr>
                <w:rFonts w:hint="eastAsia"/>
                <w:b/>
                <w:bCs/>
                <w:color w:val="auto"/>
                <w:kern w:val="2"/>
                <w:sz w:val="24"/>
                <w:szCs w:val="24"/>
                <w:lang w:val="en-US" w:eastAsia="zh-CN"/>
              </w:rPr>
              <w:t>污染</w:t>
            </w:r>
            <w:r>
              <w:rPr>
                <w:b/>
                <w:bCs/>
                <w:color w:val="auto"/>
                <w:kern w:val="2"/>
                <w:sz w:val="24"/>
                <w:szCs w:val="24"/>
              </w:rPr>
              <w:t>源核算</w:t>
            </w:r>
          </w:p>
          <w:p w14:paraId="08FA1FD8">
            <w:pPr>
              <w:spacing w:line="360" w:lineRule="auto"/>
              <w:ind w:firstLine="480"/>
              <w:rPr>
                <w:color w:val="auto"/>
                <w:sz w:val="24"/>
              </w:rPr>
            </w:pPr>
            <w:r>
              <w:rPr>
                <w:rFonts w:hint="eastAsia"/>
                <w:color w:val="auto"/>
                <w:sz w:val="24"/>
              </w:rPr>
              <w:t>水泥输料系统、计量系统均采用密闭式管道输料，基本不产生粉尘。</w:t>
            </w:r>
            <w:r>
              <w:rPr>
                <w:rFonts w:hint="eastAsia"/>
                <w:color w:val="auto"/>
                <w:sz w:val="24"/>
                <w:lang w:eastAsia="zh-CN"/>
              </w:rPr>
              <w:t>迁建项目</w:t>
            </w:r>
            <w:r>
              <w:rPr>
                <w:rFonts w:hint="eastAsia"/>
                <w:color w:val="auto"/>
                <w:sz w:val="24"/>
              </w:rPr>
              <w:t>运营期废气主要为原料卸料粉尘、石子及砂子输送粉尘、水泥罐呼吸粉尘、配料搅拌粉尘、焊接烟尘和厨房油烟等。根据《污染源源强核算技术指南水泥工业》</w:t>
            </w:r>
            <w:r>
              <w:rPr>
                <w:rFonts w:hint="eastAsia"/>
                <w:color w:val="auto"/>
                <w:sz w:val="24"/>
                <w:lang w:eastAsia="zh-CN"/>
              </w:rPr>
              <w:t>(</w:t>
            </w:r>
            <w:r>
              <w:rPr>
                <w:rFonts w:hint="eastAsia"/>
                <w:color w:val="auto"/>
                <w:sz w:val="24"/>
              </w:rPr>
              <w:t>HJ886-2018</w:t>
            </w:r>
            <w:r>
              <w:rPr>
                <w:rFonts w:hint="eastAsia"/>
                <w:color w:val="auto"/>
                <w:sz w:val="24"/>
                <w:lang w:eastAsia="zh-CN"/>
              </w:rPr>
              <w:t>)</w:t>
            </w:r>
            <w:r>
              <w:rPr>
                <w:rFonts w:hint="eastAsia"/>
                <w:color w:val="auto"/>
                <w:sz w:val="24"/>
              </w:rPr>
              <w:t>，污染物源强核算方法可采用物料衡算法、实测法、产污系数法、类比法、实验法等方法。本次环评废气源强采用产污系数法，具体源强分析如下。</w:t>
            </w:r>
          </w:p>
          <w:p w14:paraId="5C832FE4">
            <w:pPr>
              <w:spacing w:line="360" w:lineRule="auto"/>
              <w:ind w:firstLine="480"/>
              <w:rPr>
                <w:rFonts w:hint="default" w:eastAsia="宋体"/>
                <w:color w:val="auto"/>
                <w:sz w:val="24"/>
                <w:lang w:val="en-US" w:eastAsia="zh-CN"/>
              </w:rPr>
            </w:pPr>
            <w:r>
              <w:rPr>
                <w:rFonts w:hint="eastAsia"/>
                <w:color w:val="auto"/>
                <w:sz w:val="24"/>
                <w:shd w:val="clear" w:fill="FFFFFF"/>
              </w:rPr>
              <w:t>(</w:t>
            </w:r>
            <w:r>
              <w:rPr>
                <w:rFonts w:hint="eastAsia"/>
                <w:color w:val="auto"/>
                <w:sz w:val="24"/>
              </w:rPr>
              <w:t>1</w:t>
            </w:r>
            <w:r>
              <w:rPr>
                <w:rFonts w:hint="eastAsia"/>
                <w:color w:val="auto"/>
                <w:sz w:val="24"/>
                <w:shd w:val="clear" w:fill="FFFFFF"/>
              </w:rPr>
              <w:t>)</w:t>
            </w:r>
            <w:r>
              <w:rPr>
                <w:rFonts w:hint="eastAsia"/>
                <w:color w:val="auto"/>
                <w:sz w:val="24"/>
              </w:rPr>
              <w:t>水泥罐呼吸粉尘</w:t>
            </w:r>
          </w:p>
          <w:p w14:paraId="78390345">
            <w:pPr>
              <w:spacing w:line="360" w:lineRule="auto"/>
              <w:ind w:firstLine="480"/>
              <w:rPr>
                <w:rFonts w:hint="default"/>
                <w:color w:val="auto"/>
                <w:sz w:val="24"/>
                <w:lang w:val="en-US" w:eastAsia="zh-CN"/>
              </w:rPr>
            </w:pPr>
            <w:r>
              <w:rPr>
                <w:rFonts w:hint="eastAsia"/>
                <w:color w:val="auto"/>
                <w:sz w:val="24"/>
                <w:lang w:eastAsia="zh-CN"/>
              </w:rPr>
              <w:t>①</w:t>
            </w:r>
            <w:r>
              <w:rPr>
                <w:rFonts w:hint="eastAsia"/>
                <w:color w:val="auto"/>
                <w:sz w:val="24"/>
                <w:lang w:val="en-US" w:eastAsia="zh-CN"/>
              </w:rPr>
              <w:t>污染源核算</w:t>
            </w:r>
          </w:p>
          <w:p w14:paraId="4718D76D">
            <w:pPr>
              <w:spacing w:line="360" w:lineRule="auto"/>
              <w:ind w:firstLine="480"/>
              <w:rPr>
                <w:rFonts w:hint="eastAsia"/>
                <w:color w:val="auto"/>
                <w:sz w:val="24"/>
                <w:lang w:eastAsia="zh-CN"/>
              </w:rPr>
            </w:pPr>
            <w:r>
              <w:rPr>
                <w:rFonts w:hint="eastAsia"/>
                <w:color w:val="auto"/>
                <w:sz w:val="24"/>
                <w:lang w:eastAsia="zh-CN"/>
              </w:rPr>
              <w:t>迁建项目</w:t>
            </w:r>
            <w:r>
              <w:rPr>
                <w:rFonts w:hint="eastAsia"/>
                <w:color w:val="auto"/>
                <w:sz w:val="24"/>
              </w:rPr>
              <w:t>水泥储存在生产车间水泥罐中，水泥罐顶部设有呼吸口，水泥粉料用密闭罐车运输到生产车间内，通过泵连接管道采用负压方式将水泥粉料打入水泥罐中，卸料过程为密闭，但当泵打入水泥罐的时候，由于气压的原因，出口处气流速度较大，储罐顶部呼吸孔会有</w:t>
            </w:r>
            <w:r>
              <w:rPr>
                <w:rFonts w:hint="eastAsia"/>
                <w:color w:val="auto"/>
                <w:sz w:val="24"/>
                <w:lang w:eastAsia="zh-CN"/>
              </w:rPr>
              <w:t>气体逸出</w:t>
            </w:r>
            <w:r>
              <w:rPr>
                <w:rFonts w:hint="eastAsia"/>
                <w:color w:val="auto"/>
                <w:sz w:val="24"/>
              </w:rPr>
              <w:t>，从而带出一部分粉尘，此为大呼吸；同时由于气温变化形成温度差引起气体压力变化有部分粉尘随水泥罐里的空气从水泥罐顶部的排气孔中排出，此为小呼吸。</w:t>
            </w:r>
            <w:r>
              <w:rPr>
                <w:rFonts w:hint="eastAsia"/>
                <w:color w:val="auto"/>
                <w:sz w:val="24"/>
                <w:lang w:eastAsia="zh-CN"/>
              </w:rPr>
              <w:t>迁建项目</w:t>
            </w:r>
            <w:r>
              <w:rPr>
                <w:rFonts w:hint="eastAsia"/>
                <w:color w:val="auto"/>
                <w:sz w:val="24"/>
              </w:rPr>
              <w:t>的水泥罐顶部呼吸口直接连接一个滤筒式袋式除尘器进行处理</w:t>
            </w:r>
            <w:r>
              <w:rPr>
                <w:rFonts w:hint="eastAsia"/>
                <w:color w:val="auto"/>
                <w:sz w:val="24"/>
                <w:lang w:eastAsia="zh-CN"/>
              </w:rPr>
              <w:t>。</w:t>
            </w:r>
          </w:p>
          <w:p w14:paraId="09D3AC84">
            <w:pPr>
              <w:spacing w:line="360" w:lineRule="auto"/>
              <w:ind w:firstLine="480"/>
              <w:rPr>
                <w:color w:val="auto"/>
                <w:sz w:val="24"/>
              </w:rPr>
            </w:pPr>
            <w:r>
              <w:rPr>
                <w:rFonts w:hint="eastAsia"/>
                <w:color w:val="auto"/>
                <w:sz w:val="24"/>
                <w:lang w:val="en-US" w:eastAsia="zh-CN"/>
              </w:rPr>
              <w:t>项目全厂共设置10个水泥罐，生产车间内布设5个生产区域，每个区域设置2个水泥罐，具体布置详见附图4-2。</w:t>
            </w:r>
            <w:r>
              <w:rPr>
                <w:rFonts w:hint="eastAsia"/>
                <w:color w:val="auto"/>
                <w:sz w:val="24"/>
              </w:rPr>
              <w:t>项目水泥罐呼吸口含尘产生量参照《逸散性工业粉尘控制技术》</w:t>
            </w:r>
            <w:r>
              <w:rPr>
                <w:color w:val="auto"/>
                <w:sz w:val="24"/>
              </w:rPr>
              <w:t>“表22-1 混凝土分批搅拌厂的散逸尘排放因子”中“卸水泥至高架贮仓”排污系数为0.12kg/t-卸料</w:t>
            </w:r>
            <w:r>
              <w:rPr>
                <w:rFonts w:hint="eastAsia"/>
                <w:color w:val="auto"/>
                <w:sz w:val="24"/>
              </w:rPr>
              <w:t>，</w:t>
            </w:r>
            <w:r>
              <w:rPr>
                <w:color w:val="auto"/>
                <w:sz w:val="24"/>
              </w:rPr>
              <w:t>“贮仓排气”排污系数为0.12kg/t。</w:t>
            </w:r>
            <w:r>
              <w:rPr>
                <w:rFonts w:hint="eastAsia"/>
                <w:color w:val="auto"/>
                <w:sz w:val="24"/>
                <w:lang w:eastAsia="zh-CN"/>
              </w:rPr>
              <w:t>迁建项目</w:t>
            </w:r>
            <w:r>
              <w:rPr>
                <w:color w:val="auto"/>
                <w:sz w:val="24"/>
              </w:rPr>
              <w:t>水泥上料量为</w:t>
            </w:r>
            <w:r>
              <w:rPr>
                <w:rFonts w:hint="eastAsia"/>
                <w:color w:val="auto"/>
                <w:sz w:val="24"/>
              </w:rPr>
              <w:t>5.8万</w:t>
            </w:r>
            <w:r>
              <w:rPr>
                <w:color w:val="auto"/>
                <w:sz w:val="24"/>
              </w:rPr>
              <w:t>t/a，则水泥</w:t>
            </w:r>
            <w:r>
              <w:rPr>
                <w:rFonts w:hint="eastAsia"/>
                <w:color w:val="auto"/>
                <w:sz w:val="24"/>
              </w:rPr>
              <w:t>罐呼吸粉尘</w:t>
            </w:r>
            <w:r>
              <w:rPr>
                <w:color w:val="auto"/>
                <w:sz w:val="24"/>
              </w:rPr>
              <w:t>产生量为</w:t>
            </w:r>
            <w:r>
              <w:rPr>
                <w:rFonts w:hint="eastAsia"/>
                <w:color w:val="auto"/>
                <w:sz w:val="24"/>
              </w:rPr>
              <w:t>13.92</w:t>
            </w:r>
            <w:r>
              <w:rPr>
                <w:color w:val="auto"/>
                <w:sz w:val="24"/>
              </w:rPr>
              <w:t>t/a</w:t>
            </w:r>
            <w:r>
              <w:rPr>
                <w:rFonts w:hint="eastAsia"/>
                <w:color w:val="auto"/>
                <w:sz w:val="24"/>
              </w:rPr>
              <w:t>，</w:t>
            </w:r>
            <w:r>
              <w:rPr>
                <w:rFonts w:hint="eastAsia"/>
                <w:color w:val="auto"/>
                <w:sz w:val="24"/>
                <w:lang w:eastAsia="zh-CN"/>
              </w:rPr>
              <w:t>水泥罐呼吸粉尘从</w:t>
            </w:r>
            <w:r>
              <w:rPr>
                <w:rFonts w:hint="eastAsia"/>
                <w:color w:val="auto"/>
                <w:sz w:val="24"/>
              </w:rPr>
              <w:t>每个水泥罐负压收集至罐顶的1套滤罐顶滤筒袋式除尘器</w:t>
            </w:r>
            <w:r>
              <w:rPr>
                <w:rFonts w:hint="eastAsia"/>
                <w:color w:val="auto"/>
                <w:sz w:val="24"/>
                <w:shd w:val="clear" w:fill="FFFFFF"/>
                <w:lang w:val="en-US" w:eastAsia="zh-CN"/>
              </w:rPr>
              <w:t>(</w:t>
            </w:r>
            <w:r>
              <w:rPr>
                <w:rFonts w:hint="eastAsia"/>
                <w:color w:val="auto"/>
                <w:sz w:val="24"/>
                <w:lang w:val="en-US" w:eastAsia="zh-CN"/>
              </w:rPr>
              <w:t>共计10套废气处理设施</w:t>
            </w:r>
            <w:r>
              <w:rPr>
                <w:rFonts w:hint="eastAsia"/>
                <w:color w:val="auto"/>
                <w:sz w:val="24"/>
                <w:shd w:val="clear" w:fill="FFFFFF"/>
                <w:lang w:val="en-US" w:eastAsia="zh-CN"/>
              </w:rPr>
              <w:t>)</w:t>
            </w:r>
            <w:r>
              <w:rPr>
                <w:rFonts w:hint="eastAsia"/>
                <w:color w:val="auto"/>
                <w:sz w:val="24"/>
              </w:rPr>
              <w:t>处理后</w:t>
            </w:r>
            <w:r>
              <w:rPr>
                <w:rFonts w:hint="eastAsia"/>
                <w:color w:val="auto"/>
                <w:sz w:val="24"/>
                <w:lang w:val="en-US" w:eastAsia="zh-CN"/>
              </w:rPr>
              <w:t>每2套滤罐顶滤筒袋式除尘器设置管道相衔接后由1根15m高排气筒排放，则生产车间内设置DA001~DA005共计5根水泥罐呼吸粉尘排气筒，根据设计单位提供的资料，每个排气筒设置的风机风量约为10000m</w:t>
            </w:r>
            <w:r>
              <w:rPr>
                <w:rFonts w:hint="eastAsia"/>
                <w:color w:val="auto"/>
                <w:sz w:val="24"/>
                <w:vertAlign w:val="superscript"/>
                <w:lang w:val="en-US" w:eastAsia="zh-CN"/>
              </w:rPr>
              <w:t>3</w:t>
            </w:r>
            <w:r>
              <w:rPr>
                <w:rFonts w:hint="eastAsia"/>
                <w:color w:val="auto"/>
                <w:sz w:val="24"/>
                <w:lang w:val="en-US" w:eastAsia="zh-CN"/>
              </w:rPr>
              <w:t>/h</w:t>
            </w:r>
            <w:r>
              <w:rPr>
                <w:rFonts w:hint="eastAsia"/>
                <w:color w:val="auto"/>
                <w:sz w:val="24"/>
              </w:rPr>
              <w:t>，</w:t>
            </w:r>
            <w:r>
              <w:rPr>
                <w:rFonts w:hint="eastAsia"/>
                <w:color w:val="auto"/>
                <w:sz w:val="24"/>
                <w:lang w:val="en-US" w:eastAsia="zh-CN"/>
              </w:rPr>
              <w:t>水泥筒仓为密闭的状态</w:t>
            </w:r>
            <w:r>
              <w:rPr>
                <w:rFonts w:hint="eastAsia"/>
                <w:color w:val="auto"/>
                <w:sz w:val="24"/>
              </w:rPr>
              <w:t>，由于无外泄单元，收集率为100%，根据《排放源统计调查产排污核算方法和系数手册》</w:t>
            </w:r>
            <w:r>
              <w:rPr>
                <w:rFonts w:hint="eastAsia"/>
                <w:color w:val="auto"/>
                <w:sz w:val="24"/>
                <w:shd w:val="clear" w:fill="FFFFFF"/>
                <w:lang w:eastAsia="zh-CN"/>
              </w:rPr>
              <w:t>(</w:t>
            </w:r>
            <w:r>
              <w:rPr>
                <w:rFonts w:hint="eastAsia"/>
                <w:color w:val="auto"/>
                <w:sz w:val="24"/>
              </w:rPr>
              <w:t>生态环境部公告2021年第24号</w:t>
            </w:r>
            <w:r>
              <w:rPr>
                <w:rFonts w:hint="eastAsia"/>
                <w:color w:val="auto"/>
                <w:sz w:val="24"/>
                <w:shd w:val="clear" w:fill="FFFFFF"/>
                <w:lang w:eastAsia="zh-CN"/>
              </w:rPr>
              <w:t>)</w:t>
            </w:r>
            <w:r>
              <w:rPr>
                <w:rFonts w:hint="eastAsia"/>
                <w:color w:val="auto"/>
                <w:sz w:val="24"/>
              </w:rPr>
              <w:t>中《3021水泥制品制造</w:t>
            </w:r>
            <w:r>
              <w:rPr>
                <w:rFonts w:hint="eastAsia"/>
                <w:color w:val="auto"/>
                <w:sz w:val="24"/>
                <w:shd w:val="clear" w:fill="FFFFFF"/>
                <w:lang w:eastAsia="zh-CN"/>
              </w:rPr>
              <w:t>(</w:t>
            </w:r>
            <w:r>
              <w:rPr>
                <w:rFonts w:hint="eastAsia"/>
                <w:color w:val="auto"/>
                <w:sz w:val="24"/>
                <w:lang w:eastAsia="zh-CN"/>
              </w:rPr>
              <w:t>含3022砼结构构件、3029其他水泥类似制品制造</w:t>
            </w:r>
            <w:r>
              <w:rPr>
                <w:rFonts w:hint="eastAsia"/>
                <w:color w:val="auto"/>
                <w:sz w:val="24"/>
                <w:shd w:val="clear" w:fill="FFFFFF"/>
                <w:lang w:eastAsia="zh-CN"/>
              </w:rPr>
              <w:t>)</w:t>
            </w:r>
            <w:r>
              <w:rPr>
                <w:rFonts w:hint="eastAsia"/>
                <w:color w:val="auto"/>
                <w:sz w:val="24"/>
                <w:lang w:eastAsia="zh-CN"/>
              </w:rPr>
              <w:t>》</w:t>
            </w:r>
            <w:r>
              <w:rPr>
                <w:rFonts w:hint="eastAsia"/>
                <w:color w:val="auto"/>
                <w:sz w:val="24"/>
              </w:rPr>
              <w:t>行业产污表，袋式除尘治理效率为99.7%，本环评保守取99%，则</w:t>
            </w:r>
            <w:r>
              <w:rPr>
                <w:rFonts w:hint="eastAsia"/>
                <w:color w:val="auto"/>
                <w:sz w:val="24"/>
                <w:lang w:val="en-US" w:eastAsia="zh-CN"/>
              </w:rPr>
              <w:t>每根</w:t>
            </w:r>
            <w:r>
              <w:rPr>
                <w:rFonts w:hint="eastAsia"/>
                <w:color w:val="auto"/>
                <w:sz w:val="24"/>
              </w:rPr>
              <w:t>水泥罐呼吸粉尘</w:t>
            </w:r>
            <w:r>
              <w:rPr>
                <w:rFonts w:hint="eastAsia"/>
                <w:color w:val="auto"/>
                <w:sz w:val="24"/>
                <w:lang w:val="en-US" w:eastAsia="zh-CN"/>
              </w:rPr>
              <w:t>有组织粉尘产生</w:t>
            </w:r>
            <w:r>
              <w:rPr>
                <w:rFonts w:hint="eastAsia"/>
                <w:color w:val="auto"/>
                <w:sz w:val="24"/>
              </w:rPr>
              <w:t>量为</w:t>
            </w:r>
            <w:r>
              <w:rPr>
                <w:rFonts w:hint="eastAsia"/>
                <w:color w:val="auto"/>
                <w:sz w:val="24"/>
                <w:lang w:val="en-US" w:eastAsia="zh-CN"/>
              </w:rPr>
              <w:t>13.92÷5=2.784</w:t>
            </w:r>
            <w:r>
              <w:rPr>
                <w:rFonts w:hint="eastAsia"/>
                <w:color w:val="auto"/>
                <w:sz w:val="24"/>
              </w:rPr>
              <w:t>t/a</w:t>
            </w:r>
            <w:r>
              <w:rPr>
                <w:rFonts w:hint="eastAsia"/>
                <w:color w:val="auto"/>
                <w:sz w:val="24"/>
                <w:lang w:eastAsia="zh-CN"/>
              </w:rPr>
              <w:t>，</w:t>
            </w:r>
            <w:r>
              <w:rPr>
                <w:rFonts w:hint="eastAsia"/>
                <w:color w:val="auto"/>
                <w:sz w:val="24"/>
                <w:lang w:val="en-US" w:eastAsia="zh-CN"/>
              </w:rPr>
              <w:t>每根</w:t>
            </w:r>
            <w:r>
              <w:rPr>
                <w:rFonts w:hint="eastAsia"/>
                <w:color w:val="auto"/>
                <w:sz w:val="24"/>
              </w:rPr>
              <w:t>水泥罐呼吸粉尘</w:t>
            </w:r>
            <w:r>
              <w:rPr>
                <w:rFonts w:hint="eastAsia"/>
                <w:color w:val="auto"/>
                <w:sz w:val="24"/>
                <w:lang w:val="en-US" w:eastAsia="zh-CN"/>
              </w:rPr>
              <w:t>有组织粉尘排放</w:t>
            </w:r>
            <w:r>
              <w:rPr>
                <w:rFonts w:hint="eastAsia"/>
                <w:color w:val="auto"/>
                <w:sz w:val="24"/>
              </w:rPr>
              <w:t>量为</w:t>
            </w:r>
            <w:r>
              <w:rPr>
                <w:rFonts w:hint="eastAsia"/>
                <w:color w:val="auto"/>
                <w:sz w:val="24"/>
                <w:lang w:val="en-US" w:eastAsia="zh-CN"/>
              </w:rPr>
              <w:t>2.784×0.01=0.028</w:t>
            </w:r>
            <w:r>
              <w:rPr>
                <w:rFonts w:hint="eastAsia"/>
                <w:color w:val="auto"/>
                <w:sz w:val="24"/>
              </w:rPr>
              <w:t>t/a</w:t>
            </w:r>
            <w:r>
              <w:rPr>
                <w:rFonts w:hint="eastAsia"/>
                <w:color w:val="auto"/>
                <w:sz w:val="24"/>
                <w:lang w:eastAsia="zh-CN"/>
              </w:rPr>
              <w:t>，</w:t>
            </w:r>
            <w:r>
              <w:rPr>
                <w:rFonts w:hint="eastAsia"/>
                <w:color w:val="auto"/>
                <w:sz w:val="24"/>
                <w:lang w:val="en-US" w:eastAsia="zh-CN"/>
              </w:rPr>
              <w:t>年生产天数300天，每天8h计</w:t>
            </w:r>
            <w:r>
              <w:rPr>
                <w:rFonts w:hint="eastAsia"/>
                <w:color w:val="auto"/>
                <w:sz w:val="24"/>
                <w:shd w:val="clear" w:fill="FFFFFF"/>
                <w:lang w:val="en-US" w:eastAsia="zh-CN"/>
              </w:rPr>
              <w:t>(</w:t>
            </w:r>
            <w:r>
              <w:rPr>
                <w:rFonts w:hint="eastAsia"/>
                <w:color w:val="auto"/>
                <w:sz w:val="24"/>
                <w:lang w:val="en-US" w:eastAsia="zh-CN"/>
              </w:rPr>
              <w:t>备注：本次环评按照5条生产线产能一致进行分析，因此，直接将粉尘排放量1/5进行每根排气筒的计算</w:t>
            </w:r>
            <w:r>
              <w:rPr>
                <w:rFonts w:hint="eastAsia"/>
                <w:color w:val="auto"/>
                <w:sz w:val="24"/>
                <w:shd w:val="clear" w:fill="FFFFFF"/>
                <w:lang w:val="en-US" w:eastAsia="zh-CN"/>
              </w:rPr>
              <w:t>)</w:t>
            </w:r>
            <w:r>
              <w:rPr>
                <w:rFonts w:hint="eastAsia"/>
                <w:color w:val="auto"/>
                <w:sz w:val="24"/>
              </w:rPr>
              <w:t>。</w:t>
            </w:r>
          </w:p>
          <w:p w14:paraId="551B7CAC">
            <w:pPr>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②排气筒等效分析排气筒合理性分析</w:t>
            </w:r>
          </w:p>
          <w:p w14:paraId="12E88675">
            <w:pPr>
              <w:spacing w:line="360" w:lineRule="auto"/>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项目设置5根水泥粉尘的排气筒，每根排气筒的高度为15m，根据《</w:t>
            </w:r>
            <w:r>
              <w:rPr>
                <w:rFonts w:hint="eastAsia" w:ascii="Times New Roman" w:hAnsi="Times New Roman" w:eastAsia="宋体" w:cs="Times New Roman"/>
                <w:color w:val="auto"/>
                <w:sz w:val="24"/>
                <w:shd w:val="clear" w:fill="FFFFFF"/>
                <w:lang w:val="en-US" w:eastAsia="zh-CN"/>
              </w:rPr>
              <w:t>大气综合污染物</w:t>
            </w:r>
            <w:r>
              <w:rPr>
                <w:rFonts w:hint="eastAsia" w:ascii="Times New Roman" w:hAnsi="Times New Roman" w:eastAsia="宋体" w:cs="Times New Roman"/>
                <w:color w:val="auto"/>
                <w:sz w:val="24"/>
                <w:lang w:val="en-US" w:eastAsia="zh-CN"/>
              </w:rPr>
              <w:t>排放标准》(GB16297-1996</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中提出的要求“两个排放相同污染物的排气筒，若其距离小于其几何高度之和，应合并视为一根等效排气筒”，DA001和DA002排气筒距离之和低于30m、DA004和DA005排气筒距离之和低于30m；DA003与DA002排气筒的距离之和大于30m</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约40m左右</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、DA003</w:t>
            </w:r>
            <w:r>
              <w:rPr>
                <w:rFonts w:hint="eastAsia" w:cs="Times New Roman"/>
                <w:color w:val="auto"/>
                <w:sz w:val="24"/>
                <w:lang w:val="en-US" w:eastAsia="zh-CN"/>
              </w:rPr>
              <w:t>与</w:t>
            </w:r>
            <w:r>
              <w:rPr>
                <w:rFonts w:hint="eastAsia" w:ascii="Times New Roman" w:hAnsi="Times New Roman" w:eastAsia="宋体" w:cs="Times New Roman"/>
                <w:color w:val="auto"/>
                <w:sz w:val="24"/>
                <w:lang w:val="en-US" w:eastAsia="zh-CN"/>
              </w:rPr>
              <w:t>DA004排气筒的距离之和大于30m</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约40m左右</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，因此，将DA001和DA002排气筒合并视为一根等效排气筒</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DA001-2</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、DA004和DA005排气筒合并视为一根等效排气筒</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DA004-5</w:t>
            </w:r>
            <w:r>
              <w:rPr>
                <w:rFonts w:hint="eastAsia" w:ascii="Times New Roman" w:hAnsi="Times New Roman" w:eastAsia="宋体" w:cs="Times New Roman"/>
                <w:color w:val="auto"/>
                <w:sz w:val="24"/>
                <w:shd w:val="clear" w:fill="FFFFFF"/>
                <w:lang w:val="en-US" w:eastAsia="zh-CN"/>
              </w:rPr>
              <w:t>)</w:t>
            </w:r>
            <w:r>
              <w:rPr>
                <w:rFonts w:hint="eastAsia" w:ascii="Times New Roman" w:hAnsi="Times New Roman" w:eastAsia="宋体" w:cs="Times New Roman"/>
                <w:color w:val="auto"/>
                <w:sz w:val="24"/>
                <w:lang w:val="en-US" w:eastAsia="zh-CN"/>
              </w:rPr>
              <w:t>。</w:t>
            </w:r>
          </w:p>
          <w:p w14:paraId="002BA3F8">
            <w:pPr>
              <w:numPr>
                <w:ilvl w:val="0"/>
                <w:numId w:val="0"/>
              </w:numPr>
              <w:spacing w:line="360" w:lineRule="auto"/>
              <w:rPr>
                <w:rFonts w:hint="eastAsia" w:ascii="Times New Roman" w:hAnsi="Times New Roman" w:eastAsia="宋体" w:cs="Times New Roman"/>
                <w:color w:val="auto"/>
                <w:kern w:val="2"/>
                <w:sz w:val="24"/>
                <w:szCs w:val="24"/>
                <w:lang w:val="en-US" w:eastAsia="zh-CN" w:bidi="ar-SA"/>
              </w:rPr>
            </w:pPr>
            <w:r>
              <w:rPr>
                <w:color w:val="auto"/>
                <w:sz w:val="30"/>
              </w:rPr>
              <w:pict>
                <v:group id="_x0000_s1339" o:spid="_x0000_s1339" o:spt="203" style="height:180pt;width:412.5pt;" coordorigin="7561,892301" coordsize="8250,3600">
                  <o:lock v:ext="edit" aspectratio="f"/>
                  <v:rect id="_x0000_s1316" o:spid="_x0000_s1316" o:spt="1" style="position:absolute;left:7561;top:892301;height:3600;width:8250;" filled="f" stroked="t" coordsize="21600,21600">
                    <v:path/>
                    <v:fill on="f" focussize="0,0"/>
                    <v:stroke color="#000000" joinstyle="miter" startarrowlength="short" endarrow="block"/>
                    <v:imagedata o:title=""/>
                    <o:lock v:ext="edit" aspectratio="f"/>
                  </v:rect>
                  <v:shape id="_x0000_s1318" o:spid="_x0000_s1318" o:spt="3" type="#_x0000_t3" style="position:absolute;left:9976;top:893378;height:135;width:135;" filled="f" stroked="t" coordsize="21600,21600">
                    <v:path/>
                    <v:fill on="f" focussize="0,0"/>
                    <v:stroke color="#000000" joinstyle="miter" startarrowlength="short" endarrow="block"/>
                    <v:imagedata o:title=""/>
                    <o:lock v:ext="edit" aspectratio="f"/>
                  </v:shape>
                  <v:shape id="_x0000_s1323" o:spid="_x0000_s1323" style="position:absolute;left:8356;top:893435;height:420;width:1680;" filled="f" stroked="t" coordsize="1680,555" path="m1680,0hal1080,555hal0,555hae">
                    <v:path arrowok="t"/>
                    <v:fill on="f" focussize="0,0"/>
                    <v:stroke color="#000000" joinstyle="miter" startarrowlength="short"/>
                    <v:imagedata o:title=""/>
                    <o:lock v:ext="edit" aspectratio="f"/>
                  </v:shape>
                  <v:shape id="_x0000_s1325" o:spid="_x0000_s1325" o:spt="202" type="#_x0000_t202" style="position:absolute;left:8371;top:893495;height:510;width:1155;" filled="f" stroked="f" coordsize="21600,21600">
                    <v:path/>
                    <v:fill on="f" focussize="0,0"/>
                    <v:stroke on="f" joinstyle="miter" startarrowlength="short" endarrow="block"/>
                    <v:imagedata o:title=""/>
                    <o:lock v:ext="edit" aspectratio="f"/>
                    <v:textbox>
                      <w:txbxContent>
                        <w:p w14:paraId="579EEFCA">
                          <w:pPr>
                            <w:rPr>
                              <w:rFonts w:hint="default" w:eastAsia="宋体"/>
                              <w:lang w:val="en-US" w:eastAsia="zh-CN"/>
                            </w:rPr>
                          </w:pPr>
                          <w:r>
                            <w:rPr>
                              <w:rFonts w:hint="eastAsia"/>
                              <w:lang w:val="en-US" w:eastAsia="zh-CN"/>
                            </w:rPr>
                            <w:t>DA001</w:t>
                          </w:r>
                        </w:p>
                      </w:txbxContent>
                    </v:textbox>
                  </v:shape>
                  <v:shape id="_x0000_s1327" o:spid="_x0000_s1327" style="position:absolute;left:11446;top:893120;height:735;width:1695;" filled="f" stroked="t" coordsize="1695,735" path="m0,735hal270,0hal1695,0hae">
                    <v:path arrowok="t"/>
                    <v:fill on="f" focussize="0,0"/>
                    <v:stroke color="#000000" joinstyle="miter" startarrowlength="short"/>
                    <v:imagedata o:title=""/>
                    <o:lock v:ext="edit" aspectratio="f"/>
                  </v:shape>
                  <v:shape id="_x0000_s1331" o:spid="_x0000_s1331" style="position:absolute;left:8431;top:892775;height:765;width:1860;" filled="f" stroked="t" coordsize="1860,765" path="m1860,765hal1455,0hal0,0hae">
                    <v:path arrowok="t"/>
                    <v:fill on="f" focussize="0,0"/>
                    <v:stroke color="#000000" joinstyle="miter" startarrowlength="short"/>
                    <v:imagedata o:title=""/>
                    <o:lock v:ext="edit" aspectratio="f"/>
                  </v:shape>
                  <v:shape id="_x0000_s1333" o:spid="_x0000_s1333" style="position:absolute;left:12301;top:894245;height:975;width:1036;" filled="f" stroked="t" coordsize="1680,975" path="m0,0hal90,975hal1680,975hae">
                    <v:path arrowok="t"/>
                    <v:fill on="f" focussize="0,0"/>
                    <v:stroke color="#000000" joinstyle="miter" startarrowlength="short"/>
                    <v:imagedata o:title=""/>
                    <o:lock v:ext="edit" aspectratio="f"/>
                  </v:shape>
                  <v:shape id="_x0000_s1337" o:spid="_x0000_s1337" style="position:absolute;left:12586;top:893645;height:645;width:1800;" filled="f" stroked="t" coordsize="1800,645" path="m0,645hal372,0hal1800,0hae">
                    <v:path arrowok="t"/>
                    <v:fill on="f" focussize="0,0"/>
                    <v:stroke color="#000000" joinstyle="miter" startarrowlength="short"/>
                    <v:imagedata o:title=""/>
                    <o:lock v:ext="edit" aspectratio="f"/>
                  </v:shape>
                  <v:rect id="_x0000_s1317" o:spid="_x0000_s1317" o:spt="1" style="position:absolute;left:9726;top:892855;height:2559;width:3417;rotation:1114112f;" filled="f" stroked="t" coordsize="21600,21600">
                    <v:path/>
                    <v:fill on="f" focussize="0,0"/>
                    <v:stroke color="#000000" joinstyle="miter"/>
                    <v:imagedata o:title=""/>
                    <o:lock v:ext="edit" aspectratio="f"/>
                  </v:rect>
                  <v:shape id="_x0000_s1319" o:spid="_x0000_s1319" o:spt="3" type="#_x0000_t3" style="position:absolute;left:10486;top:893558;height:135;width:135;" filled="f" stroked="t" coordsize="21600,21600">
                    <v:path/>
                    <v:fill on="f" focussize="0,0"/>
                    <v:stroke color="#000000" joinstyle="miter" startarrowlength="short" endarrow="block"/>
                    <v:imagedata o:title=""/>
                    <o:lock v:ext="edit" aspectratio="f"/>
                  </v:shape>
                  <v:shape id="_x0000_s1320" o:spid="_x0000_s1320" o:spt="3" type="#_x0000_t3" style="position:absolute;left:11356;top:893798;height:135;width:135;" filled="f" stroked="t" coordsize="21600,21600">
                    <v:path/>
                    <v:fill on="f" focussize="0,0"/>
                    <v:stroke color="#000000" joinstyle="miter" startarrowlength="short" endarrow="block"/>
                    <v:imagedata o:title=""/>
                    <o:lock v:ext="edit" aspectratio="f"/>
                  </v:shape>
                  <v:shape id="_x0000_s1321" o:spid="_x0000_s1321" o:spt="3" type="#_x0000_t3" style="position:absolute;left:12241;top:894128;height:135;width:135;" filled="f" stroked="t" coordsize="21600,21600">
                    <v:path/>
                    <v:fill on="f" focussize="0,0"/>
                    <v:stroke color="#000000" joinstyle="miter" startarrowlength="short" endarrow="block"/>
                    <v:imagedata o:title=""/>
                    <o:lock v:ext="edit" aspectratio="f"/>
                  </v:shape>
                  <v:shape id="_x0000_s1322" o:spid="_x0000_s1322" o:spt="3" type="#_x0000_t3" style="position:absolute;left:12751;top:894308;height:135;width:135;" filled="f" stroked="t" coordsize="21600,21600">
                    <v:path/>
                    <v:fill on="f" focussize="0,0"/>
                    <v:stroke color="#000000" joinstyle="miter" startarrowlength="short" endarrow="block"/>
                    <v:imagedata o:title=""/>
                    <o:lock v:ext="edit" aspectratio="f"/>
                  </v:shape>
                  <v:shape id="_x0000_s1324" o:spid="_x0000_s1324" style="position:absolute;left:8641;top:893675;height:765;width:1904;" filled="f" stroked="t" coordsize="1680,555" path="m1680,0hal1080,555hal0,555hae">
                    <v:path arrowok="t"/>
                    <v:fill on="f" focussize="0,0"/>
                    <v:stroke color="#000000" joinstyle="miter" startarrowlength="short"/>
                    <v:imagedata o:title=""/>
                    <o:lock v:ext="edit" aspectratio="f"/>
                  </v:shape>
                  <v:shape id="_x0000_s1326" o:spid="_x0000_s1326" o:spt="202" type="#_x0000_t202" style="position:absolute;left:8446;top:894125;height:510;width:1155;" filled="f" stroked="f" coordsize="21600,21600">
                    <v:path/>
                    <v:fill on="f" focussize="0,0"/>
                    <v:stroke on="f"/>
                    <v:imagedata o:title=""/>
                    <o:lock v:ext="edit" aspectratio="f"/>
                    <v:textbox>
                      <w:txbxContent>
                        <w:p w14:paraId="348BE0B1">
                          <w:pPr>
                            <w:rPr>
                              <w:rFonts w:hint="default" w:eastAsia="宋体"/>
                              <w:lang w:val="en-US" w:eastAsia="zh-CN"/>
                            </w:rPr>
                          </w:pPr>
                          <w:r>
                            <w:rPr>
                              <w:rFonts w:hint="eastAsia"/>
                              <w:lang w:val="en-US" w:eastAsia="zh-CN"/>
                            </w:rPr>
                            <w:t>DA002</w:t>
                          </w:r>
                        </w:p>
                      </w:txbxContent>
                    </v:textbox>
                  </v:shape>
                  <v:shape id="_x0000_s1328" o:spid="_x0000_s1328" o:spt="202" type="#_x0000_t202" style="position:absolute;left:11761;top:892760;height:510;width:1155;" filled="f" stroked="f" coordsize="21600,21600">
                    <v:path/>
                    <v:fill on="f" focussize="0,0"/>
                    <v:stroke on="f"/>
                    <v:imagedata o:title=""/>
                    <o:lock v:ext="edit" aspectratio="f"/>
                    <v:textbox>
                      <w:txbxContent>
                        <w:p w14:paraId="4F3E3E79">
                          <w:pPr>
                            <w:rPr>
                              <w:rFonts w:hint="default" w:eastAsia="宋体"/>
                              <w:lang w:val="en-US" w:eastAsia="zh-CN"/>
                            </w:rPr>
                          </w:pPr>
                          <w:r>
                            <w:rPr>
                              <w:rFonts w:hint="eastAsia"/>
                              <w:lang w:val="en-US" w:eastAsia="zh-CN"/>
                            </w:rPr>
                            <w:t>DA003</w:t>
                          </w:r>
                        </w:p>
                      </w:txbxContent>
                    </v:textbox>
                  </v:shape>
                  <v:shape id="_x0000_s1329" o:spid="_x0000_s1329" o:spt="3" type="#_x0000_t3" style="position:absolute;left:10216;top:893468;height:135;width:135;" fillcolor="#DD1FC5" filled="t" stroked="t" coordsize="21600,21600">
                    <v:path/>
                    <v:fill on="t" focussize="0,0"/>
                    <v:stroke color="#DD1FC5" joinstyle="miter" startarrowlength="short" endarrow="block"/>
                    <v:imagedata o:title=""/>
                    <o:lock v:ext="edit" aspectratio="f"/>
                  </v:shape>
                  <v:shape id="_x0000_s1330" o:spid="_x0000_s1330" o:spt="3" type="#_x0000_t3" style="position:absolute;left:12511;top:894233;height:135;width:135;" fillcolor="#DD1FC5" filled="t" stroked="t" coordsize="21600,21600">
                    <v:path/>
                    <v:fill on="t" color2="#FFFFFF" focussize="0,0"/>
                    <v:stroke color="#DD1FC5" joinstyle="miter" startarrowlength="short" endarrow="block"/>
                    <v:imagedata o:title=""/>
                    <o:lock v:ext="edit" aspectratio="f"/>
                  </v:shape>
                  <v:shape id="_x0000_s1332" o:spid="_x0000_s1332" o:spt="202" type="#_x0000_t202" style="position:absolute;left:8431;top:892430;height:840;width:1455;" filled="f" stroked="f" coordsize="21600,21600">
                    <v:path/>
                    <v:fill on="f" focussize="0,0"/>
                    <v:stroke on="f"/>
                    <v:imagedata o:title=""/>
                    <o:lock v:ext="edit" aspectratio="f"/>
                    <v:textbox>
                      <w:txbxContent>
                        <w:p w14:paraId="5F2F484A">
                          <w:pPr>
                            <w:jc w:val="center"/>
                            <w:rPr>
                              <w:rFonts w:hint="default" w:eastAsia="宋体"/>
                              <w:color w:val="DD1FC5"/>
                              <w:lang w:val="en-US" w:eastAsia="zh-CN"/>
                            </w:rPr>
                          </w:pPr>
                          <w:r>
                            <w:rPr>
                              <w:rFonts w:hint="eastAsia"/>
                              <w:color w:val="DD1FC5"/>
                              <w:lang w:val="en-US" w:eastAsia="zh-CN"/>
                            </w:rPr>
                            <w:t>等效排气筒DA001-2</w:t>
                          </w:r>
                        </w:p>
                      </w:txbxContent>
                    </v:textbox>
                  </v:shape>
                  <v:shape id="_x0000_s1334" o:spid="_x0000_s1334" style="position:absolute;left:12826;top:894380;height:525;width:1155;" filled="f" stroked="t" coordsize="1680,975" path="m0,0hal90,975hal1680,975hae">
                    <v:path arrowok="t"/>
                    <v:fill on="f" focussize="0,0"/>
                    <v:stroke color="#000000" joinstyle="miter" startarrowlength="short"/>
                    <v:imagedata o:title=""/>
                    <o:lock v:ext="edit" aspectratio="f"/>
                  </v:shape>
                  <v:shape id="_x0000_s1335" o:spid="_x0000_s1335" o:spt="202" type="#_x0000_t202" style="position:absolute;left:12346;top:894935;height:510;width:1155;" filled="f" stroked="f" coordsize="21600,21600">
                    <v:path/>
                    <v:fill on="f" focussize="0,0"/>
                    <v:stroke on="f"/>
                    <v:imagedata o:title=""/>
                    <o:lock v:ext="edit" aspectratio="f"/>
                    <v:textbox>
                      <w:txbxContent>
                        <w:p w14:paraId="44FF9A9F">
                          <w:pPr>
                            <w:rPr>
                              <w:rFonts w:hint="default" w:eastAsia="宋体"/>
                              <w:lang w:val="en-US" w:eastAsia="zh-CN"/>
                            </w:rPr>
                          </w:pPr>
                          <w:r>
                            <w:rPr>
                              <w:rFonts w:hint="eastAsia"/>
                              <w:lang w:val="en-US" w:eastAsia="zh-CN"/>
                            </w:rPr>
                            <w:t>DA004</w:t>
                          </w:r>
                        </w:p>
                      </w:txbxContent>
                    </v:textbox>
                  </v:shape>
                  <v:shape id="_x0000_s1336" o:spid="_x0000_s1336" o:spt="202" type="#_x0000_t202" style="position:absolute;left:12931;top:894545;height:510;width:1155;" filled="f" stroked="f" coordsize="21600,21600">
                    <v:path/>
                    <v:fill on="f" focussize="0,0"/>
                    <v:stroke on="f"/>
                    <v:imagedata o:title=""/>
                    <o:lock v:ext="edit" aspectratio="f"/>
                    <v:textbox>
                      <w:txbxContent>
                        <w:p w14:paraId="02206961">
                          <w:pPr>
                            <w:rPr>
                              <w:rFonts w:hint="default" w:eastAsia="宋体"/>
                              <w:lang w:val="en-US" w:eastAsia="zh-CN"/>
                            </w:rPr>
                          </w:pPr>
                          <w:r>
                            <w:rPr>
                              <w:rFonts w:hint="eastAsia"/>
                              <w:lang w:val="en-US" w:eastAsia="zh-CN"/>
                            </w:rPr>
                            <w:t>DA005</w:t>
                          </w:r>
                        </w:p>
                      </w:txbxContent>
                    </v:textbox>
                  </v:shape>
                  <v:shape id="_x0000_s1338" o:spid="_x0000_s1338" o:spt="202" type="#_x0000_t202" style="position:absolute;left:12886;top:893330;height:840;width:1455;" filled="f" stroked="f" coordsize="21600,21600">
                    <v:path/>
                    <v:fill on="f" focussize="0,0"/>
                    <v:stroke on="f"/>
                    <v:imagedata o:title=""/>
                    <o:lock v:ext="edit" aspectratio="f"/>
                    <v:textbox>
                      <w:txbxContent>
                        <w:p w14:paraId="2D942D8D">
                          <w:pPr>
                            <w:jc w:val="center"/>
                            <w:rPr>
                              <w:rFonts w:hint="default" w:eastAsia="宋体"/>
                              <w:color w:val="DD1FC5"/>
                              <w:lang w:val="en-US" w:eastAsia="zh-CN"/>
                            </w:rPr>
                          </w:pPr>
                          <w:r>
                            <w:rPr>
                              <w:rFonts w:hint="eastAsia"/>
                              <w:color w:val="DD1FC5"/>
                              <w:lang w:val="en-US" w:eastAsia="zh-CN"/>
                            </w:rPr>
                            <w:t>等效排气筒DA004-5</w:t>
                          </w:r>
                        </w:p>
                      </w:txbxContent>
                    </v:textbox>
                  </v:shape>
                  <w10:wrap type="none"/>
                  <w10:anchorlock/>
                </v:group>
              </w:pict>
            </w:r>
          </w:p>
          <w:p w14:paraId="2C6A2A9E">
            <w:pPr>
              <w:numPr>
                <w:ilvl w:val="0"/>
                <w:numId w:val="0"/>
              </w:numPr>
              <w:spacing w:line="360" w:lineRule="auto"/>
              <w:jc w:val="center"/>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图4.2-1 项目等效排气筒位置示意图</w:t>
            </w:r>
          </w:p>
          <w:p w14:paraId="73683373">
            <w:pPr>
              <w:numPr>
                <w:ilvl w:val="0"/>
                <w:numId w:val="0"/>
              </w:numPr>
              <w:spacing w:line="360" w:lineRule="auto"/>
              <w:ind w:firstLine="480" w:firstLineChars="0"/>
              <w:rPr>
                <w:rFonts w:hint="eastAsia"/>
                <w:color w:val="auto"/>
                <w:sz w:val="24"/>
                <w:lang w:val="en-US" w:eastAsia="zh-CN"/>
              </w:rPr>
            </w:pPr>
            <w:r>
              <w:rPr>
                <w:rFonts w:hint="eastAsia" w:ascii="Times New Roman" w:hAnsi="Times New Roman" w:eastAsia="宋体" w:cs="Times New Roman"/>
                <w:color w:val="auto"/>
                <w:kern w:val="2"/>
                <w:sz w:val="24"/>
                <w:szCs w:val="24"/>
                <w:shd w:val="clear" w:fill="FFFFFF"/>
                <w:lang w:val="en-US" w:eastAsia="zh-CN" w:bidi="ar-SA"/>
              </w:rPr>
              <w:t>(</w:t>
            </w:r>
            <w:r>
              <w:rPr>
                <w:rFonts w:hint="eastAsia"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shd w:val="clear" w:fill="FFFFFF"/>
                <w:lang w:val="en-US" w:eastAsia="zh-CN" w:bidi="ar-SA"/>
              </w:rPr>
              <w:t>)</w:t>
            </w:r>
            <w:r>
              <w:rPr>
                <w:rFonts w:hint="eastAsia"/>
                <w:color w:val="auto"/>
                <w:sz w:val="24"/>
                <w:lang w:val="en-US" w:eastAsia="zh-CN"/>
              </w:rPr>
              <w:t>无组织排放的污染源核算</w:t>
            </w:r>
          </w:p>
          <w:p w14:paraId="4A567DD8">
            <w:pPr>
              <w:numPr>
                <w:ilvl w:val="0"/>
                <w:numId w:val="0"/>
              </w:numPr>
              <w:spacing w:line="360" w:lineRule="auto"/>
              <w:ind w:firstLine="480" w:firstLineChars="0"/>
              <w:rPr>
                <w:color w:val="auto"/>
                <w:sz w:val="24"/>
              </w:rPr>
            </w:pPr>
            <w:r>
              <w:rPr>
                <w:rFonts w:hint="eastAsia"/>
                <w:color w:val="auto"/>
                <w:sz w:val="24"/>
              </w:rPr>
              <w:t>①原料装卸粉尘</w:t>
            </w:r>
          </w:p>
          <w:p w14:paraId="7FA4E819">
            <w:pPr>
              <w:spacing w:line="360" w:lineRule="auto"/>
              <w:ind w:firstLine="480"/>
              <w:rPr>
                <w:color w:val="auto"/>
                <w:sz w:val="24"/>
              </w:rPr>
            </w:pPr>
            <w:r>
              <w:rPr>
                <w:rFonts w:hint="eastAsia"/>
                <w:color w:val="auto"/>
                <w:sz w:val="24"/>
                <w:lang w:eastAsia="zh-CN"/>
              </w:rPr>
              <w:t>迁建项目</w:t>
            </w:r>
            <w:r>
              <w:rPr>
                <w:rFonts w:hint="eastAsia"/>
                <w:color w:val="auto"/>
                <w:sz w:val="24"/>
              </w:rPr>
              <w:t>原料</w:t>
            </w:r>
            <w:r>
              <w:rPr>
                <w:rFonts w:hint="eastAsia"/>
                <w:color w:val="auto"/>
                <w:sz w:val="24"/>
                <w:shd w:val="clear" w:fill="FFFFFF"/>
                <w:lang w:eastAsia="zh-CN"/>
              </w:rPr>
              <w:t>(</w:t>
            </w:r>
            <w:r>
              <w:rPr>
                <w:rFonts w:hint="eastAsia"/>
                <w:color w:val="auto"/>
                <w:sz w:val="24"/>
              </w:rPr>
              <w:t>石子、砂子</w:t>
            </w:r>
            <w:r>
              <w:rPr>
                <w:rFonts w:hint="eastAsia"/>
                <w:color w:val="auto"/>
                <w:sz w:val="24"/>
                <w:shd w:val="clear" w:fill="FFFFFF"/>
                <w:lang w:eastAsia="zh-CN"/>
              </w:rPr>
              <w:t>)</w:t>
            </w:r>
            <w:r>
              <w:rPr>
                <w:rFonts w:hint="eastAsia"/>
                <w:color w:val="auto"/>
                <w:sz w:val="24"/>
              </w:rPr>
              <w:t>需用汽车运输进入生产车间石子、砂子原料堆场，装卸过程中产生的扬尘采用《逸散性工业粉尘控制技术》第十八章粒料加工厂排放源中表18-1 粒料加工厂逸散尘的排放因子</w:t>
            </w:r>
            <w:r>
              <w:rPr>
                <w:rFonts w:hint="eastAsia"/>
                <w:color w:val="auto"/>
                <w:sz w:val="24"/>
                <w:shd w:val="clear" w:fill="FFFFFF"/>
              </w:rPr>
              <w:t>-</w:t>
            </w:r>
            <w:r>
              <w:rPr>
                <w:rFonts w:hint="eastAsia"/>
                <w:color w:val="auto"/>
                <w:sz w:val="24"/>
              </w:rPr>
              <w:t>卸料</w:t>
            </w:r>
            <w:r>
              <w:rPr>
                <w:rFonts w:hint="eastAsia"/>
                <w:color w:val="auto"/>
                <w:sz w:val="24"/>
                <w:shd w:val="clear" w:fill="FFFFFF"/>
                <w:lang w:eastAsia="zh-CN"/>
              </w:rPr>
              <w:t>(</w:t>
            </w:r>
            <w:r>
              <w:rPr>
                <w:rFonts w:hint="eastAsia"/>
                <w:color w:val="auto"/>
                <w:sz w:val="24"/>
              </w:rPr>
              <w:t>卡车</w:t>
            </w:r>
            <w:r>
              <w:rPr>
                <w:rFonts w:hint="eastAsia"/>
                <w:color w:val="auto"/>
                <w:sz w:val="24"/>
                <w:shd w:val="clear" w:fill="FFFFFF"/>
                <w:lang w:eastAsia="zh-CN"/>
              </w:rPr>
              <w:t>)</w:t>
            </w:r>
            <w:r>
              <w:rPr>
                <w:rFonts w:hint="eastAsia"/>
                <w:color w:val="auto"/>
                <w:sz w:val="24"/>
                <w:shd w:val="clear" w:fill="FFFFFF"/>
              </w:rPr>
              <w:t>-</w:t>
            </w:r>
            <w:r>
              <w:rPr>
                <w:rFonts w:hint="eastAsia"/>
                <w:color w:val="auto"/>
                <w:sz w:val="24"/>
              </w:rPr>
              <w:t>碎石-0.02kg/t</w:t>
            </w:r>
            <w:r>
              <w:rPr>
                <w:rFonts w:hint="eastAsia"/>
                <w:color w:val="auto"/>
                <w:sz w:val="24"/>
                <w:shd w:val="clear" w:fill="FFFFFF"/>
                <w:lang w:eastAsia="zh-CN"/>
              </w:rPr>
              <w:t>(</w:t>
            </w:r>
            <w:r>
              <w:rPr>
                <w:rFonts w:hint="eastAsia"/>
                <w:color w:val="auto"/>
                <w:sz w:val="24"/>
              </w:rPr>
              <w:t>卸料</w:t>
            </w:r>
            <w:r>
              <w:rPr>
                <w:rFonts w:hint="eastAsia"/>
                <w:color w:val="auto"/>
                <w:sz w:val="24"/>
                <w:shd w:val="clear" w:fill="FFFFFF"/>
                <w:lang w:eastAsia="zh-CN"/>
              </w:rPr>
              <w:t>)</w:t>
            </w:r>
            <w:r>
              <w:rPr>
                <w:rFonts w:hint="eastAsia"/>
                <w:color w:val="auto"/>
                <w:sz w:val="24"/>
              </w:rPr>
              <w:t>，项目需装卸的原料</w:t>
            </w:r>
            <w:r>
              <w:rPr>
                <w:rFonts w:hint="eastAsia"/>
                <w:color w:val="auto"/>
                <w:sz w:val="24"/>
                <w:shd w:val="clear" w:fill="FFFFFF"/>
                <w:lang w:eastAsia="zh-CN"/>
              </w:rPr>
              <w:t>(</w:t>
            </w:r>
            <w:r>
              <w:rPr>
                <w:rFonts w:hint="eastAsia"/>
                <w:color w:val="auto"/>
                <w:sz w:val="24"/>
              </w:rPr>
              <w:t>石子、砂子</w:t>
            </w:r>
            <w:r>
              <w:rPr>
                <w:rFonts w:hint="eastAsia"/>
                <w:color w:val="auto"/>
                <w:sz w:val="24"/>
                <w:shd w:val="clear" w:fill="FFFFFF"/>
                <w:lang w:eastAsia="zh-CN"/>
              </w:rPr>
              <w:t>)</w:t>
            </w:r>
            <w:r>
              <w:rPr>
                <w:rFonts w:hint="eastAsia"/>
                <w:color w:val="auto"/>
                <w:sz w:val="24"/>
              </w:rPr>
              <w:t>年用量为25万t，则装卸过程中粉尘的产生量为5t/a。建设单位拟在砂子、石子卸料过程洒水抑尘，并对原料石子、砂子堆场定期喷水，保持堆料表层湿润，保持表层含水率≥10%，用篷布遮盖；根据《工业源固体物料堆场颗粒物核算系数手册》附录5 洒水抑尘效率以74%计，此外，项目运输原料石子、砂子的车辆采用密闭车斗，其装载高度不得超过车辆槽帮上沿，车斗要用苫布遮盖严实，苫布边缘至少要遮住槽帮上沿以下150mm，保证物料不外露。则</w:t>
            </w:r>
            <w:r>
              <w:rPr>
                <w:rFonts w:hint="eastAsia"/>
                <w:color w:val="auto"/>
                <w:sz w:val="24"/>
                <w:lang w:eastAsia="zh-CN"/>
              </w:rPr>
              <w:t>迁建项目</w:t>
            </w:r>
            <w:r>
              <w:rPr>
                <w:rFonts w:hint="eastAsia"/>
                <w:color w:val="auto"/>
                <w:sz w:val="24"/>
              </w:rPr>
              <w:t>原料装卸粉尘无组织排放量为1.3t/a。</w:t>
            </w:r>
          </w:p>
          <w:p w14:paraId="4E288E6F">
            <w:pPr>
              <w:spacing w:line="360" w:lineRule="auto"/>
              <w:ind w:firstLine="480"/>
              <w:rPr>
                <w:color w:val="auto"/>
                <w:sz w:val="24"/>
              </w:rPr>
            </w:pPr>
            <w:r>
              <w:rPr>
                <w:rFonts w:hint="eastAsia"/>
                <w:color w:val="auto"/>
                <w:sz w:val="24"/>
              </w:rPr>
              <w:t>②石子及砂子输送粉尘</w:t>
            </w:r>
          </w:p>
          <w:p w14:paraId="18278BE3">
            <w:pPr>
              <w:spacing w:line="360" w:lineRule="auto"/>
              <w:ind w:firstLine="480"/>
              <w:rPr>
                <w:color w:val="auto"/>
                <w:sz w:val="24"/>
              </w:rPr>
            </w:pPr>
            <w:r>
              <w:rPr>
                <w:color w:val="auto"/>
                <w:sz w:val="24"/>
              </w:rPr>
              <w:t>石子、砂子均采用皮带传输系统，进料、下料和转运的上方加装半密闭的防尘罩，石子、砂子输送过程会有少量粉尘</w:t>
            </w:r>
            <w:r>
              <w:rPr>
                <w:rFonts w:hint="eastAsia"/>
                <w:color w:val="auto"/>
                <w:sz w:val="24"/>
                <w:lang w:eastAsia="zh-CN"/>
              </w:rPr>
              <w:t>逸散</w:t>
            </w:r>
            <w:r>
              <w:rPr>
                <w:color w:val="auto"/>
                <w:sz w:val="24"/>
              </w:rPr>
              <w:t>，污染因子为颗粒物。参照《逸散性工业粉尘控制技术》</w:t>
            </w:r>
            <w:r>
              <w:rPr>
                <w:rFonts w:hint="eastAsia"/>
                <w:color w:val="auto"/>
                <w:sz w:val="24"/>
                <w:shd w:val="clear" w:fill="FFFFFF"/>
                <w:lang w:eastAsia="zh-CN"/>
              </w:rPr>
              <w:t>(</w:t>
            </w:r>
            <w:r>
              <w:rPr>
                <w:color w:val="auto"/>
                <w:sz w:val="24"/>
              </w:rPr>
              <w:t>中国环境出版社</w:t>
            </w:r>
            <w:r>
              <w:rPr>
                <w:rFonts w:hint="eastAsia"/>
                <w:color w:val="auto"/>
                <w:sz w:val="24"/>
                <w:shd w:val="clear" w:fill="FFFFFF"/>
                <w:lang w:eastAsia="zh-CN"/>
              </w:rPr>
              <w:t>)</w:t>
            </w:r>
            <w:r>
              <w:rPr>
                <w:color w:val="auto"/>
                <w:sz w:val="24"/>
              </w:rPr>
              <w:t>中“表18-1 粒料加工厂逸散粉尘的排放因子”，碎石进料排放因子为0.0007kg/t-进料，项目石子</w:t>
            </w:r>
            <w:r>
              <w:rPr>
                <w:rFonts w:hint="eastAsia"/>
                <w:color w:val="auto"/>
                <w:sz w:val="24"/>
              </w:rPr>
              <w:t>、砂子</w:t>
            </w:r>
            <w:r>
              <w:rPr>
                <w:color w:val="auto"/>
                <w:sz w:val="24"/>
              </w:rPr>
              <w:t>的年用量为</w:t>
            </w:r>
            <w:r>
              <w:rPr>
                <w:rFonts w:hint="eastAsia"/>
                <w:color w:val="auto"/>
                <w:sz w:val="24"/>
              </w:rPr>
              <w:t>25万t</w:t>
            </w:r>
            <w:r>
              <w:rPr>
                <w:color w:val="auto"/>
                <w:sz w:val="24"/>
              </w:rPr>
              <w:t>，</w:t>
            </w:r>
            <w:r>
              <w:rPr>
                <w:rFonts w:hint="eastAsia"/>
                <w:color w:val="auto"/>
                <w:sz w:val="24"/>
              </w:rPr>
              <w:t>则</w:t>
            </w:r>
            <w:r>
              <w:rPr>
                <w:color w:val="auto"/>
                <w:sz w:val="24"/>
              </w:rPr>
              <w:t>输送过程中粉尘</w:t>
            </w:r>
            <w:r>
              <w:rPr>
                <w:rFonts w:hint="eastAsia"/>
                <w:color w:val="auto"/>
                <w:sz w:val="24"/>
              </w:rPr>
              <w:t>产生</w:t>
            </w:r>
            <w:r>
              <w:rPr>
                <w:color w:val="auto"/>
                <w:sz w:val="24"/>
              </w:rPr>
              <w:t>量为</w:t>
            </w:r>
            <w:r>
              <w:rPr>
                <w:rFonts w:hint="eastAsia"/>
                <w:color w:val="auto"/>
                <w:sz w:val="24"/>
              </w:rPr>
              <w:t>0.175</w:t>
            </w:r>
            <w:r>
              <w:rPr>
                <w:color w:val="auto"/>
                <w:sz w:val="24"/>
              </w:rPr>
              <w:t>t/a。</w:t>
            </w:r>
          </w:p>
          <w:p w14:paraId="1AB3F00B">
            <w:pPr>
              <w:spacing w:line="360" w:lineRule="auto"/>
              <w:ind w:firstLine="480"/>
              <w:rPr>
                <w:color w:val="auto"/>
                <w:sz w:val="24"/>
              </w:rPr>
            </w:pPr>
            <w:r>
              <w:rPr>
                <w:rFonts w:hint="eastAsia"/>
                <w:color w:val="auto"/>
                <w:sz w:val="24"/>
              </w:rPr>
              <w:t>③搅拌粉尘</w:t>
            </w:r>
          </w:p>
          <w:p w14:paraId="05DE5EA7">
            <w:pPr>
              <w:spacing w:line="360" w:lineRule="auto"/>
              <w:ind w:firstLine="480"/>
              <w:rPr>
                <w:color w:val="auto"/>
                <w:sz w:val="24"/>
              </w:rPr>
            </w:pPr>
            <w:r>
              <w:rPr>
                <w:rFonts w:hint="eastAsia"/>
                <w:color w:val="auto"/>
                <w:sz w:val="24"/>
                <w:lang w:eastAsia="zh-CN"/>
              </w:rPr>
              <w:t>迁建项目</w:t>
            </w:r>
            <w:r>
              <w:rPr>
                <w:rFonts w:hint="eastAsia"/>
                <w:color w:val="auto"/>
                <w:sz w:val="24"/>
              </w:rPr>
              <w:t>石子、砂子采用皮带输送系统，皮带输送方式进入搅拌机，</w:t>
            </w:r>
            <w:r>
              <w:rPr>
                <w:color w:val="auto"/>
                <w:sz w:val="24"/>
              </w:rPr>
              <w:t>进料、下料和转运的上方加装半密闭的防尘罩</w:t>
            </w:r>
            <w:r>
              <w:rPr>
                <w:rFonts w:hint="eastAsia"/>
                <w:color w:val="auto"/>
                <w:sz w:val="24"/>
              </w:rPr>
              <w:t>；水泥通过密封螺旋运输机输送至搅拌机，水泥和石子、砂子同时重力落料至搅拌机内，投料过程主机同时喷水，起到压制粉尘作用。当各种物料进入搅拌设备时，小粒径颗粒物会飘散形成粉尘。根据《排放源统计调查产排污核算方法和系数手册》</w:t>
            </w:r>
            <w:r>
              <w:rPr>
                <w:rFonts w:hint="eastAsia"/>
                <w:color w:val="auto"/>
                <w:sz w:val="24"/>
                <w:shd w:val="clear" w:fill="FFFFFF"/>
                <w:lang w:eastAsia="zh-CN"/>
              </w:rPr>
              <w:t>(</w:t>
            </w:r>
            <w:r>
              <w:rPr>
                <w:rFonts w:hint="eastAsia"/>
                <w:color w:val="auto"/>
                <w:sz w:val="24"/>
              </w:rPr>
              <w:t>生态环境部公告2021年第24号</w:t>
            </w:r>
            <w:r>
              <w:rPr>
                <w:rFonts w:hint="eastAsia"/>
                <w:color w:val="auto"/>
                <w:sz w:val="24"/>
                <w:shd w:val="clear" w:fill="FFFFFF"/>
                <w:lang w:eastAsia="zh-CN"/>
              </w:rPr>
              <w:t>)</w:t>
            </w:r>
            <w:r>
              <w:rPr>
                <w:rFonts w:hint="eastAsia"/>
                <w:color w:val="auto"/>
                <w:sz w:val="24"/>
              </w:rPr>
              <w:t>中《3021水泥制品制造业</w:t>
            </w:r>
            <w:r>
              <w:rPr>
                <w:rFonts w:hint="eastAsia"/>
                <w:color w:val="auto"/>
                <w:sz w:val="24"/>
                <w:shd w:val="clear" w:fill="FFFFFF"/>
                <w:lang w:eastAsia="zh-CN"/>
              </w:rPr>
              <w:t>(</w:t>
            </w:r>
            <w:r>
              <w:rPr>
                <w:rFonts w:hint="eastAsia"/>
                <w:color w:val="auto"/>
                <w:sz w:val="24"/>
              </w:rPr>
              <w:t>含3022砼结构构件、3029其他水泥类似制品制造</w:t>
            </w:r>
            <w:r>
              <w:rPr>
                <w:rFonts w:hint="eastAsia"/>
                <w:color w:val="auto"/>
                <w:sz w:val="24"/>
                <w:shd w:val="clear" w:fill="FFFFFF"/>
                <w:lang w:eastAsia="zh-CN"/>
              </w:rPr>
              <w:t>)</w:t>
            </w:r>
            <w:r>
              <w:rPr>
                <w:rFonts w:hint="eastAsia"/>
                <w:color w:val="auto"/>
                <w:sz w:val="24"/>
              </w:rPr>
              <w:t>行业系数表》，当原料为水泥、砂子、石子等物料混合搅拌工序产生的工业粉尘的产污系数为0.13千克/吨－原料，</w:t>
            </w:r>
            <w:r>
              <w:rPr>
                <w:rFonts w:hint="eastAsia"/>
                <w:color w:val="auto"/>
                <w:sz w:val="24"/>
                <w:lang w:eastAsia="zh-CN"/>
              </w:rPr>
              <w:t>迁建项目</w:t>
            </w:r>
            <w:r>
              <w:rPr>
                <w:rFonts w:hint="eastAsia"/>
                <w:color w:val="auto"/>
                <w:sz w:val="24"/>
              </w:rPr>
              <w:t>搅拌设备的小粒径颗粒物主要是水泥，因此原料以水泥计，水泥用量为5.8万t/a，则粉尘产生量为7.54t/a。由于搅拌过程中需加水混合搅拌，参照《逸散性工业粉尘控制技术》，干料浸湿后抑尘率不低于70%，</w:t>
            </w:r>
            <w:r>
              <w:rPr>
                <w:rFonts w:hint="eastAsia"/>
                <w:color w:val="auto"/>
                <w:sz w:val="24"/>
                <w:lang w:eastAsia="zh-CN"/>
              </w:rPr>
              <w:t>迁建项目</w:t>
            </w:r>
            <w:r>
              <w:rPr>
                <w:rFonts w:hint="eastAsia"/>
                <w:color w:val="auto"/>
                <w:sz w:val="24"/>
              </w:rPr>
              <w:t>取70%，则物料搅拌粉尘最终产生量约为2.262t/a。</w:t>
            </w:r>
          </w:p>
          <w:p w14:paraId="348C83F4">
            <w:pPr>
              <w:spacing w:line="360" w:lineRule="auto"/>
              <w:ind w:firstLine="480"/>
              <w:rPr>
                <w:color w:val="auto"/>
                <w:sz w:val="24"/>
              </w:rPr>
            </w:pPr>
            <w:r>
              <w:rPr>
                <w:rFonts w:hint="eastAsia"/>
                <w:color w:val="auto"/>
                <w:sz w:val="24"/>
                <w:lang w:eastAsia="zh-CN"/>
              </w:rPr>
              <w:t>迁建项目</w:t>
            </w:r>
            <w:r>
              <w:rPr>
                <w:rFonts w:hint="eastAsia"/>
                <w:color w:val="auto"/>
                <w:sz w:val="24"/>
              </w:rPr>
              <w:t>搅拌机搅拌仓及其料斗为密闭设计且预留排气口，建设单位拟在搅拌过程喷淋降尘，洒水抑尘效率以70%计，则最终搅拌粉尘排放量为0.679t/a。</w:t>
            </w:r>
          </w:p>
          <w:p w14:paraId="14581026">
            <w:pPr>
              <w:spacing w:line="360" w:lineRule="auto"/>
              <w:ind w:firstLine="480"/>
              <w:rPr>
                <w:color w:val="auto"/>
                <w:sz w:val="24"/>
              </w:rPr>
            </w:pPr>
            <w:r>
              <w:rPr>
                <w:rFonts w:hint="eastAsia"/>
                <w:color w:val="auto"/>
                <w:sz w:val="24"/>
              </w:rPr>
              <w:t>④焊接烟尘</w:t>
            </w:r>
          </w:p>
          <w:p w14:paraId="7A9CC5C5">
            <w:pPr>
              <w:spacing w:line="360" w:lineRule="auto"/>
              <w:ind w:firstLine="480"/>
              <w:rPr>
                <w:color w:val="auto"/>
                <w:sz w:val="24"/>
              </w:rPr>
            </w:pPr>
            <w:r>
              <w:rPr>
                <w:rFonts w:hint="eastAsia"/>
                <w:color w:val="auto"/>
                <w:sz w:val="24"/>
                <w:lang w:eastAsia="zh-CN"/>
              </w:rPr>
              <w:t>迁建项目</w:t>
            </w:r>
            <w:r>
              <w:rPr>
                <w:rFonts w:hint="eastAsia"/>
                <w:color w:val="auto"/>
                <w:sz w:val="24"/>
              </w:rPr>
              <w:t>钢筋加工过程中主要采用滚焊机和点焊机。</w:t>
            </w:r>
          </w:p>
          <w:p w14:paraId="7468F1F9">
            <w:pPr>
              <w:spacing w:line="360" w:lineRule="auto"/>
              <w:ind w:firstLine="480"/>
              <w:rPr>
                <w:color w:val="auto"/>
                <w:sz w:val="24"/>
              </w:rPr>
            </w:pPr>
            <w:r>
              <w:rPr>
                <w:rFonts w:hint="eastAsia"/>
                <w:color w:val="auto"/>
                <w:sz w:val="24"/>
              </w:rPr>
              <w:t>滚焊机为电阻焊，焊接过程中不使用焊材，主要是指利用电流通过焊件及接触处产生的电阻热作为热源将焊件局部加热，同时加压进行焊接的方法，因此</w:t>
            </w:r>
            <w:r>
              <w:rPr>
                <w:rFonts w:hint="eastAsia"/>
                <w:color w:val="auto"/>
                <w:sz w:val="24"/>
                <w:lang w:eastAsia="zh-CN"/>
              </w:rPr>
              <w:t>迁建项目</w:t>
            </w:r>
            <w:r>
              <w:rPr>
                <w:rFonts w:hint="eastAsia"/>
                <w:color w:val="auto"/>
                <w:sz w:val="24"/>
              </w:rPr>
              <w:t>滚焊机焊接烟尘产生量</w:t>
            </w:r>
            <w:r>
              <w:rPr>
                <w:rFonts w:hint="eastAsia"/>
                <w:color w:val="auto"/>
                <w:sz w:val="24"/>
                <w:lang w:eastAsia="zh-CN"/>
              </w:rPr>
              <w:t>极少</w:t>
            </w:r>
            <w:r>
              <w:rPr>
                <w:rFonts w:hint="eastAsia"/>
                <w:color w:val="auto"/>
                <w:sz w:val="24"/>
              </w:rPr>
              <w:t>，不再定量分析。</w:t>
            </w:r>
          </w:p>
          <w:p w14:paraId="270BCEFA">
            <w:pPr>
              <w:spacing w:line="360" w:lineRule="auto"/>
              <w:ind w:firstLine="480"/>
              <w:rPr>
                <w:color w:val="auto"/>
                <w:sz w:val="24"/>
              </w:rPr>
            </w:pPr>
            <w:r>
              <w:rPr>
                <w:rFonts w:hint="eastAsia"/>
                <w:color w:val="auto"/>
                <w:sz w:val="24"/>
              </w:rPr>
              <w:t>点焊机</w:t>
            </w:r>
            <w:r>
              <w:rPr>
                <w:color w:val="auto"/>
                <w:sz w:val="24"/>
              </w:rPr>
              <w:t>焊接采用电弧焊，</w:t>
            </w:r>
            <w:r>
              <w:rPr>
                <w:rFonts w:hint="eastAsia"/>
                <w:color w:val="auto"/>
                <w:sz w:val="24"/>
                <w:lang w:eastAsia="zh-CN"/>
              </w:rPr>
              <w:t>迁建项目</w:t>
            </w:r>
            <w:r>
              <w:rPr>
                <w:color w:val="auto"/>
                <w:sz w:val="24"/>
              </w:rPr>
              <w:t>焊条使用量为2t/a，年工作2400h。在焊接的过程中会产生焊接烟尘，焊接烟尘是由于焊芯和药皮及焊接金属在电弧高温作用下熔融时蒸发、凝结和氧化而产生的，其成分比较复杂，主要是Fe</w:t>
            </w:r>
            <w:r>
              <w:rPr>
                <w:color w:val="auto"/>
                <w:sz w:val="24"/>
                <w:vertAlign w:val="subscript"/>
              </w:rPr>
              <w:t>2</w:t>
            </w:r>
            <w:r>
              <w:rPr>
                <w:color w:val="auto"/>
                <w:sz w:val="24"/>
              </w:rPr>
              <w:t>O</w:t>
            </w:r>
            <w:r>
              <w:rPr>
                <w:color w:val="auto"/>
                <w:sz w:val="24"/>
                <w:vertAlign w:val="subscript"/>
              </w:rPr>
              <w:t>3</w:t>
            </w:r>
            <w:r>
              <w:rPr>
                <w:color w:val="auto"/>
                <w:sz w:val="24"/>
              </w:rPr>
              <w:t>、</w:t>
            </w:r>
            <w:r>
              <w:rPr>
                <w:color w:val="auto"/>
                <w:sz w:val="24"/>
                <w:shd w:val="clear" w:fill="FFFFFF"/>
              </w:rPr>
              <w:t>MnO</w:t>
            </w:r>
            <w:r>
              <w:rPr>
                <w:color w:val="auto"/>
                <w:sz w:val="24"/>
                <w:vertAlign w:val="subscript"/>
              </w:rPr>
              <w:t>2</w:t>
            </w:r>
            <w:r>
              <w:rPr>
                <w:color w:val="auto"/>
                <w:sz w:val="24"/>
              </w:rPr>
              <w:t>等金属氧化物和金属氟化物。根据《排放源统计调查产排污核算方法和系数手册》</w:t>
            </w:r>
            <w:r>
              <w:rPr>
                <w:rFonts w:hint="eastAsia"/>
                <w:color w:val="auto"/>
                <w:sz w:val="24"/>
                <w:shd w:val="clear" w:fill="FFFFFF"/>
                <w:lang w:eastAsia="zh-CN"/>
              </w:rPr>
              <w:t>(</w:t>
            </w:r>
            <w:r>
              <w:rPr>
                <w:rFonts w:hint="eastAsia"/>
                <w:color w:val="auto"/>
                <w:sz w:val="24"/>
              </w:rPr>
              <w:t>生态环境部公告2021年第24号</w:t>
            </w:r>
            <w:r>
              <w:rPr>
                <w:rFonts w:hint="eastAsia"/>
                <w:color w:val="auto"/>
                <w:sz w:val="24"/>
                <w:shd w:val="clear" w:fill="FFFFFF"/>
                <w:lang w:eastAsia="zh-CN"/>
              </w:rPr>
              <w:t>)</w:t>
            </w:r>
            <w:r>
              <w:rPr>
                <w:rFonts w:hint="eastAsia"/>
                <w:color w:val="auto"/>
                <w:sz w:val="24"/>
              </w:rPr>
              <w:t>《</w:t>
            </w:r>
            <w:r>
              <w:rPr>
                <w:color w:val="auto"/>
                <w:sz w:val="24"/>
              </w:rPr>
              <w:t>33-37，431-434机械行业-手工电弧焊</w:t>
            </w:r>
            <w:r>
              <w:rPr>
                <w:rFonts w:hint="eastAsia"/>
                <w:color w:val="auto"/>
                <w:sz w:val="24"/>
              </w:rPr>
              <w:t>》</w:t>
            </w:r>
            <w:r>
              <w:rPr>
                <w:color w:val="auto"/>
                <w:sz w:val="24"/>
              </w:rPr>
              <w:t>中颗粒物产污系数20.2千克/吨</w:t>
            </w:r>
            <w:r>
              <w:rPr>
                <w:color w:val="auto"/>
                <w:sz w:val="24"/>
                <w:shd w:val="clear" w:fill="FFFFFF"/>
              </w:rPr>
              <w:t>-</w:t>
            </w:r>
            <w:r>
              <w:rPr>
                <w:color w:val="auto"/>
                <w:sz w:val="24"/>
              </w:rPr>
              <w:t>原料，则焊接烟尘中颗粒物产生量0.04t/a</w:t>
            </w:r>
            <w:r>
              <w:rPr>
                <w:rFonts w:hint="eastAsia"/>
                <w:color w:val="auto"/>
                <w:sz w:val="24"/>
              </w:rPr>
              <w:t>，采用移动焊烟净化器收集后无组织排放，焊烟净化器处理效率按80%计，则</w:t>
            </w:r>
            <w:r>
              <w:rPr>
                <w:color w:val="auto"/>
                <w:sz w:val="24"/>
              </w:rPr>
              <w:t>焊接烟尘中颗粒物</w:t>
            </w:r>
            <w:r>
              <w:rPr>
                <w:rFonts w:hint="eastAsia"/>
                <w:color w:val="auto"/>
                <w:sz w:val="24"/>
              </w:rPr>
              <w:t>排放量为</w:t>
            </w:r>
            <w:r>
              <w:rPr>
                <w:color w:val="auto"/>
                <w:sz w:val="24"/>
              </w:rPr>
              <w:t>0.0</w:t>
            </w:r>
            <w:r>
              <w:rPr>
                <w:rFonts w:hint="eastAsia"/>
                <w:color w:val="auto"/>
                <w:sz w:val="24"/>
              </w:rPr>
              <w:t>08</w:t>
            </w:r>
            <w:r>
              <w:rPr>
                <w:color w:val="auto"/>
                <w:sz w:val="24"/>
              </w:rPr>
              <w:t>t/a</w:t>
            </w:r>
            <w:r>
              <w:rPr>
                <w:rFonts w:hint="eastAsia"/>
                <w:color w:val="auto"/>
                <w:sz w:val="24"/>
              </w:rPr>
              <w:t>。</w:t>
            </w:r>
          </w:p>
          <w:p w14:paraId="1C65E075">
            <w:pPr>
              <w:spacing w:line="360" w:lineRule="auto"/>
              <w:ind w:firstLine="480"/>
              <w:rPr>
                <w:color w:val="auto"/>
                <w:sz w:val="24"/>
              </w:rPr>
            </w:pPr>
            <w:r>
              <w:rPr>
                <w:rFonts w:hint="eastAsia"/>
                <w:color w:val="auto"/>
                <w:sz w:val="24"/>
              </w:rPr>
              <w:t>⑶厨房油烟</w:t>
            </w:r>
          </w:p>
          <w:p w14:paraId="1A139FFD">
            <w:pPr>
              <w:spacing w:line="360" w:lineRule="auto"/>
              <w:ind w:firstLine="480" w:firstLineChars="200"/>
              <w:rPr>
                <w:color w:val="auto"/>
                <w:sz w:val="24"/>
              </w:rPr>
            </w:pPr>
            <w:r>
              <w:rPr>
                <w:rFonts w:hint="eastAsia"/>
                <w:color w:val="auto"/>
                <w:sz w:val="24"/>
                <w:lang w:eastAsia="zh-CN"/>
              </w:rPr>
              <w:t>迁建项目</w:t>
            </w:r>
            <w:r>
              <w:rPr>
                <w:color w:val="auto"/>
                <w:sz w:val="24"/>
              </w:rPr>
              <w:t>员工</w:t>
            </w:r>
            <w:r>
              <w:rPr>
                <w:rFonts w:hint="eastAsia"/>
                <w:color w:val="auto"/>
                <w:sz w:val="24"/>
              </w:rPr>
              <w:t>有30人在厂内食堂</w:t>
            </w:r>
            <w:r>
              <w:rPr>
                <w:color w:val="auto"/>
                <w:sz w:val="24"/>
              </w:rPr>
              <w:t>用餐，食堂厨房会产生油烟，主要是食物在烹饪、加工过程中将挥发出油脂、有机质及热分解或裂解产物，从而产生油烟废气。根据饮食业油烟浓度经验数据，目前我国居民人均食用油日用量约30g/人·天计算，则项目日耗油</w:t>
            </w:r>
            <w:r>
              <w:rPr>
                <w:rFonts w:hint="eastAsia"/>
                <w:color w:val="auto"/>
                <w:sz w:val="24"/>
              </w:rPr>
              <w:t>量0.9</w:t>
            </w:r>
            <w:r>
              <w:rPr>
                <w:color w:val="auto"/>
                <w:sz w:val="24"/>
              </w:rPr>
              <w:t>kg，年耗油量为0.</w:t>
            </w:r>
            <w:r>
              <w:rPr>
                <w:rFonts w:hint="eastAsia"/>
                <w:color w:val="auto"/>
                <w:sz w:val="24"/>
              </w:rPr>
              <w:t>27</w:t>
            </w:r>
            <w:r>
              <w:rPr>
                <w:color w:val="auto"/>
                <w:sz w:val="24"/>
              </w:rPr>
              <w:t>t。一般油烟挥发量占总耗油量的</w:t>
            </w:r>
            <w:r>
              <w:rPr>
                <w:color w:val="auto"/>
                <w:sz w:val="24"/>
                <w:shd w:val="clear" w:fill="FFFFFF"/>
              </w:rPr>
              <w:t>2~4%</w:t>
            </w:r>
            <w:r>
              <w:rPr>
                <w:color w:val="auto"/>
                <w:sz w:val="24"/>
              </w:rPr>
              <w:t>，项目取4%，则油烟挥发量为</w:t>
            </w:r>
            <w:r>
              <w:rPr>
                <w:rFonts w:hint="eastAsia"/>
                <w:color w:val="auto"/>
                <w:sz w:val="24"/>
              </w:rPr>
              <w:t>0.011</w:t>
            </w:r>
            <w:r>
              <w:rPr>
                <w:color w:val="auto"/>
                <w:sz w:val="24"/>
              </w:rPr>
              <w:t>t/a，每日烹饪高峰期按</w:t>
            </w:r>
            <w:r>
              <w:rPr>
                <w:rFonts w:hint="eastAsia"/>
                <w:color w:val="auto"/>
                <w:sz w:val="24"/>
              </w:rPr>
              <w:t>4</w:t>
            </w:r>
            <w:r>
              <w:rPr>
                <w:color w:val="auto"/>
                <w:sz w:val="24"/>
              </w:rPr>
              <w:t>小时计，则高峰</w:t>
            </w:r>
            <w:r>
              <w:rPr>
                <w:rFonts w:hint="eastAsia"/>
                <w:color w:val="auto"/>
                <w:sz w:val="24"/>
              </w:rPr>
              <w:t>油烟挥发量</w:t>
            </w:r>
            <w:r>
              <w:rPr>
                <w:color w:val="auto"/>
                <w:sz w:val="24"/>
              </w:rPr>
              <w:t>为</w:t>
            </w:r>
            <w:r>
              <w:rPr>
                <w:rFonts w:hint="eastAsia"/>
                <w:color w:val="auto"/>
                <w:sz w:val="24"/>
              </w:rPr>
              <w:t>0.009</w:t>
            </w:r>
            <w:r>
              <w:rPr>
                <w:color w:val="auto"/>
                <w:sz w:val="24"/>
              </w:rPr>
              <w:t>kg/h。项目食堂</w:t>
            </w:r>
            <w:r>
              <w:rPr>
                <w:rFonts w:hint="eastAsia"/>
                <w:color w:val="auto"/>
                <w:sz w:val="24"/>
              </w:rPr>
              <w:t>厨房</w:t>
            </w:r>
            <w:r>
              <w:rPr>
                <w:color w:val="auto"/>
                <w:sz w:val="24"/>
              </w:rPr>
              <w:t>油烟拟安装油烟净化装置</w:t>
            </w:r>
            <w:r>
              <w:rPr>
                <w:rFonts w:hint="eastAsia"/>
                <w:color w:val="auto"/>
                <w:sz w:val="24"/>
                <w:shd w:val="clear" w:fill="FFFFFF"/>
                <w:lang w:eastAsia="zh-CN"/>
              </w:rPr>
              <w:t>(</w:t>
            </w:r>
            <w:r>
              <w:rPr>
                <w:color w:val="auto"/>
                <w:sz w:val="24"/>
              </w:rPr>
              <w:t>净化效率达60%以上</w:t>
            </w:r>
            <w:r>
              <w:rPr>
                <w:rFonts w:hint="eastAsia"/>
                <w:color w:val="auto"/>
                <w:sz w:val="24"/>
                <w:shd w:val="clear" w:fill="FFFFFF"/>
                <w:lang w:eastAsia="zh-CN"/>
              </w:rPr>
              <w:t>)</w:t>
            </w:r>
            <w:r>
              <w:rPr>
                <w:color w:val="auto"/>
                <w:sz w:val="24"/>
              </w:rPr>
              <w:t>收集处理后由专用烟道引至楼顶排放，食堂设置</w:t>
            </w:r>
            <w:r>
              <w:rPr>
                <w:rFonts w:hint="eastAsia"/>
                <w:color w:val="auto"/>
                <w:sz w:val="24"/>
              </w:rPr>
              <w:t>1</w:t>
            </w:r>
            <w:r>
              <w:rPr>
                <w:color w:val="auto"/>
                <w:sz w:val="24"/>
              </w:rPr>
              <w:t>个基准灶头，烹饪时灶头产生的烟气量约为</w:t>
            </w:r>
            <w:r>
              <w:rPr>
                <w:rFonts w:hint="eastAsia"/>
                <w:color w:val="auto"/>
                <w:sz w:val="24"/>
              </w:rPr>
              <w:t>4</w:t>
            </w:r>
            <w:r>
              <w:rPr>
                <w:color w:val="auto"/>
                <w:sz w:val="24"/>
              </w:rPr>
              <w:t>000m</w:t>
            </w:r>
            <w:r>
              <w:rPr>
                <w:color w:val="auto"/>
                <w:sz w:val="24"/>
                <w:vertAlign w:val="superscript"/>
              </w:rPr>
              <w:t>3</w:t>
            </w:r>
            <w:r>
              <w:rPr>
                <w:color w:val="auto"/>
                <w:sz w:val="24"/>
              </w:rPr>
              <w:t>/h</w:t>
            </w:r>
            <w:r>
              <w:rPr>
                <w:rFonts w:hint="eastAsia"/>
                <w:color w:val="auto"/>
                <w:sz w:val="24"/>
              </w:rPr>
              <w:t>，</w:t>
            </w:r>
            <w:r>
              <w:rPr>
                <w:color w:val="auto"/>
                <w:sz w:val="24"/>
              </w:rPr>
              <w:t>则油烟排放量为0.00</w:t>
            </w:r>
            <w:r>
              <w:rPr>
                <w:rFonts w:hint="eastAsia"/>
                <w:color w:val="auto"/>
                <w:sz w:val="24"/>
              </w:rPr>
              <w:t>4</w:t>
            </w:r>
            <w:r>
              <w:rPr>
                <w:color w:val="auto"/>
                <w:sz w:val="24"/>
              </w:rPr>
              <w:t>t/a，排放速率为0.00</w:t>
            </w:r>
            <w:r>
              <w:rPr>
                <w:rFonts w:hint="eastAsia"/>
                <w:color w:val="auto"/>
                <w:sz w:val="24"/>
              </w:rPr>
              <w:t>3</w:t>
            </w:r>
            <w:r>
              <w:rPr>
                <w:color w:val="auto"/>
                <w:sz w:val="24"/>
              </w:rPr>
              <w:t>kg/h，排放浓度为</w:t>
            </w:r>
            <w:r>
              <w:rPr>
                <w:rFonts w:hint="eastAsia"/>
                <w:color w:val="auto"/>
                <w:sz w:val="24"/>
              </w:rPr>
              <w:t>0.8</w:t>
            </w:r>
            <w:r>
              <w:rPr>
                <w:color w:val="auto"/>
                <w:sz w:val="24"/>
              </w:rPr>
              <w:t>mg/m</w:t>
            </w:r>
            <w:r>
              <w:rPr>
                <w:color w:val="auto"/>
                <w:sz w:val="24"/>
                <w:vertAlign w:val="superscript"/>
              </w:rPr>
              <w:t>3</w:t>
            </w:r>
            <w:r>
              <w:rPr>
                <w:color w:val="auto"/>
                <w:sz w:val="24"/>
              </w:rPr>
              <w:t>。</w:t>
            </w:r>
          </w:p>
          <w:p w14:paraId="776A8B9E">
            <w:pPr>
              <w:spacing w:line="360" w:lineRule="auto"/>
              <w:ind w:firstLine="480" w:firstLineChars="200"/>
              <w:rPr>
                <w:color w:val="auto"/>
              </w:rPr>
            </w:pPr>
            <w:r>
              <w:rPr>
                <w:color w:val="auto"/>
                <w:sz w:val="24"/>
              </w:rPr>
              <w:t>项目废气</w:t>
            </w:r>
            <w:r>
              <w:rPr>
                <w:rFonts w:hint="eastAsia"/>
                <w:color w:val="auto"/>
                <w:sz w:val="24"/>
              </w:rPr>
              <w:t>污染源源强核算结果</w:t>
            </w:r>
            <w:r>
              <w:rPr>
                <w:color w:val="auto"/>
                <w:sz w:val="24"/>
              </w:rPr>
              <w:t>见表4.</w:t>
            </w:r>
            <w:r>
              <w:rPr>
                <w:rFonts w:hint="eastAsia"/>
                <w:color w:val="auto"/>
                <w:sz w:val="24"/>
              </w:rPr>
              <w:t>2-1</w:t>
            </w:r>
            <w:r>
              <w:rPr>
                <w:color w:val="auto"/>
                <w:sz w:val="24"/>
              </w:rPr>
              <w:t>。</w:t>
            </w:r>
          </w:p>
        </w:tc>
      </w:tr>
    </w:tbl>
    <w:p w14:paraId="53528834">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7"/>
        <w:tblW w:w="13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13269"/>
      </w:tblGrid>
      <w:tr w14:paraId="3EA9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69" w:type="dxa"/>
          </w:tcPr>
          <w:p w14:paraId="220FCF01">
            <w:pPr>
              <w:pStyle w:val="43"/>
              <w:spacing w:before="120"/>
              <w:ind w:firstLine="482" w:firstLineChars="200"/>
              <w:jc w:val="center"/>
              <w:rPr>
                <w:b/>
                <w:color w:val="auto"/>
                <w:sz w:val="24"/>
              </w:rPr>
            </w:pPr>
            <w:r>
              <w:rPr>
                <w:rFonts w:hint="eastAsia"/>
                <w:b/>
                <w:color w:val="auto"/>
                <w:sz w:val="24"/>
              </w:rPr>
              <w:t>表4.2-1  废气污染源源强核算结果及相关参数一览表</w:t>
            </w:r>
          </w:p>
          <w:tbl>
            <w:tblPr>
              <w:tblStyle w:val="3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744"/>
              <w:gridCol w:w="444"/>
              <w:gridCol w:w="678"/>
              <w:gridCol w:w="610"/>
              <w:gridCol w:w="638"/>
              <w:gridCol w:w="714"/>
              <w:gridCol w:w="427"/>
              <w:gridCol w:w="1072"/>
              <w:gridCol w:w="530"/>
              <w:gridCol w:w="427"/>
              <w:gridCol w:w="678"/>
              <w:gridCol w:w="610"/>
              <w:gridCol w:w="638"/>
              <w:gridCol w:w="714"/>
              <w:gridCol w:w="595"/>
              <w:gridCol w:w="1031"/>
              <w:gridCol w:w="917"/>
              <w:gridCol w:w="1142"/>
            </w:tblGrid>
            <w:tr w14:paraId="2F05E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2"/>
                  <w:vMerge w:val="restart"/>
                  <w:tcBorders>
                    <w:tl2br w:val="nil"/>
                    <w:tr2bl w:val="nil"/>
                  </w:tcBorders>
                  <w:shd w:val="clear" w:color="auto" w:fill="auto"/>
                  <w:vAlign w:val="center"/>
                </w:tcPr>
                <w:p w14:paraId="29483B63">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产排污环节</w:t>
                  </w:r>
                </w:p>
              </w:tc>
              <w:tc>
                <w:tcPr>
                  <w:tcW w:w="0" w:type="auto"/>
                  <w:vMerge w:val="restart"/>
                  <w:tcBorders>
                    <w:tl2br w:val="nil"/>
                    <w:tr2bl w:val="nil"/>
                  </w:tcBorders>
                  <w:shd w:val="clear" w:color="auto" w:fill="auto"/>
                  <w:vAlign w:val="center"/>
                </w:tcPr>
                <w:p w14:paraId="4BC11AA0">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污染物种类</w:t>
                  </w:r>
                </w:p>
              </w:tc>
              <w:tc>
                <w:tcPr>
                  <w:tcW w:w="0" w:type="auto"/>
                  <w:gridSpan w:val="4"/>
                  <w:tcBorders>
                    <w:tl2br w:val="nil"/>
                    <w:tr2bl w:val="nil"/>
                  </w:tcBorders>
                  <w:shd w:val="clear" w:color="auto" w:fill="auto"/>
                  <w:vAlign w:val="center"/>
                </w:tcPr>
                <w:p w14:paraId="3FD48FF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污染物产生</w:t>
                  </w:r>
                </w:p>
              </w:tc>
              <w:tc>
                <w:tcPr>
                  <w:tcW w:w="0" w:type="auto"/>
                  <w:vMerge w:val="restart"/>
                  <w:tcBorders>
                    <w:tl2br w:val="nil"/>
                    <w:tr2bl w:val="nil"/>
                  </w:tcBorders>
                  <w:shd w:val="clear" w:color="auto" w:fill="auto"/>
                  <w:vAlign w:val="center"/>
                </w:tcPr>
                <w:p w14:paraId="577FDB67">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排放形式</w:t>
                  </w:r>
                </w:p>
              </w:tc>
              <w:tc>
                <w:tcPr>
                  <w:tcW w:w="0" w:type="auto"/>
                  <w:gridSpan w:val="3"/>
                  <w:tcBorders>
                    <w:tl2br w:val="nil"/>
                    <w:tr2bl w:val="nil"/>
                  </w:tcBorders>
                  <w:shd w:val="clear" w:color="auto" w:fill="auto"/>
                  <w:vAlign w:val="center"/>
                </w:tcPr>
                <w:p w14:paraId="3C75335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治理措施</w:t>
                  </w:r>
                </w:p>
              </w:tc>
              <w:tc>
                <w:tcPr>
                  <w:tcW w:w="0" w:type="auto"/>
                  <w:gridSpan w:val="5"/>
                  <w:tcBorders>
                    <w:tl2br w:val="nil"/>
                    <w:tr2bl w:val="nil"/>
                  </w:tcBorders>
                  <w:shd w:val="clear" w:color="auto" w:fill="auto"/>
                  <w:vAlign w:val="center"/>
                </w:tcPr>
                <w:p w14:paraId="7A49C1B8">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污染物排放</w:t>
                  </w:r>
                </w:p>
              </w:tc>
              <w:tc>
                <w:tcPr>
                  <w:tcW w:w="0" w:type="auto"/>
                  <w:gridSpan w:val="3"/>
                  <w:tcBorders>
                    <w:tl2br w:val="nil"/>
                    <w:tr2bl w:val="nil"/>
                  </w:tcBorders>
                  <w:shd w:val="clear" w:color="auto" w:fill="auto"/>
                  <w:vAlign w:val="center"/>
                </w:tcPr>
                <w:p w14:paraId="671CF8E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排气筒基本信息</w:t>
                  </w:r>
                </w:p>
              </w:tc>
            </w:tr>
            <w:tr w14:paraId="704E0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2"/>
                  <w:vMerge w:val="continue"/>
                  <w:tcBorders>
                    <w:tl2br w:val="nil"/>
                    <w:tr2bl w:val="nil"/>
                  </w:tcBorders>
                  <w:shd w:val="clear" w:color="auto" w:fill="auto"/>
                  <w:vAlign w:val="center"/>
                </w:tcPr>
                <w:p w14:paraId="3DD9C90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p>
              </w:tc>
              <w:tc>
                <w:tcPr>
                  <w:tcW w:w="0" w:type="auto"/>
                  <w:vMerge w:val="continue"/>
                  <w:tcBorders>
                    <w:tl2br w:val="nil"/>
                    <w:tr2bl w:val="nil"/>
                  </w:tcBorders>
                  <w:shd w:val="clear" w:color="auto" w:fill="auto"/>
                  <w:vAlign w:val="center"/>
                </w:tcPr>
                <w:p w14:paraId="25C8134B">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5B6C8D3E">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风机风量m</w:t>
                  </w:r>
                  <w:r>
                    <w:rPr>
                      <w:rFonts w:hint="default" w:ascii="Times New Roman" w:hAnsi="Times New Roman" w:cs="Times New Roman"/>
                      <w:color w:val="auto"/>
                      <w:sz w:val="16"/>
                      <w:szCs w:val="16"/>
                      <w:vertAlign w:val="superscript"/>
                      <w:lang w:val="en-US" w:eastAsia="zh-CN"/>
                    </w:rPr>
                    <w:t>3</w:t>
                  </w:r>
                  <w:r>
                    <w:rPr>
                      <w:rFonts w:hint="default" w:ascii="Times New Roman" w:hAnsi="Times New Roman" w:cs="Times New Roman"/>
                      <w:color w:val="auto"/>
                      <w:sz w:val="16"/>
                      <w:szCs w:val="16"/>
                      <w:lang w:val="en-US" w:eastAsia="zh-CN"/>
                    </w:rPr>
                    <w:t>/h</w:t>
                  </w:r>
                </w:p>
              </w:tc>
              <w:tc>
                <w:tcPr>
                  <w:tcW w:w="0" w:type="auto"/>
                  <w:tcBorders>
                    <w:tl2br w:val="nil"/>
                    <w:tr2bl w:val="nil"/>
                  </w:tcBorders>
                  <w:shd w:val="clear" w:color="auto" w:fill="auto"/>
                  <w:vAlign w:val="center"/>
                </w:tcPr>
                <w:p w14:paraId="53557B4A">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产生量t/a</w:t>
                  </w:r>
                </w:p>
              </w:tc>
              <w:tc>
                <w:tcPr>
                  <w:tcW w:w="0" w:type="auto"/>
                  <w:tcBorders>
                    <w:tl2br w:val="nil"/>
                    <w:tr2bl w:val="nil"/>
                  </w:tcBorders>
                  <w:shd w:val="clear" w:color="auto" w:fill="auto"/>
                  <w:vAlign w:val="center"/>
                </w:tcPr>
                <w:p w14:paraId="11425068">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产生速率kg/h</w:t>
                  </w:r>
                </w:p>
              </w:tc>
              <w:tc>
                <w:tcPr>
                  <w:tcW w:w="0" w:type="auto"/>
                  <w:tcBorders>
                    <w:tl2br w:val="nil"/>
                    <w:tr2bl w:val="nil"/>
                  </w:tcBorders>
                  <w:shd w:val="clear" w:color="auto" w:fill="auto"/>
                  <w:vAlign w:val="center"/>
                </w:tcPr>
                <w:p w14:paraId="43C5CFA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产生浓度mg/m</w:t>
                  </w:r>
                  <w:r>
                    <w:rPr>
                      <w:rFonts w:hint="default" w:ascii="Times New Roman" w:hAnsi="Times New Roman" w:cs="Times New Roman"/>
                      <w:color w:val="auto"/>
                      <w:sz w:val="16"/>
                      <w:szCs w:val="16"/>
                      <w:vertAlign w:val="superscript"/>
                    </w:rPr>
                    <w:t>3</w:t>
                  </w:r>
                </w:p>
              </w:tc>
              <w:tc>
                <w:tcPr>
                  <w:tcW w:w="0" w:type="auto"/>
                  <w:vMerge w:val="continue"/>
                  <w:tcBorders>
                    <w:tl2br w:val="nil"/>
                    <w:tr2bl w:val="nil"/>
                  </w:tcBorders>
                  <w:shd w:val="clear" w:color="auto" w:fill="auto"/>
                  <w:vAlign w:val="center"/>
                </w:tcPr>
                <w:p w14:paraId="4ED69D9E">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22FB729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治理工艺</w:t>
                  </w:r>
                </w:p>
              </w:tc>
              <w:tc>
                <w:tcPr>
                  <w:tcW w:w="0" w:type="auto"/>
                  <w:tcBorders>
                    <w:tl2br w:val="nil"/>
                    <w:tr2bl w:val="nil"/>
                  </w:tcBorders>
                  <w:shd w:val="clear" w:color="auto" w:fill="auto"/>
                  <w:vAlign w:val="center"/>
                </w:tcPr>
                <w:p w14:paraId="102FC0B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去除率</w:t>
                  </w:r>
                </w:p>
              </w:tc>
              <w:tc>
                <w:tcPr>
                  <w:tcW w:w="0" w:type="auto"/>
                  <w:tcBorders>
                    <w:tl2br w:val="nil"/>
                    <w:tr2bl w:val="nil"/>
                  </w:tcBorders>
                  <w:shd w:val="clear" w:color="auto" w:fill="auto"/>
                  <w:vAlign w:val="center"/>
                </w:tcPr>
                <w:p w14:paraId="3F3373F1">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是否为</w:t>
                  </w:r>
                </w:p>
                <w:p w14:paraId="3A28548C">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可行技术</w:t>
                  </w:r>
                </w:p>
              </w:tc>
              <w:tc>
                <w:tcPr>
                  <w:tcW w:w="0" w:type="auto"/>
                  <w:tcBorders>
                    <w:tl2br w:val="nil"/>
                    <w:tr2bl w:val="nil"/>
                  </w:tcBorders>
                  <w:shd w:val="clear" w:color="auto" w:fill="auto"/>
                  <w:vAlign w:val="center"/>
                </w:tcPr>
                <w:p w14:paraId="54C645AA">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cs="Times New Roman"/>
                      <w:color w:val="auto"/>
                      <w:sz w:val="16"/>
                      <w:szCs w:val="16"/>
                      <w:lang w:val="en-US" w:eastAsia="zh-CN"/>
                    </w:rPr>
                    <w:t>风机风量m</w:t>
                  </w:r>
                  <w:r>
                    <w:rPr>
                      <w:rFonts w:hint="default" w:ascii="Times New Roman" w:hAnsi="Times New Roman" w:cs="Times New Roman"/>
                      <w:color w:val="auto"/>
                      <w:sz w:val="16"/>
                      <w:szCs w:val="16"/>
                      <w:vertAlign w:val="superscript"/>
                      <w:lang w:val="en-US" w:eastAsia="zh-CN"/>
                    </w:rPr>
                    <w:t>3</w:t>
                  </w:r>
                  <w:r>
                    <w:rPr>
                      <w:rFonts w:hint="default" w:ascii="Times New Roman" w:hAnsi="Times New Roman" w:cs="Times New Roman"/>
                      <w:color w:val="auto"/>
                      <w:sz w:val="16"/>
                      <w:szCs w:val="16"/>
                      <w:lang w:val="en-US" w:eastAsia="zh-CN"/>
                    </w:rPr>
                    <w:t>/h</w:t>
                  </w:r>
                </w:p>
              </w:tc>
              <w:tc>
                <w:tcPr>
                  <w:tcW w:w="0" w:type="auto"/>
                  <w:tcBorders>
                    <w:tl2br w:val="nil"/>
                    <w:tr2bl w:val="nil"/>
                  </w:tcBorders>
                  <w:shd w:val="clear" w:color="auto" w:fill="auto"/>
                  <w:vAlign w:val="center"/>
                </w:tcPr>
                <w:p w14:paraId="409A27A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排放量t/a</w:t>
                  </w:r>
                </w:p>
              </w:tc>
              <w:tc>
                <w:tcPr>
                  <w:tcW w:w="0" w:type="auto"/>
                  <w:tcBorders>
                    <w:tl2br w:val="nil"/>
                    <w:tr2bl w:val="nil"/>
                  </w:tcBorders>
                  <w:shd w:val="clear" w:color="auto" w:fill="auto"/>
                  <w:vAlign w:val="center"/>
                </w:tcPr>
                <w:p w14:paraId="69CF6872">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排放速率kg/h</w:t>
                  </w:r>
                </w:p>
              </w:tc>
              <w:tc>
                <w:tcPr>
                  <w:tcW w:w="0" w:type="auto"/>
                  <w:tcBorders>
                    <w:tl2br w:val="nil"/>
                    <w:tr2bl w:val="nil"/>
                  </w:tcBorders>
                  <w:shd w:val="clear" w:color="auto" w:fill="auto"/>
                  <w:vAlign w:val="center"/>
                </w:tcPr>
                <w:p w14:paraId="41D9592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排放浓度mg/m</w:t>
                  </w:r>
                  <w:r>
                    <w:rPr>
                      <w:rFonts w:hint="default" w:ascii="Times New Roman" w:hAnsi="Times New Roman" w:cs="Times New Roman"/>
                      <w:color w:val="auto"/>
                      <w:sz w:val="16"/>
                      <w:szCs w:val="16"/>
                      <w:vertAlign w:val="superscript"/>
                    </w:rPr>
                    <w:t>3</w:t>
                  </w:r>
                </w:p>
              </w:tc>
              <w:tc>
                <w:tcPr>
                  <w:tcW w:w="0" w:type="auto"/>
                  <w:tcBorders>
                    <w:tl2br w:val="nil"/>
                    <w:tr2bl w:val="nil"/>
                  </w:tcBorders>
                  <w:shd w:val="clear" w:color="auto" w:fill="auto"/>
                  <w:vAlign w:val="center"/>
                </w:tcPr>
                <w:p w14:paraId="281008F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运行时间h/a</w:t>
                  </w:r>
                </w:p>
              </w:tc>
              <w:tc>
                <w:tcPr>
                  <w:tcW w:w="0" w:type="auto"/>
                  <w:tcBorders>
                    <w:tl2br w:val="nil"/>
                    <w:tr2bl w:val="nil"/>
                  </w:tcBorders>
                  <w:shd w:val="clear" w:color="auto" w:fill="auto"/>
                  <w:vAlign w:val="center"/>
                </w:tcPr>
                <w:p w14:paraId="073776A2">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排气筒内径、高度、温度</w:t>
                  </w:r>
                </w:p>
              </w:tc>
              <w:tc>
                <w:tcPr>
                  <w:tcW w:w="0" w:type="auto"/>
                  <w:tcBorders>
                    <w:tl2br w:val="nil"/>
                    <w:tr2bl w:val="nil"/>
                  </w:tcBorders>
                  <w:shd w:val="clear" w:color="auto" w:fill="auto"/>
                  <w:vAlign w:val="center"/>
                </w:tcPr>
                <w:p w14:paraId="5FF78449">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编号及名称、类型</w:t>
                  </w:r>
                </w:p>
              </w:tc>
              <w:tc>
                <w:tcPr>
                  <w:tcW w:w="0" w:type="auto"/>
                  <w:tcBorders>
                    <w:tl2br w:val="nil"/>
                    <w:tr2bl w:val="nil"/>
                  </w:tcBorders>
                  <w:shd w:val="clear" w:color="auto" w:fill="auto"/>
                  <w:vAlign w:val="center"/>
                </w:tcPr>
                <w:p w14:paraId="59A7F43B">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地理</w:t>
                  </w:r>
                </w:p>
                <w:p w14:paraId="2A7A94C8">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坐标</w:t>
                  </w:r>
                </w:p>
              </w:tc>
            </w:tr>
            <w:tr w14:paraId="4D041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2"/>
                  <w:tcBorders>
                    <w:tl2br w:val="nil"/>
                    <w:tr2bl w:val="nil"/>
                  </w:tcBorders>
                  <w:shd w:val="clear" w:color="auto" w:fill="auto"/>
                  <w:vAlign w:val="center"/>
                </w:tcPr>
                <w:p w14:paraId="03DD9F5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原料装卸</w:t>
                  </w:r>
                </w:p>
              </w:tc>
              <w:tc>
                <w:tcPr>
                  <w:tcW w:w="0" w:type="auto"/>
                  <w:tcBorders>
                    <w:tl2br w:val="nil"/>
                    <w:tr2bl w:val="nil"/>
                  </w:tcBorders>
                  <w:shd w:val="clear" w:color="auto" w:fill="auto"/>
                  <w:vAlign w:val="center"/>
                </w:tcPr>
                <w:p w14:paraId="37A8134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颗粒物</w:t>
                  </w:r>
                </w:p>
              </w:tc>
              <w:tc>
                <w:tcPr>
                  <w:tcW w:w="0" w:type="auto"/>
                  <w:tcBorders>
                    <w:tl2br w:val="nil"/>
                    <w:tr2bl w:val="nil"/>
                  </w:tcBorders>
                  <w:shd w:val="clear" w:color="auto" w:fill="auto"/>
                  <w:vAlign w:val="center"/>
                </w:tcPr>
                <w:p w14:paraId="2E036460">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w:t>
                  </w:r>
                </w:p>
              </w:tc>
              <w:tc>
                <w:tcPr>
                  <w:tcW w:w="0" w:type="auto"/>
                  <w:tcBorders>
                    <w:tl2br w:val="nil"/>
                    <w:tr2bl w:val="nil"/>
                  </w:tcBorders>
                  <w:shd w:val="clear" w:color="auto" w:fill="auto"/>
                  <w:vAlign w:val="center"/>
                </w:tcPr>
                <w:p w14:paraId="54EB9D1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rPr>
                    <w:t>5</w:t>
                  </w:r>
                  <w:r>
                    <w:rPr>
                      <w:rFonts w:hint="default" w:ascii="Times New Roman" w:hAnsi="Times New Roman" w:eastAsia="宋体" w:cs="Times New Roman"/>
                      <w:color w:val="auto"/>
                      <w:sz w:val="16"/>
                      <w:szCs w:val="16"/>
                      <w:lang w:val="en-US" w:eastAsia="zh-CN"/>
                    </w:rPr>
                    <w:t>.0</w:t>
                  </w:r>
                </w:p>
              </w:tc>
              <w:tc>
                <w:tcPr>
                  <w:tcW w:w="637" w:type="dxa"/>
                  <w:tcBorders>
                    <w:tl2br w:val="nil"/>
                    <w:tr2bl w:val="nil"/>
                  </w:tcBorders>
                  <w:shd w:val="clear" w:color="auto" w:fill="auto"/>
                  <w:vAlign w:val="center"/>
                </w:tcPr>
                <w:p w14:paraId="7ACFE3F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2.083 </w:t>
                  </w:r>
                </w:p>
              </w:tc>
              <w:tc>
                <w:tcPr>
                  <w:tcW w:w="0" w:type="auto"/>
                  <w:tcBorders>
                    <w:tl2br w:val="nil"/>
                    <w:tr2bl w:val="nil"/>
                  </w:tcBorders>
                  <w:shd w:val="clear" w:color="auto" w:fill="auto"/>
                  <w:vAlign w:val="center"/>
                </w:tcPr>
                <w:p w14:paraId="188759F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vMerge w:val="restart"/>
                  <w:tcBorders>
                    <w:tl2br w:val="nil"/>
                    <w:tr2bl w:val="nil"/>
                  </w:tcBorders>
                  <w:shd w:val="clear" w:color="auto" w:fill="auto"/>
                  <w:vAlign w:val="center"/>
                </w:tcPr>
                <w:p w14:paraId="41923101">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无组织</w:t>
                  </w:r>
                </w:p>
              </w:tc>
              <w:tc>
                <w:tcPr>
                  <w:tcW w:w="0" w:type="auto"/>
                  <w:tcBorders>
                    <w:tl2br w:val="nil"/>
                    <w:tr2bl w:val="nil"/>
                  </w:tcBorders>
                  <w:shd w:val="clear" w:color="auto" w:fill="auto"/>
                  <w:vAlign w:val="center"/>
                </w:tcPr>
                <w:p w14:paraId="41AA9F6D">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洒水抑尘</w:t>
                  </w:r>
                </w:p>
              </w:tc>
              <w:tc>
                <w:tcPr>
                  <w:tcW w:w="0" w:type="auto"/>
                  <w:tcBorders>
                    <w:tl2br w:val="nil"/>
                    <w:tr2bl w:val="nil"/>
                  </w:tcBorders>
                  <w:shd w:val="clear" w:color="auto" w:fill="auto"/>
                  <w:vAlign w:val="center"/>
                </w:tcPr>
                <w:p w14:paraId="77ABC8E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74%</w:t>
                  </w:r>
                </w:p>
              </w:tc>
              <w:tc>
                <w:tcPr>
                  <w:tcW w:w="0" w:type="auto"/>
                  <w:tcBorders>
                    <w:tl2br w:val="nil"/>
                    <w:tr2bl w:val="nil"/>
                  </w:tcBorders>
                  <w:shd w:val="clear" w:color="auto" w:fill="auto"/>
                  <w:vAlign w:val="center"/>
                </w:tcPr>
                <w:p w14:paraId="416E473C">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是</w:t>
                  </w:r>
                </w:p>
              </w:tc>
              <w:tc>
                <w:tcPr>
                  <w:tcW w:w="0" w:type="auto"/>
                  <w:tcBorders>
                    <w:tl2br w:val="nil"/>
                    <w:tr2bl w:val="nil"/>
                  </w:tcBorders>
                  <w:shd w:val="clear" w:color="auto" w:fill="auto"/>
                  <w:vAlign w:val="center"/>
                </w:tcPr>
                <w:p w14:paraId="2A85AB5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lang w:val="en-US" w:eastAsia="zh-CN"/>
                    </w:rPr>
                    <w:t>/</w:t>
                  </w:r>
                </w:p>
              </w:tc>
              <w:tc>
                <w:tcPr>
                  <w:tcW w:w="0" w:type="auto"/>
                  <w:tcBorders>
                    <w:tl2br w:val="nil"/>
                    <w:tr2bl w:val="nil"/>
                  </w:tcBorders>
                  <w:shd w:val="clear" w:color="auto" w:fill="auto"/>
                  <w:vAlign w:val="center"/>
                </w:tcPr>
                <w:p w14:paraId="2A2CCC02">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1.3</w:t>
                  </w:r>
                </w:p>
              </w:tc>
              <w:tc>
                <w:tcPr>
                  <w:tcW w:w="637" w:type="dxa"/>
                  <w:tcBorders>
                    <w:tl2br w:val="nil"/>
                    <w:tr2bl w:val="nil"/>
                  </w:tcBorders>
                  <w:shd w:val="clear" w:color="auto" w:fill="auto"/>
                  <w:vAlign w:val="center"/>
                </w:tcPr>
                <w:p w14:paraId="34075D33">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0.542 </w:t>
                  </w:r>
                </w:p>
              </w:tc>
              <w:tc>
                <w:tcPr>
                  <w:tcW w:w="0" w:type="auto"/>
                  <w:tcBorders>
                    <w:tl2br w:val="nil"/>
                    <w:tr2bl w:val="nil"/>
                  </w:tcBorders>
                  <w:shd w:val="clear" w:color="auto" w:fill="auto"/>
                  <w:vAlign w:val="center"/>
                </w:tcPr>
                <w:p w14:paraId="3D00FBE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4D67384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2400</w:t>
                  </w:r>
                </w:p>
              </w:tc>
              <w:tc>
                <w:tcPr>
                  <w:tcW w:w="0" w:type="auto"/>
                  <w:tcBorders>
                    <w:tl2br w:val="nil"/>
                    <w:tr2bl w:val="nil"/>
                  </w:tcBorders>
                  <w:shd w:val="clear" w:color="auto" w:fill="auto"/>
                  <w:vAlign w:val="center"/>
                </w:tcPr>
                <w:p w14:paraId="23EF7C4B">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07E17350">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37421DEB">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r>
            <w:tr w14:paraId="772C0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2"/>
                  <w:tcBorders>
                    <w:tl2br w:val="nil"/>
                    <w:tr2bl w:val="nil"/>
                  </w:tcBorders>
                  <w:shd w:val="clear" w:color="auto" w:fill="auto"/>
                  <w:vAlign w:val="center"/>
                </w:tcPr>
                <w:p w14:paraId="6BE6217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石子、砂子输送</w:t>
                  </w:r>
                </w:p>
              </w:tc>
              <w:tc>
                <w:tcPr>
                  <w:tcW w:w="0" w:type="auto"/>
                  <w:tcBorders>
                    <w:tl2br w:val="nil"/>
                    <w:tr2bl w:val="nil"/>
                  </w:tcBorders>
                  <w:shd w:val="clear" w:color="auto" w:fill="auto"/>
                  <w:vAlign w:val="center"/>
                </w:tcPr>
                <w:p w14:paraId="377EA39C">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颗粒物</w:t>
                  </w:r>
                </w:p>
              </w:tc>
              <w:tc>
                <w:tcPr>
                  <w:tcW w:w="0" w:type="auto"/>
                  <w:tcBorders>
                    <w:tl2br w:val="nil"/>
                    <w:tr2bl w:val="nil"/>
                  </w:tcBorders>
                  <w:shd w:val="clear" w:color="auto" w:fill="auto"/>
                  <w:vAlign w:val="center"/>
                </w:tcPr>
                <w:p w14:paraId="66C4DE2D">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w:t>
                  </w:r>
                </w:p>
              </w:tc>
              <w:tc>
                <w:tcPr>
                  <w:tcW w:w="0" w:type="auto"/>
                  <w:tcBorders>
                    <w:tl2br w:val="nil"/>
                    <w:tr2bl w:val="nil"/>
                  </w:tcBorders>
                  <w:shd w:val="clear" w:color="auto" w:fill="auto"/>
                  <w:vAlign w:val="center"/>
                </w:tcPr>
                <w:p w14:paraId="585B7DCA">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0.175</w:t>
                  </w:r>
                </w:p>
              </w:tc>
              <w:tc>
                <w:tcPr>
                  <w:tcW w:w="637" w:type="dxa"/>
                  <w:tcBorders>
                    <w:tl2br w:val="nil"/>
                    <w:tr2bl w:val="nil"/>
                  </w:tcBorders>
                  <w:shd w:val="clear" w:color="auto" w:fill="auto"/>
                  <w:vAlign w:val="center"/>
                </w:tcPr>
                <w:p w14:paraId="4DB48A91">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0.073 </w:t>
                  </w:r>
                </w:p>
              </w:tc>
              <w:tc>
                <w:tcPr>
                  <w:tcW w:w="0" w:type="auto"/>
                  <w:tcBorders>
                    <w:tl2br w:val="nil"/>
                    <w:tr2bl w:val="nil"/>
                  </w:tcBorders>
                  <w:shd w:val="clear" w:color="auto" w:fill="auto"/>
                  <w:vAlign w:val="center"/>
                </w:tcPr>
                <w:p w14:paraId="1CB95F3D">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vMerge w:val="continue"/>
                  <w:tcBorders>
                    <w:tl2br w:val="nil"/>
                    <w:tr2bl w:val="nil"/>
                  </w:tcBorders>
                  <w:shd w:val="clear" w:color="auto" w:fill="auto"/>
                  <w:vAlign w:val="center"/>
                </w:tcPr>
                <w:p w14:paraId="1D7B890A">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p>
              </w:tc>
              <w:tc>
                <w:tcPr>
                  <w:tcW w:w="0" w:type="auto"/>
                  <w:tcBorders>
                    <w:tl2br w:val="nil"/>
                    <w:tr2bl w:val="nil"/>
                  </w:tcBorders>
                  <w:shd w:val="clear" w:color="auto" w:fill="auto"/>
                  <w:vAlign w:val="center"/>
                </w:tcPr>
                <w:p w14:paraId="5291FFF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皮带输送系统，进料、下料和转运的上方加装半密闭的防尘罩</w:t>
                  </w:r>
                </w:p>
              </w:tc>
              <w:tc>
                <w:tcPr>
                  <w:tcW w:w="0" w:type="auto"/>
                  <w:tcBorders>
                    <w:tl2br w:val="nil"/>
                    <w:tr2bl w:val="nil"/>
                  </w:tcBorders>
                  <w:shd w:val="clear" w:color="auto" w:fill="auto"/>
                  <w:vAlign w:val="center"/>
                </w:tcPr>
                <w:p w14:paraId="6CAE3DA1">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706985A2">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389A5F48">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lang w:val="en-US" w:eastAsia="zh-CN"/>
                    </w:rPr>
                    <w:t>/</w:t>
                  </w:r>
                </w:p>
              </w:tc>
              <w:tc>
                <w:tcPr>
                  <w:tcW w:w="0" w:type="auto"/>
                  <w:tcBorders>
                    <w:tl2br w:val="nil"/>
                    <w:tr2bl w:val="nil"/>
                  </w:tcBorders>
                  <w:shd w:val="clear" w:color="auto" w:fill="auto"/>
                  <w:vAlign w:val="center"/>
                </w:tcPr>
                <w:p w14:paraId="5741EFBC">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0.175</w:t>
                  </w:r>
                </w:p>
              </w:tc>
              <w:tc>
                <w:tcPr>
                  <w:tcW w:w="637" w:type="dxa"/>
                  <w:tcBorders>
                    <w:tl2br w:val="nil"/>
                    <w:tr2bl w:val="nil"/>
                  </w:tcBorders>
                  <w:shd w:val="clear" w:color="auto" w:fill="auto"/>
                  <w:vAlign w:val="center"/>
                </w:tcPr>
                <w:p w14:paraId="6E814FD0">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0.073 </w:t>
                  </w:r>
                </w:p>
              </w:tc>
              <w:tc>
                <w:tcPr>
                  <w:tcW w:w="0" w:type="auto"/>
                  <w:tcBorders>
                    <w:tl2br w:val="nil"/>
                    <w:tr2bl w:val="nil"/>
                  </w:tcBorders>
                  <w:shd w:val="clear" w:color="auto" w:fill="auto"/>
                  <w:vAlign w:val="center"/>
                </w:tcPr>
                <w:p w14:paraId="06FA536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3A3BF034">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2400</w:t>
                  </w:r>
                </w:p>
              </w:tc>
              <w:tc>
                <w:tcPr>
                  <w:tcW w:w="0" w:type="auto"/>
                  <w:tcBorders>
                    <w:tl2br w:val="nil"/>
                    <w:tr2bl w:val="nil"/>
                  </w:tcBorders>
                  <w:shd w:val="clear" w:color="auto" w:fill="auto"/>
                  <w:vAlign w:val="center"/>
                </w:tcPr>
                <w:p w14:paraId="137D5657">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074C8C7E">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7660E2B6">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r>
            <w:tr w14:paraId="68FD6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2"/>
                  <w:tcBorders>
                    <w:tl2br w:val="nil"/>
                    <w:tr2bl w:val="nil"/>
                  </w:tcBorders>
                  <w:shd w:val="clear" w:color="auto" w:fill="auto"/>
                  <w:vAlign w:val="center"/>
                </w:tcPr>
                <w:p w14:paraId="52751740">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搅拌</w:t>
                  </w:r>
                </w:p>
              </w:tc>
              <w:tc>
                <w:tcPr>
                  <w:tcW w:w="0" w:type="auto"/>
                  <w:tcBorders>
                    <w:tl2br w:val="nil"/>
                    <w:tr2bl w:val="nil"/>
                  </w:tcBorders>
                  <w:shd w:val="clear" w:color="auto" w:fill="auto"/>
                  <w:vAlign w:val="center"/>
                </w:tcPr>
                <w:p w14:paraId="2A81F9C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颗粒物</w:t>
                  </w:r>
                </w:p>
              </w:tc>
              <w:tc>
                <w:tcPr>
                  <w:tcW w:w="0" w:type="auto"/>
                  <w:tcBorders>
                    <w:tl2br w:val="nil"/>
                    <w:tr2bl w:val="nil"/>
                  </w:tcBorders>
                  <w:shd w:val="clear" w:color="auto" w:fill="auto"/>
                  <w:vAlign w:val="center"/>
                </w:tcPr>
                <w:p w14:paraId="70D86C64">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w:t>
                  </w:r>
                </w:p>
              </w:tc>
              <w:tc>
                <w:tcPr>
                  <w:tcW w:w="0" w:type="auto"/>
                  <w:tcBorders>
                    <w:tl2br w:val="nil"/>
                    <w:tr2bl w:val="nil"/>
                  </w:tcBorders>
                  <w:shd w:val="clear" w:color="auto" w:fill="auto"/>
                  <w:vAlign w:val="center"/>
                </w:tcPr>
                <w:p w14:paraId="5146B951">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2.262</w:t>
                  </w:r>
                </w:p>
              </w:tc>
              <w:tc>
                <w:tcPr>
                  <w:tcW w:w="637" w:type="dxa"/>
                  <w:tcBorders>
                    <w:tl2br w:val="nil"/>
                    <w:tr2bl w:val="nil"/>
                  </w:tcBorders>
                  <w:shd w:val="clear" w:color="auto" w:fill="auto"/>
                  <w:vAlign w:val="center"/>
                </w:tcPr>
                <w:p w14:paraId="0C62F484">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0.943 </w:t>
                  </w:r>
                </w:p>
              </w:tc>
              <w:tc>
                <w:tcPr>
                  <w:tcW w:w="0" w:type="auto"/>
                  <w:tcBorders>
                    <w:tl2br w:val="nil"/>
                    <w:tr2bl w:val="nil"/>
                  </w:tcBorders>
                  <w:shd w:val="clear" w:color="auto" w:fill="auto"/>
                  <w:vAlign w:val="center"/>
                </w:tcPr>
                <w:p w14:paraId="3819685B">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vMerge w:val="continue"/>
                  <w:tcBorders>
                    <w:tl2br w:val="nil"/>
                    <w:tr2bl w:val="nil"/>
                  </w:tcBorders>
                  <w:shd w:val="clear" w:color="auto" w:fill="auto"/>
                  <w:vAlign w:val="center"/>
                </w:tcPr>
                <w:p w14:paraId="76AEA92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p>
              </w:tc>
              <w:tc>
                <w:tcPr>
                  <w:tcW w:w="0" w:type="auto"/>
                  <w:tcBorders>
                    <w:tl2br w:val="nil"/>
                    <w:tr2bl w:val="nil"/>
                  </w:tcBorders>
                  <w:shd w:val="clear" w:color="auto" w:fill="auto"/>
                  <w:vAlign w:val="center"/>
                </w:tcPr>
                <w:p w14:paraId="4853D0E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密闭湿法搅拌、水喷淋</w:t>
                  </w:r>
                </w:p>
              </w:tc>
              <w:tc>
                <w:tcPr>
                  <w:tcW w:w="0" w:type="auto"/>
                  <w:tcBorders>
                    <w:tl2br w:val="nil"/>
                    <w:tr2bl w:val="nil"/>
                  </w:tcBorders>
                  <w:shd w:val="clear" w:color="auto" w:fill="auto"/>
                  <w:vAlign w:val="center"/>
                </w:tcPr>
                <w:p w14:paraId="2955640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70%</w:t>
                  </w:r>
                </w:p>
              </w:tc>
              <w:tc>
                <w:tcPr>
                  <w:tcW w:w="0" w:type="auto"/>
                  <w:tcBorders>
                    <w:tl2br w:val="nil"/>
                    <w:tr2bl w:val="nil"/>
                  </w:tcBorders>
                  <w:shd w:val="clear" w:color="auto" w:fill="auto"/>
                  <w:vAlign w:val="center"/>
                </w:tcPr>
                <w:p w14:paraId="656DA4B8">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是</w:t>
                  </w:r>
                </w:p>
              </w:tc>
              <w:tc>
                <w:tcPr>
                  <w:tcW w:w="0" w:type="auto"/>
                  <w:tcBorders>
                    <w:tl2br w:val="nil"/>
                    <w:tr2bl w:val="nil"/>
                  </w:tcBorders>
                  <w:shd w:val="clear" w:color="auto" w:fill="auto"/>
                  <w:vAlign w:val="center"/>
                </w:tcPr>
                <w:p w14:paraId="0F08A6C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lang w:val="en-US" w:eastAsia="zh-CN"/>
                    </w:rPr>
                    <w:t>/</w:t>
                  </w:r>
                </w:p>
              </w:tc>
              <w:tc>
                <w:tcPr>
                  <w:tcW w:w="0" w:type="auto"/>
                  <w:tcBorders>
                    <w:tl2br w:val="nil"/>
                    <w:tr2bl w:val="nil"/>
                  </w:tcBorders>
                  <w:shd w:val="clear" w:color="auto" w:fill="auto"/>
                  <w:vAlign w:val="center"/>
                </w:tcPr>
                <w:p w14:paraId="54553DF8">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0.679</w:t>
                  </w:r>
                </w:p>
              </w:tc>
              <w:tc>
                <w:tcPr>
                  <w:tcW w:w="637" w:type="dxa"/>
                  <w:tcBorders>
                    <w:tl2br w:val="nil"/>
                    <w:tr2bl w:val="nil"/>
                  </w:tcBorders>
                  <w:shd w:val="clear" w:color="auto" w:fill="auto"/>
                  <w:vAlign w:val="center"/>
                </w:tcPr>
                <w:p w14:paraId="168DFDA1">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0.283 </w:t>
                  </w:r>
                </w:p>
              </w:tc>
              <w:tc>
                <w:tcPr>
                  <w:tcW w:w="0" w:type="auto"/>
                  <w:tcBorders>
                    <w:tl2br w:val="nil"/>
                    <w:tr2bl w:val="nil"/>
                  </w:tcBorders>
                  <w:shd w:val="clear" w:color="auto" w:fill="auto"/>
                  <w:vAlign w:val="center"/>
                </w:tcPr>
                <w:p w14:paraId="34AF35BD">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2F5EE91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2400</w:t>
                  </w:r>
                </w:p>
              </w:tc>
              <w:tc>
                <w:tcPr>
                  <w:tcW w:w="0" w:type="auto"/>
                  <w:tcBorders>
                    <w:tl2br w:val="nil"/>
                    <w:tr2bl w:val="nil"/>
                  </w:tcBorders>
                  <w:shd w:val="clear" w:color="auto" w:fill="auto"/>
                  <w:vAlign w:val="center"/>
                </w:tcPr>
                <w:p w14:paraId="52C71CD6">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7003D250">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18422203">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r>
            <w:tr w14:paraId="7EDE6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2"/>
                  <w:tcBorders>
                    <w:tl2br w:val="nil"/>
                    <w:tr2bl w:val="nil"/>
                  </w:tcBorders>
                  <w:shd w:val="clear" w:color="auto" w:fill="auto"/>
                  <w:vAlign w:val="center"/>
                </w:tcPr>
                <w:p w14:paraId="3EF3DA4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焊接</w:t>
                  </w:r>
                </w:p>
              </w:tc>
              <w:tc>
                <w:tcPr>
                  <w:tcW w:w="0" w:type="auto"/>
                  <w:tcBorders>
                    <w:tl2br w:val="nil"/>
                    <w:tr2bl w:val="nil"/>
                  </w:tcBorders>
                  <w:shd w:val="clear" w:color="auto" w:fill="auto"/>
                  <w:vAlign w:val="center"/>
                </w:tcPr>
                <w:p w14:paraId="22ABC167">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颗粒物</w:t>
                  </w:r>
                </w:p>
              </w:tc>
              <w:tc>
                <w:tcPr>
                  <w:tcW w:w="0" w:type="auto"/>
                  <w:tcBorders>
                    <w:tl2br w:val="nil"/>
                    <w:tr2bl w:val="nil"/>
                  </w:tcBorders>
                  <w:shd w:val="clear" w:color="auto" w:fill="auto"/>
                  <w:vAlign w:val="center"/>
                </w:tcPr>
                <w:p w14:paraId="3D729C8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w:t>
                  </w:r>
                </w:p>
              </w:tc>
              <w:tc>
                <w:tcPr>
                  <w:tcW w:w="0" w:type="auto"/>
                  <w:tcBorders>
                    <w:tl2br w:val="nil"/>
                    <w:tr2bl w:val="nil"/>
                  </w:tcBorders>
                  <w:shd w:val="clear" w:color="auto" w:fill="auto"/>
                  <w:vAlign w:val="center"/>
                </w:tcPr>
                <w:p w14:paraId="605DD42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0.04</w:t>
                  </w:r>
                </w:p>
              </w:tc>
              <w:tc>
                <w:tcPr>
                  <w:tcW w:w="637" w:type="dxa"/>
                  <w:tcBorders>
                    <w:tl2br w:val="nil"/>
                    <w:tr2bl w:val="nil"/>
                  </w:tcBorders>
                  <w:shd w:val="clear" w:color="auto" w:fill="auto"/>
                  <w:vAlign w:val="center"/>
                </w:tcPr>
                <w:p w14:paraId="32ABA8A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0.017 </w:t>
                  </w:r>
                </w:p>
              </w:tc>
              <w:tc>
                <w:tcPr>
                  <w:tcW w:w="0" w:type="auto"/>
                  <w:tcBorders>
                    <w:tl2br w:val="nil"/>
                    <w:tr2bl w:val="nil"/>
                  </w:tcBorders>
                  <w:shd w:val="clear" w:color="auto" w:fill="auto"/>
                  <w:vAlign w:val="center"/>
                </w:tcPr>
                <w:p w14:paraId="14A27963">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vMerge w:val="continue"/>
                  <w:tcBorders>
                    <w:tl2br w:val="nil"/>
                    <w:tr2bl w:val="nil"/>
                  </w:tcBorders>
                  <w:shd w:val="clear" w:color="auto" w:fill="auto"/>
                  <w:vAlign w:val="center"/>
                </w:tcPr>
                <w:p w14:paraId="4B8E2964">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p>
              </w:tc>
              <w:tc>
                <w:tcPr>
                  <w:tcW w:w="0" w:type="auto"/>
                  <w:tcBorders>
                    <w:tl2br w:val="nil"/>
                    <w:tr2bl w:val="nil"/>
                  </w:tcBorders>
                  <w:shd w:val="clear" w:color="auto" w:fill="auto"/>
                  <w:vAlign w:val="center"/>
                </w:tcPr>
                <w:p w14:paraId="710D5EB3">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移动焊烟净化器</w:t>
                  </w:r>
                </w:p>
              </w:tc>
              <w:tc>
                <w:tcPr>
                  <w:tcW w:w="0" w:type="auto"/>
                  <w:tcBorders>
                    <w:tl2br w:val="nil"/>
                    <w:tr2bl w:val="nil"/>
                  </w:tcBorders>
                  <w:shd w:val="clear" w:color="auto" w:fill="auto"/>
                  <w:vAlign w:val="center"/>
                </w:tcPr>
                <w:p w14:paraId="1636457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80%</w:t>
                  </w:r>
                </w:p>
              </w:tc>
              <w:tc>
                <w:tcPr>
                  <w:tcW w:w="0" w:type="auto"/>
                  <w:tcBorders>
                    <w:tl2br w:val="nil"/>
                    <w:tr2bl w:val="nil"/>
                  </w:tcBorders>
                  <w:shd w:val="clear" w:color="auto" w:fill="auto"/>
                  <w:vAlign w:val="center"/>
                </w:tcPr>
                <w:p w14:paraId="3643F0A3">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是</w:t>
                  </w:r>
                </w:p>
              </w:tc>
              <w:tc>
                <w:tcPr>
                  <w:tcW w:w="0" w:type="auto"/>
                  <w:tcBorders>
                    <w:tl2br w:val="nil"/>
                    <w:tr2bl w:val="nil"/>
                  </w:tcBorders>
                  <w:shd w:val="clear" w:color="auto" w:fill="auto"/>
                  <w:vAlign w:val="center"/>
                </w:tcPr>
                <w:p w14:paraId="74054374">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lang w:val="en-US" w:eastAsia="zh-CN"/>
                    </w:rPr>
                    <w:t>/</w:t>
                  </w:r>
                </w:p>
              </w:tc>
              <w:tc>
                <w:tcPr>
                  <w:tcW w:w="0" w:type="auto"/>
                  <w:tcBorders>
                    <w:tl2br w:val="nil"/>
                    <w:tr2bl w:val="nil"/>
                  </w:tcBorders>
                  <w:shd w:val="clear" w:color="auto" w:fill="auto"/>
                  <w:vAlign w:val="center"/>
                </w:tcPr>
                <w:p w14:paraId="3A5ADAA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0.008</w:t>
                  </w:r>
                </w:p>
              </w:tc>
              <w:tc>
                <w:tcPr>
                  <w:tcW w:w="637" w:type="dxa"/>
                  <w:tcBorders>
                    <w:tl2br w:val="nil"/>
                    <w:tr2bl w:val="nil"/>
                  </w:tcBorders>
                  <w:shd w:val="clear" w:color="auto" w:fill="auto"/>
                  <w:vAlign w:val="center"/>
                </w:tcPr>
                <w:p w14:paraId="5D1F7D6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0.003 </w:t>
                  </w:r>
                </w:p>
              </w:tc>
              <w:tc>
                <w:tcPr>
                  <w:tcW w:w="0" w:type="auto"/>
                  <w:tcBorders>
                    <w:tl2br w:val="nil"/>
                    <w:tr2bl w:val="nil"/>
                  </w:tcBorders>
                  <w:shd w:val="clear" w:color="auto" w:fill="auto"/>
                  <w:vAlign w:val="center"/>
                </w:tcPr>
                <w:p w14:paraId="7023A38D">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16D15358">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2400</w:t>
                  </w:r>
                </w:p>
              </w:tc>
              <w:tc>
                <w:tcPr>
                  <w:tcW w:w="0" w:type="auto"/>
                  <w:tcBorders>
                    <w:tl2br w:val="nil"/>
                    <w:tr2bl w:val="nil"/>
                  </w:tcBorders>
                  <w:shd w:val="clear" w:color="auto" w:fill="auto"/>
                  <w:vAlign w:val="center"/>
                </w:tcPr>
                <w:p w14:paraId="30B68C6A">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3717F1CE">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2D485442">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r>
            <w:tr w14:paraId="1399E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2"/>
                  <w:tcBorders>
                    <w:tl2br w:val="nil"/>
                    <w:tr2bl w:val="nil"/>
                  </w:tcBorders>
                  <w:shd w:val="clear" w:color="auto" w:fill="auto"/>
                  <w:vAlign w:val="center"/>
                </w:tcPr>
                <w:p w14:paraId="320DFB3F">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无组织废气总计</w:t>
                  </w:r>
                </w:p>
              </w:tc>
              <w:tc>
                <w:tcPr>
                  <w:tcW w:w="0" w:type="auto"/>
                  <w:tcBorders>
                    <w:tl2br w:val="nil"/>
                    <w:tr2bl w:val="nil"/>
                  </w:tcBorders>
                  <w:shd w:val="clear" w:color="auto" w:fill="auto"/>
                  <w:vAlign w:val="center"/>
                </w:tcPr>
                <w:p w14:paraId="77B08B02">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颗粒物</w:t>
                  </w:r>
                </w:p>
              </w:tc>
              <w:tc>
                <w:tcPr>
                  <w:tcW w:w="0" w:type="auto"/>
                  <w:tcBorders>
                    <w:tl2br w:val="nil"/>
                    <w:tr2bl w:val="nil"/>
                  </w:tcBorders>
                  <w:shd w:val="clear" w:color="auto" w:fill="auto"/>
                  <w:vAlign w:val="center"/>
                </w:tcPr>
                <w:p w14:paraId="38066A9C">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w:t>
                  </w:r>
                </w:p>
              </w:tc>
              <w:tc>
                <w:tcPr>
                  <w:tcW w:w="0" w:type="auto"/>
                  <w:tcBorders>
                    <w:tl2br w:val="nil"/>
                    <w:tr2bl w:val="nil"/>
                  </w:tcBorders>
                  <w:shd w:val="clear" w:color="auto" w:fill="auto"/>
                  <w:vAlign w:val="center"/>
                </w:tcPr>
                <w:p w14:paraId="35BE6CF7">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eastAsia" w:ascii="Times New Roman" w:hAnsi="Times New Roman" w:eastAsia="宋体" w:cs="Times New Roman"/>
                      <w:color w:val="auto"/>
                      <w:sz w:val="16"/>
                      <w:szCs w:val="16"/>
                      <w:lang w:val="en-US" w:eastAsia="zh-CN"/>
                    </w:rPr>
                    <w:t>7.477</w:t>
                  </w:r>
                </w:p>
              </w:tc>
              <w:tc>
                <w:tcPr>
                  <w:tcW w:w="637" w:type="dxa"/>
                  <w:tcBorders>
                    <w:tl2br w:val="nil"/>
                    <w:tr2bl w:val="nil"/>
                  </w:tcBorders>
                  <w:shd w:val="clear" w:color="auto" w:fill="auto"/>
                  <w:vAlign w:val="center"/>
                </w:tcPr>
                <w:p w14:paraId="1C03E14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3.115 </w:t>
                  </w:r>
                </w:p>
              </w:tc>
              <w:tc>
                <w:tcPr>
                  <w:tcW w:w="0" w:type="auto"/>
                  <w:tcBorders>
                    <w:tl2br w:val="nil"/>
                    <w:tr2bl w:val="nil"/>
                  </w:tcBorders>
                  <w:shd w:val="clear" w:color="auto" w:fill="auto"/>
                  <w:vAlign w:val="center"/>
                </w:tcPr>
                <w:p w14:paraId="079EB50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vMerge w:val="continue"/>
                  <w:tcBorders>
                    <w:tl2br w:val="nil"/>
                    <w:tr2bl w:val="nil"/>
                  </w:tcBorders>
                  <w:shd w:val="clear" w:color="auto" w:fill="auto"/>
                  <w:vAlign w:val="center"/>
                </w:tcPr>
                <w:p w14:paraId="2266C5F8">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p>
              </w:tc>
              <w:tc>
                <w:tcPr>
                  <w:tcW w:w="0" w:type="auto"/>
                  <w:tcBorders>
                    <w:tl2br w:val="nil"/>
                    <w:tr2bl w:val="nil"/>
                  </w:tcBorders>
                  <w:shd w:val="clear" w:color="auto" w:fill="auto"/>
                  <w:vAlign w:val="center"/>
                </w:tcPr>
                <w:p w14:paraId="0CC219F5">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48FD496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4C987B3D">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739CD2EC">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eastAsia="宋体" w:cs="Times New Roman"/>
                      <w:color w:val="auto"/>
                      <w:sz w:val="16"/>
                      <w:szCs w:val="16"/>
                      <w:lang w:val="en-US" w:eastAsia="zh-CN"/>
                    </w:rPr>
                    <w:t>/</w:t>
                  </w:r>
                </w:p>
              </w:tc>
              <w:tc>
                <w:tcPr>
                  <w:tcW w:w="0" w:type="auto"/>
                  <w:tcBorders>
                    <w:tl2br w:val="nil"/>
                    <w:tr2bl w:val="nil"/>
                  </w:tcBorders>
                  <w:shd w:val="clear" w:color="auto" w:fill="auto"/>
                  <w:vAlign w:val="center"/>
                </w:tcPr>
                <w:p w14:paraId="2BB14426">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lang w:val="en-US" w:eastAsia="zh-CN"/>
                    </w:rPr>
                  </w:pPr>
                  <w:r>
                    <w:rPr>
                      <w:rFonts w:hint="eastAsia" w:ascii="Times New Roman" w:hAnsi="Times New Roman" w:eastAsia="宋体" w:cs="Times New Roman"/>
                      <w:color w:val="auto"/>
                      <w:sz w:val="16"/>
                      <w:szCs w:val="16"/>
                      <w:lang w:val="en-US" w:eastAsia="zh-CN"/>
                    </w:rPr>
                    <w:t>2.162</w:t>
                  </w:r>
                </w:p>
              </w:tc>
              <w:tc>
                <w:tcPr>
                  <w:tcW w:w="637" w:type="dxa"/>
                  <w:tcBorders>
                    <w:tl2br w:val="nil"/>
                    <w:tr2bl w:val="nil"/>
                  </w:tcBorders>
                  <w:shd w:val="clear" w:color="auto" w:fill="auto"/>
                  <w:vAlign w:val="center"/>
                </w:tcPr>
                <w:p w14:paraId="12AE7757">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lang w:val="en-US" w:eastAsia="zh-CN"/>
                    </w:rPr>
                    <w:t xml:space="preserve">0.901 </w:t>
                  </w:r>
                </w:p>
              </w:tc>
              <w:tc>
                <w:tcPr>
                  <w:tcW w:w="0" w:type="auto"/>
                  <w:tcBorders>
                    <w:tl2br w:val="nil"/>
                    <w:tr2bl w:val="nil"/>
                  </w:tcBorders>
                  <w:shd w:val="clear" w:color="auto" w:fill="auto"/>
                  <w:vAlign w:val="center"/>
                </w:tcPr>
                <w:p w14:paraId="3DDCDF19">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sz w:val="16"/>
                      <w:szCs w:val="16"/>
                    </w:rPr>
                    <w:t>/</w:t>
                  </w:r>
                </w:p>
              </w:tc>
              <w:tc>
                <w:tcPr>
                  <w:tcW w:w="0" w:type="auto"/>
                  <w:tcBorders>
                    <w:tl2br w:val="nil"/>
                    <w:tr2bl w:val="nil"/>
                  </w:tcBorders>
                  <w:shd w:val="clear" w:color="auto" w:fill="auto"/>
                  <w:vAlign w:val="center"/>
                </w:tcPr>
                <w:p w14:paraId="3D0F711C">
                  <w:pPr>
                    <w:pStyle w:val="122"/>
                    <w:keepNext w:val="0"/>
                    <w:keepLines w:val="0"/>
                    <w:pageBreakBefore w:val="0"/>
                    <w:kinsoku/>
                    <w:wordWrap/>
                    <w:overflowPunct/>
                    <w:topLinePunct w:val="0"/>
                    <w:autoSpaceDE/>
                    <w:autoSpaceDN/>
                    <w:bidi w:val="0"/>
                    <w:snapToGrid w:val="0"/>
                    <w:spacing w:line="30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w:t>
                  </w:r>
                </w:p>
              </w:tc>
              <w:tc>
                <w:tcPr>
                  <w:tcW w:w="0" w:type="auto"/>
                  <w:tcBorders>
                    <w:tl2br w:val="nil"/>
                    <w:tr2bl w:val="nil"/>
                  </w:tcBorders>
                  <w:shd w:val="clear" w:color="auto" w:fill="auto"/>
                  <w:vAlign w:val="center"/>
                </w:tcPr>
                <w:p w14:paraId="4A4792E1">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0303A49F">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c>
                <w:tcPr>
                  <w:tcW w:w="0" w:type="auto"/>
                  <w:tcBorders>
                    <w:tl2br w:val="nil"/>
                    <w:tr2bl w:val="nil"/>
                  </w:tcBorders>
                  <w:shd w:val="clear" w:color="auto" w:fill="auto"/>
                  <w:vAlign w:val="center"/>
                </w:tcPr>
                <w:p w14:paraId="3B27B025">
                  <w:pPr>
                    <w:pStyle w:val="160"/>
                    <w:keepNext w:val="0"/>
                    <w:keepLines w:val="0"/>
                    <w:pageBreakBefore w:val="0"/>
                    <w:kinsoku/>
                    <w:wordWrap/>
                    <w:overflowPunct/>
                    <w:topLinePunct w:val="0"/>
                    <w:autoSpaceDE/>
                    <w:autoSpaceDN/>
                    <w:bidi w:val="0"/>
                    <w:adjustRightInd/>
                    <w:snapToGrid w:val="0"/>
                    <w:spacing w:line="30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kern w:val="2"/>
                      <w:sz w:val="16"/>
                      <w:szCs w:val="16"/>
                      <w:highlight w:val="none"/>
                      <w:lang w:val="en-US" w:eastAsia="zh-CN" w:bidi="ar-SA"/>
                    </w:rPr>
                    <w:t>/</w:t>
                  </w:r>
                </w:p>
              </w:tc>
            </w:tr>
            <w:tr w14:paraId="62B57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tcBorders>
                    <w:tl2br w:val="nil"/>
                    <w:tr2bl w:val="nil"/>
                  </w:tcBorders>
                  <w:shd w:val="clear" w:color="auto" w:fill="auto"/>
                  <w:vAlign w:val="center"/>
                </w:tcPr>
                <w:p w14:paraId="63852AB4">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水泥罐呼吸</w:t>
                  </w:r>
                </w:p>
              </w:tc>
              <w:tc>
                <w:tcPr>
                  <w:tcW w:w="0" w:type="auto"/>
                  <w:tcBorders>
                    <w:tl2br w:val="nil"/>
                    <w:tr2bl w:val="nil"/>
                  </w:tcBorders>
                  <w:shd w:val="clear" w:color="auto" w:fill="auto"/>
                  <w:vAlign w:val="center"/>
                </w:tcPr>
                <w:p w14:paraId="611B11F9">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DA001排气筒</w:t>
                  </w:r>
                </w:p>
              </w:tc>
              <w:tc>
                <w:tcPr>
                  <w:tcW w:w="0" w:type="auto"/>
                  <w:vMerge w:val="restart"/>
                  <w:tcBorders>
                    <w:tl2br w:val="nil"/>
                    <w:tr2bl w:val="nil"/>
                  </w:tcBorders>
                  <w:shd w:val="clear" w:color="auto" w:fill="auto"/>
                  <w:vAlign w:val="center"/>
                </w:tcPr>
                <w:p w14:paraId="580C8D0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颗粒物</w:t>
                  </w:r>
                </w:p>
              </w:tc>
              <w:tc>
                <w:tcPr>
                  <w:tcW w:w="0" w:type="auto"/>
                  <w:tcBorders>
                    <w:tl2br w:val="nil"/>
                    <w:tr2bl w:val="nil"/>
                  </w:tcBorders>
                  <w:shd w:val="clear" w:color="auto" w:fill="auto"/>
                  <w:vAlign w:val="center"/>
                </w:tcPr>
                <w:p w14:paraId="013256CD">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4B11537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2.784</w:t>
                  </w:r>
                </w:p>
              </w:tc>
              <w:tc>
                <w:tcPr>
                  <w:tcW w:w="0" w:type="auto"/>
                  <w:tcBorders>
                    <w:tl2br w:val="nil"/>
                    <w:tr2bl w:val="nil"/>
                  </w:tcBorders>
                  <w:shd w:val="clear" w:color="auto" w:fill="auto"/>
                  <w:vAlign w:val="center"/>
                </w:tcPr>
                <w:p w14:paraId="513A5CB3">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1.16</w:t>
                  </w:r>
                </w:p>
              </w:tc>
              <w:tc>
                <w:tcPr>
                  <w:tcW w:w="0" w:type="auto"/>
                  <w:tcBorders>
                    <w:tl2br w:val="nil"/>
                    <w:tr2bl w:val="nil"/>
                  </w:tcBorders>
                  <w:shd w:val="clear" w:color="auto" w:fill="auto"/>
                  <w:vAlign w:val="center"/>
                </w:tcPr>
                <w:p w14:paraId="7C903A85">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116</w:t>
                  </w:r>
                </w:p>
              </w:tc>
              <w:tc>
                <w:tcPr>
                  <w:tcW w:w="0" w:type="auto"/>
                  <w:vMerge w:val="restart"/>
                  <w:tcBorders>
                    <w:tl2br w:val="nil"/>
                    <w:tr2bl w:val="nil"/>
                  </w:tcBorders>
                  <w:shd w:val="clear" w:color="auto" w:fill="auto"/>
                  <w:vAlign w:val="center"/>
                </w:tcPr>
                <w:p w14:paraId="524E9D7B">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有组织</w:t>
                  </w:r>
                </w:p>
              </w:tc>
              <w:tc>
                <w:tcPr>
                  <w:tcW w:w="0" w:type="auto"/>
                  <w:tcBorders>
                    <w:tl2br w:val="nil"/>
                    <w:tr2bl w:val="nil"/>
                  </w:tcBorders>
                  <w:shd w:val="clear" w:color="auto" w:fill="auto"/>
                  <w:vAlign w:val="center"/>
                </w:tcPr>
                <w:p w14:paraId="2026B042">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TA001和TA002共计2套滤罐顶滤筒袋式除尘器</w:t>
                  </w:r>
                </w:p>
              </w:tc>
              <w:tc>
                <w:tcPr>
                  <w:tcW w:w="0" w:type="auto"/>
                  <w:tcBorders>
                    <w:tl2br w:val="nil"/>
                    <w:tr2bl w:val="nil"/>
                  </w:tcBorders>
                  <w:shd w:val="clear" w:color="auto" w:fill="auto"/>
                  <w:vAlign w:val="center"/>
                </w:tcPr>
                <w:p w14:paraId="077333DB">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99</w:t>
                  </w:r>
                  <w:r>
                    <w:rPr>
                      <w:rFonts w:hint="default" w:ascii="Times New Roman" w:hAnsi="Times New Roman" w:cs="Times New Roman"/>
                      <w:color w:val="auto"/>
                      <w:sz w:val="16"/>
                      <w:szCs w:val="16"/>
                    </w:rPr>
                    <w:t>%</w:t>
                  </w:r>
                </w:p>
              </w:tc>
              <w:tc>
                <w:tcPr>
                  <w:tcW w:w="0" w:type="auto"/>
                  <w:tcBorders>
                    <w:tl2br w:val="nil"/>
                    <w:tr2bl w:val="nil"/>
                  </w:tcBorders>
                  <w:shd w:val="clear" w:color="auto" w:fill="auto"/>
                  <w:vAlign w:val="center"/>
                </w:tcPr>
                <w:p w14:paraId="5EAD18AA">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eastAsia="zh-CN"/>
                    </w:rPr>
                  </w:pPr>
                  <w:r>
                    <w:rPr>
                      <w:rFonts w:hint="default" w:ascii="Times New Roman" w:hAnsi="Times New Roman" w:cs="Times New Roman"/>
                      <w:color w:val="auto"/>
                      <w:sz w:val="16"/>
                      <w:szCs w:val="16"/>
                      <w:lang w:eastAsia="zh-CN"/>
                    </w:rPr>
                    <w:t>是</w:t>
                  </w:r>
                </w:p>
              </w:tc>
              <w:tc>
                <w:tcPr>
                  <w:tcW w:w="0" w:type="auto"/>
                  <w:tcBorders>
                    <w:tl2br w:val="nil"/>
                    <w:tr2bl w:val="nil"/>
                  </w:tcBorders>
                  <w:shd w:val="clear" w:color="auto" w:fill="auto"/>
                  <w:vAlign w:val="center"/>
                </w:tcPr>
                <w:p w14:paraId="31CC6C4A">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43B40BAA">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0.028</w:t>
                  </w:r>
                </w:p>
              </w:tc>
              <w:tc>
                <w:tcPr>
                  <w:tcW w:w="0" w:type="auto"/>
                  <w:tcBorders>
                    <w:tl2br w:val="nil"/>
                    <w:tr2bl w:val="nil"/>
                  </w:tcBorders>
                  <w:shd w:val="clear" w:color="auto" w:fill="auto"/>
                  <w:vAlign w:val="center"/>
                </w:tcPr>
                <w:p w14:paraId="0AD9915B">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0.012</w:t>
                  </w:r>
                </w:p>
              </w:tc>
              <w:tc>
                <w:tcPr>
                  <w:tcW w:w="0" w:type="auto"/>
                  <w:tcBorders>
                    <w:tl2br w:val="nil"/>
                    <w:tr2bl w:val="nil"/>
                  </w:tcBorders>
                  <w:shd w:val="clear" w:color="auto" w:fill="auto"/>
                  <w:vAlign w:val="center"/>
                </w:tcPr>
                <w:p w14:paraId="00377D25">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1.2</w:t>
                  </w:r>
                </w:p>
              </w:tc>
              <w:tc>
                <w:tcPr>
                  <w:tcW w:w="0" w:type="auto"/>
                  <w:tcBorders>
                    <w:tl2br w:val="nil"/>
                    <w:tr2bl w:val="nil"/>
                  </w:tcBorders>
                  <w:shd w:val="clear" w:color="auto" w:fill="auto"/>
                  <w:vAlign w:val="center"/>
                </w:tcPr>
                <w:p w14:paraId="72E164D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default" w:ascii="Times New Roman" w:hAnsi="Times New Roman" w:cs="Times New Roman"/>
                      <w:color w:val="auto"/>
                      <w:sz w:val="16"/>
                      <w:szCs w:val="16"/>
                      <w:lang w:val="en-US" w:eastAsia="zh-CN"/>
                    </w:rPr>
                    <w:t>2400</w:t>
                  </w:r>
                </w:p>
              </w:tc>
              <w:tc>
                <w:tcPr>
                  <w:tcW w:w="0" w:type="auto"/>
                  <w:tcBorders>
                    <w:tl2br w:val="nil"/>
                    <w:tr2bl w:val="nil"/>
                  </w:tcBorders>
                  <w:shd w:val="clear" w:color="auto" w:fill="auto"/>
                  <w:vAlign w:val="center"/>
                </w:tcPr>
                <w:p w14:paraId="0F9738BC">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H=15m、内径</w:t>
                  </w:r>
                  <w:r>
                    <w:rPr>
                      <w:rFonts w:hint="default" w:ascii="Times New Roman" w:hAnsi="Times New Roman" w:cs="Times New Roman"/>
                      <w:color w:val="auto"/>
                      <w:sz w:val="16"/>
                      <w:szCs w:val="16"/>
                      <w:highlight w:val="none"/>
                      <w:lang w:val="en-US" w:eastAsia="zh-CN"/>
                    </w:rPr>
                    <w:t>0.3</w:t>
                  </w:r>
                  <w:r>
                    <w:rPr>
                      <w:rFonts w:hint="default" w:ascii="Times New Roman" w:hAnsi="Times New Roman" w:cs="Times New Roman"/>
                      <w:color w:val="auto"/>
                      <w:sz w:val="16"/>
                      <w:szCs w:val="16"/>
                      <w:highlight w:val="none"/>
                    </w:rPr>
                    <w:t>m、温度</w:t>
                  </w:r>
                  <w:r>
                    <w:rPr>
                      <w:rFonts w:hint="default" w:ascii="Times New Roman" w:hAnsi="Times New Roman" w:cs="Times New Roman"/>
                      <w:color w:val="auto"/>
                      <w:sz w:val="16"/>
                      <w:szCs w:val="16"/>
                      <w:highlight w:val="none"/>
                      <w:lang w:val="en-US" w:eastAsia="zh-CN"/>
                    </w:rPr>
                    <w:t>30</w:t>
                  </w:r>
                  <w:r>
                    <w:rPr>
                      <w:rFonts w:hint="default" w:ascii="Times New Roman" w:hAnsi="Times New Roman" w:cs="Times New Roman"/>
                      <w:color w:val="auto"/>
                      <w:sz w:val="16"/>
                      <w:szCs w:val="16"/>
                      <w:highlight w:val="none"/>
                    </w:rPr>
                    <w:t>℃</w:t>
                  </w:r>
                </w:p>
              </w:tc>
              <w:tc>
                <w:tcPr>
                  <w:tcW w:w="0" w:type="auto"/>
                  <w:tcBorders>
                    <w:tl2br w:val="nil"/>
                    <w:tr2bl w:val="nil"/>
                  </w:tcBorders>
                  <w:shd w:val="clear" w:color="auto" w:fill="auto"/>
                  <w:vAlign w:val="center"/>
                </w:tcPr>
                <w:p w14:paraId="24299424">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lang w:eastAsia="zh-CN"/>
                    </w:rPr>
                    <w:t>DA001</w:t>
                  </w:r>
                  <w:r>
                    <w:rPr>
                      <w:rFonts w:hint="default" w:ascii="Times New Roman" w:hAnsi="Times New Roman" w:cs="Times New Roman"/>
                      <w:color w:val="auto"/>
                      <w:sz w:val="16"/>
                      <w:szCs w:val="16"/>
                      <w:highlight w:val="none"/>
                    </w:rPr>
                    <w:t>、</w:t>
                  </w:r>
                </w:p>
                <w:p w14:paraId="6C3A0F6D">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一般排放口</w:t>
                  </w:r>
                </w:p>
              </w:tc>
              <w:tc>
                <w:tcPr>
                  <w:tcW w:w="0" w:type="auto"/>
                  <w:tcBorders>
                    <w:tl2br w:val="nil"/>
                    <w:tr2bl w:val="nil"/>
                  </w:tcBorders>
                  <w:shd w:val="clear" w:color="auto" w:fill="auto"/>
                  <w:vAlign w:val="center"/>
                </w:tcPr>
                <w:p w14:paraId="0757D356">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经度：</w:t>
                  </w:r>
                </w:p>
                <w:p w14:paraId="68BA6AC7">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bCs/>
                      <w:color w:val="auto"/>
                      <w:spacing w:val="-10"/>
                      <w:sz w:val="16"/>
                      <w:szCs w:val="16"/>
                      <w:highlight w:val="none"/>
                    </w:rPr>
                  </w:pPr>
                  <w:r>
                    <w:rPr>
                      <w:rFonts w:hint="default" w:ascii="Times New Roman" w:hAnsi="Times New Roman" w:cs="Times New Roman"/>
                      <w:bCs/>
                      <w:color w:val="auto"/>
                      <w:spacing w:val="-10"/>
                      <w:sz w:val="16"/>
                      <w:szCs w:val="16"/>
                      <w:highlight w:val="none"/>
                    </w:rPr>
                    <w:t>119°19′22.634″</w:t>
                  </w:r>
                </w:p>
                <w:p w14:paraId="2D848C02">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纬度：</w:t>
                  </w:r>
                </w:p>
                <w:p w14:paraId="07DF184F">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25°26′14.672″</w:t>
                  </w:r>
                </w:p>
              </w:tc>
            </w:tr>
            <w:tr w14:paraId="775D4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shd w:val="clear" w:color="auto" w:fill="auto"/>
                  <w:vAlign w:val="center"/>
                </w:tcPr>
                <w:p w14:paraId="5AFD1779">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p>
              </w:tc>
              <w:tc>
                <w:tcPr>
                  <w:tcW w:w="0" w:type="auto"/>
                  <w:tcBorders>
                    <w:tl2br w:val="nil"/>
                    <w:tr2bl w:val="nil"/>
                  </w:tcBorders>
                  <w:shd w:val="clear" w:color="auto" w:fill="auto"/>
                  <w:vAlign w:val="center"/>
                </w:tcPr>
                <w:p w14:paraId="314F0F3E">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DA002排气筒</w:t>
                  </w:r>
                </w:p>
              </w:tc>
              <w:tc>
                <w:tcPr>
                  <w:tcW w:w="0" w:type="auto"/>
                  <w:vMerge w:val="continue"/>
                  <w:tcBorders>
                    <w:tl2br w:val="nil"/>
                    <w:tr2bl w:val="nil"/>
                  </w:tcBorders>
                  <w:shd w:val="clear" w:color="auto" w:fill="auto"/>
                  <w:vAlign w:val="center"/>
                </w:tcPr>
                <w:p w14:paraId="076BB5F2">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7663C6C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24E5BAD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2.784</w:t>
                  </w:r>
                </w:p>
              </w:tc>
              <w:tc>
                <w:tcPr>
                  <w:tcW w:w="0" w:type="auto"/>
                  <w:tcBorders>
                    <w:tl2br w:val="nil"/>
                    <w:tr2bl w:val="nil"/>
                  </w:tcBorders>
                  <w:shd w:val="clear" w:color="auto" w:fill="auto"/>
                  <w:vAlign w:val="center"/>
                </w:tcPr>
                <w:p w14:paraId="530C25B5">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tcBorders>
                    <w:tl2br w:val="nil"/>
                    <w:tr2bl w:val="nil"/>
                  </w:tcBorders>
                  <w:shd w:val="clear" w:color="auto" w:fill="auto"/>
                  <w:vAlign w:val="center"/>
                </w:tcPr>
                <w:p w14:paraId="1457FDA3">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vMerge w:val="continue"/>
                  <w:tcBorders>
                    <w:tl2br w:val="nil"/>
                    <w:tr2bl w:val="nil"/>
                  </w:tcBorders>
                  <w:shd w:val="clear" w:color="auto" w:fill="auto"/>
                  <w:vAlign w:val="center"/>
                </w:tcPr>
                <w:p w14:paraId="4E93CF09">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3025D03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TA003和TA004共计2套滤罐顶滤筒袋式除尘器</w:t>
                  </w:r>
                </w:p>
              </w:tc>
              <w:tc>
                <w:tcPr>
                  <w:tcW w:w="0" w:type="auto"/>
                  <w:tcBorders>
                    <w:tl2br w:val="nil"/>
                    <w:tr2bl w:val="nil"/>
                  </w:tcBorders>
                  <w:shd w:val="clear" w:color="auto" w:fill="auto"/>
                  <w:vAlign w:val="center"/>
                </w:tcPr>
                <w:p w14:paraId="01F9E044">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99</w:t>
                  </w:r>
                  <w:r>
                    <w:rPr>
                      <w:rFonts w:hint="default" w:ascii="Times New Roman" w:hAnsi="Times New Roman" w:cs="Times New Roman"/>
                      <w:color w:val="auto"/>
                      <w:sz w:val="16"/>
                      <w:szCs w:val="16"/>
                    </w:rPr>
                    <w:t>%</w:t>
                  </w:r>
                </w:p>
              </w:tc>
              <w:tc>
                <w:tcPr>
                  <w:tcW w:w="0" w:type="auto"/>
                  <w:tcBorders>
                    <w:tl2br w:val="nil"/>
                    <w:tr2bl w:val="nil"/>
                  </w:tcBorders>
                  <w:shd w:val="clear" w:color="auto" w:fill="auto"/>
                  <w:vAlign w:val="center"/>
                </w:tcPr>
                <w:p w14:paraId="1FCFC452">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eastAsia="zh-CN"/>
                    </w:rPr>
                    <w:t>是</w:t>
                  </w:r>
                </w:p>
              </w:tc>
              <w:tc>
                <w:tcPr>
                  <w:tcW w:w="0" w:type="auto"/>
                  <w:tcBorders>
                    <w:tl2br w:val="nil"/>
                    <w:tr2bl w:val="nil"/>
                  </w:tcBorders>
                  <w:shd w:val="clear" w:color="auto" w:fill="auto"/>
                  <w:vAlign w:val="center"/>
                </w:tcPr>
                <w:p w14:paraId="7A78E2E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4C8D5C9E">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0.028</w:t>
                  </w:r>
                </w:p>
              </w:tc>
              <w:tc>
                <w:tcPr>
                  <w:tcW w:w="0" w:type="auto"/>
                  <w:tcBorders>
                    <w:tl2br w:val="nil"/>
                    <w:tr2bl w:val="nil"/>
                  </w:tcBorders>
                  <w:shd w:val="clear" w:color="auto" w:fill="auto"/>
                  <w:vAlign w:val="center"/>
                </w:tcPr>
                <w:p w14:paraId="79236A1E">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0.012</w:t>
                  </w:r>
                </w:p>
              </w:tc>
              <w:tc>
                <w:tcPr>
                  <w:tcW w:w="0" w:type="auto"/>
                  <w:tcBorders>
                    <w:tl2br w:val="nil"/>
                    <w:tr2bl w:val="nil"/>
                  </w:tcBorders>
                  <w:shd w:val="clear" w:color="auto" w:fill="auto"/>
                  <w:vAlign w:val="center"/>
                </w:tcPr>
                <w:p w14:paraId="33B90AB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1.2</w:t>
                  </w:r>
                </w:p>
              </w:tc>
              <w:tc>
                <w:tcPr>
                  <w:tcW w:w="0" w:type="auto"/>
                  <w:tcBorders>
                    <w:tl2br w:val="nil"/>
                    <w:tr2bl w:val="nil"/>
                  </w:tcBorders>
                  <w:shd w:val="clear" w:color="auto" w:fill="auto"/>
                  <w:vAlign w:val="center"/>
                </w:tcPr>
                <w:p w14:paraId="78F7BF4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2400</w:t>
                  </w:r>
                </w:p>
              </w:tc>
              <w:tc>
                <w:tcPr>
                  <w:tcW w:w="0" w:type="auto"/>
                  <w:tcBorders>
                    <w:tl2br w:val="nil"/>
                    <w:tr2bl w:val="nil"/>
                  </w:tcBorders>
                  <w:shd w:val="clear" w:color="auto" w:fill="auto"/>
                  <w:vAlign w:val="center"/>
                </w:tcPr>
                <w:p w14:paraId="3DB43606">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H=15m、内径</w:t>
                  </w:r>
                  <w:r>
                    <w:rPr>
                      <w:rFonts w:hint="default" w:ascii="Times New Roman" w:hAnsi="Times New Roman" w:cs="Times New Roman"/>
                      <w:color w:val="auto"/>
                      <w:sz w:val="16"/>
                      <w:szCs w:val="16"/>
                      <w:highlight w:val="none"/>
                      <w:lang w:val="en-US" w:eastAsia="zh-CN"/>
                    </w:rPr>
                    <w:t>0.3</w:t>
                  </w:r>
                  <w:r>
                    <w:rPr>
                      <w:rFonts w:hint="default" w:ascii="Times New Roman" w:hAnsi="Times New Roman" w:cs="Times New Roman"/>
                      <w:color w:val="auto"/>
                      <w:sz w:val="16"/>
                      <w:szCs w:val="16"/>
                      <w:highlight w:val="none"/>
                    </w:rPr>
                    <w:t>m、温度</w:t>
                  </w:r>
                  <w:r>
                    <w:rPr>
                      <w:rFonts w:hint="default" w:ascii="Times New Roman" w:hAnsi="Times New Roman" w:cs="Times New Roman"/>
                      <w:color w:val="auto"/>
                      <w:sz w:val="16"/>
                      <w:szCs w:val="16"/>
                      <w:highlight w:val="none"/>
                      <w:lang w:val="en-US" w:eastAsia="zh-CN"/>
                    </w:rPr>
                    <w:t>30</w:t>
                  </w:r>
                  <w:r>
                    <w:rPr>
                      <w:rFonts w:hint="default" w:ascii="Times New Roman" w:hAnsi="Times New Roman" w:cs="Times New Roman"/>
                      <w:color w:val="auto"/>
                      <w:sz w:val="16"/>
                      <w:szCs w:val="16"/>
                      <w:highlight w:val="none"/>
                    </w:rPr>
                    <w:t>℃</w:t>
                  </w:r>
                </w:p>
              </w:tc>
              <w:tc>
                <w:tcPr>
                  <w:tcW w:w="0" w:type="auto"/>
                  <w:tcBorders>
                    <w:tl2br w:val="nil"/>
                    <w:tr2bl w:val="nil"/>
                  </w:tcBorders>
                  <w:shd w:val="clear" w:color="auto" w:fill="auto"/>
                  <w:vAlign w:val="center"/>
                </w:tcPr>
                <w:p w14:paraId="235418BF">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lang w:eastAsia="zh-CN"/>
                    </w:rPr>
                    <w:t>DA00</w:t>
                  </w:r>
                  <w:r>
                    <w:rPr>
                      <w:rFonts w:hint="default" w:ascii="Times New Roman" w:hAnsi="Times New Roman" w:cs="Times New Roman"/>
                      <w:color w:val="auto"/>
                      <w:sz w:val="16"/>
                      <w:szCs w:val="16"/>
                      <w:highlight w:val="none"/>
                      <w:lang w:val="en-US" w:eastAsia="zh-CN"/>
                    </w:rPr>
                    <w:t>2</w:t>
                  </w:r>
                  <w:r>
                    <w:rPr>
                      <w:rFonts w:hint="default" w:ascii="Times New Roman" w:hAnsi="Times New Roman" w:cs="Times New Roman"/>
                      <w:color w:val="auto"/>
                      <w:sz w:val="16"/>
                      <w:szCs w:val="16"/>
                      <w:highlight w:val="none"/>
                    </w:rPr>
                    <w:t>、</w:t>
                  </w:r>
                </w:p>
                <w:p w14:paraId="46C57E96">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一般排放口</w:t>
                  </w:r>
                </w:p>
              </w:tc>
              <w:tc>
                <w:tcPr>
                  <w:tcW w:w="0" w:type="auto"/>
                  <w:tcBorders>
                    <w:tl2br w:val="nil"/>
                    <w:tr2bl w:val="nil"/>
                  </w:tcBorders>
                  <w:shd w:val="clear" w:color="auto" w:fill="auto"/>
                  <w:vAlign w:val="center"/>
                </w:tcPr>
                <w:p w14:paraId="545C5A66">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经度：</w:t>
                  </w:r>
                </w:p>
                <w:p w14:paraId="02797CE1">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bCs/>
                      <w:color w:val="auto"/>
                      <w:spacing w:val="-10"/>
                      <w:sz w:val="16"/>
                      <w:szCs w:val="16"/>
                      <w:highlight w:val="none"/>
                    </w:rPr>
                  </w:pPr>
                  <w:r>
                    <w:rPr>
                      <w:rFonts w:hint="default" w:ascii="Times New Roman" w:hAnsi="Times New Roman" w:cs="Times New Roman"/>
                      <w:bCs/>
                      <w:color w:val="auto"/>
                      <w:spacing w:val="-10"/>
                      <w:sz w:val="16"/>
                      <w:szCs w:val="16"/>
                      <w:highlight w:val="none"/>
                    </w:rPr>
                    <w:t>119°19′23.426″</w:t>
                  </w:r>
                </w:p>
                <w:p w14:paraId="13317DFC">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纬度：</w:t>
                  </w:r>
                </w:p>
                <w:p w14:paraId="0409AC8A">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25°26′14.440″</w:t>
                  </w:r>
                </w:p>
              </w:tc>
            </w:tr>
            <w:tr w14:paraId="37971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shd w:val="clear" w:color="auto" w:fill="auto"/>
                  <w:vAlign w:val="center"/>
                </w:tcPr>
                <w:p w14:paraId="17F783D6">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p>
              </w:tc>
              <w:tc>
                <w:tcPr>
                  <w:tcW w:w="0" w:type="auto"/>
                  <w:tcBorders>
                    <w:tl2br w:val="nil"/>
                    <w:tr2bl w:val="nil"/>
                  </w:tcBorders>
                  <w:shd w:val="clear" w:color="auto" w:fill="auto"/>
                  <w:vAlign w:val="center"/>
                </w:tcPr>
                <w:p w14:paraId="7A631962">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DA003排气筒</w:t>
                  </w:r>
                </w:p>
              </w:tc>
              <w:tc>
                <w:tcPr>
                  <w:tcW w:w="0" w:type="auto"/>
                  <w:vMerge w:val="continue"/>
                  <w:tcBorders>
                    <w:tl2br w:val="nil"/>
                    <w:tr2bl w:val="nil"/>
                  </w:tcBorders>
                  <w:shd w:val="clear" w:color="auto" w:fill="auto"/>
                  <w:vAlign w:val="center"/>
                </w:tcPr>
                <w:p w14:paraId="1E61F95B">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4A03D4CA">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4D231CB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2.784</w:t>
                  </w:r>
                </w:p>
              </w:tc>
              <w:tc>
                <w:tcPr>
                  <w:tcW w:w="0" w:type="auto"/>
                  <w:tcBorders>
                    <w:tl2br w:val="nil"/>
                    <w:tr2bl w:val="nil"/>
                  </w:tcBorders>
                  <w:shd w:val="clear" w:color="auto" w:fill="auto"/>
                  <w:vAlign w:val="center"/>
                </w:tcPr>
                <w:p w14:paraId="086D83D1">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tcBorders>
                    <w:tl2br w:val="nil"/>
                    <w:tr2bl w:val="nil"/>
                  </w:tcBorders>
                  <w:shd w:val="clear" w:color="auto" w:fill="auto"/>
                  <w:vAlign w:val="center"/>
                </w:tcPr>
                <w:p w14:paraId="66D18312">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vMerge w:val="continue"/>
                  <w:tcBorders>
                    <w:tl2br w:val="nil"/>
                    <w:tr2bl w:val="nil"/>
                  </w:tcBorders>
                  <w:shd w:val="clear" w:color="auto" w:fill="auto"/>
                  <w:vAlign w:val="center"/>
                </w:tcPr>
                <w:p w14:paraId="0CE2E639">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1581772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TA005和TA006共计2套滤罐顶滤筒袋式除尘器</w:t>
                  </w:r>
                </w:p>
              </w:tc>
              <w:tc>
                <w:tcPr>
                  <w:tcW w:w="0" w:type="auto"/>
                  <w:tcBorders>
                    <w:tl2br w:val="nil"/>
                    <w:tr2bl w:val="nil"/>
                  </w:tcBorders>
                  <w:shd w:val="clear" w:color="auto" w:fill="auto"/>
                  <w:vAlign w:val="center"/>
                </w:tcPr>
                <w:p w14:paraId="340B961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99</w:t>
                  </w:r>
                  <w:r>
                    <w:rPr>
                      <w:rFonts w:hint="default" w:ascii="Times New Roman" w:hAnsi="Times New Roman" w:cs="Times New Roman"/>
                      <w:color w:val="auto"/>
                      <w:sz w:val="16"/>
                      <w:szCs w:val="16"/>
                    </w:rPr>
                    <w:t>%</w:t>
                  </w:r>
                </w:p>
              </w:tc>
              <w:tc>
                <w:tcPr>
                  <w:tcW w:w="0" w:type="auto"/>
                  <w:tcBorders>
                    <w:tl2br w:val="nil"/>
                    <w:tr2bl w:val="nil"/>
                  </w:tcBorders>
                  <w:shd w:val="clear" w:color="auto" w:fill="auto"/>
                  <w:vAlign w:val="center"/>
                </w:tcPr>
                <w:p w14:paraId="5202FFAA">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eastAsia="zh-CN"/>
                    </w:rPr>
                    <w:t>是</w:t>
                  </w:r>
                </w:p>
              </w:tc>
              <w:tc>
                <w:tcPr>
                  <w:tcW w:w="0" w:type="auto"/>
                  <w:tcBorders>
                    <w:tl2br w:val="nil"/>
                    <w:tr2bl w:val="nil"/>
                  </w:tcBorders>
                  <w:shd w:val="clear" w:color="auto" w:fill="auto"/>
                  <w:vAlign w:val="center"/>
                </w:tcPr>
                <w:p w14:paraId="6BFD353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5218D241">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0.028</w:t>
                  </w:r>
                </w:p>
              </w:tc>
              <w:tc>
                <w:tcPr>
                  <w:tcW w:w="0" w:type="auto"/>
                  <w:tcBorders>
                    <w:tl2br w:val="nil"/>
                    <w:tr2bl w:val="nil"/>
                  </w:tcBorders>
                  <w:shd w:val="clear" w:color="auto" w:fill="auto"/>
                  <w:vAlign w:val="center"/>
                </w:tcPr>
                <w:p w14:paraId="03743C01">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0.012</w:t>
                  </w:r>
                </w:p>
              </w:tc>
              <w:tc>
                <w:tcPr>
                  <w:tcW w:w="0" w:type="auto"/>
                  <w:tcBorders>
                    <w:tl2br w:val="nil"/>
                    <w:tr2bl w:val="nil"/>
                  </w:tcBorders>
                  <w:shd w:val="clear" w:color="auto" w:fill="auto"/>
                  <w:vAlign w:val="center"/>
                </w:tcPr>
                <w:p w14:paraId="09E46253">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1.2</w:t>
                  </w:r>
                </w:p>
              </w:tc>
              <w:tc>
                <w:tcPr>
                  <w:tcW w:w="0" w:type="auto"/>
                  <w:tcBorders>
                    <w:tl2br w:val="nil"/>
                    <w:tr2bl w:val="nil"/>
                  </w:tcBorders>
                  <w:shd w:val="clear" w:color="auto" w:fill="auto"/>
                  <w:vAlign w:val="center"/>
                </w:tcPr>
                <w:p w14:paraId="2908CAC6">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2400</w:t>
                  </w:r>
                </w:p>
              </w:tc>
              <w:tc>
                <w:tcPr>
                  <w:tcW w:w="0" w:type="auto"/>
                  <w:tcBorders>
                    <w:tl2br w:val="nil"/>
                    <w:tr2bl w:val="nil"/>
                  </w:tcBorders>
                  <w:shd w:val="clear" w:color="auto" w:fill="auto"/>
                  <w:vAlign w:val="center"/>
                </w:tcPr>
                <w:p w14:paraId="0DB099A8">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H=15m、内径</w:t>
                  </w:r>
                  <w:r>
                    <w:rPr>
                      <w:rFonts w:hint="default" w:ascii="Times New Roman" w:hAnsi="Times New Roman" w:cs="Times New Roman"/>
                      <w:color w:val="auto"/>
                      <w:sz w:val="16"/>
                      <w:szCs w:val="16"/>
                      <w:highlight w:val="none"/>
                      <w:lang w:val="en-US" w:eastAsia="zh-CN"/>
                    </w:rPr>
                    <w:t>0.3</w:t>
                  </w:r>
                  <w:r>
                    <w:rPr>
                      <w:rFonts w:hint="default" w:ascii="Times New Roman" w:hAnsi="Times New Roman" w:cs="Times New Roman"/>
                      <w:color w:val="auto"/>
                      <w:sz w:val="16"/>
                      <w:szCs w:val="16"/>
                      <w:highlight w:val="none"/>
                    </w:rPr>
                    <w:t>m、温度</w:t>
                  </w:r>
                  <w:r>
                    <w:rPr>
                      <w:rFonts w:hint="default" w:ascii="Times New Roman" w:hAnsi="Times New Roman" w:cs="Times New Roman"/>
                      <w:color w:val="auto"/>
                      <w:sz w:val="16"/>
                      <w:szCs w:val="16"/>
                      <w:highlight w:val="none"/>
                      <w:lang w:val="en-US" w:eastAsia="zh-CN"/>
                    </w:rPr>
                    <w:t>30</w:t>
                  </w:r>
                  <w:r>
                    <w:rPr>
                      <w:rFonts w:hint="default" w:ascii="Times New Roman" w:hAnsi="Times New Roman" w:cs="Times New Roman"/>
                      <w:color w:val="auto"/>
                      <w:sz w:val="16"/>
                      <w:szCs w:val="16"/>
                      <w:highlight w:val="none"/>
                    </w:rPr>
                    <w:t>℃</w:t>
                  </w:r>
                </w:p>
              </w:tc>
              <w:tc>
                <w:tcPr>
                  <w:tcW w:w="0" w:type="auto"/>
                  <w:tcBorders>
                    <w:tl2br w:val="nil"/>
                    <w:tr2bl w:val="nil"/>
                  </w:tcBorders>
                  <w:shd w:val="clear" w:color="auto" w:fill="auto"/>
                  <w:vAlign w:val="center"/>
                </w:tcPr>
                <w:p w14:paraId="67688375">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lang w:eastAsia="zh-CN"/>
                    </w:rPr>
                    <w:t>DA00</w:t>
                  </w:r>
                  <w:r>
                    <w:rPr>
                      <w:rFonts w:hint="default" w:ascii="Times New Roman" w:hAnsi="Times New Roman" w:cs="Times New Roman"/>
                      <w:color w:val="auto"/>
                      <w:sz w:val="16"/>
                      <w:szCs w:val="16"/>
                      <w:highlight w:val="none"/>
                      <w:lang w:val="en-US" w:eastAsia="zh-CN"/>
                    </w:rPr>
                    <w:t>3</w:t>
                  </w:r>
                  <w:r>
                    <w:rPr>
                      <w:rFonts w:hint="default" w:ascii="Times New Roman" w:hAnsi="Times New Roman" w:cs="Times New Roman"/>
                      <w:color w:val="auto"/>
                      <w:sz w:val="16"/>
                      <w:szCs w:val="16"/>
                      <w:highlight w:val="none"/>
                    </w:rPr>
                    <w:t>、</w:t>
                  </w:r>
                </w:p>
                <w:p w14:paraId="642E901D">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一般排放口</w:t>
                  </w:r>
                </w:p>
              </w:tc>
              <w:tc>
                <w:tcPr>
                  <w:tcW w:w="0" w:type="auto"/>
                  <w:tcBorders>
                    <w:tl2br w:val="nil"/>
                    <w:tr2bl w:val="nil"/>
                  </w:tcBorders>
                  <w:shd w:val="clear" w:color="auto" w:fill="auto"/>
                  <w:vAlign w:val="center"/>
                </w:tcPr>
                <w:p w14:paraId="0ADD9715">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经度：</w:t>
                  </w:r>
                </w:p>
                <w:p w14:paraId="705F0E93">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bCs/>
                      <w:color w:val="auto"/>
                      <w:spacing w:val="-10"/>
                      <w:sz w:val="16"/>
                      <w:szCs w:val="16"/>
                      <w:highlight w:val="none"/>
                    </w:rPr>
                  </w:pPr>
                  <w:r>
                    <w:rPr>
                      <w:rFonts w:hint="default" w:ascii="Times New Roman" w:hAnsi="Times New Roman" w:cs="Times New Roman"/>
                      <w:bCs/>
                      <w:color w:val="auto"/>
                      <w:spacing w:val="-10"/>
                      <w:sz w:val="16"/>
                      <w:szCs w:val="16"/>
                      <w:highlight w:val="none"/>
                    </w:rPr>
                    <w:t>119°19′24.372″</w:t>
                  </w:r>
                </w:p>
                <w:p w14:paraId="22EDC18B">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纬度：</w:t>
                  </w:r>
                </w:p>
                <w:p w14:paraId="2AD35E95">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25°26′14.151″</w:t>
                  </w:r>
                </w:p>
              </w:tc>
            </w:tr>
            <w:tr w14:paraId="33EBA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shd w:val="clear" w:color="auto" w:fill="auto"/>
                  <w:vAlign w:val="center"/>
                </w:tcPr>
                <w:p w14:paraId="32ABA832">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p>
              </w:tc>
              <w:tc>
                <w:tcPr>
                  <w:tcW w:w="0" w:type="auto"/>
                  <w:tcBorders>
                    <w:tl2br w:val="nil"/>
                    <w:tr2bl w:val="nil"/>
                  </w:tcBorders>
                  <w:shd w:val="clear" w:color="auto" w:fill="auto"/>
                  <w:vAlign w:val="center"/>
                </w:tcPr>
                <w:p w14:paraId="4CD075B4">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DA004排气筒</w:t>
                  </w:r>
                </w:p>
              </w:tc>
              <w:tc>
                <w:tcPr>
                  <w:tcW w:w="0" w:type="auto"/>
                  <w:vMerge w:val="continue"/>
                  <w:tcBorders>
                    <w:tl2br w:val="nil"/>
                    <w:tr2bl w:val="nil"/>
                  </w:tcBorders>
                  <w:shd w:val="clear" w:color="auto" w:fill="auto"/>
                  <w:vAlign w:val="center"/>
                </w:tcPr>
                <w:p w14:paraId="38956D1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183CB60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4865E87C">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2.784</w:t>
                  </w:r>
                </w:p>
              </w:tc>
              <w:tc>
                <w:tcPr>
                  <w:tcW w:w="0" w:type="auto"/>
                  <w:tcBorders>
                    <w:tl2br w:val="nil"/>
                    <w:tr2bl w:val="nil"/>
                  </w:tcBorders>
                  <w:shd w:val="clear" w:color="auto" w:fill="auto"/>
                  <w:vAlign w:val="center"/>
                </w:tcPr>
                <w:p w14:paraId="5745D973">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tcBorders>
                    <w:tl2br w:val="nil"/>
                    <w:tr2bl w:val="nil"/>
                  </w:tcBorders>
                  <w:shd w:val="clear" w:color="auto" w:fill="auto"/>
                  <w:vAlign w:val="center"/>
                </w:tcPr>
                <w:p w14:paraId="384F07D9">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vMerge w:val="continue"/>
                  <w:tcBorders>
                    <w:tl2br w:val="nil"/>
                    <w:tr2bl w:val="nil"/>
                  </w:tcBorders>
                  <w:shd w:val="clear" w:color="auto" w:fill="auto"/>
                  <w:vAlign w:val="center"/>
                </w:tcPr>
                <w:p w14:paraId="3F4E4CCD">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3A1284CB">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TA007和TA008共计2套滤罐顶滤筒袋式除尘器</w:t>
                  </w:r>
                </w:p>
              </w:tc>
              <w:tc>
                <w:tcPr>
                  <w:tcW w:w="0" w:type="auto"/>
                  <w:tcBorders>
                    <w:tl2br w:val="nil"/>
                    <w:tr2bl w:val="nil"/>
                  </w:tcBorders>
                  <w:shd w:val="clear" w:color="auto" w:fill="auto"/>
                  <w:vAlign w:val="center"/>
                </w:tcPr>
                <w:p w14:paraId="3DA05B2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99</w:t>
                  </w:r>
                  <w:r>
                    <w:rPr>
                      <w:rFonts w:hint="default" w:ascii="Times New Roman" w:hAnsi="Times New Roman" w:cs="Times New Roman"/>
                      <w:color w:val="auto"/>
                      <w:sz w:val="16"/>
                      <w:szCs w:val="16"/>
                    </w:rPr>
                    <w:t>%</w:t>
                  </w:r>
                </w:p>
              </w:tc>
              <w:tc>
                <w:tcPr>
                  <w:tcW w:w="0" w:type="auto"/>
                  <w:tcBorders>
                    <w:tl2br w:val="nil"/>
                    <w:tr2bl w:val="nil"/>
                  </w:tcBorders>
                  <w:shd w:val="clear" w:color="auto" w:fill="auto"/>
                  <w:vAlign w:val="center"/>
                </w:tcPr>
                <w:p w14:paraId="26E0CCC9">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eastAsia="zh-CN"/>
                    </w:rPr>
                    <w:t>是</w:t>
                  </w:r>
                </w:p>
              </w:tc>
              <w:tc>
                <w:tcPr>
                  <w:tcW w:w="0" w:type="auto"/>
                  <w:tcBorders>
                    <w:tl2br w:val="nil"/>
                    <w:tr2bl w:val="nil"/>
                  </w:tcBorders>
                  <w:shd w:val="clear" w:color="auto" w:fill="auto"/>
                  <w:vAlign w:val="center"/>
                </w:tcPr>
                <w:p w14:paraId="2CB4DE81">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1B5D8C63">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0.028</w:t>
                  </w:r>
                </w:p>
              </w:tc>
              <w:tc>
                <w:tcPr>
                  <w:tcW w:w="0" w:type="auto"/>
                  <w:tcBorders>
                    <w:tl2br w:val="nil"/>
                    <w:tr2bl w:val="nil"/>
                  </w:tcBorders>
                  <w:shd w:val="clear" w:color="auto" w:fill="auto"/>
                  <w:vAlign w:val="center"/>
                </w:tcPr>
                <w:p w14:paraId="0693845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0.012</w:t>
                  </w:r>
                </w:p>
              </w:tc>
              <w:tc>
                <w:tcPr>
                  <w:tcW w:w="0" w:type="auto"/>
                  <w:tcBorders>
                    <w:tl2br w:val="nil"/>
                    <w:tr2bl w:val="nil"/>
                  </w:tcBorders>
                  <w:shd w:val="clear" w:color="auto" w:fill="auto"/>
                  <w:vAlign w:val="center"/>
                </w:tcPr>
                <w:p w14:paraId="7673E501">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1.2</w:t>
                  </w:r>
                </w:p>
              </w:tc>
              <w:tc>
                <w:tcPr>
                  <w:tcW w:w="0" w:type="auto"/>
                  <w:tcBorders>
                    <w:tl2br w:val="nil"/>
                    <w:tr2bl w:val="nil"/>
                  </w:tcBorders>
                  <w:shd w:val="clear" w:color="auto" w:fill="auto"/>
                  <w:vAlign w:val="center"/>
                </w:tcPr>
                <w:p w14:paraId="23C481E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2400</w:t>
                  </w:r>
                </w:p>
              </w:tc>
              <w:tc>
                <w:tcPr>
                  <w:tcW w:w="0" w:type="auto"/>
                  <w:tcBorders>
                    <w:tl2br w:val="nil"/>
                    <w:tr2bl w:val="nil"/>
                  </w:tcBorders>
                  <w:shd w:val="clear" w:color="auto" w:fill="auto"/>
                  <w:vAlign w:val="center"/>
                </w:tcPr>
                <w:p w14:paraId="4536BCA5">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H=15m、内径</w:t>
                  </w:r>
                  <w:r>
                    <w:rPr>
                      <w:rFonts w:hint="default" w:ascii="Times New Roman" w:hAnsi="Times New Roman" w:cs="Times New Roman"/>
                      <w:color w:val="auto"/>
                      <w:sz w:val="16"/>
                      <w:szCs w:val="16"/>
                      <w:highlight w:val="none"/>
                      <w:lang w:val="en-US" w:eastAsia="zh-CN"/>
                    </w:rPr>
                    <w:t>0.3</w:t>
                  </w:r>
                  <w:r>
                    <w:rPr>
                      <w:rFonts w:hint="default" w:ascii="Times New Roman" w:hAnsi="Times New Roman" w:cs="Times New Roman"/>
                      <w:color w:val="auto"/>
                      <w:sz w:val="16"/>
                      <w:szCs w:val="16"/>
                      <w:highlight w:val="none"/>
                    </w:rPr>
                    <w:t>m、温度</w:t>
                  </w:r>
                  <w:r>
                    <w:rPr>
                      <w:rFonts w:hint="default" w:ascii="Times New Roman" w:hAnsi="Times New Roman" w:cs="Times New Roman"/>
                      <w:color w:val="auto"/>
                      <w:sz w:val="16"/>
                      <w:szCs w:val="16"/>
                      <w:highlight w:val="none"/>
                      <w:lang w:val="en-US" w:eastAsia="zh-CN"/>
                    </w:rPr>
                    <w:t>30</w:t>
                  </w:r>
                  <w:r>
                    <w:rPr>
                      <w:rFonts w:hint="default" w:ascii="Times New Roman" w:hAnsi="Times New Roman" w:cs="Times New Roman"/>
                      <w:color w:val="auto"/>
                      <w:sz w:val="16"/>
                      <w:szCs w:val="16"/>
                      <w:highlight w:val="none"/>
                    </w:rPr>
                    <w:t>℃</w:t>
                  </w:r>
                </w:p>
              </w:tc>
              <w:tc>
                <w:tcPr>
                  <w:tcW w:w="0" w:type="auto"/>
                  <w:tcBorders>
                    <w:tl2br w:val="nil"/>
                    <w:tr2bl w:val="nil"/>
                  </w:tcBorders>
                  <w:shd w:val="clear" w:color="auto" w:fill="auto"/>
                  <w:vAlign w:val="center"/>
                </w:tcPr>
                <w:p w14:paraId="3428718D">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lang w:eastAsia="zh-CN"/>
                    </w:rPr>
                    <w:t>DA00</w:t>
                  </w:r>
                  <w:r>
                    <w:rPr>
                      <w:rFonts w:hint="default" w:ascii="Times New Roman" w:hAnsi="Times New Roman" w:cs="Times New Roman"/>
                      <w:color w:val="auto"/>
                      <w:sz w:val="16"/>
                      <w:szCs w:val="16"/>
                      <w:highlight w:val="none"/>
                      <w:lang w:val="en-US" w:eastAsia="zh-CN"/>
                    </w:rPr>
                    <w:t>4</w:t>
                  </w:r>
                  <w:r>
                    <w:rPr>
                      <w:rFonts w:hint="default" w:ascii="Times New Roman" w:hAnsi="Times New Roman" w:cs="Times New Roman"/>
                      <w:color w:val="auto"/>
                      <w:sz w:val="16"/>
                      <w:szCs w:val="16"/>
                      <w:highlight w:val="none"/>
                    </w:rPr>
                    <w:t>、</w:t>
                  </w:r>
                </w:p>
                <w:p w14:paraId="36FF4D27">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一般排放口</w:t>
                  </w:r>
                </w:p>
              </w:tc>
              <w:tc>
                <w:tcPr>
                  <w:tcW w:w="0" w:type="auto"/>
                  <w:tcBorders>
                    <w:tl2br w:val="nil"/>
                    <w:tr2bl w:val="nil"/>
                  </w:tcBorders>
                  <w:shd w:val="clear" w:color="auto" w:fill="auto"/>
                  <w:vAlign w:val="center"/>
                </w:tcPr>
                <w:p w14:paraId="51030C76">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经度：</w:t>
                  </w:r>
                </w:p>
                <w:p w14:paraId="67C3C5D5">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bCs/>
                      <w:color w:val="auto"/>
                      <w:spacing w:val="-10"/>
                      <w:sz w:val="16"/>
                      <w:szCs w:val="16"/>
                      <w:highlight w:val="none"/>
                    </w:rPr>
                  </w:pPr>
                  <w:r>
                    <w:rPr>
                      <w:rFonts w:hint="default" w:ascii="Times New Roman" w:hAnsi="Times New Roman" w:cs="Times New Roman"/>
                      <w:bCs/>
                      <w:color w:val="auto"/>
                      <w:spacing w:val="-10"/>
                      <w:sz w:val="16"/>
                      <w:szCs w:val="16"/>
                      <w:highlight w:val="none"/>
                    </w:rPr>
                    <w:t>119°19′25.338″</w:t>
                  </w:r>
                </w:p>
                <w:p w14:paraId="10142E45">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纬度：</w:t>
                  </w:r>
                </w:p>
                <w:p w14:paraId="079A65FD">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25°26′13.938″</w:t>
                  </w:r>
                </w:p>
              </w:tc>
            </w:tr>
            <w:tr w14:paraId="61BC6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shd w:val="clear" w:color="auto" w:fill="auto"/>
                  <w:vAlign w:val="center"/>
                </w:tcPr>
                <w:p w14:paraId="4E20515D">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p>
              </w:tc>
              <w:tc>
                <w:tcPr>
                  <w:tcW w:w="0" w:type="auto"/>
                  <w:tcBorders>
                    <w:tl2br w:val="nil"/>
                    <w:tr2bl w:val="nil"/>
                  </w:tcBorders>
                  <w:shd w:val="clear" w:color="auto" w:fill="auto"/>
                  <w:vAlign w:val="center"/>
                </w:tcPr>
                <w:p w14:paraId="20F451FE">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DA005排气筒</w:t>
                  </w:r>
                </w:p>
              </w:tc>
              <w:tc>
                <w:tcPr>
                  <w:tcW w:w="0" w:type="auto"/>
                  <w:vMerge w:val="continue"/>
                  <w:tcBorders>
                    <w:tl2br w:val="nil"/>
                    <w:tr2bl w:val="nil"/>
                  </w:tcBorders>
                  <w:shd w:val="clear" w:color="auto" w:fill="auto"/>
                  <w:vAlign w:val="center"/>
                </w:tcPr>
                <w:p w14:paraId="5A0706F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01B2AD3C">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lang w:val="en-US" w:eastAsia="zh-CN"/>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2DB819A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2.784</w:t>
                  </w:r>
                </w:p>
              </w:tc>
              <w:tc>
                <w:tcPr>
                  <w:tcW w:w="0" w:type="auto"/>
                  <w:tcBorders>
                    <w:tl2br w:val="nil"/>
                    <w:tr2bl w:val="nil"/>
                  </w:tcBorders>
                  <w:shd w:val="clear" w:color="auto" w:fill="auto"/>
                  <w:vAlign w:val="center"/>
                </w:tcPr>
                <w:p w14:paraId="5C8FA0E0">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tcBorders>
                    <w:tl2br w:val="nil"/>
                    <w:tr2bl w:val="nil"/>
                  </w:tcBorders>
                  <w:shd w:val="clear" w:color="auto" w:fill="auto"/>
                  <w:vAlign w:val="center"/>
                </w:tcPr>
                <w:p w14:paraId="6B14C7F9">
                  <w:pPr>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116</w:t>
                  </w:r>
                </w:p>
              </w:tc>
              <w:tc>
                <w:tcPr>
                  <w:tcW w:w="0" w:type="auto"/>
                  <w:vMerge w:val="continue"/>
                  <w:tcBorders>
                    <w:tl2br w:val="nil"/>
                    <w:tr2bl w:val="nil"/>
                  </w:tcBorders>
                  <w:shd w:val="clear" w:color="auto" w:fill="auto"/>
                  <w:vAlign w:val="center"/>
                </w:tcPr>
                <w:p w14:paraId="57F757C5">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p>
              </w:tc>
              <w:tc>
                <w:tcPr>
                  <w:tcW w:w="0" w:type="auto"/>
                  <w:tcBorders>
                    <w:tl2br w:val="nil"/>
                    <w:tr2bl w:val="nil"/>
                  </w:tcBorders>
                  <w:shd w:val="clear" w:color="auto" w:fill="auto"/>
                  <w:vAlign w:val="center"/>
                </w:tcPr>
                <w:p w14:paraId="3E898774">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TA009和TA010共计2套滤罐顶滤筒袋式除尘器</w:t>
                  </w:r>
                </w:p>
              </w:tc>
              <w:tc>
                <w:tcPr>
                  <w:tcW w:w="0" w:type="auto"/>
                  <w:tcBorders>
                    <w:tl2br w:val="nil"/>
                    <w:tr2bl w:val="nil"/>
                  </w:tcBorders>
                  <w:shd w:val="clear" w:color="auto" w:fill="auto"/>
                  <w:vAlign w:val="center"/>
                </w:tcPr>
                <w:p w14:paraId="567174F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99</w:t>
                  </w:r>
                  <w:r>
                    <w:rPr>
                      <w:rFonts w:hint="default" w:ascii="Times New Roman" w:hAnsi="Times New Roman" w:cs="Times New Roman"/>
                      <w:color w:val="auto"/>
                      <w:sz w:val="16"/>
                      <w:szCs w:val="16"/>
                    </w:rPr>
                    <w:t>%</w:t>
                  </w:r>
                </w:p>
              </w:tc>
              <w:tc>
                <w:tcPr>
                  <w:tcW w:w="0" w:type="auto"/>
                  <w:tcBorders>
                    <w:tl2br w:val="nil"/>
                    <w:tr2bl w:val="nil"/>
                  </w:tcBorders>
                  <w:shd w:val="clear" w:color="auto" w:fill="auto"/>
                  <w:vAlign w:val="center"/>
                </w:tcPr>
                <w:p w14:paraId="78F4D0E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eastAsia="zh-CN"/>
                    </w:rPr>
                    <w:t>是</w:t>
                  </w:r>
                </w:p>
              </w:tc>
              <w:tc>
                <w:tcPr>
                  <w:tcW w:w="0" w:type="auto"/>
                  <w:tcBorders>
                    <w:tl2br w:val="nil"/>
                    <w:tr2bl w:val="nil"/>
                  </w:tcBorders>
                  <w:shd w:val="clear" w:color="auto" w:fill="auto"/>
                  <w:vAlign w:val="center"/>
                </w:tcPr>
                <w:p w14:paraId="5F2C4E5D">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10000</w:t>
                  </w:r>
                </w:p>
              </w:tc>
              <w:tc>
                <w:tcPr>
                  <w:tcW w:w="0" w:type="auto"/>
                  <w:tcBorders>
                    <w:tl2br w:val="nil"/>
                    <w:tr2bl w:val="nil"/>
                  </w:tcBorders>
                  <w:shd w:val="clear" w:color="auto" w:fill="auto"/>
                  <w:vAlign w:val="center"/>
                </w:tcPr>
                <w:p w14:paraId="035B0ED1">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0.028</w:t>
                  </w:r>
                </w:p>
              </w:tc>
              <w:tc>
                <w:tcPr>
                  <w:tcW w:w="0" w:type="auto"/>
                  <w:tcBorders>
                    <w:tl2br w:val="nil"/>
                    <w:tr2bl w:val="nil"/>
                  </w:tcBorders>
                  <w:shd w:val="clear" w:color="auto" w:fill="auto"/>
                  <w:vAlign w:val="center"/>
                </w:tcPr>
                <w:p w14:paraId="6F1779CD">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0.012</w:t>
                  </w:r>
                </w:p>
              </w:tc>
              <w:tc>
                <w:tcPr>
                  <w:tcW w:w="0" w:type="auto"/>
                  <w:tcBorders>
                    <w:tl2br w:val="nil"/>
                    <w:tr2bl w:val="nil"/>
                  </w:tcBorders>
                  <w:shd w:val="clear" w:color="auto" w:fill="auto"/>
                  <w:vAlign w:val="center"/>
                </w:tcPr>
                <w:p w14:paraId="5A194D46">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1.2</w:t>
                  </w:r>
                </w:p>
              </w:tc>
              <w:tc>
                <w:tcPr>
                  <w:tcW w:w="0" w:type="auto"/>
                  <w:tcBorders>
                    <w:tl2br w:val="nil"/>
                    <w:tr2bl w:val="nil"/>
                  </w:tcBorders>
                  <w:shd w:val="clear" w:color="auto" w:fill="auto"/>
                  <w:vAlign w:val="center"/>
                </w:tcPr>
                <w:p w14:paraId="599D226E">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2400</w:t>
                  </w:r>
                </w:p>
              </w:tc>
              <w:tc>
                <w:tcPr>
                  <w:tcW w:w="0" w:type="auto"/>
                  <w:tcBorders>
                    <w:tl2br w:val="nil"/>
                    <w:tr2bl w:val="nil"/>
                  </w:tcBorders>
                  <w:shd w:val="clear" w:color="auto" w:fill="auto"/>
                  <w:vAlign w:val="center"/>
                </w:tcPr>
                <w:p w14:paraId="6D2C9E05">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H=15m、内径</w:t>
                  </w:r>
                  <w:r>
                    <w:rPr>
                      <w:rFonts w:hint="default" w:ascii="Times New Roman" w:hAnsi="Times New Roman" w:cs="Times New Roman"/>
                      <w:color w:val="auto"/>
                      <w:sz w:val="16"/>
                      <w:szCs w:val="16"/>
                      <w:highlight w:val="none"/>
                      <w:lang w:val="en-US" w:eastAsia="zh-CN"/>
                    </w:rPr>
                    <w:t>0.3</w:t>
                  </w:r>
                  <w:r>
                    <w:rPr>
                      <w:rFonts w:hint="default" w:ascii="Times New Roman" w:hAnsi="Times New Roman" w:cs="Times New Roman"/>
                      <w:color w:val="auto"/>
                      <w:sz w:val="16"/>
                      <w:szCs w:val="16"/>
                      <w:highlight w:val="none"/>
                    </w:rPr>
                    <w:t>m、温度</w:t>
                  </w:r>
                  <w:r>
                    <w:rPr>
                      <w:rFonts w:hint="default" w:ascii="Times New Roman" w:hAnsi="Times New Roman" w:cs="Times New Roman"/>
                      <w:color w:val="auto"/>
                      <w:sz w:val="16"/>
                      <w:szCs w:val="16"/>
                      <w:highlight w:val="none"/>
                      <w:lang w:val="en-US" w:eastAsia="zh-CN"/>
                    </w:rPr>
                    <w:t>30</w:t>
                  </w:r>
                  <w:r>
                    <w:rPr>
                      <w:rFonts w:hint="default" w:ascii="Times New Roman" w:hAnsi="Times New Roman" w:cs="Times New Roman"/>
                      <w:color w:val="auto"/>
                      <w:sz w:val="16"/>
                      <w:szCs w:val="16"/>
                      <w:highlight w:val="none"/>
                    </w:rPr>
                    <w:t>℃</w:t>
                  </w:r>
                </w:p>
              </w:tc>
              <w:tc>
                <w:tcPr>
                  <w:tcW w:w="0" w:type="auto"/>
                  <w:tcBorders>
                    <w:tl2br w:val="nil"/>
                    <w:tr2bl w:val="nil"/>
                  </w:tcBorders>
                  <w:shd w:val="clear" w:color="auto" w:fill="auto"/>
                  <w:vAlign w:val="center"/>
                </w:tcPr>
                <w:p w14:paraId="10698703">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lang w:eastAsia="zh-CN"/>
                    </w:rPr>
                    <w:t>DA00</w:t>
                  </w:r>
                  <w:r>
                    <w:rPr>
                      <w:rFonts w:hint="default" w:ascii="Times New Roman" w:hAnsi="Times New Roman" w:cs="Times New Roman"/>
                      <w:color w:val="auto"/>
                      <w:sz w:val="16"/>
                      <w:szCs w:val="16"/>
                      <w:highlight w:val="none"/>
                      <w:lang w:val="en-US" w:eastAsia="zh-CN"/>
                    </w:rPr>
                    <w:t>5</w:t>
                  </w:r>
                  <w:r>
                    <w:rPr>
                      <w:rFonts w:hint="default" w:ascii="Times New Roman" w:hAnsi="Times New Roman" w:cs="Times New Roman"/>
                      <w:color w:val="auto"/>
                      <w:sz w:val="16"/>
                      <w:szCs w:val="16"/>
                      <w:highlight w:val="none"/>
                    </w:rPr>
                    <w:t>、</w:t>
                  </w:r>
                </w:p>
                <w:p w14:paraId="03A6A0F0">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一般排放口</w:t>
                  </w:r>
                </w:p>
              </w:tc>
              <w:tc>
                <w:tcPr>
                  <w:tcW w:w="0" w:type="auto"/>
                  <w:tcBorders>
                    <w:tl2br w:val="nil"/>
                    <w:tr2bl w:val="nil"/>
                  </w:tcBorders>
                  <w:shd w:val="clear" w:color="auto" w:fill="auto"/>
                  <w:vAlign w:val="center"/>
                </w:tcPr>
                <w:p w14:paraId="2C41008B">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经度：</w:t>
                  </w:r>
                </w:p>
                <w:p w14:paraId="2CF61BCD">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bCs/>
                      <w:color w:val="auto"/>
                      <w:spacing w:val="-10"/>
                      <w:sz w:val="16"/>
                      <w:szCs w:val="16"/>
                      <w:highlight w:val="none"/>
                    </w:rPr>
                  </w:pPr>
                  <w:r>
                    <w:rPr>
                      <w:rFonts w:hint="default" w:ascii="Times New Roman" w:hAnsi="Times New Roman" w:cs="Times New Roman"/>
                      <w:bCs/>
                      <w:color w:val="auto"/>
                      <w:spacing w:val="-10"/>
                      <w:sz w:val="16"/>
                      <w:szCs w:val="16"/>
                      <w:highlight w:val="none"/>
                    </w:rPr>
                    <w:t>119°19′26.226″</w:t>
                  </w:r>
                </w:p>
                <w:p w14:paraId="3540182E">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纬度：</w:t>
                  </w:r>
                </w:p>
                <w:p w14:paraId="26C2207D">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25°26′13.649″</w:t>
                  </w:r>
                </w:p>
              </w:tc>
            </w:tr>
            <w:tr w14:paraId="5AE6A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shd w:val="clear" w:color="auto" w:fill="auto"/>
                  <w:vAlign w:val="center"/>
                </w:tcPr>
                <w:p w14:paraId="0A8FB89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食堂</w:t>
                  </w:r>
                </w:p>
              </w:tc>
              <w:tc>
                <w:tcPr>
                  <w:tcW w:w="0" w:type="auto"/>
                  <w:tcBorders>
                    <w:tl2br w:val="nil"/>
                    <w:tr2bl w:val="nil"/>
                  </w:tcBorders>
                  <w:shd w:val="clear" w:color="auto" w:fill="auto"/>
                  <w:vAlign w:val="center"/>
                </w:tcPr>
                <w:p w14:paraId="71CD9E2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lang w:val="en-US" w:eastAsia="zh-CN"/>
                    </w:rPr>
                    <w:t>DA006排气筒</w:t>
                  </w:r>
                </w:p>
              </w:tc>
              <w:tc>
                <w:tcPr>
                  <w:tcW w:w="0" w:type="auto"/>
                  <w:tcBorders>
                    <w:tl2br w:val="nil"/>
                    <w:tr2bl w:val="nil"/>
                  </w:tcBorders>
                  <w:shd w:val="clear" w:color="auto" w:fill="auto"/>
                  <w:vAlign w:val="center"/>
                </w:tcPr>
                <w:p w14:paraId="581A2EF7">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油烟</w:t>
                  </w:r>
                </w:p>
              </w:tc>
              <w:tc>
                <w:tcPr>
                  <w:tcW w:w="0" w:type="auto"/>
                  <w:tcBorders>
                    <w:tl2br w:val="nil"/>
                    <w:tr2bl w:val="nil"/>
                  </w:tcBorders>
                  <w:shd w:val="clear" w:color="auto" w:fill="auto"/>
                  <w:vAlign w:val="center"/>
                </w:tcPr>
                <w:p w14:paraId="7E122256">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eastAsia" w:ascii="Times New Roman" w:hAnsi="Times New Roman" w:cs="Times New Roman"/>
                      <w:color w:val="auto"/>
                      <w:sz w:val="16"/>
                      <w:szCs w:val="16"/>
                      <w:lang w:val="en-US" w:eastAsia="zh-CN"/>
                    </w:rPr>
                    <w:t>4000</w:t>
                  </w:r>
                </w:p>
              </w:tc>
              <w:tc>
                <w:tcPr>
                  <w:tcW w:w="0" w:type="auto"/>
                  <w:tcBorders>
                    <w:tl2br w:val="nil"/>
                    <w:tr2bl w:val="nil"/>
                  </w:tcBorders>
                  <w:shd w:val="clear" w:color="auto" w:fill="auto"/>
                  <w:vAlign w:val="center"/>
                </w:tcPr>
                <w:p w14:paraId="077F5F85">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0.011</w:t>
                  </w:r>
                </w:p>
              </w:tc>
              <w:tc>
                <w:tcPr>
                  <w:tcW w:w="0" w:type="auto"/>
                  <w:tcBorders>
                    <w:tl2br w:val="nil"/>
                    <w:tr2bl w:val="nil"/>
                  </w:tcBorders>
                  <w:shd w:val="clear" w:color="auto" w:fill="auto"/>
                  <w:vAlign w:val="center"/>
                </w:tcPr>
                <w:p w14:paraId="3B13E21A">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0.009</w:t>
                  </w:r>
                </w:p>
              </w:tc>
              <w:tc>
                <w:tcPr>
                  <w:tcW w:w="0" w:type="auto"/>
                  <w:tcBorders>
                    <w:tl2br w:val="nil"/>
                    <w:tr2bl w:val="nil"/>
                  </w:tcBorders>
                  <w:shd w:val="clear" w:color="auto" w:fill="auto"/>
                  <w:vAlign w:val="center"/>
                </w:tcPr>
                <w:p w14:paraId="7D0BEF2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2.3</w:t>
                  </w:r>
                </w:p>
              </w:tc>
              <w:tc>
                <w:tcPr>
                  <w:tcW w:w="0" w:type="auto"/>
                  <w:tcBorders>
                    <w:tl2br w:val="nil"/>
                    <w:tr2bl w:val="nil"/>
                  </w:tcBorders>
                  <w:shd w:val="clear" w:color="auto" w:fill="auto"/>
                  <w:vAlign w:val="center"/>
                </w:tcPr>
                <w:p w14:paraId="2B09A6F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有组织</w:t>
                  </w:r>
                </w:p>
              </w:tc>
              <w:tc>
                <w:tcPr>
                  <w:tcW w:w="0" w:type="auto"/>
                  <w:tcBorders>
                    <w:tl2br w:val="nil"/>
                    <w:tr2bl w:val="nil"/>
                  </w:tcBorders>
                  <w:shd w:val="clear" w:color="auto" w:fill="auto"/>
                  <w:vAlign w:val="center"/>
                </w:tcPr>
                <w:p w14:paraId="65CCB00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油烟净化器</w:t>
                  </w:r>
                </w:p>
              </w:tc>
              <w:tc>
                <w:tcPr>
                  <w:tcW w:w="0" w:type="auto"/>
                  <w:tcBorders>
                    <w:tl2br w:val="nil"/>
                    <w:tr2bl w:val="nil"/>
                  </w:tcBorders>
                  <w:shd w:val="clear" w:color="auto" w:fill="auto"/>
                  <w:vAlign w:val="center"/>
                </w:tcPr>
                <w:p w14:paraId="66C4317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60</w:t>
                  </w:r>
                </w:p>
              </w:tc>
              <w:tc>
                <w:tcPr>
                  <w:tcW w:w="0" w:type="auto"/>
                  <w:tcBorders>
                    <w:tl2br w:val="nil"/>
                    <w:tr2bl w:val="nil"/>
                  </w:tcBorders>
                  <w:shd w:val="clear" w:color="auto" w:fill="auto"/>
                  <w:vAlign w:val="center"/>
                </w:tcPr>
                <w:p w14:paraId="18B8A7D9">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是</w:t>
                  </w:r>
                </w:p>
              </w:tc>
              <w:tc>
                <w:tcPr>
                  <w:tcW w:w="0" w:type="auto"/>
                  <w:tcBorders>
                    <w:tl2br w:val="nil"/>
                    <w:tr2bl w:val="nil"/>
                  </w:tcBorders>
                  <w:shd w:val="clear" w:color="auto" w:fill="auto"/>
                  <w:vAlign w:val="center"/>
                </w:tcPr>
                <w:p w14:paraId="673727B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sz w:val="16"/>
                      <w:szCs w:val="16"/>
                      <w:lang w:val="en-US" w:eastAsia="zh-CN"/>
                    </w:rPr>
                  </w:pPr>
                  <w:r>
                    <w:rPr>
                      <w:rFonts w:hint="eastAsia" w:ascii="Times New Roman" w:hAnsi="Times New Roman" w:cs="Times New Roman"/>
                      <w:color w:val="auto"/>
                      <w:sz w:val="16"/>
                      <w:szCs w:val="16"/>
                      <w:lang w:val="en-US" w:eastAsia="zh-CN"/>
                    </w:rPr>
                    <w:t>4000</w:t>
                  </w:r>
                </w:p>
              </w:tc>
              <w:tc>
                <w:tcPr>
                  <w:tcW w:w="0" w:type="auto"/>
                  <w:tcBorders>
                    <w:tl2br w:val="nil"/>
                    <w:tr2bl w:val="nil"/>
                  </w:tcBorders>
                  <w:shd w:val="clear" w:color="auto" w:fill="auto"/>
                  <w:vAlign w:val="center"/>
                </w:tcPr>
                <w:p w14:paraId="64C42354">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0.004</w:t>
                  </w:r>
                </w:p>
              </w:tc>
              <w:tc>
                <w:tcPr>
                  <w:tcW w:w="0" w:type="auto"/>
                  <w:tcBorders>
                    <w:tl2br w:val="nil"/>
                    <w:tr2bl w:val="nil"/>
                  </w:tcBorders>
                  <w:shd w:val="clear" w:color="auto" w:fill="auto"/>
                  <w:vAlign w:val="center"/>
                </w:tcPr>
                <w:p w14:paraId="78992A6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0.003</w:t>
                  </w:r>
                </w:p>
              </w:tc>
              <w:tc>
                <w:tcPr>
                  <w:tcW w:w="0" w:type="auto"/>
                  <w:tcBorders>
                    <w:tl2br w:val="nil"/>
                    <w:tr2bl w:val="nil"/>
                  </w:tcBorders>
                  <w:shd w:val="clear" w:color="auto" w:fill="auto"/>
                  <w:vAlign w:val="center"/>
                </w:tcPr>
                <w:p w14:paraId="27EFA922">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0.8</w:t>
                  </w:r>
                </w:p>
              </w:tc>
              <w:tc>
                <w:tcPr>
                  <w:tcW w:w="0" w:type="auto"/>
                  <w:tcBorders>
                    <w:tl2br w:val="nil"/>
                    <w:tr2bl w:val="nil"/>
                  </w:tcBorders>
                  <w:shd w:val="clear" w:color="auto" w:fill="auto"/>
                  <w:vAlign w:val="center"/>
                </w:tcPr>
                <w:p w14:paraId="6A2CFDDD">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1200</w:t>
                  </w:r>
                </w:p>
              </w:tc>
              <w:tc>
                <w:tcPr>
                  <w:tcW w:w="0" w:type="auto"/>
                  <w:tcBorders>
                    <w:tl2br w:val="nil"/>
                    <w:tr2bl w:val="nil"/>
                  </w:tcBorders>
                  <w:shd w:val="clear" w:color="auto" w:fill="auto"/>
                  <w:vAlign w:val="center"/>
                </w:tcPr>
                <w:p w14:paraId="02C32126">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H=15m、内径</w:t>
                  </w:r>
                  <w:r>
                    <w:rPr>
                      <w:rFonts w:hint="default" w:ascii="Times New Roman" w:hAnsi="Times New Roman" w:cs="Times New Roman"/>
                      <w:color w:val="auto"/>
                      <w:sz w:val="16"/>
                      <w:szCs w:val="16"/>
                      <w:highlight w:val="none"/>
                      <w:lang w:val="en-US" w:eastAsia="zh-CN"/>
                    </w:rPr>
                    <w:t>0.3</w:t>
                  </w:r>
                  <w:r>
                    <w:rPr>
                      <w:rFonts w:hint="default" w:ascii="Times New Roman" w:hAnsi="Times New Roman" w:cs="Times New Roman"/>
                      <w:color w:val="auto"/>
                      <w:sz w:val="16"/>
                      <w:szCs w:val="16"/>
                      <w:highlight w:val="none"/>
                    </w:rPr>
                    <w:t>m、温度</w:t>
                  </w:r>
                  <w:r>
                    <w:rPr>
                      <w:rFonts w:hint="default" w:ascii="Times New Roman" w:hAnsi="Times New Roman" w:cs="Times New Roman"/>
                      <w:color w:val="auto"/>
                      <w:sz w:val="16"/>
                      <w:szCs w:val="16"/>
                      <w:highlight w:val="none"/>
                      <w:lang w:val="en-US" w:eastAsia="zh-CN"/>
                    </w:rPr>
                    <w:t>30</w:t>
                  </w:r>
                  <w:r>
                    <w:rPr>
                      <w:rFonts w:hint="default" w:ascii="Times New Roman" w:hAnsi="Times New Roman" w:cs="Times New Roman"/>
                      <w:color w:val="auto"/>
                      <w:sz w:val="16"/>
                      <w:szCs w:val="16"/>
                      <w:highlight w:val="none"/>
                    </w:rPr>
                    <w:t>℃</w:t>
                  </w:r>
                </w:p>
              </w:tc>
              <w:tc>
                <w:tcPr>
                  <w:tcW w:w="0" w:type="auto"/>
                  <w:tcBorders>
                    <w:tl2br w:val="nil"/>
                    <w:tr2bl w:val="nil"/>
                  </w:tcBorders>
                  <w:shd w:val="clear" w:color="auto" w:fill="auto"/>
                  <w:vAlign w:val="center"/>
                </w:tcPr>
                <w:p w14:paraId="780E9F88">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lang w:eastAsia="zh-CN"/>
                    </w:rPr>
                    <w:t>DA00</w:t>
                  </w:r>
                  <w:r>
                    <w:rPr>
                      <w:rFonts w:hint="default" w:ascii="Times New Roman" w:hAnsi="Times New Roman" w:cs="Times New Roman"/>
                      <w:color w:val="auto"/>
                      <w:sz w:val="16"/>
                      <w:szCs w:val="16"/>
                      <w:highlight w:val="none"/>
                      <w:lang w:val="en-US" w:eastAsia="zh-CN"/>
                    </w:rPr>
                    <w:t>6</w:t>
                  </w:r>
                  <w:r>
                    <w:rPr>
                      <w:rFonts w:hint="default" w:ascii="Times New Roman" w:hAnsi="Times New Roman" w:cs="Times New Roman"/>
                      <w:color w:val="auto"/>
                      <w:sz w:val="16"/>
                      <w:szCs w:val="16"/>
                      <w:highlight w:val="none"/>
                    </w:rPr>
                    <w:t>、</w:t>
                  </w:r>
                </w:p>
                <w:p w14:paraId="73FDFC48">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一般排放口</w:t>
                  </w:r>
                </w:p>
              </w:tc>
              <w:tc>
                <w:tcPr>
                  <w:tcW w:w="0" w:type="auto"/>
                  <w:tcBorders>
                    <w:tl2br w:val="nil"/>
                    <w:tr2bl w:val="nil"/>
                  </w:tcBorders>
                  <w:shd w:val="clear" w:color="auto" w:fill="auto"/>
                  <w:vAlign w:val="center"/>
                </w:tcPr>
                <w:p w14:paraId="6157C110">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经度：</w:t>
                  </w:r>
                </w:p>
                <w:p w14:paraId="1C0264DD">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bCs/>
                      <w:color w:val="auto"/>
                      <w:spacing w:val="-10"/>
                      <w:sz w:val="16"/>
                      <w:szCs w:val="16"/>
                      <w:highlight w:val="none"/>
                    </w:rPr>
                  </w:pPr>
                  <w:r>
                    <w:rPr>
                      <w:rFonts w:hint="default" w:ascii="Times New Roman" w:hAnsi="Times New Roman" w:cs="Times New Roman"/>
                      <w:bCs/>
                      <w:color w:val="auto"/>
                      <w:spacing w:val="-10"/>
                      <w:sz w:val="16"/>
                      <w:szCs w:val="16"/>
                      <w:highlight w:val="none"/>
                    </w:rPr>
                    <w:t>119</w:t>
                  </w:r>
                  <w:r>
                    <w:rPr>
                      <w:rFonts w:hint="default" w:ascii="Times New Roman" w:hAnsi="Times New Roman" w:cs="Times New Roman"/>
                      <w:bCs/>
                      <w:color w:val="auto"/>
                      <w:spacing w:val="-10"/>
                      <w:sz w:val="16"/>
                      <w:szCs w:val="16"/>
                      <w:highlight w:val="none"/>
                      <w:lang w:val="en-US" w:eastAsia="zh-CN"/>
                    </w:rPr>
                    <w:t>°19′20.587</w:t>
                  </w:r>
                  <w:r>
                    <w:rPr>
                      <w:rFonts w:hint="default" w:ascii="Times New Roman" w:hAnsi="Times New Roman" w:cs="Times New Roman"/>
                      <w:bCs/>
                      <w:color w:val="auto"/>
                      <w:spacing w:val="-10"/>
                      <w:sz w:val="16"/>
                      <w:szCs w:val="16"/>
                      <w:highlight w:val="none"/>
                    </w:rPr>
                    <w:t>″</w:t>
                  </w:r>
                </w:p>
                <w:p w14:paraId="73C4ABBC">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cs="Times New Roman"/>
                      <w:color w:val="auto"/>
                      <w:sz w:val="16"/>
                      <w:szCs w:val="16"/>
                      <w:highlight w:val="none"/>
                    </w:rPr>
                  </w:pPr>
                  <w:r>
                    <w:rPr>
                      <w:rFonts w:hint="default" w:ascii="Times New Roman" w:hAnsi="Times New Roman" w:cs="Times New Roman"/>
                      <w:color w:val="auto"/>
                      <w:sz w:val="16"/>
                      <w:szCs w:val="16"/>
                      <w:highlight w:val="none"/>
                    </w:rPr>
                    <w:t>纬度：</w:t>
                  </w:r>
                </w:p>
                <w:p w14:paraId="7AAB46D2">
                  <w:pPr>
                    <w:pStyle w:val="160"/>
                    <w:keepNext w:val="0"/>
                    <w:keepLines w:val="0"/>
                    <w:pageBreakBefore w:val="0"/>
                    <w:kinsoku/>
                    <w:wordWrap/>
                    <w:overflowPunct/>
                    <w:topLinePunct w:val="0"/>
                    <w:autoSpaceDE/>
                    <w:autoSpaceDN/>
                    <w:bidi w:val="0"/>
                    <w:adjustRightInd/>
                    <w:snapToGrid w:val="0"/>
                    <w:spacing w:line="280" w:lineRule="atLeast"/>
                    <w:jc w:val="center"/>
                    <w:textAlignment w:val="auto"/>
                    <w:rPr>
                      <w:rFonts w:hint="default" w:ascii="Times New Roman" w:hAnsi="Times New Roman" w:eastAsia="宋体" w:cs="Times New Roman"/>
                      <w:color w:val="auto"/>
                      <w:kern w:val="2"/>
                      <w:sz w:val="16"/>
                      <w:szCs w:val="16"/>
                      <w:highlight w:val="none"/>
                      <w:lang w:val="en-US" w:eastAsia="zh-CN" w:bidi="ar-SA"/>
                    </w:rPr>
                  </w:pPr>
                  <w:r>
                    <w:rPr>
                      <w:rFonts w:hint="default" w:ascii="Times New Roman" w:hAnsi="Times New Roman" w:cs="Times New Roman"/>
                      <w:color w:val="auto"/>
                      <w:sz w:val="16"/>
                      <w:szCs w:val="16"/>
                      <w:highlight w:val="none"/>
                    </w:rPr>
                    <w:t>25°26′17.994″</w:t>
                  </w:r>
                </w:p>
              </w:tc>
            </w:tr>
          </w:tbl>
          <w:p w14:paraId="6668EF58">
            <w:pPr>
              <w:rPr>
                <w:color w:val="auto"/>
              </w:rPr>
            </w:pPr>
          </w:p>
        </w:tc>
      </w:tr>
    </w:tbl>
    <w:p w14:paraId="56369CC9">
      <w:pPr>
        <w:pStyle w:val="29"/>
        <w:rPr>
          <w:color w:val="auto"/>
        </w:rPr>
        <w:sectPr>
          <w:pgSz w:w="16838" w:h="11906"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686"/>
      </w:tblGrid>
      <w:tr w14:paraId="05B3B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2E74DFCB">
            <w:pPr>
              <w:pStyle w:val="31"/>
              <w:spacing w:before="0" w:beforeAutospacing="0" w:after="0" w:afterAutospacing="0"/>
              <w:jc w:val="center"/>
              <w:rPr>
                <w:rFonts w:ascii="Times New Roman" w:hAnsi="Times New Roman"/>
                <w:color w:val="auto"/>
                <w:kern w:val="21"/>
                <w:szCs w:val="24"/>
              </w:rPr>
            </w:pPr>
            <w:r>
              <w:rPr>
                <w:rFonts w:hint="eastAsia" w:ascii="Times New Roman" w:hAnsi="Times New Roman"/>
                <w:color w:val="auto"/>
                <w:kern w:val="21"/>
                <w:szCs w:val="24"/>
              </w:rPr>
              <w:t>运营期</w:t>
            </w:r>
            <w:r>
              <w:rPr>
                <w:rFonts w:ascii="Times New Roman" w:hAnsi="Times New Roman"/>
                <w:color w:val="auto"/>
                <w:kern w:val="21"/>
                <w:szCs w:val="24"/>
              </w:rPr>
              <w:t>环</w:t>
            </w:r>
          </w:p>
          <w:p w14:paraId="5F089448">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境保</w:t>
            </w:r>
          </w:p>
          <w:p w14:paraId="6D53C49F">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护措</w:t>
            </w:r>
          </w:p>
          <w:p w14:paraId="221FAAF5">
            <w:pPr>
              <w:jc w:val="center"/>
              <w:rPr>
                <w:bCs/>
                <w:color w:val="auto"/>
                <w:kern w:val="21"/>
                <w:sz w:val="24"/>
              </w:rPr>
            </w:pPr>
            <w:r>
              <w:rPr>
                <w:color w:val="auto"/>
                <w:kern w:val="21"/>
                <w:sz w:val="24"/>
              </w:rPr>
              <w:t>施</w:t>
            </w:r>
          </w:p>
        </w:tc>
        <w:tc>
          <w:tcPr>
            <w:tcW w:w="8606" w:type="dxa"/>
            <w:vAlign w:val="center"/>
          </w:tcPr>
          <w:p w14:paraId="483D010E">
            <w:pPr>
              <w:pStyle w:val="68"/>
              <w:ind w:firstLine="482"/>
              <w:rPr>
                <w:b/>
                <w:bCs/>
                <w:color w:val="auto"/>
                <w:kern w:val="2"/>
                <w:sz w:val="24"/>
                <w:szCs w:val="24"/>
              </w:rPr>
            </w:pPr>
            <w:bookmarkStart w:id="98" w:name="_Toc11435_WPSOffice_Level3"/>
            <w:bookmarkStart w:id="99" w:name="_Toc2741_WPSOffice_Level2"/>
            <w:r>
              <w:rPr>
                <w:b/>
                <w:bCs/>
                <w:color w:val="auto"/>
                <w:kern w:val="2"/>
                <w:sz w:val="24"/>
                <w:szCs w:val="24"/>
              </w:rPr>
              <w:t>2、</w:t>
            </w:r>
            <w:bookmarkEnd w:id="98"/>
            <w:bookmarkEnd w:id="99"/>
            <w:r>
              <w:rPr>
                <w:rFonts w:hint="eastAsia"/>
                <w:b/>
                <w:bCs/>
                <w:color w:val="auto"/>
                <w:kern w:val="2"/>
                <w:sz w:val="24"/>
                <w:szCs w:val="24"/>
              </w:rPr>
              <w:t>达标排放分析</w:t>
            </w:r>
          </w:p>
          <w:p w14:paraId="14BE1195">
            <w:pPr>
              <w:pStyle w:val="130"/>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根据表</w:t>
            </w:r>
            <w:r>
              <w:rPr>
                <w:rFonts w:hint="default" w:ascii="Times New Roman" w:hAnsi="Times New Roman" w:cs="Times New Roman"/>
                <w:color w:val="auto"/>
                <w:sz w:val="24"/>
                <w:szCs w:val="24"/>
                <w:highlight w:val="none"/>
                <w:lang w:val="en-US" w:eastAsia="zh-CN"/>
              </w:rPr>
              <w:t>4.2-1</w:t>
            </w:r>
            <w:r>
              <w:rPr>
                <w:rFonts w:hint="default" w:ascii="Times New Roman" w:hAnsi="Times New Roman" w:eastAsia="宋体" w:cs="Times New Roman"/>
                <w:color w:val="auto"/>
                <w:sz w:val="24"/>
                <w:szCs w:val="24"/>
                <w:highlight w:val="none"/>
                <w:lang w:val="en-US" w:eastAsia="zh-CN"/>
              </w:rPr>
              <w:t>中对</w:t>
            </w:r>
            <w:r>
              <w:rPr>
                <w:rFonts w:hint="eastAsia" w:ascii="Times New Roman" w:hAnsi="Times New Roman" w:cs="Times New Roman"/>
                <w:color w:val="auto"/>
                <w:sz w:val="24"/>
                <w:szCs w:val="24"/>
                <w:highlight w:val="none"/>
                <w:lang w:val="en-US" w:eastAsia="zh-CN"/>
              </w:rPr>
              <w:t>迁建项目</w:t>
            </w:r>
            <w:r>
              <w:rPr>
                <w:rFonts w:hint="default" w:ascii="Times New Roman" w:hAnsi="Times New Roman" w:eastAsia="宋体" w:cs="Times New Roman"/>
                <w:color w:val="auto"/>
                <w:sz w:val="24"/>
                <w:szCs w:val="24"/>
                <w:highlight w:val="none"/>
                <w:lang w:val="en-US" w:eastAsia="zh-CN"/>
              </w:rPr>
              <w:t>大气污染物达标排放情况分析可知：</w:t>
            </w:r>
          </w:p>
          <w:p w14:paraId="0C21907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迁建</w:t>
            </w:r>
            <w:r>
              <w:rPr>
                <w:rFonts w:hint="default" w:ascii="Times New Roman" w:hAnsi="Times New Roman" w:eastAsia="宋体" w:cs="Times New Roman"/>
                <w:color w:val="auto"/>
                <w:sz w:val="24"/>
                <w:szCs w:val="24"/>
                <w:highlight w:val="none"/>
              </w:rPr>
              <w:t>项目水泥罐呼吸</w:t>
            </w:r>
            <w:r>
              <w:rPr>
                <w:rFonts w:hint="eastAsia" w:ascii="Times New Roman" w:hAnsi="Times New Roman" w:cs="Times New Roman"/>
                <w:color w:val="auto"/>
                <w:sz w:val="24"/>
                <w:szCs w:val="24"/>
                <w:highlight w:val="none"/>
                <w:lang w:val="en-US" w:eastAsia="zh-CN"/>
              </w:rPr>
              <w:t>产生的颗粒物经10套滤罐顶滤筒袋式除尘器处理后</w:t>
            </w:r>
            <w:r>
              <w:rPr>
                <w:rFonts w:hint="eastAsia"/>
                <w:color w:val="auto"/>
                <w:sz w:val="24"/>
                <w:lang w:val="en-US" w:eastAsia="zh-CN"/>
              </w:rPr>
              <w:t>每2套滤罐顶滤筒袋式除尘器设置管道相衔接后由1根15m高排气筒排放，则生产车间内设置DA001~DA005共计5根水泥罐呼吸粉尘排气筒，5根水泥罐呼吸排气筒排放的颗粒物可达到</w:t>
            </w:r>
            <w:r>
              <w:rPr>
                <w:rFonts w:hint="eastAsia"/>
                <w:color w:val="auto"/>
                <w:sz w:val="24"/>
                <w:shd w:val="clear" w:color="auto" w:fill="FFFFFF"/>
                <w:lang w:val="en-US" w:eastAsia="zh-CN"/>
              </w:rPr>
              <w:t>福建省地方标准</w:t>
            </w:r>
            <w:r>
              <w:rPr>
                <w:rFonts w:hint="eastAsia"/>
                <w:color w:val="auto"/>
                <w:sz w:val="24"/>
                <w:shd w:val="clear" w:color="auto" w:fill="FFFFFF"/>
              </w:rPr>
              <w:t>《</w:t>
            </w:r>
            <w:r>
              <w:rPr>
                <w:rFonts w:hint="eastAsia"/>
                <w:color w:val="auto"/>
                <w:sz w:val="24"/>
                <w:shd w:val="clear" w:color="auto" w:fill="FFFFFF"/>
                <w:lang w:eastAsia="zh-CN"/>
              </w:rPr>
              <w:t>水泥工业大气污染物排放标准</w:t>
            </w:r>
            <w:r>
              <w:rPr>
                <w:rFonts w:hint="eastAsia"/>
                <w:color w:val="auto"/>
                <w:sz w:val="24"/>
                <w:shd w:val="clear" w:color="auto" w:fill="FFFFFF"/>
              </w:rPr>
              <w:t>》</w:t>
            </w:r>
            <w:r>
              <w:rPr>
                <w:rFonts w:hint="eastAsia"/>
                <w:color w:val="auto"/>
                <w:sz w:val="24"/>
                <w:shd w:val="clear" w:color="auto" w:fill="FFFFFF"/>
                <w:lang w:eastAsia="zh-CN"/>
              </w:rPr>
              <w:t>(DB35/1311-2013)</w:t>
            </w:r>
            <w:r>
              <w:rPr>
                <w:rFonts w:hint="eastAsia"/>
                <w:color w:val="auto"/>
                <w:sz w:val="24"/>
                <w:shd w:val="clear" w:color="auto" w:fill="FFFFFF"/>
                <w:lang w:val="en-US" w:eastAsia="zh-CN"/>
              </w:rPr>
              <w:t>表2中水泥制品生产的类别限值要求(其中DA001和DA002排气筒等效后的排放速率、其中DA004和DA005排气筒等效后的排放速率均为达标排放的情况)；</w:t>
            </w:r>
            <w:r>
              <w:rPr>
                <w:rFonts w:hint="default" w:ascii="Times New Roman" w:hAnsi="Times New Roman" w:eastAsia="宋体" w:cs="Times New Roman"/>
                <w:bCs/>
                <w:color w:val="auto"/>
                <w:kern w:val="2"/>
                <w:sz w:val="24"/>
                <w:szCs w:val="24"/>
                <w:highlight w:val="none"/>
                <w:lang w:val="en-US" w:eastAsia="zh-CN" w:bidi="ar-SA"/>
              </w:rPr>
              <w:t>②</w:t>
            </w:r>
            <w:r>
              <w:rPr>
                <w:rFonts w:hint="default" w:ascii="Times New Roman" w:hAnsi="Times New Roman" w:cs="Times New Roman"/>
                <w:color w:val="auto"/>
                <w:kern w:val="2"/>
                <w:sz w:val="24"/>
                <w:szCs w:val="24"/>
              </w:rPr>
              <w:t>项目油烟废气的排放量为0.004t/a、排放速率为0.003kg/h、排放浓度为0.8mg/m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，可达到《饮食业油烟排放标准</w:t>
            </w:r>
            <w:r>
              <w:rPr>
                <w:rFonts w:hint="default" w:ascii="Times New Roman" w:hAnsi="Times New Roman" w:cs="Times New Roman"/>
                <w:color w:val="auto"/>
                <w:kern w:val="2"/>
                <w:sz w:val="24"/>
                <w:szCs w:val="24"/>
                <w:shd w:val="clear" w:fill="FFFFFF"/>
                <w:lang w:eastAsia="zh-CN"/>
              </w:rPr>
              <w:t>(</w:t>
            </w:r>
            <w:r>
              <w:rPr>
                <w:rFonts w:hint="default" w:ascii="Times New Roman" w:hAnsi="Times New Roman" w:cs="Times New Roman"/>
                <w:color w:val="auto"/>
                <w:kern w:val="2"/>
                <w:sz w:val="24"/>
                <w:szCs w:val="24"/>
              </w:rPr>
              <w:t>试行</w:t>
            </w:r>
            <w:r>
              <w:rPr>
                <w:rFonts w:hint="default" w:ascii="Times New Roman" w:hAnsi="Times New Roman" w:cs="Times New Roman"/>
                <w:color w:val="auto"/>
                <w:kern w:val="2"/>
                <w:sz w:val="24"/>
                <w:szCs w:val="24"/>
                <w:shd w:val="clear" w:fill="FFFFFF"/>
                <w:lang w:eastAsia="zh-CN"/>
              </w:rPr>
              <w:t>)</w:t>
            </w:r>
            <w:r>
              <w:rPr>
                <w:rFonts w:hint="default" w:ascii="Times New Roman" w:hAnsi="Times New Roman" w:cs="Times New Roman"/>
                <w:color w:val="auto"/>
                <w:kern w:val="2"/>
                <w:sz w:val="24"/>
                <w:szCs w:val="24"/>
              </w:rPr>
              <w:t>》</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rPr>
              <w:t>GB18483-2001</w:t>
            </w:r>
            <w:r>
              <w:rPr>
                <w:rFonts w:hint="default" w:ascii="Times New Roman" w:hAnsi="Times New Roman" w:cs="Times New Roman"/>
                <w:color w:val="auto"/>
                <w:kern w:val="2"/>
                <w:sz w:val="24"/>
                <w:szCs w:val="24"/>
                <w:shd w:val="clear" w:fill="FFFFFF"/>
                <w:lang w:eastAsia="zh-CN"/>
              </w:rPr>
              <w:t>)</w:t>
            </w:r>
            <w:r>
              <w:rPr>
                <w:rFonts w:hint="default" w:ascii="Times New Roman" w:hAnsi="Times New Roman" w:cs="Times New Roman"/>
                <w:color w:val="auto"/>
                <w:kern w:val="2"/>
                <w:sz w:val="24"/>
                <w:szCs w:val="24"/>
              </w:rPr>
              <w:t>小型标准</w:t>
            </w:r>
            <w:r>
              <w:rPr>
                <w:rFonts w:hint="default" w:ascii="Times New Roman" w:hAnsi="Times New Roman" w:eastAsia="宋体" w:cs="Times New Roman"/>
                <w:bCs/>
                <w:color w:val="auto"/>
                <w:kern w:val="2"/>
                <w:sz w:val="24"/>
                <w:szCs w:val="24"/>
                <w:highlight w:val="none"/>
                <w:lang w:val="en-US" w:eastAsia="zh-CN" w:bidi="ar-SA"/>
              </w:rPr>
              <w:t>。</w:t>
            </w:r>
          </w:p>
          <w:p w14:paraId="0C309F33">
            <w:pPr>
              <w:pStyle w:val="68"/>
              <w:ind w:firstLine="480"/>
              <w:rPr>
                <w:rFonts w:hint="eastAsia"/>
                <w:color w:val="auto"/>
                <w:kern w:val="2"/>
                <w:sz w:val="24"/>
                <w:szCs w:val="24"/>
              </w:rPr>
            </w:pPr>
            <w:r>
              <w:rPr>
                <w:rFonts w:hint="default" w:ascii="Times New Roman" w:hAnsi="Times New Roman" w:eastAsia="宋体" w:cs="Times New Roman"/>
                <w:color w:val="auto"/>
                <w:kern w:val="0"/>
                <w:sz w:val="24"/>
                <w:szCs w:val="24"/>
                <w:highlight w:val="none"/>
              </w:rPr>
              <w:t>综上所述，在废气处理设施正常运行情况下，</w:t>
            </w:r>
            <w:r>
              <w:rPr>
                <w:rFonts w:hint="eastAsia" w:ascii="Times New Roman" w:hAnsi="Times New Roman" w:cs="Times New Roman"/>
                <w:color w:val="auto"/>
                <w:kern w:val="0"/>
                <w:sz w:val="24"/>
                <w:szCs w:val="24"/>
                <w:highlight w:val="none"/>
                <w:lang w:val="en-US" w:eastAsia="zh-CN"/>
              </w:rPr>
              <w:t>迁建</w:t>
            </w:r>
            <w:r>
              <w:rPr>
                <w:rFonts w:hint="default" w:ascii="Times New Roman" w:hAnsi="Times New Roman"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rPr>
              <w:t>产生的废气可实现达标排放；</w:t>
            </w:r>
            <w:r>
              <w:rPr>
                <w:rFonts w:hint="eastAsia" w:ascii="Times New Roman" w:hAnsi="Times New Roman" w:cs="Times New Roman"/>
                <w:color w:val="auto"/>
                <w:kern w:val="0"/>
                <w:sz w:val="24"/>
                <w:szCs w:val="24"/>
                <w:highlight w:val="none"/>
                <w:lang w:val="en-US" w:eastAsia="zh-CN"/>
              </w:rPr>
              <w:t>迁建</w:t>
            </w:r>
            <w:r>
              <w:rPr>
                <w:rFonts w:hint="default" w:ascii="Times New Roman" w:hAnsi="Times New Roman"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rPr>
              <w:t>所在区域环境空气质量现状符合二类功能区要求，本工程正常排放废气对环境影响可以接受；建设单位应落实本评价提出的大气污染防治措施，加强环保设施运行管理，避免事故排放发生后，从环境空气影响角度分析，</w:t>
            </w:r>
            <w:r>
              <w:rPr>
                <w:rFonts w:hint="eastAsia" w:ascii="Times New Roman" w:hAnsi="Times New Roman" w:cs="Times New Roman"/>
                <w:color w:val="auto"/>
                <w:kern w:val="0"/>
                <w:sz w:val="24"/>
                <w:szCs w:val="24"/>
                <w:highlight w:val="none"/>
                <w:lang w:val="en-US" w:eastAsia="zh-CN"/>
              </w:rPr>
              <w:t>迁建</w:t>
            </w:r>
            <w:r>
              <w:rPr>
                <w:rFonts w:hint="eastAsia"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rPr>
              <w:t>建设是可行的</w:t>
            </w:r>
            <w:r>
              <w:rPr>
                <w:rFonts w:hint="eastAsia"/>
                <w:color w:val="auto"/>
                <w:kern w:val="2"/>
                <w:sz w:val="24"/>
                <w:szCs w:val="24"/>
              </w:rPr>
              <w:t>。</w:t>
            </w:r>
            <w:bookmarkStart w:id="100" w:name="_Toc31618_WPSOffice_Level1"/>
            <w:bookmarkStart w:id="101" w:name="_Toc10014"/>
            <w:bookmarkStart w:id="102" w:name="_Toc2672_WPSOffice_Level2"/>
            <w:bookmarkStart w:id="103" w:name="_Toc30590_WPSOffice_Level2"/>
          </w:p>
          <w:p w14:paraId="0B3AEF1E">
            <w:pPr>
              <w:pStyle w:val="68"/>
              <w:numPr>
                <w:ilvl w:val="0"/>
                <w:numId w:val="7"/>
              </w:numPr>
              <w:ind w:firstLine="480"/>
              <w:jc w:val="left"/>
              <w:rPr>
                <w:b/>
                <w:bCs/>
                <w:color w:val="auto"/>
                <w:kern w:val="2"/>
                <w:sz w:val="24"/>
                <w:szCs w:val="24"/>
              </w:rPr>
            </w:pPr>
            <w:r>
              <w:rPr>
                <w:b/>
                <w:bCs/>
                <w:color w:val="auto"/>
                <w:kern w:val="2"/>
                <w:sz w:val="24"/>
                <w:szCs w:val="24"/>
              </w:rPr>
              <w:t>废气处理措施</w:t>
            </w:r>
            <w:r>
              <w:rPr>
                <w:rFonts w:hint="eastAsia"/>
                <w:b/>
                <w:bCs/>
                <w:color w:val="auto"/>
                <w:kern w:val="2"/>
                <w:sz w:val="24"/>
                <w:szCs w:val="24"/>
              </w:rPr>
              <w:t>可行性</w:t>
            </w:r>
            <w:r>
              <w:rPr>
                <w:b/>
                <w:bCs/>
                <w:color w:val="auto"/>
                <w:kern w:val="2"/>
                <w:sz w:val="24"/>
                <w:szCs w:val="24"/>
              </w:rPr>
              <w:t>分析</w:t>
            </w:r>
            <w:bookmarkEnd w:id="100"/>
            <w:bookmarkEnd w:id="101"/>
            <w:bookmarkEnd w:id="102"/>
            <w:bookmarkEnd w:id="103"/>
            <w:bookmarkStart w:id="104" w:name="_Toc22549_WPSOffice_Level3"/>
          </w:p>
          <w:p w14:paraId="5578921A">
            <w:pPr>
              <w:pStyle w:val="68"/>
              <w:numPr>
                <w:ilvl w:val="0"/>
                <w:numId w:val="0"/>
              </w:numPr>
              <w:ind w:left="0" w:leftChars="0" w:firstLine="480" w:firstLineChars="200"/>
              <w:rPr>
                <w:rFonts w:hint="default" w:eastAsia="宋体"/>
                <w:color w:val="auto"/>
                <w:sz w:val="24"/>
                <w:lang w:val="en-US" w:eastAsia="zh-CN"/>
              </w:rPr>
            </w:pPr>
            <w:r>
              <w:rPr>
                <w:rFonts w:hint="eastAsia"/>
                <w:color w:val="auto"/>
                <w:sz w:val="24"/>
              </w:rPr>
              <w:t>迁建项目水泥罐呼吸产生的颗粒物经10套滤罐顶滤筒袋式除尘器处理后每2</w:t>
            </w:r>
            <w:r>
              <w:rPr>
                <w:rFonts w:hint="eastAsia"/>
                <w:color w:val="auto"/>
                <w:sz w:val="24"/>
                <w:lang w:eastAsia="zh-CN"/>
              </w:rPr>
              <w:t>套滤罐顶滤筒袋式除尘器设置管道相衔接后由1根15m高排气筒排放</w:t>
            </w:r>
            <w:r>
              <w:rPr>
                <w:rFonts w:hint="eastAsia"/>
                <w:color w:val="auto"/>
                <w:sz w:val="24"/>
              </w:rPr>
              <w:t>，则生产车间内设置DA001~DA005共计5根水泥罐呼吸粉尘排气筒</w:t>
            </w:r>
            <w:r>
              <w:rPr>
                <w:rFonts w:hint="eastAsia"/>
                <w:color w:val="auto"/>
                <w:sz w:val="24"/>
                <w:lang w:eastAsia="zh-CN"/>
              </w:rPr>
              <w:t>，</w:t>
            </w:r>
            <w:r>
              <w:rPr>
                <w:rFonts w:hint="eastAsia"/>
                <w:color w:val="auto"/>
                <w:sz w:val="24"/>
                <w:lang w:val="en-US" w:eastAsia="zh-CN"/>
              </w:rPr>
              <w:t>具体废气处理设施工艺详见下图4.2-1。</w:t>
            </w:r>
          </w:p>
          <w:p w14:paraId="427FE66F">
            <w:pPr>
              <w:pStyle w:val="68"/>
              <w:numPr>
                <w:ilvl w:val="0"/>
                <w:numId w:val="0"/>
              </w:numPr>
              <w:jc w:val="center"/>
              <w:rPr>
                <w:b/>
                <w:bCs/>
                <w:color w:val="auto"/>
                <w:kern w:val="2"/>
                <w:sz w:val="24"/>
                <w:szCs w:val="24"/>
              </w:rPr>
            </w:pPr>
          </w:p>
          <w:p w14:paraId="6FA5FAFE">
            <w:pPr>
              <w:pStyle w:val="68"/>
              <w:numPr>
                <w:ilvl w:val="0"/>
                <w:numId w:val="0"/>
              </w:numPr>
              <w:jc w:val="left"/>
              <w:rPr>
                <w:color w:val="auto"/>
                <w:sz w:val="24"/>
              </w:rPr>
            </w:pPr>
            <w:r>
              <w:rPr>
                <w:color w:val="auto"/>
                <w:sz w:val="24"/>
              </w:rPr>
              <w:pict>
                <v:group id="_x0000_s1314" o:spid="_x0000_s1314" o:spt="203" style="height:313.9pt;width:406.1pt;" coordorigin="2394,971644" coordsize="8122,6278">
                  <o:lock v:ext="edit" aspectratio="f"/>
                  <v:rect id="_x0000_s1278" o:spid="_x0000_s1278" o:spt="1" style="position:absolute;left:2394;top:971644;height:6279;width:8123;" filled="f" stroked="t" coordsize="21600,21600">
                    <v:path/>
                    <v:fill on="f" focussize="0,0"/>
                    <v:stroke weight="1.25pt" color="#000000" joinstyle="miter" startarrowlength="short"/>
                    <v:imagedata o:title=""/>
                    <o:lock v:ext="edit" aspectratio="f"/>
                  </v:rect>
                  <v:shape id="_x0000_s1284" o:spid="_x0000_s1284" style="position:absolute;left:8287;top:972188;height:1;width:770;" filled="f" stroked="t" coordsize="770,1" path="m0,0hal770,0hae">
                    <v:path arrowok="t"/>
                    <v:fill on="f" focussize="0,0"/>
                    <v:stroke color="#000000" joinstyle="miter" startarrowlength="short" endarrow="block"/>
                    <v:imagedata o:title=""/>
                    <o:lock v:ext="edit" aspectratio="f"/>
                  </v:shape>
                  <v:shape id="_x0000_s1279" o:spid="_x0000_s1279" o:spt="202" type="#_x0000_t202" style="position:absolute;left:2632;top:971977;height:492;width:1435;" filled="f" stroked="t" coordsize="21600,21600">
                    <v:path/>
                    <v:fill on="f" focussize="0,0"/>
                    <v:stroke color="#000000" joinstyle="miter" startarrowlength="short"/>
                    <v:imagedata o:title=""/>
                    <o:lock v:ext="edit" aspectratio="f"/>
                    <v:textbox>
                      <w:txbxContent>
                        <w:p w14:paraId="72769EBD">
                          <w:pPr>
                            <w:jc w:val="center"/>
                            <w:rPr>
                              <w:rFonts w:hint="default" w:eastAsia="宋体"/>
                              <w:lang w:val="en-US" w:eastAsia="zh-CN"/>
                            </w:rPr>
                          </w:pPr>
                          <w:r>
                            <w:rPr>
                              <w:rFonts w:hint="eastAsia"/>
                              <w:lang w:val="en-US" w:eastAsia="zh-CN"/>
                            </w:rPr>
                            <w:t>2个水泥罐</w:t>
                          </w:r>
                        </w:p>
                      </w:txbxContent>
                    </v:textbox>
                  </v:shape>
                  <v:shape id="_x0000_s1280" o:spid="_x0000_s1280" style="position:absolute;left:4079;top:972204;height:1;width:518;" filled="f" stroked="t" coordsize="518,1" path="m0,0hal518,0hae">
                    <v:path arrowok="t"/>
                    <v:fill on="f" focussize="0,0"/>
                    <v:stroke color="#000000" joinstyle="miter" startarrowlength="short" endarrow="block"/>
                    <v:imagedata o:title=""/>
                    <o:lock v:ext="edit" aspectratio="f"/>
                  </v:shape>
                  <v:shape id="_x0000_s1296" o:spid="_x0000_s1296" o:spt="202" type="#_x0000_t202" style="position:absolute;left:4596;top:974341;height:995;width:1926;" filled="f" stroked="t" coordsize="21600,21600">
                    <v:path/>
                    <v:fill on="f" focussize="0,0"/>
                    <v:stroke color="#000000" joinstyle="miter" startarrowlength="short"/>
                    <v:imagedata o:title=""/>
                    <o:lock v:ext="edit" aspectratio="f"/>
                    <v:textbox>
                      <w:txbxContent>
                        <w:p w14:paraId="0966FFB0">
                          <w:pPr>
                            <w:jc w:val="center"/>
                            <w:rPr>
                              <w:rFonts w:hint="default" w:eastAsia="宋体"/>
                              <w:lang w:val="en-US" w:eastAsia="zh-CN"/>
                            </w:rPr>
                          </w:pPr>
                          <w:r>
                            <w:rPr>
                              <w:rFonts w:hint="eastAsia"/>
                              <w:lang w:val="en-US" w:eastAsia="zh-CN"/>
                            </w:rPr>
                            <w:t>TA005和TA006套滤罐顶滤筒袋式除尘器</w:t>
                          </w:r>
                        </w:p>
                      </w:txbxContent>
                    </v:textbox>
                  </v:shape>
                  <v:shape id="_x0000_s1298" o:spid="_x0000_s1298" style="position:absolute;left:6548;top:974833;height:1;width:518;" filled="f" stroked="t" coordsize="518,1" path="m0,0hal518,0hae">
                    <v:path arrowok="t"/>
                    <v:fill on="f" focussize="0,0"/>
                    <v:stroke color="#000000" joinstyle="miter" startarrowlength="short" endarrow="block"/>
                    <v:imagedata o:title=""/>
                    <o:lock v:ext="edit" aspectratio="f"/>
                  </v:shape>
                  <v:shape id="_x0000_s1294" o:spid="_x0000_s1294" o:spt="202" type="#_x0000_t202" style="position:absolute;left:7065;top:974581;height:476;width:1210;" filled="f" stroked="t" coordsize="21600,21600">
                    <v:path/>
                    <v:fill on="f" focussize="0,0"/>
                    <v:stroke color="#000000" joinstyle="miter" startarrowlength="short"/>
                    <v:imagedata o:title=""/>
                    <o:lock v:ext="edit" aspectratio="f"/>
                    <v:textbox>
                      <w:txbxContent>
                        <w:p w14:paraId="585C3878">
                          <w:pPr>
                            <w:jc w:val="center"/>
                            <w:rPr>
                              <w:rFonts w:hint="default" w:eastAsia="宋体"/>
                              <w:lang w:val="en-US" w:eastAsia="zh-CN"/>
                            </w:rPr>
                          </w:pPr>
                          <w:r>
                            <w:rPr>
                              <w:rFonts w:hint="eastAsia"/>
                              <w:lang w:val="en-US" w:eastAsia="zh-CN"/>
                            </w:rPr>
                            <w:t>引风机</w:t>
                          </w:r>
                        </w:p>
                      </w:txbxContent>
                    </v:textbox>
                  </v:shape>
                  <v:shape id="_x0000_s1287" o:spid="_x0000_s1287" o:spt="202" type="#_x0000_t202" style="position:absolute;left:8940;top:973137;height:993;width:1476;" filled="f" stroked="f" coordsize="21600,21600">
                    <v:path/>
                    <v:fill on="f" focussize="0,0"/>
                    <v:stroke on="f"/>
                    <v:imagedata o:title=""/>
                    <o:lock v:ext="edit" aspectratio="f"/>
                    <v:textbox>
                      <w:txbxContent>
                        <w:p w14:paraId="5A1B3105">
                          <w:pPr>
                            <w:jc w:val="center"/>
                            <w:rPr>
                              <w:rFonts w:hint="default" w:eastAsia="宋体"/>
                              <w:lang w:val="en-US" w:eastAsia="zh-CN"/>
                            </w:rPr>
                          </w:pPr>
                          <w:r>
                            <w:rPr>
                              <w:rFonts w:hint="eastAsia"/>
                              <w:lang w:val="en-US" w:eastAsia="zh-CN"/>
                            </w:rPr>
                            <w:t>15m高DA002排气筒排放</w:t>
                          </w:r>
                        </w:p>
                      </w:txbxContent>
                    </v:textbox>
                  </v:shape>
                  <v:shape id="_x0000_s1286" o:spid="_x0000_s1286" o:spt="202" type="#_x0000_t202" style="position:absolute;left:4596;top:973040;height:995;width:1926;" filled="f" stroked="t" coordsize="21600,21600">
                    <v:path/>
                    <v:fill on="f" focussize="0,0"/>
                    <v:stroke color="#000000" joinstyle="miter" startarrowlength="short"/>
                    <v:imagedata o:title=""/>
                    <o:lock v:ext="edit" aspectratio="f"/>
                    <v:textbox>
                      <w:txbxContent>
                        <w:p w14:paraId="1F586147">
                          <w:pPr>
                            <w:jc w:val="center"/>
                            <w:rPr>
                              <w:rFonts w:hint="default" w:eastAsia="宋体"/>
                              <w:lang w:val="en-US" w:eastAsia="zh-CN"/>
                            </w:rPr>
                          </w:pPr>
                          <w:r>
                            <w:rPr>
                              <w:rFonts w:hint="eastAsia"/>
                              <w:lang w:val="en-US" w:eastAsia="zh-CN"/>
                            </w:rPr>
                            <w:t>TA003和TA004套滤罐顶滤筒袋式除尘器</w:t>
                          </w:r>
                        </w:p>
                      </w:txbxContent>
                    </v:textbox>
                  </v:shape>
                  <v:shape id="_x0000_s1291" o:spid="_x0000_s1291" style="position:absolute;left:6548;top:973532;height:1;width:518;" filled="f" stroked="t" coordsize="518,1" path="m0,0hal518,0hae">
                    <v:path arrowok="t"/>
                    <v:fill on="f" focussize="0,0"/>
                    <v:stroke color="#000000" joinstyle="miter" startarrowlength="short" endarrow="block"/>
                    <v:imagedata o:title=""/>
                    <o:lock v:ext="edit" aspectratio="f"/>
                  </v:shape>
                  <v:shape id="_x0000_s1285" o:spid="_x0000_s1285" o:spt="202" type="#_x0000_t202" style="position:absolute;left:8940;top:971809;height:993;width:1476;" filled="f" stroked="f" coordsize="21600,21600">
                    <v:path/>
                    <v:fill on="f" focussize="0,0"/>
                    <v:stroke on="f" joinstyle="miter" startarrowlength="short"/>
                    <v:imagedata o:title=""/>
                    <o:lock v:ext="edit" aspectratio="f"/>
                    <v:textbox>
                      <w:txbxContent>
                        <w:p w14:paraId="0F4BE3F4">
                          <w:pPr>
                            <w:jc w:val="center"/>
                            <w:rPr>
                              <w:rFonts w:hint="default" w:eastAsia="宋体"/>
                              <w:lang w:val="en-US" w:eastAsia="zh-CN"/>
                            </w:rPr>
                          </w:pPr>
                          <w:r>
                            <w:rPr>
                              <w:rFonts w:hint="eastAsia"/>
                              <w:lang w:val="en-US" w:eastAsia="zh-CN"/>
                            </w:rPr>
                            <w:t>15m高DA001排气筒排放</w:t>
                          </w:r>
                        </w:p>
                      </w:txbxContent>
                    </v:textbox>
                  </v:shape>
                  <v:shape id="_x0000_s1288" o:spid="_x0000_s1288" o:spt="202" type="#_x0000_t202" style="position:absolute;left:7065;top:973280;height:476;width:1210;" filled="f" stroked="t" coordsize="21600,21600">
                    <v:path/>
                    <v:fill on="f" focussize="0,0"/>
                    <v:stroke color="#000000" joinstyle="miter" startarrowlength="short"/>
                    <v:imagedata o:title=""/>
                    <o:lock v:ext="edit" aspectratio="f"/>
                    <v:textbox>
                      <w:txbxContent>
                        <w:p w14:paraId="488FC1C1">
                          <w:pPr>
                            <w:jc w:val="center"/>
                            <w:rPr>
                              <w:rFonts w:hint="default" w:eastAsia="宋体"/>
                              <w:lang w:val="en-US" w:eastAsia="zh-CN"/>
                            </w:rPr>
                          </w:pPr>
                          <w:r>
                            <w:rPr>
                              <w:rFonts w:hint="eastAsia"/>
                              <w:lang w:val="en-US" w:eastAsia="zh-CN"/>
                            </w:rPr>
                            <w:t>引风机</w:t>
                          </w:r>
                        </w:p>
                      </w:txbxContent>
                    </v:textbox>
                  </v:shape>
                  <v:shape id="_x0000_s1297" o:spid="_x0000_s1297" style="position:absolute;left:8287;top:974817;height:1;width:770;" filled="f" stroked="t" coordsize="770,1" path="m0,0hal770,0hae">
                    <v:path arrowok="t"/>
                    <v:fill on="f" focussize="0,0"/>
                    <v:stroke color="#000000" joinstyle="miter" startarrowlength="short" endarrow="block"/>
                    <v:imagedata o:title=""/>
                    <o:lock v:ext="edit" aspectratio="f"/>
                  </v:shape>
                  <v:shape id="_x0000_s1295" o:spid="_x0000_s1295" o:spt="202" type="#_x0000_t202" style="position:absolute;left:2632;top:974606;height:492;width:1435;" filled="f" stroked="t" coordsize="21600,21600">
                    <v:path/>
                    <v:fill on="f" focussize="0,0"/>
                    <v:stroke color="#000000" joinstyle="miter" startarrowlength="short"/>
                    <v:imagedata o:title=""/>
                    <o:lock v:ext="edit" aspectratio="f"/>
                    <v:textbox>
                      <w:txbxContent>
                        <w:p w14:paraId="30CD61C5">
                          <w:pPr>
                            <w:jc w:val="center"/>
                            <w:rPr>
                              <w:rFonts w:hint="default" w:eastAsia="宋体"/>
                              <w:lang w:val="en-US" w:eastAsia="zh-CN"/>
                            </w:rPr>
                          </w:pPr>
                          <w:r>
                            <w:rPr>
                              <w:rFonts w:hint="eastAsia"/>
                              <w:lang w:val="en-US" w:eastAsia="zh-CN"/>
                            </w:rPr>
                            <w:t>2个水泥罐</w:t>
                          </w:r>
                        </w:p>
                      </w:txbxContent>
                    </v:textbox>
                  </v:shape>
                  <v:shape id="_x0000_s1299" o:spid="_x0000_s1299" style="position:absolute;left:4079;top:974833;height:1;width:518;" filled="f" stroked="t" coordsize="518,1" path="m0,0hal518,0hae">
                    <v:path arrowok="t"/>
                    <v:fill on="f" focussize="0,0"/>
                    <v:stroke color="#000000" joinstyle="miter" startarrowlength="short" endarrow="block"/>
                    <v:imagedata o:title=""/>
                    <o:lock v:ext="edit" aspectratio="f"/>
                  </v:shape>
                  <v:shape id="_x0000_s1281" o:spid="_x0000_s1281" o:spt="202" type="#_x0000_t202" style="position:absolute;left:4596;top:971712;height:995;width:1926;" filled="f" stroked="t" coordsize="21600,21600">
                    <v:path/>
                    <v:fill on="f" focussize="0,0"/>
                    <v:stroke color="#000000" joinstyle="miter" startarrowlength="short"/>
                    <v:imagedata o:title=""/>
                    <o:lock v:ext="edit" aspectratio="f"/>
                    <v:textbox>
                      <w:txbxContent>
                        <w:p w14:paraId="37D3F9E1">
                          <w:pPr>
                            <w:jc w:val="center"/>
                            <w:rPr>
                              <w:rFonts w:hint="default" w:eastAsia="宋体"/>
                              <w:lang w:val="en-US" w:eastAsia="zh-CN"/>
                            </w:rPr>
                          </w:pPr>
                          <w:r>
                            <w:rPr>
                              <w:rFonts w:hint="eastAsia"/>
                              <w:lang w:val="en-US" w:eastAsia="zh-CN"/>
                            </w:rPr>
                            <w:t>TA001和TA002套滤罐顶滤筒袋式除尘器</w:t>
                          </w:r>
                        </w:p>
                      </w:txbxContent>
                    </v:textbox>
                  </v:shape>
                  <v:shape id="_x0000_s1283" o:spid="_x0000_s1283" style="position:absolute;left:6548;top:972204;height:1;width:518;" filled="f" stroked="t" coordsize="518,1" path="m0,0hal518,0hae">
                    <v:path arrowok="t"/>
                    <v:fill on="f" focussize="0,0"/>
                    <v:stroke color="#000000" joinstyle="miter" startarrowlength="short" endarrow="block"/>
                    <v:imagedata o:title=""/>
                    <o:lock v:ext="edit" aspectratio="f"/>
                  </v:shape>
                  <v:shape id="_x0000_s1282" o:spid="_x0000_s1282" o:spt="202" type="#_x0000_t202" style="position:absolute;left:7065;top:971952;height:476;width:1210;" filled="f" stroked="t" coordsize="21600,21600">
                    <v:path/>
                    <v:fill on="f" focussize="0,0"/>
                    <v:stroke color="#000000" joinstyle="miter" startarrowlength="short"/>
                    <v:imagedata o:title=""/>
                    <o:lock v:ext="edit" aspectratio="f"/>
                    <v:textbox>
                      <w:txbxContent>
                        <w:p w14:paraId="58ED63BE">
                          <w:pPr>
                            <w:jc w:val="center"/>
                            <w:rPr>
                              <w:rFonts w:hint="default" w:eastAsia="宋体"/>
                              <w:lang w:val="en-US" w:eastAsia="zh-CN"/>
                            </w:rPr>
                          </w:pPr>
                          <w:r>
                            <w:rPr>
                              <w:rFonts w:hint="eastAsia"/>
                              <w:lang w:val="en-US" w:eastAsia="zh-CN"/>
                            </w:rPr>
                            <w:t>引风机</w:t>
                          </w:r>
                        </w:p>
                      </w:txbxContent>
                    </v:textbox>
                  </v:shape>
                  <v:shape id="_x0000_s1290" o:spid="_x0000_s1290" style="position:absolute;left:8287;top:973516;height:1;width:770;" filled="f" stroked="t" coordsize="770,1" path="m0,0hal770,0hae">
                    <v:path arrowok="t"/>
                    <v:fill on="f" focussize="0,0"/>
                    <v:stroke color="#000000" joinstyle="miter" startarrowlength="short" endarrow="block"/>
                    <v:imagedata o:title=""/>
                    <o:lock v:ext="edit" aspectratio="f"/>
                  </v:shape>
                  <v:shape id="_x0000_s1289" o:spid="_x0000_s1289" o:spt="202" type="#_x0000_t202" style="position:absolute;left:2632;top:973305;height:492;width:1435;" filled="f" stroked="t" coordsize="21600,21600">
                    <v:path/>
                    <v:fill on="f" focussize="0,0"/>
                    <v:stroke color="#000000" joinstyle="miter" startarrowlength="short"/>
                    <v:imagedata o:title=""/>
                    <o:lock v:ext="edit" aspectratio="f"/>
                    <v:textbox>
                      <w:txbxContent>
                        <w:p w14:paraId="031B5ABB">
                          <w:pPr>
                            <w:jc w:val="center"/>
                            <w:rPr>
                              <w:rFonts w:hint="default" w:eastAsia="宋体"/>
                              <w:lang w:val="en-US" w:eastAsia="zh-CN"/>
                            </w:rPr>
                          </w:pPr>
                          <w:r>
                            <w:rPr>
                              <w:rFonts w:hint="eastAsia"/>
                              <w:lang w:val="en-US" w:eastAsia="zh-CN"/>
                            </w:rPr>
                            <w:t>2个水泥罐</w:t>
                          </w:r>
                        </w:p>
                      </w:txbxContent>
                    </v:textbox>
                  </v:shape>
                  <v:shape id="_x0000_s1292" o:spid="_x0000_s1292" style="position:absolute;left:4079;top:973532;height:1;width:518;" filled="f" stroked="t" coordsize="518,1" path="m0,0hal518,0hae">
                    <v:path arrowok="t"/>
                    <v:fill on="f" focussize="0,0"/>
                    <v:stroke color="#000000" joinstyle="miter" startarrowlength="short" endarrow="block"/>
                    <v:imagedata o:title=""/>
                    <o:lock v:ext="edit" aspectratio="f"/>
                  </v:shape>
                  <v:shape id="_x0000_s1304" o:spid="_x0000_s1304" style="position:absolute;left:8287;top:976078;height:1;width:770;" filled="f" stroked="t" coordsize="770,1" path="m0,0hal770,0hae">
                    <v:path arrowok="t"/>
                    <v:fill on="f" focussize="0,0"/>
                    <v:stroke color="#000000" joinstyle="miter" startarrowlength="short" endarrow="block"/>
                    <v:imagedata o:title=""/>
                    <o:lock v:ext="edit" aspectratio="f"/>
                  </v:shape>
                  <v:shape id="_x0000_s1301" o:spid="_x0000_s1301" o:spt="202" type="#_x0000_t202" style="position:absolute;left:2632;top:975867;height:492;width:1435;" filled="f" stroked="t" coordsize="21600,21600">
                    <v:path/>
                    <v:fill on="f" focussize="0,0"/>
                    <v:stroke color="#000000" joinstyle="miter" startarrowlength="short"/>
                    <v:imagedata o:title=""/>
                    <o:lock v:ext="edit" aspectratio="f"/>
                    <v:textbox>
                      <w:txbxContent>
                        <w:p w14:paraId="7F502A9F">
                          <w:pPr>
                            <w:jc w:val="center"/>
                            <w:rPr>
                              <w:rFonts w:hint="default" w:eastAsia="宋体"/>
                              <w:lang w:val="en-US" w:eastAsia="zh-CN"/>
                            </w:rPr>
                          </w:pPr>
                          <w:r>
                            <w:rPr>
                              <w:rFonts w:hint="eastAsia"/>
                              <w:lang w:val="en-US" w:eastAsia="zh-CN"/>
                            </w:rPr>
                            <w:t>2个水泥罐</w:t>
                          </w:r>
                        </w:p>
                      </w:txbxContent>
                    </v:textbox>
                  </v:shape>
                  <v:shape id="_x0000_s1306" o:spid="_x0000_s1306" style="position:absolute;left:4079;top:976094;height:1;width:518;" filled="f" stroked="t" coordsize="518,1" path="m0,0hal518,0hae">
                    <v:path arrowok="t"/>
                    <v:fill on="f" focussize="0,0"/>
                    <v:stroke color="#000000" joinstyle="miter" startarrowlength="short" endarrow="block"/>
                    <v:imagedata o:title=""/>
                    <o:lock v:ext="edit" aspectratio="f"/>
                  </v:shape>
                  <v:shape id="_x0000_s1293" o:spid="_x0000_s1293" o:spt="202" type="#_x0000_t202" style="position:absolute;left:8940;top:974438;height:993;width:1476;" filled="f" stroked="f" coordsize="21600,21600">
                    <v:path/>
                    <v:fill on="f" focussize="0,0"/>
                    <v:stroke on="f"/>
                    <v:imagedata o:title=""/>
                    <o:lock v:ext="edit" aspectratio="f"/>
                    <v:textbox>
                      <w:txbxContent>
                        <w:p w14:paraId="02DBCBE2">
                          <w:pPr>
                            <w:jc w:val="center"/>
                            <w:rPr>
                              <w:rFonts w:hint="default" w:eastAsia="宋体"/>
                              <w:lang w:val="en-US" w:eastAsia="zh-CN"/>
                            </w:rPr>
                          </w:pPr>
                          <w:r>
                            <w:rPr>
                              <w:rFonts w:hint="eastAsia"/>
                              <w:lang w:val="en-US" w:eastAsia="zh-CN"/>
                            </w:rPr>
                            <w:t>15m高DA003排气筒排放</w:t>
                          </w:r>
                        </w:p>
                      </w:txbxContent>
                    </v:textbox>
                  </v:shape>
                  <v:shape id="_x0000_s1311" o:spid="_x0000_s1311" style="position:absolute;left:8287;top:977246;height:1;width:770;" filled="f" stroked="t" coordsize="770,1" path="m0,0hal770,0hae">
                    <v:path arrowok="t"/>
                    <v:fill on="f" focussize="0,0"/>
                    <v:stroke color="#000000" joinstyle="miter" startarrowlength="short" endarrow="block"/>
                    <v:imagedata o:title=""/>
                    <o:lock v:ext="edit" aspectratio="f"/>
                  </v:shape>
                  <v:shape id="_x0000_s1308" o:spid="_x0000_s1308" o:spt="202" type="#_x0000_t202" style="position:absolute;left:2632;top:977035;height:492;width:1435;" filled="f" stroked="t" coordsize="21600,21600">
                    <v:path/>
                    <v:fill on="f" focussize="0,0"/>
                    <v:stroke color="#000000" joinstyle="miter" startarrowlength="short"/>
                    <v:imagedata o:title=""/>
                    <o:lock v:ext="edit" aspectratio="f"/>
                    <v:textbox>
                      <w:txbxContent>
                        <w:p w14:paraId="3D86584F">
                          <w:pPr>
                            <w:jc w:val="center"/>
                            <w:rPr>
                              <w:rFonts w:hint="default" w:eastAsia="宋体"/>
                              <w:lang w:val="en-US" w:eastAsia="zh-CN"/>
                            </w:rPr>
                          </w:pPr>
                          <w:r>
                            <w:rPr>
                              <w:rFonts w:hint="eastAsia"/>
                              <w:lang w:val="en-US" w:eastAsia="zh-CN"/>
                            </w:rPr>
                            <w:t>2个水泥罐</w:t>
                          </w:r>
                        </w:p>
                      </w:txbxContent>
                    </v:textbox>
                  </v:shape>
                  <v:shape id="_x0000_s1313" o:spid="_x0000_s1313" style="position:absolute;left:4079;top:977262;height:1;width:518;" filled="f" stroked="t" coordsize="518,1" path="m0,0hal518,0hae">
                    <v:path arrowok="t"/>
                    <v:fill on="f" focussize="0,0"/>
                    <v:stroke color="#000000" joinstyle="miter" startarrowlength="short" endarrow="block"/>
                    <v:imagedata o:title=""/>
                    <o:lock v:ext="edit" aspectratio="f"/>
                  </v:shape>
                  <v:shape id="_x0000_s1303" o:spid="_x0000_s1303" o:spt="202" type="#_x0000_t202" style="position:absolute;left:8940;top:975699;height:993;width:1476;" filled="f" stroked="f" coordsize="21600,21600">
                    <v:path/>
                    <v:fill on="f" focussize="0,0"/>
                    <v:stroke on="f"/>
                    <v:imagedata o:title=""/>
                    <o:lock v:ext="edit" aspectratio="f"/>
                    <v:textbox>
                      <w:txbxContent>
                        <w:p w14:paraId="07CCD008">
                          <w:pPr>
                            <w:jc w:val="center"/>
                            <w:rPr>
                              <w:rFonts w:hint="default" w:eastAsia="宋体"/>
                              <w:lang w:val="en-US" w:eastAsia="zh-CN"/>
                            </w:rPr>
                          </w:pPr>
                          <w:r>
                            <w:rPr>
                              <w:rFonts w:hint="eastAsia"/>
                              <w:lang w:val="en-US" w:eastAsia="zh-CN"/>
                            </w:rPr>
                            <w:t>15m高DA004排气筒排放</w:t>
                          </w:r>
                        </w:p>
                      </w:txbxContent>
                    </v:textbox>
                  </v:shape>
                  <v:shape id="_x0000_s1302" o:spid="_x0000_s1302" o:spt="202" type="#_x0000_t202" style="position:absolute;left:4596;top:975602;height:995;width:1926;" filled="f" stroked="t" coordsize="21600,21600">
                    <v:path/>
                    <v:fill on="f" focussize="0,0"/>
                    <v:stroke color="#000000" joinstyle="miter" startarrowlength="short"/>
                    <v:imagedata o:title=""/>
                    <o:lock v:ext="edit" aspectratio="f"/>
                    <v:textbox>
                      <w:txbxContent>
                        <w:p w14:paraId="3C45D2AB">
                          <w:pPr>
                            <w:jc w:val="center"/>
                            <w:rPr>
                              <w:rFonts w:hint="default" w:eastAsia="宋体"/>
                              <w:lang w:val="en-US" w:eastAsia="zh-CN"/>
                            </w:rPr>
                          </w:pPr>
                          <w:r>
                            <w:rPr>
                              <w:rFonts w:hint="eastAsia"/>
                              <w:lang w:val="en-US" w:eastAsia="zh-CN"/>
                            </w:rPr>
                            <w:t>TA007和TA008套滤罐顶滤筒袋式除尘器</w:t>
                          </w:r>
                        </w:p>
                      </w:txbxContent>
                    </v:textbox>
                  </v:shape>
                  <v:shape id="_x0000_s1305" o:spid="_x0000_s1305" style="position:absolute;left:6548;top:976094;height:1;width:518;" filled="f" stroked="t" coordsize="518,1" path="m0,0hal518,0hae">
                    <v:path arrowok="t"/>
                    <v:fill on="f" focussize="0,0"/>
                    <v:stroke color="#000000" joinstyle="miter" startarrowlength="short" endarrow="block"/>
                    <v:imagedata o:title=""/>
                    <o:lock v:ext="edit" aspectratio="f"/>
                  </v:shape>
                  <v:shape id="_x0000_s1300" o:spid="_x0000_s1300" o:spt="202" type="#_x0000_t202" style="position:absolute;left:7065;top:975842;height:476;width:1210;" filled="f" stroked="t" coordsize="21600,21600">
                    <v:path/>
                    <v:fill on="f" focussize="0,0"/>
                    <v:stroke color="#000000" joinstyle="miter" startarrowlength="short"/>
                    <v:imagedata o:title=""/>
                    <o:lock v:ext="edit" aspectratio="f"/>
                    <v:textbox>
                      <w:txbxContent>
                        <w:p w14:paraId="59855A81">
                          <w:pPr>
                            <w:jc w:val="center"/>
                            <w:rPr>
                              <w:rFonts w:hint="default" w:eastAsia="宋体"/>
                              <w:lang w:val="en-US" w:eastAsia="zh-CN"/>
                            </w:rPr>
                          </w:pPr>
                          <w:r>
                            <w:rPr>
                              <w:rFonts w:hint="eastAsia"/>
                              <w:lang w:val="en-US" w:eastAsia="zh-CN"/>
                            </w:rPr>
                            <w:t>引风机</w:t>
                          </w:r>
                        </w:p>
                      </w:txbxContent>
                    </v:textbox>
                  </v:shape>
                  <v:shape id="_x0000_s1310" o:spid="_x0000_s1310" o:spt="202" type="#_x0000_t202" style="position:absolute;left:8940;top:976867;height:993;width:1476;" filled="f" stroked="f" coordsize="21600,21600">
                    <v:path/>
                    <v:fill on="f" focussize="0,0"/>
                    <v:stroke on="f"/>
                    <v:imagedata o:title=""/>
                    <o:lock v:ext="edit" aspectratio="f"/>
                    <v:textbox>
                      <w:txbxContent>
                        <w:p w14:paraId="0175A1F2">
                          <w:pPr>
                            <w:jc w:val="center"/>
                            <w:rPr>
                              <w:rFonts w:hint="default" w:eastAsia="宋体"/>
                              <w:lang w:val="en-US" w:eastAsia="zh-CN"/>
                            </w:rPr>
                          </w:pPr>
                          <w:r>
                            <w:rPr>
                              <w:rFonts w:hint="eastAsia"/>
                              <w:lang w:val="en-US" w:eastAsia="zh-CN"/>
                            </w:rPr>
                            <w:t>15m高DA005排气筒排放</w:t>
                          </w:r>
                        </w:p>
                      </w:txbxContent>
                    </v:textbox>
                  </v:shape>
                  <v:shape id="_x0000_s1309" o:spid="_x0000_s1309" o:spt="202" type="#_x0000_t202" style="position:absolute;left:4596;top:976770;height:995;width:1926;" filled="f" stroked="t" coordsize="21600,21600">
                    <v:path/>
                    <v:fill on="f" focussize="0,0"/>
                    <v:stroke color="#000000" joinstyle="miter" startarrowlength="short"/>
                    <v:imagedata o:title=""/>
                    <o:lock v:ext="edit" aspectratio="f"/>
                    <v:textbox>
                      <w:txbxContent>
                        <w:p w14:paraId="23864FB6">
                          <w:pPr>
                            <w:jc w:val="center"/>
                            <w:rPr>
                              <w:rFonts w:hint="default" w:eastAsia="宋体"/>
                              <w:lang w:val="en-US" w:eastAsia="zh-CN"/>
                            </w:rPr>
                          </w:pPr>
                          <w:r>
                            <w:rPr>
                              <w:rFonts w:hint="eastAsia"/>
                              <w:lang w:val="en-US" w:eastAsia="zh-CN"/>
                            </w:rPr>
                            <w:t>TA009和TA010套滤罐顶滤筒袋式除尘器</w:t>
                          </w:r>
                        </w:p>
                      </w:txbxContent>
                    </v:textbox>
                  </v:shape>
                  <v:shape id="_x0000_s1312" o:spid="_x0000_s1312" style="position:absolute;left:6548;top:977262;height:1;width:518;" filled="f" stroked="t" coordsize="518,1" path="m0,0hal518,0hae">
                    <v:path arrowok="t"/>
                    <v:fill on="f" focussize="0,0"/>
                    <v:stroke color="#000000" joinstyle="miter" startarrowlength="short" endarrow="block"/>
                    <v:imagedata o:title=""/>
                    <o:lock v:ext="edit" aspectratio="f"/>
                  </v:shape>
                  <v:shape id="_x0000_s1307" o:spid="_x0000_s1307" o:spt="202" type="#_x0000_t202" style="position:absolute;left:7065;top:977010;height:476;width:1210;" filled="f" stroked="t" coordsize="21600,21600">
                    <v:path/>
                    <v:fill on="f" focussize="0,0"/>
                    <v:stroke color="#000000" joinstyle="miter" startarrowlength="short"/>
                    <v:imagedata o:title=""/>
                    <o:lock v:ext="edit" aspectratio="f"/>
                    <v:textbox>
                      <w:txbxContent>
                        <w:p w14:paraId="23DE9251">
                          <w:pPr>
                            <w:jc w:val="center"/>
                            <w:rPr>
                              <w:rFonts w:hint="default" w:eastAsia="宋体"/>
                              <w:lang w:val="en-US" w:eastAsia="zh-CN"/>
                            </w:rPr>
                          </w:pPr>
                          <w:r>
                            <w:rPr>
                              <w:rFonts w:hint="eastAsia"/>
                              <w:lang w:val="en-US" w:eastAsia="zh-CN"/>
                            </w:rPr>
                            <w:t>引风机</w:t>
                          </w:r>
                        </w:p>
                      </w:txbxContent>
                    </v:textbox>
                  </v:shape>
                  <w10:wrap type="none"/>
                  <w10:anchorlock/>
                </v:group>
              </w:pict>
            </w:r>
          </w:p>
          <w:p w14:paraId="431EE29E">
            <w:pPr>
              <w:pStyle w:val="68"/>
              <w:numPr>
                <w:ilvl w:val="0"/>
                <w:numId w:val="0"/>
              </w:numPr>
              <w:jc w:val="center"/>
              <w:rPr>
                <w:rFonts w:hint="default" w:eastAsia="宋体"/>
                <w:b/>
                <w:bCs/>
                <w:color w:val="auto"/>
                <w:sz w:val="24"/>
                <w:lang w:val="en-US" w:eastAsia="zh-CN"/>
              </w:rPr>
            </w:pPr>
            <w:r>
              <w:rPr>
                <w:rFonts w:hint="eastAsia"/>
                <w:b/>
                <w:bCs/>
                <w:color w:val="auto"/>
                <w:sz w:val="24"/>
                <w:lang w:val="en-US" w:eastAsia="zh-CN"/>
              </w:rPr>
              <w:t>图4.2-1 项目水泥罐筒仓粉尘处理工艺</w:t>
            </w:r>
          </w:p>
          <w:p w14:paraId="3E80EC92">
            <w:pPr>
              <w:spacing w:line="360" w:lineRule="auto"/>
              <w:ind w:firstLine="480" w:firstLineChars="200"/>
              <w:rPr>
                <w:color w:val="auto"/>
                <w:sz w:val="24"/>
              </w:rPr>
            </w:pPr>
            <w:r>
              <w:rPr>
                <w:rFonts w:hint="eastAsia"/>
                <w:color w:val="auto"/>
                <w:sz w:val="24"/>
                <w:shd w:val="clear" w:fill="FFFFFF"/>
              </w:rPr>
              <w:t>(</w:t>
            </w:r>
            <w:r>
              <w:rPr>
                <w:rFonts w:hint="eastAsia"/>
                <w:color w:val="auto"/>
                <w:sz w:val="24"/>
              </w:rPr>
              <w:t>1</w:t>
            </w:r>
            <w:r>
              <w:rPr>
                <w:rFonts w:hint="eastAsia"/>
                <w:color w:val="auto"/>
                <w:sz w:val="24"/>
                <w:shd w:val="clear" w:fill="FFFFFF"/>
              </w:rPr>
              <w:t>)</w:t>
            </w:r>
            <w:r>
              <w:rPr>
                <w:rFonts w:hint="eastAsia"/>
                <w:color w:val="auto"/>
                <w:sz w:val="24"/>
              </w:rPr>
              <w:t>滤筒</w:t>
            </w:r>
            <w:r>
              <w:rPr>
                <w:color w:val="auto"/>
                <w:sz w:val="24"/>
              </w:rPr>
              <w:t>除尘器：</w:t>
            </w:r>
            <w:r>
              <w:rPr>
                <w:rFonts w:hint="eastAsia"/>
                <w:color w:val="auto"/>
                <w:sz w:val="24"/>
                <w:lang w:eastAsia="zh-CN"/>
              </w:rPr>
              <w:t>迁建项目</w:t>
            </w:r>
            <w:r>
              <w:rPr>
                <w:rFonts w:hint="eastAsia"/>
                <w:color w:val="auto"/>
                <w:sz w:val="24"/>
              </w:rPr>
              <w:t>水泥罐呼吸</w:t>
            </w:r>
            <w:r>
              <w:rPr>
                <w:color w:val="auto"/>
                <w:sz w:val="24"/>
              </w:rPr>
              <w:t>产生的粉尘经</w:t>
            </w:r>
            <w:r>
              <w:rPr>
                <w:rFonts w:hint="eastAsia"/>
                <w:color w:val="auto"/>
                <w:sz w:val="24"/>
              </w:rPr>
              <w:t>配套的滤筒</w:t>
            </w:r>
            <w:r>
              <w:rPr>
                <w:color w:val="auto"/>
                <w:sz w:val="24"/>
              </w:rPr>
              <w:t>除尘器处理</w:t>
            </w:r>
            <w:r>
              <w:rPr>
                <w:rFonts w:hint="eastAsia"/>
                <w:color w:val="auto"/>
                <w:sz w:val="24"/>
              </w:rPr>
              <w:t>后</w:t>
            </w:r>
            <w:r>
              <w:rPr>
                <w:color w:val="auto"/>
                <w:sz w:val="24"/>
              </w:rPr>
              <w:t>无组织排放。</w:t>
            </w:r>
          </w:p>
          <w:p w14:paraId="60664AAF">
            <w:pPr>
              <w:spacing w:line="360" w:lineRule="auto"/>
              <w:ind w:firstLine="480" w:firstLineChars="200"/>
              <w:rPr>
                <w:color w:val="auto"/>
                <w:sz w:val="24"/>
              </w:rPr>
            </w:pPr>
            <w:r>
              <w:rPr>
                <w:color w:val="auto"/>
                <w:sz w:val="24"/>
              </w:rPr>
              <w:t>滤筒除尘器的结构组成一般包括进风管、排风管、箱体、灰斗、清灰装置、导流装置、气流分流分布板、滤筒及电控装置等。其关键元件——滤筒，是设备中的过滤元件，依靠表面的微小透气组织过滤空气中的颗粒物。</w:t>
            </w:r>
          </w:p>
          <w:p w14:paraId="1E36CDAD">
            <w:pPr>
              <w:spacing w:line="360" w:lineRule="auto"/>
              <w:ind w:firstLine="480" w:firstLineChars="200"/>
              <w:rPr>
                <w:color w:val="auto"/>
                <w:sz w:val="24"/>
              </w:rPr>
            </w:pPr>
            <w:r>
              <w:rPr>
                <w:rFonts w:hint="eastAsia"/>
                <w:color w:val="auto"/>
                <w:sz w:val="24"/>
              </w:rPr>
              <w:t>滤筒</w:t>
            </w:r>
            <w:r>
              <w:rPr>
                <w:color w:val="auto"/>
                <w:sz w:val="24"/>
              </w:rPr>
              <w:t>除尘器工作原理：</w:t>
            </w:r>
          </w:p>
          <w:p w14:paraId="4046491A">
            <w:pPr>
              <w:spacing w:line="360" w:lineRule="auto"/>
              <w:ind w:firstLine="480" w:firstLineChars="200"/>
              <w:rPr>
                <w:color w:val="auto"/>
                <w:sz w:val="24"/>
              </w:rPr>
            </w:pPr>
            <w:r>
              <w:rPr>
                <w:color w:val="auto"/>
                <w:sz w:val="24"/>
              </w:rPr>
              <w:t>A.过滤原理‌：含尘气体进入除尘器的灰斗后，由于气流断面突然扩大及气流分布板的作用，气流中一部分粗大颗粒在动和惯性力作用下沉降在灰斗中。粒度细、密度小的尘粒进入滤尘室后，通过布朗扩散和筛滤等组合效应，使粉尘沉积在滤筒表面上，净化后的气体进入净气室由排气管排出。</w:t>
            </w:r>
          </w:p>
          <w:p w14:paraId="7F9C110E">
            <w:pPr>
              <w:spacing w:line="360" w:lineRule="auto"/>
              <w:ind w:firstLine="480" w:firstLineChars="200"/>
              <w:rPr>
                <w:color w:val="auto"/>
                <w:sz w:val="24"/>
              </w:rPr>
            </w:pPr>
            <w:r>
              <w:rPr>
                <w:color w:val="auto"/>
                <w:sz w:val="24"/>
              </w:rPr>
              <w:t>B.‌清灰原理‌：滤筒除尘器的清灰方式主要</w:t>
            </w:r>
            <w:r>
              <w:rPr>
                <w:rFonts w:hint="eastAsia"/>
                <w:color w:val="auto"/>
                <w:sz w:val="24"/>
              </w:rPr>
              <w:t>为</w:t>
            </w:r>
            <w:r>
              <w:rPr>
                <w:color w:val="auto"/>
                <w:sz w:val="24"/>
              </w:rPr>
              <w:t>机械振动</w:t>
            </w:r>
            <w:r>
              <w:rPr>
                <w:rFonts w:hint="eastAsia"/>
                <w:color w:val="auto"/>
                <w:sz w:val="24"/>
              </w:rPr>
              <w:t>，</w:t>
            </w:r>
            <w:r>
              <w:rPr>
                <w:color w:val="auto"/>
                <w:sz w:val="24"/>
              </w:rPr>
              <w:t>通过</w:t>
            </w:r>
            <w:r>
              <w:rPr>
                <w:rFonts w:hint="eastAsia"/>
                <w:color w:val="auto"/>
                <w:sz w:val="24"/>
                <w:lang w:eastAsia="zh-CN"/>
              </w:rPr>
              <w:t>机械振动</w:t>
            </w:r>
            <w:r>
              <w:rPr>
                <w:color w:val="auto"/>
                <w:sz w:val="24"/>
              </w:rPr>
              <w:t>去除滤筒上的灰尘</w:t>
            </w:r>
            <w:r>
              <w:rPr>
                <w:rFonts w:hint="eastAsia"/>
                <w:color w:val="auto"/>
                <w:sz w:val="24"/>
              </w:rPr>
              <w:t>。</w:t>
            </w:r>
          </w:p>
          <w:p w14:paraId="4BE35A61">
            <w:pPr>
              <w:spacing w:line="360" w:lineRule="auto"/>
              <w:ind w:firstLine="480" w:firstLineChars="200"/>
              <w:rPr>
                <w:rFonts w:ascii="宋体" w:hAnsi="宋体" w:cs="宋体"/>
                <w:color w:val="auto"/>
                <w:sz w:val="24"/>
              </w:rPr>
            </w:pPr>
            <w:r>
              <w:rPr>
                <w:rFonts w:hint="eastAsia"/>
                <w:color w:val="auto"/>
                <w:sz w:val="24"/>
              </w:rPr>
              <w:t>根据《排放源统计调查产排污核算方法和系数手册》</w:t>
            </w:r>
            <w:r>
              <w:rPr>
                <w:rFonts w:hint="eastAsia"/>
                <w:color w:val="auto"/>
                <w:sz w:val="24"/>
                <w:shd w:val="clear" w:fill="FFFFFF"/>
                <w:lang w:eastAsia="zh-CN"/>
              </w:rPr>
              <w:t>(</w:t>
            </w:r>
            <w:r>
              <w:rPr>
                <w:rFonts w:hint="eastAsia"/>
                <w:color w:val="auto"/>
                <w:sz w:val="24"/>
              </w:rPr>
              <w:t>生态环境部公告2021年第24号</w:t>
            </w:r>
            <w:r>
              <w:rPr>
                <w:rFonts w:hint="eastAsia"/>
                <w:color w:val="auto"/>
                <w:sz w:val="24"/>
                <w:shd w:val="clear" w:fill="FFFFFF"/>
                <w:lang w:eastAsia="zh-CN"/>
              </w:rPr>
              <w:t>)</w:t>
            </w:r>
            <w:r>
              <w:rPr>
                <w:rFonts w:hint="eastAsia"/>
                <w:color w:val="auto"/>
                <w:sz w:val="24"/>
              </w:rPr>
              <w:t>中《3021水泥制品制造</w:t>
            </w:r>
            <w:r>
              <w:rPr>
                <w:rFonts w:hint="eastAsia"/>
                <w:color w:val="auto"/>
                <w:sz w:val="24"/>
                <w:shd w:val="clear" w:fill="FFFFFF"/>
                <w:lang w:eastAsia="zh-CN"/>
              </w:rPr>
              <w:t>(</w:t>
            </w:r>
            <w:r>
              <w:rPr>
                <w:rFonts w:hint="eastAsia"/>
                <w:color w:val="auto"/>
                <w:sz w:val="24"/>
                <w:lang w:eastAsia="zh-CN"/>
              </w:rPr>
              <w:t>含3022砼结构构件、3029其他水泥类似制品制造</w:t>
            </w:r>
            <w:r>
              <w:rPr>
                <w:rFonts w:hint="eastAsia"/>
                <w:color w:val="auto"/>
                <w:sz w:val="24"/>
                <w:shd w:val="clear" w:fill="FFFFFF"/>
                <w:lang w:eastAsia="zh-CN"/>
              </w:rPr>
              <w:t>)</w:t>
            </w:r>
            <w:r>
              <w:rPr>
                <w:rFonts w:hint="eastAsia"/>
                <w:color w:val="auto"/>
                <w:sz w:val="24"/>
                <w:lang w:eastAsia="zh-CN"/>
              </w:rPr>
              <w:t>》</w:t>
            </w:r>
            <w:r>
              <w:rPr>
                <w:rFonts w:hint="eastAsia"/>
                <w:color w:val="auto"/>
                <w:sz w:val="24"/>
              </w:rPr>
              <w:t>行业产污表，袋式除尘治理效率为99.7%，本环评</w:t>
            </w:r>
            <w:r>
              <w:rPr>
                <w:rFonts w:hint="eastAsia"/>
                <w:color w:val="auto"/>
                <w:sz w:val="24"/>
                <w:lang w:val="en-US" w:eastAsia="zh-CN"/>
              </w:rPr>
              <w:t>取</w:t>
            </w:r>
            <w:r>
              <w:rPr>
                <w:rFonts w:hint="eastAsia"/>
                <w:color w:val="auto"/>
                <w:sz w:val="24"/>
              </w:rPr>
              <w:t>99%</w:t>
            </w:r>
            <w:r>
              <w:rPr>
                <w:rFonts w:hint="eastAsia"/>
                <w:color w:val="auto"/>
                <w:sz w:val="24"/>
                <w:lang w:eastAsia="zh-CN"/>
              </w:rPr>
              <w:t>，</w:t>
            </w:r>
            <w:r>
              <w:rPr>
                <w:rFonts w:hint="eastAsia"/>
                <w:color w:val="auto"/>
                <w:sz w:val="24"/>
                <w:lang w:val="en-US" w:eastAsia="zh-CN"/>
              </w:rPr>
              <w:t>则</w:t>
            </w:r>
            <w:r>
              <w:rPr>
                <w:rFonts w:hint="eastAsia" w:ascii="宋体" w:hAnsi="宋体" w:cs="宋体"/>
                <w:color w:val="auto"/>
                <w:sz w:val="24"/>
              </w:rPr>
              <w:t>滤筒</w:t>
            </w:r>
            <w:r>
              <w:rPr>
                <w:rFonts w:ascii="宋体" w:hAnsi="宋体" w:cs="宋体"/>
                <w:color w:val="auto"/>
                <w:sz w:val="24"/>
              </w:rPr>
              <w:t>除尘器可满足</w:t>
            </w:r>
            <w:r>
              <w:rPr>
                <w:rFonts w:hint="eastAsia" w:ascii="宋体" w:hAnsi="宋体" w:cs="宋体"/>
                <w:color w:val="auto"/>
                <w:sz w:val="24"/>
                <w:lang w:eastAsia="zh-CN"/>
              </w:rPr>
              <w:t>迁建项目</w:t>
            </w:r>
            <w:r>
              <w:rPr>
                <w:rFonts w:hint="eastAsia" w:ascii="宋体" w:hAnsi="宋体" w:cs="宋体"/>
                <w:color w:val="auto"/>
                <w:sz w:val="24"/>
              </w:rPr>
              <w:t>水泥罐呼吸</w:t>
            </w:r>
            <w:r>
              <w:rPr>
                <w:rFonts w:ascii="宋体" w:hAnsi="宋体" w:cs="宋体"/>
                <w:color w:val="auto"/>
                <w:sz w:val="24"/>
              </w:rPr>
              <w:t>粉尘处理要求。</w:t>
            </w:r>
          </w:p>
          <w:p w14:paraId="5F9DBE96">
            <w:pPr>
              <w:spacing w:line="360" w:lineRule="auto"/>
              <w:ind w:firstLine="480" w:firstLineChars="200"/>
              <w:rPr>
                <w:rFonts w:hint="eastAsia" w:eastAsia="宋体"/>
                <w:color w:val="auto"/>
                <w:sz w:val="24"/>
                <w:lang w:eastAsia="zh-CN"/>
              </w:rPr>
            </w:pPr>
            <w:r>
              <w:rPr>
                <w:rFonts w:hint="eastAsia" w:ascii="宋体" w:hAnsi="宋体" w:cs="宋体"/>
                <w:color w:val="auto"/>
                <w:sz w:val="24"/>
                <w:lang w:val="en-US" w:eastAsia="zh-CN"/>
              </w:rPr>
              <w:t>综上所述，项目选用的废气处理设施是合理可行的</w:t>
            </w:r>
            <w:r>
              <w:rPr>
                <w:rFonts w:hint="eastAsia" w:ascii="宋体" w:hAnsi="宋体" w:cs="宋体"/>
                <w:color w:val="auto"/>
                <w:sz w:val="24"/>
                <w:lang w:eastAsia="zh-CN"/>
              </w:rPr>
              <w:t>。</w:t>
            </w:r>
          </w:p>
          <w:bookmarkEnd w:id="104"/>
          <w:p w14:paraId="1443FE8D">
            <w:pPr>
              <w:pStyle w:val="68"/>
              <w:ind w:firstLine="482"/>
              <w:rPr>
                <w:b/>
                <w:bCs/>
                <w:color w:val="auto"/>
                <w:kern w:val="2"/>
                <w:sz w:val="24"/>
                <w:szCs w:val="24"/>
              </w:rPr>
            </w:pPr>
            <w:r>
              <w:rPr>
                <w:rFonts w:hint="eastAsia"/>
                <w:b/>
                <w:bCs/>
                <w:color w:val="auto"/>
                <w:kern w:val="2"/>
                <w:sz w:val="24"/>
                <w:szCs w:val="24"/>
              </w:rPr>
              <w:t>4</w:t>
            </w:r>
            <w:r>
              <w:rPr>
                <w:b/>
                <w:bCs/>
                <w:color w:val="auto"/>
                <w:kern w:val="2"/>
                <w:sz w:val="24"/>
                <w:szCs w:val="24"/>
              </w:rPr>
              <w:t>、</w:t>
            </w:r>
            <w:r>
              <w:rPr>
                <w:rFonts w:hint="eastAsia"/>
                <w:b/>
                <w:bCs/>
                <w:color w:val="auto"/>
                <w:kern w:val="2"/>
                <w:sz w:val="24"/>
                <w:szCs w:val="24"/>
              </w:rPr>
              <w:t>废气非正常情况排放</w:t>
            </w:r>
            <w:r>
              <w:rPr>
                <w:b/>
                <w:bCs/>
                <w:color w:val="auto"/>
                <w:kern w:val="2"/>
                <w:sz w:val="24"/>
                <w:szCs w:val="24"/>
              </w:rPr>
              <w:t>分析</w:t>
            </w:r>
          </w:p>
          <w:p w14:paraId="6E95B94D">
            <w:pPr>
              <w:spacing w:line="360" w:lineRule="auto"/>
              <w:ind w:firstLine="480" w:firstLineChars="200"/>
              <w:rPr>
                <w:bCs/>
                <w:color w:val="auto"/>
                <w:sz w:val="24"/>
              </w:rPr>
            </w:pPr>
            <w:r>
              <w:rPr>
                <w:bCs/>
                <w:color w:val="auto"/>
                <w:sz w:val="24"/>
              </w:rPr>
              <w:t>非正常排放主要指生产过程中开、停车、检修、发生一般性故障时污染物排放。非正常排放大小及频率与生产装置的工艺水平、操作管理水平等因素有密切关系，若没有严格的处理措施，往往是造成环境污染的重要因素。对工程而言，重点关注环保设施非正常排放。</w:t>
            </w:r>
          </w:p>
          <w:p w14:paraId="18681D6A">
            <w:pPr>
              <w:spacing w:line="360" w:lineRule="auto"/>
              <w:ind w:firstLine="480" w:firstLineChars="200"/>
              <w:rPr>
                <w:bCs/>
                <w:color w:val="auto"/>
                <w:sz w:val="24"/>
              </w:rPr>
            </w:pPr>
            <w:r>
              <w:rPr>
                <w:bCs/>
                <w:color w:val="auto"/>
                <w:sz w:val="24"/>
                <w:shd w:val="clear" w:fill="FFFFFF"/>
              </w:rPr>
              <w:t>(</w:t>
            </w:r>
            <w:r>
              <w:rPr>
                <w:bCs/>
                <w:color w:val="auto"/>
                <w:sz w:val="24"/>
              </w:rPr>
              <w:t>1</w:t>
            </w:r>
            <w:r>
              <w:rPr>
                <w:bCs/>
                <w:color w:val="auto"/>
                <w:sz w:val="24"/>
                <w:shd w:val="clear" w:fill="FFFFFF"/>
              </w:rPr>
              <w:t>)</w:t>
            </w:r>
            <w:r>
              <w:rPr>
                <w:bCs/>
                <w:color w:val="auto"/>
                <w:sz w:val="24"/>
              </w:rPr>
              <w:t>开、停车过程</w:t>
            </w:r>
          </w:p>
          <w:p w14:paraId="77C5F356">
            <w:pPr>
              <w:spacing w:line="360" w:lineRule="auto"/>
              <w:ind w:firstLine="480" w:firstLineChars="200"/>
              <w:rPr>
                <w:bCs/>
                <w:color w:val="auto"/>
                <w:sz w:val="24"/>
              </w:rPr>
            </w:pPr>
            <w:r>
              <w:rPr>
                <w:bCs/>
                <w:color w:val="auto"/>
                <w:sz w:val="24"/>
              </w:rPr>
              <w:t>项目生产工艺较简单，开、停车和正常生产时</w:t>
            </w:r>
            <w:r>
              <w:rPr>
                <w:rFonts w:hint="eastAsia"/>
                <w:bCs/>
                <w:color w:val="auto"/>
                <w:sz w:val="24"/>
              </w:rPr>
              <w:t>各类</w:t>
            </w:r>
            <w:r>
              <w:rPr>
                <w:bCs/>
                <w:color w:val="auto"/>
                <w:sz w:val="24"/>
              </w:rPr>
              <w:t>废气的产生环节相同，污染源强也变化不大；而且开、停车过程中，应启动</w:t>
            </w:r>
            <w:r>
              <w:rPr>
                <w:rFonts w:hint="eastAsia"/>
                <w:bCs/>
                <w:color w:val="auto"/>
                <w:sz w:val="24"/>
              </w:rPr>
              <w:t>各类</w:t>
            </w:r>
            <w:r>
              <w:rPr>
                <w:bCs/>
                <w:color w:val="auto"/>
                <w:sz w:val="24"/>
              </w:rPr>
              <w:t>废气污染治理设施并处于正常运行状态。</w:t>
            </w:r>
          </w:p>
          <w:p w14:paraId="14DF292C">
            <w:pPr>
              <w:spacing w:line="360" w:lineRule="auto"/>
              <w:ind w:firstLine="480" w:firstLineChars="200"/>
              <w:rPr>
                <w:bCs/>
                <w:color w:val="auto"/>
                <w:sz w:val="24"/>
              </w:rPr>
            </w:pPr>
            <w:r>
              <w:rPr>
                <w:bCs/>
                <w:color w:val="auto"/>
                <w:sz w:val="24"/>
                <w:shd w:val="clear" w:fill="FFFFFF"/>
              </w:rPr>
              <w:t>(</w:t>
            </w:r>
            <w:r>
              <w:rPr>
                <w:bCs/>
                <w:color w:val="auto"/>
                <w:sz w:val="24"/>
              </w:rPr>
              <w:t>2</w:t>
            </w:r>
            <w:r>
              <w:rPr>
                <w:bCs/>
                <w:color w:val="auto"/>
                <w:sz w:val="24"/>
                <w:shd w:val="clear" w:fill="FFFFFF"/>
              </w:rPr>
              <w:t>)</w:t>
            </w:r>
            <w:r>
              <w:rPr>
                <w:bCs/>
                <w:color w:val="auto"/>
                <w:sz w:val="24"/>
              </w:rPr>
              <w:t>检修</w:t>
            </w:r>
          </w:p>
          <w:p w14:paraId="0F6E96E0">
            <w:pPr>
              <w:spacing w:line="360" w:lineRule="auto"/>
              <w:ind w:firstLine="480" w:firstLineChars="200"/>
              <w:rPr>
                <w:bCs/>
                <w:color w:val="auto"/>
                <w:sz w:val="24"/>
              </w:rPr>
            </w:pPr>
            <w:r>
              <w:rPr>
                <w:bCs/>
                <w:color w:val="auto"/>
                <w:sz w:val="24"/>
              </w:rPr>
              <w:t>项目检修过程停止生产，因此不产生污染物。</w:t>
            </w:r>
          </w:p>
          <w:p w14:paraId="73468F02">
            <w:pPr>
              <w:spacing w:line="360" w:lineRule="auto"/>
              <w:ind w:firstLine="480" w:firstLineChars="200"/>
              <w:rPr>
                <w:bCs/>
                <w:color w:val="auto"/>
                <w:sz w:val="24"/>
              </w:rPr>
            </w:pPr>
            <w:r>
              <w:rPr>
                <w:bCs/>
                <w:color w:val="auto"/>
                <w:sz w:val="24"/>
                <w:shd w:val="clear" w:fill="FFFFFF"/>
              </w:rPr>
              <w:t>(</w:t>
            </w:r>
            <w:r>
              <w:rPr>
                <w:bCs/>
                <w:color w:val="auto"/>
                <w:sz w:val="24"/>
              </w:rPr>
              <w:t>3</w:t>
            </w:r>
            <w:r>
              <w:rPr>
                <w:bCs/>
                <w:color w:val="auto"/>
                <w:sz w:val="24"/>
                <w:shd w:val="clear" w:fill="FFFFFF"/>
              </w:rPr>
              <w:t>)</w:t>
            </w:r>
            <w:r>
              <w:rPr>
                <w:bCs/>
                <w:color w:val="auto"/>
                <w:sz w:val="24"/>
              </w:rPr>
              <w:t>环保设施发生故障</w:t>
            </w:r>
          </w:p>
          <w:p w14:paraId="0F8BD590">
            <w:pPr>
              <w:spacing w:line="360" w:lineRule="auto"/>
              <w:ind w:firstLine="480" w:firstLineChars="200"/>
              <w:rPr>
                <w:bCs/>
                <w:color w:val="auto"/>
                <w:sz w:val="24"/>
              </w:rPr>
            </w:pPr>
            <w:r>
              <w:rPr>
                <w:rFonts w:hint="eastAsia"/>
                <w:bCs/>
                <w:color w:val="auto"/>
                <w:sz w:val="24"/>
                <w:lang w:eastAsia="zh-CN"/>
              </w:rPr>
              <w:t>迁建项目</w:t>
            </w:r>
            <w:r>
              <w:rPr>
                <w:rFonts w:hint="eastAsia"/>
                <w:bCs/>
                <w:color w:val="auto"/>
                <w:sz w:val="24"/>
              </w:rPr>
              <w:t>主要考虑水泥罐呼吸粉尘处理措施滤筒除尘器的布袋部分破损</w:t>
            </w:r>
            <w:r>
              <w:rPr>
                <w:rFonts w:hint="eastAsia"/>
                <w:bCs/>
                <w:color w:val="auto"/>
                <w:sz w:val="24"/>
                <w:lang w:eastAsia="zh-CN"/>
              </w:rPr>
              <w:t>，</w:t>
            </w:r>
            <w:r>
              <w:rPr>
                <w:bCs/>
                <w:color w:val="auto"/>
                <w:sz w:val="24"/>
              </w:rPr>
              <w:t>环保设施发生故障</w:t>
            </w:r>
            <w:r>
              <w:rPr>
                <w:rFonts w:hint="eastAsia"/>
                <w:bCs/>
                <w:color w:val="auto"/>
                <w:sz w:val="24"/>
                <w:lang w:eastAsia="zh-CN"/>
              </w:rPr>
              <w:t>时</w:t>
            </w:r>
            <w:r>
              <w:rPr>
                <w:bCs/>
                <w:color w:val="auto"/>
                <w:sz w:val="24"/>
              </w:rPr>
              <w:t>废气排放情况见表4</w:t>
            </w:r>
            <w:r>
              <w:rPr>
                <w:rFonts w:hint="eastAsia"/>
                <w:bCs/>
                <w:color w:val="auto"/>
                <w:sz w:val="24"/>
              </w:rPr>
              <w:t>.2-2</w:t>
            </w:r>
            <w:r>
              <w:rPr>
                <w:bCs/>
                <w:color w:val="auto"/>
                <w:sz w:val="24"/>
              </w:rPr>
              <w:t>。</w:t>
            </w:r>
          </w:p>
          <w:p w14:paraId="20847F5D">
            <w:pPr>
              <w:jc w:val="center"/>
              <w:rPr>
                <w:b/>
                <w:color w:val="auto"/>
                <w:sz w:val="24"/>
              </w:rPr>
            </w:pPr>
            <w:r>
              <w:rPr>
                <w:b/>
                <w:color w:val="auto"/>
                <w:sz w:val="24"/>
              </w:rPr>
              <w:t>表</w:t>
            </w:r>
            <w:r>
              <w:rPr>
                <w:rFonts w:hint="eastAsia"/>
                <w:b/>
                <w:color w:val="auto"/>
                <w:sz w:val="24"/>
              </w:rPr>
              <w:t>4.2-2</w:t>
            </w:r>
            <w:r>
              <w:rPr>
                <w:b/>
                <w:color w:val="auto"/>
                <w:sz w:val="24"/>
              </w:rPr>
              <w:t xml:space="preserve">  </w:t>
            </w:r>
            <w:r>
              <w:rPr>
                <w:rFonts w:hint="eastAsia"/>
                <w:b/>
                <w:color w:val="auto"/>
                <w:sz w:val="24"/>
              </w:rPr>
              <w:t>环保设施发生故障</w:t>
            </w:r>
            <w:r>
              <w:rPr>
                <w:rFonts w:hint="eastAsia"/>
                <w:b/>
                <w:color w:val="auto"/>
                <w:sz w:val="24"/>
                <w:lang w:eastAsia="zh-CN"/>
              </w:rPr>
              <w:t>时</w:t>
            </w:r>
            <w:r>
              <w:rPr>
                <w:rFonts w:hint="eastAsia"/>
                <w:b/>
                <w:color w:val="auto"/>
                <w:sz w:val="24"/>
              </w:rPr>
              <w:t>废气排放情况一览表</w:t>
            </w:r>
          </w:p>
          <w:tbl>
            <w:tblPr>
              <w:tblStyle w:val="132"/>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59"/>
              <w:gridCol w:w="998"/>
              <w:gridCol w:w="1334"/>
              <w:gridCol w:w="687"/>
              <w:gridCol w:w="550"/>
              <w:gridCol w:w="960"/>
              <w:gridCol w:w="838"/>
              <w:gridCol w:w="2178"/>
            </w:tblGrid>
            <w:tr w14:paraId="70ABB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restart"/>
                  <w:tcBorders>
                    <w:tl2br w:val="nil"/>
                    <w:tr2bl w:val="nil"/>
                  </w:tcBorders>
                  <w:vAlign w:val="center"/>
                </w:tcPr>
                <w:p w14:paraId="6736C8A8">
                  <w:pPr>
                    <w:pStyle w:val="73"/>
                    <w:autoSpaceDE w:val="0"/>
                    <w:autoSpaceDN w:val="0"/>
                    <w:rPr>
                      <w:color w:val="auto"/>
                      <w:kern w:val="0"/>
                      <w:sz w:val="21"/>
                      <w:lang w:eastAsia="en-US"/>
                    </w:rPr>
                  </w:pPr>
                  <w:r>
                    <w:rPr>
                      <w:color w:val="auto"/>
                      <w:kern w:val="0"/>
                      <w:sz w:val="21"/>
                      <w:lang w:eastAsia="en-US"/>
                    </w:rPr>
                    <w:t>排放源</w:t>
                  </w:r>
                </w:p>
              </w:tc>
              <w:tc>
                <w:tcPr>
                  <w:tcW w:w="998" w:type="dxa"/>
                  <w:vMerge w:val="restart"/>
                  <w:tcBorders>
                    <w:tl2br w:val="nil"/>
                    <w:tr2bl w:val="nil"/>
                  </w:tcBorders>
                  <w:vAlign w:val="center"/>
                </w:tcPr>
                <w:p w14:paraId="4FCAEA59">
                  <w:pPr>
                    <w:pStyle w:val="73"/>
                    <w:autoSpaceDE w:val="0"/>
                    <w:autoSpaceDN w:val="0"/>
                    <w:rPr>
                      <w:color w:val="auto"/>
                      <w:kern w:val="0"/>
                      <w:sz w:val="21"/>
                      <w:lang w:eastAsia="en-US"/>
                    </w:rPr>
                  </w:pPr>
                  <w:r>
                    <w:rPr>
                      <w:color w:val="auto"/>
                      <w:kern w:val="0"/>
                      <w:sz w:val="21"/>
                      <w:lang w:eastAsia="en-US"/>
                    </w:rPr>
                    <w:t>污染因子</w:t>
                  </w:r>
                </w:p>
              </w:tc>
              <w:tc>
                <w:tcPr>
                  <w:tcW w:w="4369" w:type="dxa"/>
                  <w:gridSpan w:val="5"/>
                  <w:tcBorders>
                    <w:tl2br w:val="nil"/>
                    <w:tr2bl w:val="nil"/>
                  </w:tcBorders>
                  <w:vAlign w:val="center"/>
                </w:tcPr>
                <w:p w14:paraId="76C81E88">
                  <w:pPr>
                    <w:pStyle w:val="73"/>
                    <w:autoSpaceDE w:val="0"/>
                    <w:autoSpaceDN w:val="0"/>
                    <w:rPr>
                      <w:color w:val="auto"/>
                      <w:kern w:val="0"/>
                      <w:sz w:val="21"/>
                      <w:lang w:eastAsia="en-US"/>
                    </w:rPr>
                  </w:pPr>
                  <w:r>
                    <w:rPr>
                      <w:color w:val="auto"/>
                      <w:kern w:val="0"/>
                      <w:sz w:val="21"/>
                      <w:lang w:eastAsia="en-US"/>
                    </w:rPr>
                    <w:t>非正常排放情况</w:t>
                  </w:r>
                </w:p>
              </w:tc>
              <w:tc>
                <w:tcPr>
                  <w:tcW w:w="2178" w:type="dxa"/>
                  <w:vMerge w:val="restart"/>
                  <w:tcBorders>
                    <w:tl2br w:val="nil"/>
                    <w:tr2bl w:val="nil"/>
                  </w:tcBorders>
                  <w:vAlign w:val="center"/>
                </w:tcPr>
                <w:p w14:paraId="7117AF04">
                  <w:pPr>
                    <w:pStyle w:val="73"/>
                    <w:autoSpaceDE w:val="0"/>
                    <w:autoSpaceDN w:val="0"/>
                    <w:rPr>
                      <w:color w:val="auto"/>
                      <w:kern w:val="0"/>
                      <w:sz w:val="21"/>
                      <w:lang w:eastAsia="en-US"/>
                    </w:rPr>
                  </w:pPr>
                  <w:r>
                    <w:rPr>
                      <w:color w:val="auto"/>
                      <w:w w:val="95"/>
                      <w:kern w:val="0"/>
                      <w:sz w:val="21"/>
                      <w:lang w:eastAsia="en-US"/>
                    </w:rPr>
                    <w:t>应</w:t>
                  </w:r>
                  <w:r>
                    <w:rPr>
                      <w:color w:val="auto"/>
                      <w:kern w:val="0"/>
                      <w:sz w:val="21"/>
                      <w:lang w:eastAsia="en-US"/>
                    </w:rPr>
                    <w:t>对措施</w:t>
                  </w:r>
                </w:p>
              </w:tc>
            </w:tr>
            <w:tr w14:paraId="4DDE18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vAlign w:val="center"/>
                </w:tcPr>
                <w:p w14:paraId="248CA791">
                  <w:pPr>
                    <w:pStyle w:val="73"/>
                    <w:autoSpaceDE w:val="0"/>
                    <w:autoSpaceDN w:val="0"/>
                    <w:rPr>
                      <w:color w:val="auto"/>
                      <w:kern w:val="0"/>
                      <w:sz w:val="21"/>
                      <w:lang w:eastAsia="en-US"/>
                    </w:rPr>
                  </w:pPr>
                </w:p>
              </w:tc>
              <w:tc>
                <w:tcPr>
                  <w:tcW w:w="998" w:type="dxa"/>
                  <w:vMerge w:val="continue"/>
                  <w:tcBorders>
                    <w:tl2br w:val="nil"/>
                    <w:tr2bl w:val="nil"/>
                  </w:tcBorders>
                  <w:vAlign w:val="center"/>
                </w:tcPr>
                <w:p w14:paraId="096D5547">
                  <w:pPr>
                    <w:pStyle w:val="73"/>
                    <w:autoSpaceDE w:val="0"/>
                    <w:autoSpaceDN w:val="0"/>
                    <w:rPr>
                      <w:color w:val="auto"/>
                      <w:kern w:val="0"/>
                      <w:sz w:val="21"/>
                      <w:lang w:eastAsia="en-US"/>
                    </w:rPr>
                  </w:pPr>
                </w:p>
              </w:tc>
              <w:tc>
                <w:tcPr>
                  <w:tcW w:w="1334" w:type="dxa"/>
                  <w:tcBorders>
                    <w:tl2br w:val="nil"/>
                    <w:tr2bl w:val="nil"/>
                  </w:tcBorders>
                  <w:vAlign w:val="center"/>
                </w:tcPr>
                <w:p w14:paraId="7D4716C7">
                  <w:pPr>
                    <w:pStyle w:val="73"/>
                    <w:autoSpaceDE w:val="0"/>
                    <w:autoSpaceDN w:val="0"/>
                    <w:rPr>
                      <w:color w:val="auto"/>
                      <w:kern w:val="0"/>
                      <w:sz w:val="21"/>
                      <w:lang w:eastAsia="en-US"/>
                    </w:rPr>
                  </w:pPr>
                  <w:r>
                    <w:rPr>
                      <w:color w:val="auto"/>
                      <w:kern w:val="0"/>
                      <w:sz w:val="21"/>
                      <w:lang w:eastAsia="en-US"/>
                    </w:rPr>
                    <w:t>原因</w:t>
                  </w:r>
                </w:p>
              </w:tc>
              <w:tc>
                <w:tcPr>
                  <w:tcW w:w="687" w:type="dxa"/>
                  <w:tcBorders>
                    <w:tl2br w:val="nil"/>
                    <w:tr2bl w:val="nil"/>
                  </w:tcBorders>
                  <w:vAlign w:val="center"/>
                </w:tcPr>
                <w:p w14:paraId="027F43B0">
                  <w:pPr>
                    <w:pStyle w:val="73"/>
                    <w:autoSpaceDE w:val="0"/>
                    <w:autoSpaceDN w:val="0"/>
                    <w:rPr>
                      <w:color w:val="auto"/>
                      <w:kern w:val="0"/>
                      <w:sz w:val="21"/>
                      <w:lang w:eastAsia="en-US"/>
                    </w:rPr>
                  </w:pPr>
                  <w:r>
                    <w:rPr>
                      <w:color w:val="auto"/>
                      <w:kern w:val="0"/>
                      <w:sz w:val="21"/>
                      <w:lang w:eastAsia="en-US"/>
                    </w:rPr>
                    <w:t>频次</w:t>
                  </w:r>
                </w:p>
              </w:tc>
              <w:tc>
                <w:tcPr>
                  <w:tcW w:w="550" w:type="dxa"/>
                  <w:tcBorders>
                    <w:tl2br w:val="nil"/>
                    <w:tr2bl w:val="nil"/>
                  </w:tcBorders>
                  <w:vAlign w:val="center"/>
                </w:tcPr>
                <w:p w14:paraId="1F94C161">
                  <w:pPr>
                    <w:pStyle w:val="73"/>
                    <w:autoSpaceDE w:val="0"/>
                    <w:autoSpaceDN w:val="0"/>
                    <w:rPr>
                      <w:color w:val="auto"/>
                      <w:kern w:val="0"/>
                      <w:sz w:val="21"/>
                      <w:lang w:eastAsia="en-US"/>
                    </w:rPr>
                  </w:pPr>
                  <w:r>
                    <w:rPr>
                      <w:color w:val="auto"/>
                      <w:kern w:val="0"/>
                      <w:sz w:val="21"/>
                      <w:lang w:eastAsia="en-US"/>
                    </w:rPr>
                    <w:t>时间</w:t>
                  </w:r>
                </w:p>
              </w:tc>
              <w:tc>
                <w:tcPr>
                  <w:tcW w:w="960" w:type="dxa"/>
                  <w:tcBorders>
                    <w:tl2br w:val="nil"/>
                    <w:tr2bl w:val="nil"/>
                  </w:tcBorders>
                  <w:vAlign w:val="center"/>
                </w:tcPr>
                <w:p w14:paraId="067F1DCF">
                  <w:pPr>
                    <w:pStyle w:val="73"/>
                    <w:autoSpaceDE w:val="0"/>
                    <w:autoSpaceDN w:val="0"/>
                    <w:rPr>
                      <w:color w:val="auto"/>
                      <w:kern w:val="0"/>
                      <w:sz w:val="21"/>
                      <w:lang w:eastAsia="en-US"/>
                    </w:rPr>
                  </w:pPr>
                  <w:r>
                    <w:rPr>
                      <w:rFonts w:hint="eastAsia"/>
                      <w:color w:val="auto"/>
                      <w:kern w:val="0"/>
                      <w:sz w:val="21"/>
                      <w:lang w:eastAsia="en-US"/>
                    </w:rPr>
                    <w:t>排放速率</w:t>
                  </w:r>
                </w:p>
                <w:p w14:paraId="0F6C3971">
                  <w:pPr>
                    <w:pStyle w:val="73"/>
                    <w:autoSpaceDE w:val="0"/>
                    <w:autoSpaceDN w:val="0"/>
                    <w:rPr>
                      <w:color w:val="auto"/>
                      <w:kern w:val="0"/>
                      <w:sz w:val="21"/>
                      <w:lang w:eastAsia="en-US"/>
                    </w:rPr>
                  </w:pPr>
                  <w:r>
                    <w:rPr>
                      <w:color w:val="auto"/>
                      <w:kern w:val="0"/>
                      <w:sz w:val="21"/>
                      <w:lang w:eastAsia="en-US"/>
                    </w:rPr>
                    <w:t>kg/h</w:t>
                  </w:r>
                </w:p>
              </w:tc>
              <w:tc>
                <w:tcPr>
                  <w:tcW w:w="838" w:type="dxa"/>
                  <w:tcBorders>
                    <w:tl2br w:val="nil"/>
                    <w:tr2bl w:val="nil"/>
                  </w:tcBorders>
                  <w:vAlign w:val="center"/>
                </w:tcPr>
                <w:p w14:paraId="462B4385">
                  <w:pPr>
                    <w:pStyle w:val="73"/>
                    <w:autoSpaceDE w:val="0"/>
                    <w:autoSpaceDN w:val="0"/>
                    <w:rPr>
                      <w:rFonts w:eastAsia="Times New Roman"/>
                      <w:color w:val="auto"/>
                      <w:kern w:val="0"/>
                      <w:sz w:val="21"/>
                      <w:lang w:eastAsia="en-US"/>
                    </w:rPr>
                  </w:pPr>
                  <w:r>
                    <w:rPr>
                      <w:rFonts w:hint="eastAsia"/>
                      <w:color w:val="auto"/>
                      <w:kern w:val="0"/>
                      <w:sz w:val="21"/>
                      <w:lang w:eastAsia="en-US"/>
                    </w:rPr>
                    <w:t>排放浓度</w:t>
                  </w:r>
                  <w:r>
                    <w:rPr>
                      <w:rFonts w:eastAsia="Times New Roman"/>
                      <w:color w:val="auto"/>
                      <w:kern w:val="0"/>
                      <w:sz w:val="21"/>
                      <w:lang w:eastAsia="en-US"/>
                    </w:rPr>
                    <w:t>mg/m³</w:t>
                  </w:r>
                </w:p>
              </w:tc>
              <w:tc>
                <w:tcPr>
                  <w:tcW w:w="2178" w:type="dxa"/>
                  <w:vMerge w:val="continue"/>
                  <w:tcBorders>
                    <w:tl2br w:val="nil"/>
                    <w:tr2bl w:val="nil"/>
                  </w:tcBorders>
                  <w:vAlign w:val="center"/>
                </w:tcPr>
                <w:p w14:paraId="28E01226">
                  <w:pPr>
                    <w:pStyle w:val="73"/>
                    <w:autoSpaceDE w:val="0"/>
                    <w:autoSpaceDN w:val="0"/>
                    <w:rPr>
                      <w:color w:val="auto"/>
                      <w:kern w:val="0"/>
                      <w:sz w:val="21"/>
                      <w:lang w:eastAsia="en-US"/>
                    </w:rPr>
                  </w:pPr>
                </w:p>
              </w:tc>
            </w:tr>
            <w:tr w14:paraId="72C951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tcBorders>
                    <w:tl2br w:val="nil"/>
                    <w:tr2bl w:val="nil"/>
                  </w:tcBorders>
                  <w:vAlign w:val="center"/>
                </w:tcPr>
                <w:p w14:paraId="6952B54F">
                  <w:pPr>
                    <w:pStyle w:val="73"/>
                    <w:autoSpaceDE w:val="0"/>
                    <w:autoSpaceDN w:val="0"/>
                    <w:rPr>
                      <w:color w:val="auto"/>
                      <w:sz w:val="21"/>
                      <w:lang w:eastAsia="en-US"/>
                    </w:rPr>
                  </w:pPr>
                  <w:r>
                    <w:rPr>
                      <w:rFonts w:hint="eastAsia"/>
                      <w:color w:val="auto"/>
                      <w:sz w:val="21"/>
                      <w:lang w:eastAsia="en-US"/>
                    </w:rPr>
                    <w:t>水泥罐</w:t>
                  </w:r>
                </w:p>
              </w:tc>
              <w:tc>
                <w:tcPr>
                  <w:tcW w:w="998" w:type="dxa"/>
                  <w:tcBorders>
                    <w:tl2br w:val="nil"/>
                    <w:tr2bl w:val="nil"/>
                  </w:tcBorders>
                  <w:vAlign w:val="center"/>
                </w:tcPr>
                <w:p w14:paraId="5FCA8A6B">
                  <w:pPr>
                    <w:pStyle w:val="73"/>
                    <w:autoSpaceDE w:val="0"/>
                    <w:autoSpaceDN w:val="0"/>
                    <w:rPr>
                      <w:color w:val="auto"/>
                      <w:sz w:val="21"/>
                      <w:lang w:eastAsia="en-US"/>
                    </w:rPr>
                  </w:pPr>
                  <w:r>
                    <w:rPr>
                      <w:rFonts w:hint="eastAsia"/>
                      <w:color w:val="auto"/>
                      <w:sz w:val="21"/>
                      <w:lang w:eastAsia="en-US"/>
                    </w:rPr>
                    <w:t>颗粒物</w:t>
                  </w:r>
                </w:p>
              </w:tc>
              <w:tc>
                <w:tcPr>
                  <w:tcW w:w="1334" w:type="dxa"/>
                  <w:tcBorders>
                    <w:tl2br w:val="nil"/>
                    <w:tr2bl w:val="nil"/>
                  </w:tcBorders>
                  <w:vAlign w:val="center"/>
                </w:tcPr>
                <w:p w14:paraId="76E9F660">
                  <w:pPr>
                    <w:pStyle w:val="73"/>
                    <w:autoSpaceDE w:val="0"/>
                    <w:autoSpaceDN w:val="0"/>
                    <w:rPr>
                      <w:rFonts w:ascii="宋体" w:hAnsi="宋体" w:cs="宋体"/>
                      <w:color w:val="auto"/>
                      <w:kern w:val="0"/>
                      <w:sz w:val="21"/>
                      <w:lang w:eastAsia="en-US"/>
                    </w:rPr>
                  </w:pPr>
                  <w:r>
                    <w:rPr>
                      <w:rFonts w:hint="eastAsia"/>
                      <w:color w:val="auto"/>
                      <w:kern w:val="0"/>
                      <w:sz w:val="21"/>
                      <w:lang w:eastAsia="en-US"/>
                    </w:rPr>
                    <w:t>布袋破损导致失去收集效率</w:t>
                  </w:r>
                </w:p>
              </w:tc>
              <w:tc>
                <w:tcPr>
                  <w:tcW w:w="687" w:type="dxa"/>
                  <w:tcBorders>
                    <w:tl2br w:val="nil"/>
                    <w:tr2bl w:val="nil"/>
                  </w:tcBorders>
                  <w:vAlign w:val="center"/>
                </w:tcPr>
                <w:p w14:paraId="6B7DF4D1">
                  <w:pPr>
                    <w:pStyle w:val="73"/>
                    <w:autoSpaceDE w:val="0"/>
                    <w:autoSpaceDN w:val="0"/>
                    <w:rPr>
                      <w:rFonts w:eastAsia="Times New Roman"/>
                      <w:color w:val="auto"/>
                      <w:kern w:val="0"/>
                      <w:sz w:val="21"/>
                      <w:lang w:eastAsia="en-US"/>
                    </w:rPr>
                  </w:pPr>
                  <w:r>
                    <w:rPr>
                      <w:rFonts w:eastAsia="Times New Roman"/>
                      <w:color w:val="auto"/>
                      <w:kern w:val="0"/>
                      <w:sz w:val="21"/>
                      <w:lang w:eastAsia="en-US"/>
                    </w:rPr>
                    <w:t>≤</w:t>
                  </w:r>
                  <w:r>
                    <w:rPr>
                      <w:rFonts w:hint="eastAsia"/>
                      <w:color w:val="auto"/>
                      <w:kern w:val="0"/>
                      <w:sz w:val="21"/>
                      <w:lang w:eastAsia="en-US"/>
                    </w:rPr>
                    <w:t>1</w:t>
                  </w:r>
                  <w:r>
                    <w:rPr>
                      <w:color w:val="auto"/>
                      <w:kern w:val="0"/>
                      <w:sz w:val="21"/>
                      <w:lang w:eastAsia="en-US"/>
                    </w:rPr>
                    <w:t>次</w:t>
                  </w:r>
                  <w:r>
                    <w:rPr>
                      <w:rFonts w:eastAsia="Times New Roman"/>
                      <w:color w:val="auto"/>
                      <w:kern w:val="0"/>
                      <w:sz w:val="21"/>
                      <w:lang w:eastAsia="en-US"/>
                    </w:rPr>
                    <w:t>/</w:t>
                  </w:r>
                  <w:r>
                    <w:rPr>
                      <w:color w:val="auto"/>
                      <w:kern w:val="0"/>
                      <w:sz w:val="21"/>
                      <w:lang w:eastAsia="en-US"/>
                    </w:rPr>
                    <w:t>年</w:t>
                  </w:r>
                </w:p>
              </w:tc>
              <w:tc>
                <w:tcPr>
                  <w:tcW w:w="550" w:type="dxa"/>
                  <w:tcBorders>
                    <w:tl2br w:val="nil"/>
                    <w:tr2bl w:val="nil"/>
                  </w:tcBorders>
                  <w:vAlign w:val="center"/>
                </w:tcPr>
                <w:p w14:paraId="105E751C">
                  <w:pPr>
                    <w:pStyle w:val="73"/>
                    <w:autoSpaceDE w:val="0"/>
                    <w:autoSpaceDN w:val="0"/>
                    <w:rPr>
                      <w:color w:val="auto"/>
                      <w:kern w:val="0"/>
                      <w:sz w:val="21"/>
                      <w:lang w:eastAsia="en-US"/>
                    </w:rPr>
                  </w:pPr>
                  <w:r>
                    <w:rPr>
                      <w:color w:val="auto"/>
                      <w:kern w:val="0"/>
                      <w:sz w:val="21"/>
                      <w:lang w:eastAsia="en-US"/>
                    </w:rPr>
                    <w:t>≤1h/</w:t>
                  </w:r>
                  <w:r>
                    <w:rPr>
                      <w:color w:val="auto"/>
                      <w:w w:val="99"/>
                      <w:kern w:val="0"/>
                      <w:sz w:val="21"/>
                      <w:lang w:eastAsia="en-US"/>
                    </w:rPr>
                    <w:t>次</w:t>
                  </w:r>
                </w:p>
              </w:tc>
              <w:tc>
                <w:tcPr>
                  <w:tcW w:w="960" w:type="dxa"/>
                  <w:tcBorders>
                    <w:tl2br w:val="nil"/>
                    <w:tr2bl w:val="nil"/>
                  </w:tcBorders>
                  <w:vAlign w:val="center"/>
                </w:tcPr>
                <w:p w14:paraId="4B454D03">
                  <w:pPr>
                    <w:pStyle w:val="122"/>
                    <w:autoSpaceDE w:val="0"/>
                    <w:autoSpaceDN w:val="0"/>
                    <w:rPr>
                      <w:color w:val="auto"/>
                      <w:szCs w:val="21"/>
                      <w:lang w:eastAsia="en-US"/>
                    </w:rPr>
                  </w:pPr>
                  <w:r>
                    <w:rPr>
                      <w:rFonts w:hint="eastAsia"/>
                      <w:color w:val="auto"/>
                      <w:szCs w:val="21"/>
                      <w:lang w:eastAsia="en-US"/>
                    </w:rPr>
                    <w:t>1.16</w:t>
                  </w:r>
                </w:p>
              </w:tc>
              <w:tc>
                <w:tcPr>
                  <w:tcW w:w="838" w:type="dxa"/>
                  <w:tcBorders>
                    <w:tl2br w:val="nil"/>
                    <w:tr2bl w:val="nil"/>
                  </w:tcBorders>
                  <w:vAlign w:val="center"/>
                </w:tcPr>
                <w:p w14:paraId="17D608BF">
                  <w:pPr>
                    <w:pStyle w:val="122"/>
                    <w:autoSpaceDE w:val="0"/>
                    <w:autoSpaceDN w:val="0"/>
                    <w:rPr>
                      <w:rFonts w:hint="default" w:eastAsia="宋体"/>
                      <w:color w:val="auto"/>
                      <w:szCs w:val="21"/>
                      <w:lang w:val="en-US" w:eastAsia="zh-CN"/>
                    </w:rPr>
                  </w:pPr>
                  <w:r>
                    <w:rPr>
                      <w:rFonts w:hint="eastAsia"/>
                      <w:color w:val="auto"/>
                      <w:szCs w:val="21"/>
                      <w:lang w:val="en-US" w:eastAsia="zh-CN"/>
                    </w:rPr>
                    <w:t>116</w:t>
                  </w:r>
                </w:p>
              </w:tc>
              <w:tc>
                <w:tcPr>
                  <w:tcW w:w="2178" w:type="dxa"/>
                  <w:tcBorders>
                    <w:tl2br w:val="nil"/>
                    <w:tr2bl w:val="nil"/>
                  </w:tcBorders>
                  <w:vAlign w:val="center"/>
                </w:tcPr>
                <w:p w14:paraId="44E7C390">
                  <w:pPr>
                    <w:pStyle w:val="73"/>
                    <w:autoSpaceDE w:val="0"/>
                    <w:autoSpaceDN w:val="0"/>
                    <w:rPr>
                      <w:color w:val="auto"/>
                      <w:kern w:val="0"/>
                      <w:sz w:val="21"/>
                      <w:lang w:eastAsia="en-US"/>
                    </w:rPr>
                  </w:pPr>
                  <w:r>
                    <w:rPr>
                      <w:rFonts w:hint="eastAsia"/>
                      <w:color w:val="auto"/>
                      <w:kern w:val="0"/>
                      <w:sz w:val="21"/>
                      <w:lang w:eastAsia="en-US"/>
                    </w:rPr>
                    <w:t>定期更换破损布袋，</w:t>
                  </w:r>
                  <w:r>
                    <w:rPr>
                      <w:rFonts w:hint="eastAsia"/>
                      <w:color w:val="auto"/>
                      <w:kern w:val="0"/>
                      <w:sz w:val="21"/>
                      <w:lang w:eastAsia="zh-CN"/>
                    </w:rPr>
                    <w:t>并</w:t>
                  </w:r>
                  <w:r>
                    <w:rPr>
                      <w:color w:val="auto"/>
                      <w:kern w:val="0"/>
                      <w:sz w:val="21"/>
                      <w:lang w:eastAsia="en-US"/>
                    </w:rPr>
                    <w:t>加强废气处理设施</w:t>
                  </w:r>
                  <w:r>
                    <w:rPr>
                      <w:color w:val="auto"/>
                      <w:spacing w:val="-1"/>
                      <w:kern w:val="0"/>
                      <w:sz w:val="21"/>
                      <w:lang w:eastAsia="en-US"/>
                    </w:rPr>
                    <w:t>的管理，定期检修，建</w:t>
                  </w:r>
                  <w:r>
                    <w:rPr>
                      <w:color w:val="auto"/>
                      <w:kern w:val="0"/>
                      <w:sz w:val="21"/>
                      <w:lang w:eastAsia="en-US"/>
                    </w:rPr>
                    <w:t>立健全的环保管理机构</w:t>
                  </w:r>
                </w:p>
              </w:tc>
            </w:tr>
          </w:tbl>
          <w:p w14:paraId="39A6CA70">
            <w:pPr>
              <w:pStyle w:val="68"/>
              <w:ind w:firstLine="480"/>
              <w:rPr>
                <w:color w:val="auto"/>
                <w:sz w:val="24"/>
                <w:szCs w:val="24"/>
              </w:rPr>
            </w:pPr>
            <w:r>
              <w:rPr>
                <w:rFonts w:hint="eastAsia"/>
                <w:color w:val="auto"/>
                <w:sz w:val="24"/>
                <w:szCs w:val="24"/>
              </w:rPr>
              <w:t>根据上表的环保设施发生故障</w:t>
            </w:r>
            <w:r>
              <w:rPr>
                <w:rFonts w:hint="eastAsia"/>
                <w:color w:val="auto"/>
                <w:sz w:val="24"/>
                <w:szCs w:val="24"/>
                <w:lang w:eastAsia="zh-CN"/>
              </w:rPr>
              <w:t>时</w:t>
            </w:r>
            <w:r>
              <w:rPr>
                <w:rFonts w:hint="eastAsia"/>
                <w:color w:val="auto"/>
                <w:sz w:val="24"/>
                <w:szCs w:val="24"/>
              </w:rPr>
              <w:t>废气排放情况，环保设施发生故障时的废气排放速率大，一旦发生故障非正常排放发生时必须停止生产，及时组织人员查找故障原因并迅速抢修；由于发生非正常工况排放次数较少，且排放时间短暂，建设单位能够及时采取措施进行处理，则不会对周围大气环境造成长期影响。</w:t>
            </w:r>
          </w:p>
          <w:p w14:paraId="068EF24C">
            <w:pPr>
              <w:pStyle w:val="68"/>
              <w:ind w:firstLine="482"/>
              <w:rPr>
                <w:b/>
                <w:bCs/>
                <w:color w:val="auto"/>
                <w:kern w:val="2"/>
                <w:sz w:val="24"/>
                <w:szCs w:val="24"/>
              </w:rPr>
            </w:pPr>
            <w:r>
              <w:rPr>
                <w:rFonts w:hint="eastAsia"/>
                <w:b/>
                <w:bCs/>
                <w:color w:val="auto"/>
                <w:kern w:val="2"/>
                <w:sz w:val="24"/>
                <w:szCs w:val="24"/>
                <w:lang w:val="en-US" w:eastAsia="zh-CN"/>
              </w:rPr>
              <w:t>5</w:t>
            </w:r>
            <w:r>
              <w:rPr>
                <w:b/>
                <w:bCs/>
                <w:color w:val="auto"/>
                <w:kern w:val="2"/>
                <w:sz w:val="24"/>
                <w:szCs w:val="24"/>
              </w:rPr>
              <w:t>、</w:t>
            </w:r>
            <w:r>
              <w:rPr>
                <w:rFonts w:hint="default" w:ascii="Times New Roman" w:hAnsi="Times New Roman" w:eastAsia="宋体" w:cs="Times New Roman"/>
                <w:b/>
                <w:bCs/>
                <w:color w:val="auto"/>
                <w:sz w:val="24"/>
                <w:szCs w:val="24"/>
                <w:highlight w:val="none"/>
                <w:lang w:val="en-US" w:eastAsia="zh-CN"/>
              </w:rPr>
              <w:t>大气环境的影响与预测分析</w:t>
            </w:r>
          </w:p>
          <w:p w14:paraId="05675D83">
            <w:pPr>
              <w:pStyle w:val="136"/>
              <w:bidi w:val="0"/>
              <w:rPr>
                <w:rFonts w:hint="default" w:ascii="Times New Roman" w:hAnsi="Times New Roman" w:cs="Times New Roman"/>
                <w:color w:val="auto"/>
                <w:highlight w:val="none"/>
                <w:lang w:val="en-US" w:eastAsia="zh-CN"/>
              </w:rPr>
            </w:pPr>
            <w:bookmarkStart w:id="105" w:name="_Toc7339_WPSOffice_Level2"/>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大气环境影响预测</w:t>
            </w:r>
          </w:p>
          <w:p w14:paraId="4E05D623">
            <w:pPr>
              <w:pStyle w:val="16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项目对环境的影响，本评价因子取颗粒物，项目大气</w:t>
            </w:r>
            <w:r>
              <w:rPr>
                <w:rFonts w:hint="default" w:ascii="Times New Roman" w:hAnsi="Times New Roman" w:cs="Times New Roman"/>
                <w:color w:val="auto"/>
                <w:highlight w:val="none"/>
              </w:rPr>
              <w:t>评价因子和评价标准详见表</w:t>
            </w: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0573A562">
            <w:pPr>
              <w:keepNext w:val="0"/>
              <w:keepLines w:val="0"/>
              <w:pageBreakBefore w:val="0"/>
              <w:widowControl w:val="0"/>
              <w:tabs>
                <w:tab w:val="left" w:pos="720"/>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表4.2-</w:t>
            </w:r>
            <w:r>
              <w:rPr>
                <w:rFonts w:hint="eastAsia"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 xml:space="preserve">  项目评价因子和评价标准一览表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755"/>
              <w:gridCol w:w="1799"/>
              <w:gridCol w:w="3526"/>
            </w:tblGrid>
            <w:tr w14:paraId="445F7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pct"/>
                  <w:noWrap w:val="0"/>
                  <w:vAlign w:val="center"/>
                </w:tcPr>
                <w:p w14:paraId="65E1A69F">
                  <w:pPr>
                    <w:pStyle w:val="162"/>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1036" w:type="pct"/>
                  <w:noWrap w:val="0"/>
                  <w:vAlign w:val="center"/>
                </w:tcPr>
                <w:p w14:paraId="706ABC5B">
                  <w:pPr>
                    <w:pStyle w:val="162"/>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平均时段</w:t>
                  </w:r>
                </w:p>
              </w:tc>
              <w:tc>
                <w:tcPr>
                  <w:tcW w:w="1062" w:type="pct"/>
                  <w:noWrap w:val="0"/>
                  <w:vAlign w:val="center"/>
                </w:tcPr>
                <w:p w14:paraId="78BE1E71">
                  <w:pPr>
                    <w:pStyle w:val="162"/>
                    <w:bidi w:val="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标准值/</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lang w:eastAsia="zh-CN"/>
                    </w:rPr>
                    <w:t>)</w:t>
                  </w:r>
                </w:p>
              </w:tc>
              <w:tc>
                <w:tcPr>
                  <w:tcW w:w="2081" w:type="pct"/>
                  <w:noWrap w:val="0"/>
                  <w:vAlign w:val="center"/>
                </w:tcPr>
                <w:p w14:paraId="37C8555F">
                  <w:pPr>
                    <w:pStyle w:val="162"/>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14:paraId="43728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pct"/>
                  <w:noWrap w:val="0"/>
                  <w:vAlign w:val="center"/>
                </w:tcPr>
                <w:p w14:paraId="1233D95A">
                  <w:pPr>
                    <w:pStyle w:val="162"/>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bCs/>
                      <w:color w:val="auto"/>
                      <w:sz w:val="21"/>
                      <w:szCs w:val="21"/>
                      <w:highlight w:val="none"/>
                      <w:vertAlign w:val="subscript"/>
                      <w:lang w:val="en-US" w:eastAsia="zh-CN"/>
                    </w:rPr>
                    <w:t>10</w:t>
                  </w:r>
                </w:p>
              </w:tc>
              <w:tc>
                <w:tcPr>
                  <w:tcW w:w="1036" w:type="pct"/>
                  <w:noWrap w:val="0"/>
                  <w:vAlign w:val="center"/>
                </w:tcPr>
                <w:p w14:paraId="1A7F54C1">
                  <w:pPr>
                    <w:pStyle w:val="162"/>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1小时均值</w:t>
                  </w:r>
                </w:p>
              </w:tc>
              <w:tc>
                <w:tcPr>
                  <w:tcW w:w="1062" w:type="pct"/>
                  <w:noWrap w:val="0"/>
                  <w:vAlign w:val="center"/>
                </w:tcPr>
                <w:p w14:paraId="7EC5C4E2">
                  <w:pPr>
                    <w:pStyle w:val="162"/>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w:t>
                  </w:r>
                </w:p>
              </w:tc>
              <w:tc>
                <w:tcPr>
                  <w:tcW w:w="2081" w:type="pct"/>
                  <w:vMerge w:val="restart"/>
                  <w:noWrap w:val="0"/>
                  <w:vAlign w:val="center"/>
                </w:tcPr>
                <w:p w14:paraId="06870A69">
                  <w:pPr>
                    <w:pStyle w:val="162"/>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w:t>
                  </w:r>
                  <w:r>
                    <w:rPr>
                      <w:rFonts w:hint="default" w:ascii="Times New Roman" w:hAnsi="Times New Roman" w:cs="Times New Roman"/>
                      <w:color w:val="auto"/>
                      <w:sz w:val="21"/>
                      <w:szCs w:val="21"/>
                      <w:highlight w:val="none"/>
                      <w:lang w:eastAsia="zh-CN"/>
                    </w:rPr>
                    <w:t>6-2</w:t>
                  </w:r>
                  <w:r>
                    <w:rPr>
                      <w:rFonts w:hint="default" w:ascii="Times New Roman" w:hAnsi="Times New Roman" w:cs="Times New Roman"/>
                      <w:color w:val="auto"/>
                      <w:sz w:val="21"/>
                      <w:szCs w:val="21"/>
                      <w:highlight w:val="none"/>
                    </w:rPr>
                    <w:t>012</w:t>
                  </w:r>
                  <w:r>
                    <w:rPr>
                      <w:rFonts w:hint="eastAsia" w:ascii="Times New Roman" w:hAnsi="Times New Roman" w:cs="Times New Roman"/>
                      <w:color w:val="auto"/>
                      <w:sz w:val="21"/>
                      <w:szCs w:val="21"/>
                      <w:highlight w:val="none"/>
                      <w:shd w:val="clear" w:fill="FFFFFF"/>
                      <w:lang w:eastAsia="zh-CN"/>
                    </w:rPr>
                    <w:t>)</w:t>
                  </w:r>
                  <w:r>
                    <w:rPr>
                      <w:rFonts w:hint="default" w:ascii="Times New Roman" w:hAnsi="Times New Roman" w:cs="Times New Roman"/>
                      <w:color w:val="auto"/>
                      <w:sz w:val="21"/>
                      <w:szCs w:val="21"/>
                      <w:highlight w:val="none"/>
                    </w:rPr>
                    <w:t>及其修改单中的二级标准</w:t>
                  </w:r>
                </w:p>
              </w:tc>
            </w:tr>
            <w:tr w14:paraId="0E8EF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pct"/>
                  <w:noWrap w:val="0"/>
                  <w:vAlign w:val="center"/>
                </w:tcPr>
                <w:p w14:paraId="018ABF9A">
                  <w:pPr>
                    <w:pStyle w:val="162"/>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1036" w:type="pct"/>
                  <w:noWrap w:val="0"/>
                  <w:vAlign w:val="center"/>
                </w:tcPr>
                <w:p w14:paraId="11741985">
                  <w:pPr>
                    <w:pStyle w:val="162"/>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1小时均值</w:t>
                  </w:r>
                  <w:r>
                    <w:rPr>
                      <w:rFonts w:hint="eastAsia"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lang w:val="en-US" w:eastAsia="zh-CN"/>
                    </w:rPr>
                    <w:t>按日均值的3倍进行折算</w:t>
                  </w:r>
                  <w:r>
                    <w:rPr>
                      <w:rFonts w:hint="eastAsia" w:ascii="Times New Roman" w:hAnsi="Times New Roman" w:cs="Times New Roman"/>
                      <w:color w:val="auto"/>
                      <w:sz w:val="21"/>
                      <w:szCs w:val="21"/>
                      <w:highlight w:val="none"/>
                      <w:shd w:val="clear" w:fill="FFFFFF"/>
                      <w:lang w:val="en-US" w:eastAsia="zh-CN"/>
                    </w:rPr>
                    <w:t>)</w:t>
                  </w:r>
                </w:p>
              </w:tc>
              <w:tc>
                <w:tcPr>
                  <w:tcW w:w="1062" w:type="pct"/>
                  <w:noWrap w:val="0"/>
                  <w:vAlign w:val="center"/>
                </w:tcPr>
                <w:p w14:paraId="7FEAF160">
                  <w:pPr>
                    <w:pStyle w:val="162"/>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c>
                <w:tcPr>
                  <w:tcW w:w="2081" w:type="pct"/>
                  <w:vMerge w:val="continue"/>
                  <w:noWrap w:val="0"/>
                  <w:vAlign w:val="center"/>
                </w:tcPr>
                <w:p w14:paraId="7EF44CC9">
                  <w:pPr>
                    <w:pStyle w:val="162"/>
                    <w:bidi w:val="0"/>
                    <w:rPr>
                      <w:rFonts w:hint="default" w:ascii="Times New Roman" w:hAnsi="Times New Roman" w:cs="Times New Roman"/>
                      <w:color w:val="auto"/>
                      <w:sz w:val="21"/>
                      <w:szCs w:val="21"/>
                      <w:highlight w:val="none"/>
                    </w:rPr>
                  </w:pPr>
                </w:p>
              </w:tc>
            </w:tr>
          </w:tbl>
          <w:p w14:paraId="528CF20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2"/>
              <w:rPr>
                <w:rFonts w:hint="default" w:ascii="Times New Roman" w:hAnsi="Times New Roman" w:cs="Times New Roman"/>
                <w:b w:val="0"/>
                <w:bCs/>
                <w:color w:val="auto"/>
                <w:sz w:val="24"/>
                <w:szCs w:val="24"/>
                <w:highlight w:val="none"/>
              </w:rPr>
            </w:pPr>
            <w:bookmarkStart w:id="106" w:name="_Toc14272"/>
            <w:bookmarkStart w:id="107" w:name="_Toc7085"/>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2</w:t>
            </w:r>
            <w:r>
              <w:rPr>
                <w:rFonts w:hint="eastAsia" w:cs="Times New Roman"/>
                <w:b w:val="0"/>
                <w:bCs/>
                <w:color w:val="auto"/>
                <w:sz w:val="24"/>
                <w:szCs w:val="24"/>
                <w:highlight w:val="none"/>
                <w:shd w:val="clear" w:fill="FFFFFF"/>
                <w:lang w:val="en-US" w:eastAsia="zh-CN"/>
              </w:rPr>
              <w:t>)</w:t>
            </w:r>
            <w:r>
              <w:rPr>
                <w:rFonts w:hint="default" w:ascii="Times New Roman" w:hAnsi="Times New Roman" w:cs="Times New Roman"/>
                <w:b w:val="0"/>
                <w:bCs/>
                <w:color w:val="auto"/>
                <w:sz w:val="24"/>
                <w:szCs w:val="24"/>
                <w:highlight w:val="none"/>
              </w:rPr>
              <w:t>污染源</w:t>
            </w:r>
            <w:r>
              <w:rPr>
                <w:rFonts w:hint="default" w:ascii="Times New Roman" w:hAnsi="Times New Roman" w:cs="Times New Roman"/>
                <w:b w:val="0"/>
                <w:bCs/>
                <w:color w:val="auto"/>
                <w:sz w:val="24"/>
                <w:szCs w:val="24"/>
                <w:highlight w:val="none"/>
                <w:lang w:val="en-US" w:eastAsia="zh-CN"/>
              </w:rPr>
              <w:t>的</w:t>
            </w:r>
            <w:r>
              <w:rPr>
                <w:rFonts w:hint="default" w:ascii="Times New Roman" w:hAnsi="Times New Roman" w:cs="Times New Roman"/>
                <w:b w:val="0"/>
                <w:bCs/>
                <w:color w:val="auto"/>
                <w:sz w:val="24"/>
                <w:szCs w:val="24"/>
                <w:highlight w:val="none"/>
              </w:rPr>
              <w:t>源强预测</w:t>
            </w:r>
            <w:bookmarkEnd w:id="106"/>
            <w:bookmarkEnd w:id="107"/>
          </w:p>
          <w:p w14:paraId="63165EE4">
            <w:pPr>
              <w:pStyle w:val="124"/>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根据工程分析结果可知，项目有组织</w:t>
            </w:r>
            <w:r>
              <w:rPr>
                <w:rFonts w:hint="default" w:ascii="Times New Roman" w:hAnsi="Times New Roman" w:cs="Times New Roman"/>
                <w:color w:val="auto"/>
                <w:sz w:val="24"/>
                <w:szCs w:val="24"/>
                <w:highlight w:val="none"/>
                <w:lang w:eastAsia="zh-CN"/>
              </w:rPr>
              <w:t>废气</w:t>
            </w:r>
            <w:r>
              <w:rPr>
                <w:rFonts w:hint="default" w:ascii="Times New Roman" w:hAnsi="Times New Roman" w:cs="Times New Roman"/>
                <w:color w:val="auto"/>
                <w:sz w:val="24"/>
                <w:szCs w:val="24"/>
                <w:highlight w:val="none"/>
              </w:rPr>
              <w:t>排放主要污染物及源强详见表</w:t>
            </w:r>
            <w:r>
              <w:rPr>
                <w:rFonts w:hint="default" w:ascii="Times New Roman" w:hAnsi="Times New Roman" w:cs="Times New Roman"/>
                <w:color w:val="auto"/>
                <w:sz w:val="24"/>
                <w:szCs w:val="24"/>
                <w:highlight w:val="none"/>
                <w:lang w:val="en-US" w:eastAsia="zh-CN"/>
              </w:rPr>
              <w:t>4.2-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，无组织废气排放主要污染物及源强详见表</w:t>
            </w:r>
            <w:r>
              <w:rPr>
                <w:rFonts w:hint="default" w:ascii="Times New Roman" w:hAnsi="Times New Roman" w:cs="Times New Roman"/>
                <w:color w:val="auto"/>
                <w:sz w:val="24"/>
                <w:szCs w:val="24"/>
                <w:highlight w:val="none"/>
                <w:lang w:val="en-US" w:eastAsia="zh-CN"/>
              </w:rPr>
              <w:t>4.2-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5657CC57">
            <w:pPr>
              <w:keepNext w:val="0"/>
              <w:keepLines w:val="0"/>
              <w:pageBreakBefore w:val="0"/>
              <w:widowControl w:val="0"/>
              <w:tabs>
                <w:tab w:val="left" w:pos="720"/>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表4.2-</w:t>
            </w:r>
            <w:r>
              <w:rPr>
                <w:rFonts w:hint="eastAsia"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 xml:space="preserve">  项目点源废气预测参数一览表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2"/>
              <w:gridCol w:w="639"/>
              <w:gridCol w:w="617"/>
              <w:gridCol w:w="1621"/>
              <w:gridCol w:w="801"/>
              <w:gridCol w:w="619"/>
              <w:gridCol w:w="1377"/>
              <w:gridCol w:w="417"/>
              <w:gridCol w:w="1967"/>
            </w:tblGrid>
            <w:tr w14:paraId="2047A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3" w:type="pct"/>
                  <w:vMerge w:val="restart"/>
                  <w:noWrap w:val="0"/>
                  <w:vAlign w:val="center"/>
                </w:tcPr>
                <w:p w14:paraId="31B25AAE">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377" w:type="pct"/>
                  <w:vMerge w:val="restart"/>
                  <w:noWrap w:val="0"/>
                  <w:vAlign w:val="center"/>
                </w:tcPr>
                <w:p w14:paraId="3B4FFDF4">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w:t>
                  </w:r>
                </w:p>
                <w:p w14:paraId="7C4174AA">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364" w:type="pct"/>
                  <w:vMerge w:val="restart"/>
                  <w:noWrap w:val="0"/>
                  <w:vAlign w:val="center"/>
                </w:tcPr>
                <w:p w14:paraId="6EB8F226">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w:t>
                  </w:r>
                </w:p>
                <w:p w14:paraId="3C5B4F85">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度/m</w:t>
                  </w:r>
                </w:p>
              </w:tc>
              <w:tc>
                <w:tcPr>
                  <w:tcW w:w="956" w:type="pct"/>
                  <w:vMerge w:val="restart"/>
                  <w:noWrap w:val="0"/>
                  <w:vAlign w:val="center"/>
                </w:tcPr>
                <w:p w14:paraId="4A63E35F">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排气筒出口内径/m</w:t>
                  </w:r>
                </w:p>
              </w:tc>
              <w:tc>
                <w:tcPr>
                  <w:tcW w:w="472" w:type="pct"/>
                  <w:vMerge w:val="restart"/>
                  <w:noWrap w:val="0"/>
                  <w:vAlign w:val="center"/>
                </w:tcPr>
                <w:p w14:paraId="6370C2E4">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烟气</w:t>
                  </w:r>
                </w:p>
                <w:p w14:paraId="1E366096">
                  <w:pPr>
                    <w:adjustRightInd w:val="0"/>
                    <w:snapToGrid w:val="0"/>
                    <w:spacing w:line="340" w:lineRule="exact"/>
                    <w:ind w:firstLine="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量</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h</w:t>
                  </w:r>
                  <w:r>
                    <w:rPr>
                      <w:rFonts w:hint="eastAsia" w:cs="Times New Roman"/>
                      <w:color w:val="auto"/>
                      <w:sz w:val="21"/>
                      <w:szCs w:val="21"/>
                      <w:highlight w:val="none"/>
                      <w:lang w:eastAsia="zh-CN"/>
                    </w:rPr>
                    <w:t>)</w:t>
                  </w:r>
                </w:p>
              </w:tc>
              <w:tc>
                <w:tcPr>
                  <w:tcW w:w="365" w:type="pct"/>
                  <w:vMerge w:val="restart"/>
                  <w:noWrap w:val="0"/>
                  <w:vAlign w:val="center"/>
                </w:tcPr>
                <w:p w14:paraId="3E21D594">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烟气温</w:t>
                  </w:r>
                </w:p>
                <w:p w14:paraId="2E639BFD">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度/℃</w:t>
                  </w:r>
                </w:p>
              </w:tc>
              <w:tc>
                <w:tcPr>
                  <w:tcW w:w="812" w:type="pct"/>
                  <w:vMerge w:val="restart"/>
                  <w:noWrap w:val="0"/>
                  <w:vAlign w:val="center"/>
                </w:tcPr>
                <w:p w14:paraId="2DF80717">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年排放小时数/h</w:t>
                  </w:r>
                </w:p>
              </w:tc>
              <w:tc>
                <w:tcPr>
                  <w:tcW w:w="246" w:type="pct"/>
                  <w:vMerge w:val="restart"/>
                  <w:noWrap w:val="0"/>
                  <w:vAlign w:val="center"/>
                </w:tcPr>
                <w:p w14:paraId="0BE0DCB9">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p w14:paraId="3DDF045F">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工况</w:t>
                  </w:r>
                </w:p>
              </w:tc>
              <w:tc>
                <w:tcPr>
                  <w:tcW w:w="1159" w:type="pct"/>
                  <w:noWrap w:val="0"/>
                  <w:vAlign w:val="center"/>
                </w:tcPr>
                <w:p w14:paraId="188563BA">
                  <w:pPr>
                    <w:adjustRightInd w:val="0"/>
                    <w:snapToGrid w:val="0"/>
                    <w:spacing w:line="340" w:lineRule="exact"/>
                    <w:ind w:firstLine="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污染物排放速率/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kg/h</w:t>
                  </w:r>
                  <w:r>
                    <w:rPr>
                      <w:rFonts w:hint="eastAsia" w:cs="Times New Roman"/>
                      <w:color w:val="auto"/>
                      <w:sz w:val="21"/>
                      <w:szCs w:val="21"/>
                      <w:highlight w:val="none"/>
                      <w:lang w:eastAsia="zh-CN"/>
                    </w:rPr>
                    <w:t>)</w:t>
                  </w:r>
                </w:p>
              </w:tc>
            </w:tr>
            <w:tr w14:paraId="649CB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3" w:type="pct"/>
                  <w:vMerge w:val="continue"/>
                  <w:noWrap w:val="0"/>
                  <w:vAlign w:val="center"/>
                </w:tcPr>
                <w:p w14:paraId="03E5A41C">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377" w:type="pct"/>
                  <w:vMerge w:val="continue"/>
                  <w:noWrap w:val="0"/>
                  <w:vAlign w:val="center"/>
                </w:tcPr>
                <w:p w14:paraId="1BD3AA8B">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364" w:type="pct"/>
                  <w:vMerge w:val="continue"/>
                  <w:noWrap w:val="0"/>
                  <w:vAlign w:val="center"/>
                </w:tcPr>
                <w:p w14:paraId="1259BDB9">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956" w:type="pct"/>
                  <w:vMerge w:val="continue"/>
                  <w:noWrap w:val="0"/>
                  <w:vAlign w:val="center"/>
                </w:tcPr>
                <w:p w14:paraId="32143C95">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472" w:type="pct"/>
                  <w:vMerge w:val="continue"/>
                  <w:noWrap w:val="0"/>
                  <w:vAlign w:val="center"/>
                </w:tcPr>
                <w:p w14:paraId="156B03DA">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365" w:type="pct"/>
                  <w:vMerge w:val="continue"/>
                  <w:noWrap w:val="0"/>
                  <w:vAlign w:val="center"/>
                </w:tcPr>
                <w:p w14:paraId="610EF334">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812" w:type="pct"/>
                  <w:vMerge w:val="continue"/>
                  <w:noWrap w:val="0"/>
                  <w:vAlign w:val="center"/>
                </w:tcPr>
                <w:p w14:paraId="6B4FA04D">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246" w:type="pct"/>
                  <w:vMerge w:val="continue"/>
                  <w:noWrap w:val="0"/>
                  <w:vAlign w:val="center"/>
                </w:tcPr>
                <w:p w14:paraId="78B0E2A3">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159" w:type="pct"/>
                  <w:noWrap w:val="0"/>
                  <w:vAlign w:val="center"/>
                </w:tcPr>
                <w:p w14:paraId="01DC1F02">
                  <w:pPr>
                    <w:adjustRightInd w:val="0"/>
                    <w:snapToGrid w:val="0"/>
                    <w:spacing w:line="340" w:lineRule="exact"/>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r>
            <w:tr w14:paraId="7D41A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3" w:type="pct"/>
                  <w:noWrap w:val="0"/>
                  <w:vAlign w:val="center"/>
                </w:tcPr>
                <w:p w14:paraId="1968F1D7">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77" w:type="pct"/>
                  <w:noWrap w:val="0"/>
                  <w:vAlign w:val="center"/>
                </w:tcPr>
                <w:p w14:paraId="0A34818C">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DA001</w:t>
                  </w:r>
                </w:p>
              </w:tc>
              <w:tc>
                <w:tcPr>
                  <w:tcW w:w="364" w:type="pct"/>
                  <w:noWrap w:val="0"/>
                  <w:vAlign w:val="center"/>
                </w:tcPr>
                <w:p w14:paraId="690A5F12">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15</w:t>
                  </w:r>
                </w:p>
              </w:tc>
              <w:tc>
                <w:tcPr>
                  <w:tcW w:w="956" w:type="pct"/>
                  <w:noWrap w:val="0"/>
                  <w:vAlign w:val="center"/>
                </w:tcPr>
                <w:p w14:paraId="09DE028B">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472" w:type="pct"/>
                  <w:noWrap w:val="0"/>
                  <w:vAlign w:val="center"/>
                </w:tcPr>
                <w:p w14:paraId="7A9C0DB2">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365" w:type="pct"/>
                  <w:noWrap w:val="0"/>
                  <w:vAlign w:val="center"/>
                </w:tcPr>
                <w:p w14:paraId="779032A8">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812" w:type="pct"/>
                  <w:noWrap w:val="0"/>
                  <w:vAlign w:val="center"/>
                </w:tcPr>
                <w:p w14:paraId="56E47606">
                  <w:pPr>
                    <w:adjustRightInd w:val="0"/>
                    <w:snapToGrid w:val="0"/>
                    <w:spacing w:line="340" w:lineRule="exact"/>
                    <w:ind w:firstLine="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2400</w:t>
                  </w:r>
                </w:p>
              </w:tc>
              <w:tc>
                <w:tcPr>
                  <w:tcW w:w="246" w:type="pct"/>
                  <w:noWrap w:val="0"/>
                  <w:vAlign w:val="center"/>
                </w:tcPr>
                <w:p w14:paraId="2F4FB2D0">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正常</w:t>
                  </w:r>
                </w:p>
              </w:tc>
              <w:tc>
                <w:tcPr>
                  <w:tcW w:w="1159" w:type="pct"/>
                  <w:noWrap w:val="0"/>
                  <w:vAlign w:val="center"/>
                </w:tcPr>
                <w:p w14:paraId="400AC8B6">
                  <w:pPr>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0.012</w:t>
                  </w:r>
                </w:p>
              </w:tc>
            </w:tr>
            <w:tr w14:paraId="1EDEC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3" w:type="pct"/>
                  <w:noWrap w:val="0"/>
                  <w:vAlign w:val="center"/>
                </w:tcPr>
                <w:p w14:paraId="34197415">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377" w:type="pct"/>
                  <w:noWrap w:val="0"/>
                  <w:vAlign w:val="center"/>
                </w:tcPr>
                <w:p w14:paraId="456B73F6">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DA002</w:t>
                  </w:r>
                </w:p>
              </w:tc>
              <w:tc>
                <w:tcPr>
                  <w:tcW w:w="364" w:type="pct"/>
                  <w:noWrap w:val="0"/>
                  <w:vAlign w:val="center"/>
                </w:tcPr>
                <w:p w14:paraId="6AAD464D">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956" w:type="pct"/>
                  <w:noWrap w:val="0"/>
                  <w:vAlign w:val="center"/>
                </w:tcPr>
                <w:p w14:paraId="1883FC19">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472" w:type="pct"/>
                  <w:noWrap w:val="0"/>
                  <w:vAlign w:val="center"/>
                </w:tcPr>
                <w:p w14:paraId="62AFCDE4">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365" w:type="pct"/>
                  <w:noWrap w:val="0"/>
                  <w:vAlign w:val="center"/>
                </w:tcPr>
                <w:p w14:paraId="70CAB17E">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812" w:type="pct"/>
                  <w:noWrap w:val="0"/>
                  <w:vAlign w:val="center"/>
                </w:tcPr>
                <w:p w14:paraId="4EB99D90">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2400</w:t>
                  </w:r>
                </w:p>
              </w:tc>
              <w:tc>
                <w:tcPr>
                  <w:tcW w:w="246" w:type="pct"/>
                  <w:noWrap w:val="0"/>
                  <w:vAlign w:val="center"/>
                </w:tcPr>
                <w:p w14:paraId="0BC5AA0B">
                  <w:pPr>
                    <w:adjustRightInd w:val="0"/>
                    <w:snapToGrid w:val="0"/>
                    <w:spacing w:line="340" w:lineRule="exact"/>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正常</w:t>
                  </w:r>
                </w:p>
              </w:tc>
              <w:tc>
                <w:tcPr>
                  <w:tcW w:w="1159" w:type="pct"/>
                  <w:noWrap w:val="0"/>
                  <w:vAlign w:val="center"/>
                </w:tcPr>
                <w:p w14:paraId="1634C252">
                  <w:pPr>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0.012</w:t>
                  </w:r>
                </w:p>
              </w:tc>
            </w:tr>
            <w:tr w14:paraId="4DE7A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3" w:type="pct"/>
                  <w:noWrap w:val="0"/>
                  <w:vAlign w:val="center"/>
                </w:tcPr>
                <w:p w14:paraId="1EDEC141">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377" w:type="pct"/>
                  <w:noWrap w:val="0"/>
                  <w:vAlign w:val="center"/>
                </w:tcPr>
                <w:p w14:paraId="52F16A75">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w:t>
                  </w:r>
                  <w:r>
                    <w:rPr>
                      <w:rFonts w:hint="eastAsia" w:ascii="Times New Roman" w:hAnsi="Times New Roman" w:cs="Times New Roman"/>
                      <w:color w:val="auto"/>
                      <w:sz w:val="21"/>
                      <w:szCs w:val="21"/>
                      <w:highlight w:val="none"/>
                      <w:lang w:val="en-US" w:eastAsia="zh-CN"/>
                    </w:rPr>
                    <w:t>3</w:t>
                  </w:r>
                </w:p>
              </w:tc>
              <w:tc>
                <w:tcPr>
                  <w:tcW w:w="364" w:type="pct"/>
                  <w:noWrap w:val="0"/>
                  <w:vAlign w:val="center"/>
                </w:tcPr>
                <w:p w14:paraId="1C13CB5B">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956" w:type="pct"/>
                  <w:noWrap w:val="0"/>
                  <w:vAlign w:val="center"/>
                </w:tcPr>
                <w:p w14:paraId="1A4EA573">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472" w:type="pct"/>
                  <w:noWrap w:val="0"/>
                  <w:vAlign w:val="center"/>
                </w:tcPr>
                <w:p w14:paraId="3694DBEB">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365" w:type="pct"/>
                  <w:noWrap w:val="0"/>
                  <w:vAlign w:val="center"/>
                </w:tcPr>
                <w:p w14:paraId="622EC716">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812" w:type="pct"/>
                  <w:noWrap w:val="0"/>
                  <w:vAlign w:val="center"/>
                </w:tcPr>
                <w:p w14:paraId="25CAFBBA">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2400</w:t>
                  </w:r>
                </w:p>
              </w:tc>
              <w:tc>
                <w:tcPr>
                  <w:tcW w:w="246" w:type="pct"/>
                  <w:noWrap w:val="0"/>
                  <w:vAlign w:val="center"/>
                </w:tcPr>
                <w:p w14:paraId="2894C555">
                  <w:pPr>
                    <w:adjustRightInd w:val="0"/>
                    <w:snapToGrid w:val="0"/>
                    <w:spacing w:line="340" w:lineRule="exact"/>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正常</w:t>
                  </w:r>
                </w:p>
              </w:tc>
              <w:tc>
                <w:tcPr>
                  <w:tcW w:w="1159" w:type="pct"/>
                  <w:noWrap w:val="0"/>
                  <w:vAlign w:val="center"/>
                </w:tcPr>
                <w:p w14:paraId="59C2ACCB">
                  <w:pPr>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0.012</w:t>
                  </w:r>
                </w:p>
              </w:tc>
            </w:tr>
            <w:tr w14:paraId="0DBCC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3" w:type="pct"/>
                  <w:noWrap w:val="0"/>
                  <w:vAlign w:val="center"/>
                </w:tcPr>
                <w:p w14:paraId="5D322520">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77" w:type="pct"/>
                  <w:noWrap w:val="0"/>
                  <w:vAlign w:val="center"/>
                </w:tcPr>
                <w:p w14:paraId="2B22F753">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w:t>
                  </w:r>
                  <w:r>
                    <w:rPr>
                      <w:rFonts w:hint="eastAsia" w:ascii="Times New Roman" w:hAnsi="Times New Roman" w:cs="Times New Roman"/>
                      <w:color w:val="auto"/>
                      <w:sz w:val="21"/>
                      <w:szCs w:val="21"/>
                      <w:highlight w:val="none"/>
                      <w:lang w:val="en-US" w:eastAsia="zh-CN"/>
                    </w:rPr>
                    <w:t>4</w:t>
                  </w:r>
                </w:p>
              </w:tc>
              <w:tc>
                <w:tcPr>
                  <w:tcW w:w="364" w:type="pct"/>
                  <w:noWrap w:val="0"/>
                  <w:vAlign w:val="center"/>
                </w:tcPr>
                <w:p w14:paraId="083545D4">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956" w:type="pct"/>
                  <w:noWrap w:val="0"/>
                  <w:vAlign w:val="center"/>
                </w:tcPr>
                <w:p w14:paraId="12295F12">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472" w:type="pct"/>
                  <w:noWrap w:val="0"/>
                  <w:vAlign w:val="center"/>
                </w:tcPr>
                <w:p w14:paraId="70620CF4">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365" w:type="pct"/>
                  <w:noWrap w:val="0"/>
                  <w:vAlign w:val="center"/>
                </w:tcPr>
                <w:p w14:paraId="257CC081">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812" w:type="pct"/>
                  <w:noWrap w:val="0"/>
                  <w:vAlign w:val="center"/>
                </w:tcPr>
                <w:p w14:paraId="2E772B23">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2400</w:t>
                  </w:r>
                </w:p>
              </w:tc>
              <w:tc>
                <w:tcPr>
                  <w:tcW w:w="246" w:type="pct"/>
                  <w:noWrap w:val="0"/>
                  <w:vAlign w:val="center"/>
                </w:tcPr>
                <w:p w14:paraId="08A400E3">
                  <w:pPr>
                    <w:adjustRightInd w:val="0"/>
                    <w:snapToGrid w:val="0"/>
                    <w:spacing w:line="340" w:lineRule="exact"/>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正常</w:t>
                  </w:r>
                </w:p>
              </w:tc>
              <w:tc>
                <w:tcPr>
                  <w:tcW w:w="1159" w:type="pct"/>
                  <w:noWrap w:val="0"/>
                  <w:vAlign w:val="center"/>
                </w:tcPr>
                <w:p w14:paraId="598F9C5B">
                  <w:pPr>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0.012</w:t>
                  </w:r>
                </w:p>
              </w:tc>
            </w:tr>
            <w:tr w14:paraId="1DEB0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3" w:type="pct"/>
                  <w:noWrap w:val="0"/>
                  <w:vAlign w:val="center"/>
                </w:tcPr>
                <w:p w14:paraId="69E3A7BD">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77" w:type="pct"/>
                  <w:noWrap w:val="0"/>
                  <w:vAlign w:val="center"/>
                </w:tcPr>
                <w:p w14:paraId="60F296C7">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w:t>
                  </w:r>
                  <w:r>
                    <w:rPr>
                      <w:rFonts w:hint="eastAsia" w:ascii="Times New Roman" w:hAnsi="Times New Roman" w:cs="Times New Roman"/>
                      <w:color w:val="auto"/>
                      <w:sz w:val="21"/>
                      <w:szCs w:val="21"/>
                      <w:highlight w:val="none"/>
                      <w:lang w:val="en-US" w:eastAsia="zh-CN"/>
                    </w:rPr>
                    <w:t>5</w:t>
                  </w:r>
                </w:p>
              </w:tc>
              <w:tc>
                <w:tcPr>
                  <w:tcW w:w="364" w:type="pct"/>
                  <w:noWrap w:val="0"/>
                  <w:vAlign w:val="center"/>
                </w:tcPr>
                <w:p w14:paraId="27720F5F">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956" w:type="pct"/>
                  <w:noWrap w:val="0"/>
                  <w:vAlign w:val="center"/>
                </w:tcPr>
                <w:p w14:paraId="30880109">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472" w:type="pct"/>
                  <w:noWrap w:val="0"/>
                  <w:vAlign w:val="center"/>
                </w:tcPr>
                <w:p w14:paraId="0921BC37">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365" w:type="pct"/>
                  <w:noWrap w:val="0"/>
                  <w:vAlign w:val="center"/>
                </w:tcPr>
                <w:p w14:paraId="6F0AA7BB">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812" w:type="pct"/>
                  <w:noWrap w:val="0"/>
                  <w:vAlign w:val="center"/>
                </w:tcPr>
                <w:p w14:paraId="0B7EA44D">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2400</w:t>
                  </w:r>
                </w:p>
              </w:tc>
              <w:tc>
                <w:tcPr>
                  <w:tcW w:w="246" w:type="pct"/>
                  <w:noWrap w:val="0"/>
                  <w:vAlign w:val="center"/>
                </w:tcPr>
                <w:p w14:paraId="6C54D0C6">
                  <w:pPr>
                    <w:adjustRightInd w:val="0"/>
                    <w:snapToGrid w:val="0"/>
                    <w:spacing w:line="340" w:lineRule="exact"/>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正常</w:t>
                  </w:r>
                </w:p>
              </w:tc>
              <w:tc>
                <w:tcPr>
                  <w:tcW w:w="1159" w:type="pct"/>
                  <w:noWrap w:val="0"/>
                  <w:vAlign w:val="center"/>
                </w:tcPr>
                <w:p w14:paraId="44649D4D">
                  <w:pPr>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0.012</w:t>
                  </w:r>
                </w:p>
              </w:tc>
            </w:tr>
          </w:tbl>
          <w:p w14:paraId="3F1A2637">
            <w:pPr>
              <w:keepNext w:val="0"/>
              <w:keepLines w:val="0"/>
              <w:pageBreakBefore w:val="0"/>
              <w:widowControl w:val="0"/>
              <w:tabs>
                <w:tab w:val="left" w:pos="720"/>
              </w:tabs>
              <w:kinsoku/>
              <w:wordWrap/>
              <w:overflowPunct/>
              <w:topLinePunct w:val="0"/>
              <w:autoSpaceDE/>
              <w:autoSpaceDN/>
              <w:bidi w:val="0"/>
              <w:adjustRightInd/>
              <w:snapToGrid/>
              <w:spacing w:before="313" w:beforeLines="100"/>
              <w:jc w:val="center"/>
              <w:textAlignment w:val="auto"/>
              <w:rPr>
                <w:rFonts w:hint="default" w:ascii="Times New Roman" w:hAnsi="Times New Roman" w:eastAsia="宋体" w:cs="Times New Roman"/>
                <w:b/>
                <w:bCs/>
                <w:color w:val="auto"/>
                <w:kern w:val="2"/>
                <w:sz w:val="24"/>
                <w:szCs w:val="24"/>
                <w:highlight w:val="none"/>
                <w:lang w:val="en-US" w:eastAsia="zh-CN" w:bidi="ar-SA"/>
              </w:rPr>
            </w:pPr>
          </w:p>
          <w:p w14:paraId="5A04C911">
            <w:pPr>
              <w:keepNext w:val="0"/>
              <w:keepLines w:val="0"/>
              <w:pageBreakBefore w:val="0"/>
              <w:widowControl w:val="0"/>
              <w:tabs>
                <w:tab w:val="left" w:pos="720"/>
              </w:tabs>
              <w:kinsoku/>
              <w:wordWrap/>
              <w:overflowPunct/>
              <w:topLinePunct w:val="0"/>
              <w:autoSpaceDE/>
              <w:autoSpaceDN/>
              <w:bidi w:val="0"/>
              <w:adjustRightInd/>
              <w:snapToGrid/>
              <w:spacing w:before="313" w:beforeLines="100"/>
              <w:jc w:val="center"/>
              <w:textAlignment w:val="auto"/>
              <w:rPr>
                <w:rFonts w:hint="default" w:ascii="Times New Roman" w:hAnsi="Times New Roman" w:eastAsia="宋体" w:cs="Times New Roman"/>
                <w:b/>
                <w:bCs/>
                <w:color w:val="auto"/>
                <w:kern w:val="2"/>
                <w:sz w:val="24"/>
                <w:szCs w:val="24"/>
                <w:highlight w:val="none"/>
                <w:lang w:val="en-US" w:eastAsia="zh-CN" w:bidi="ar-SA"/>
              </w:rPr>
            </w:pPr>
          </w:p>
          <w:p w14:paraId="7AE45226">
            <w:pPr>
              <w:keepNext w:val="0"/>
              <w:keepLines w:val="0"/>
              <w:pageBreakBefore w:val="0"/>
              <w:widowControl w:val="0"/>
              <w:tabs>
                <w:tab w:val="left" w:pos="720"/>
              </w:tabs>
              <w:kinsoku/>
              <w:wordWrap/>
              <w:overflowPunct/>
              <w:topLinePunct w:val="0"/>
              <w:autoSpaceDE/>
              <w:autoSpaceDN/>
              <w:bidi w:val="0"/>
              <w:adjustRightInd/>
              <w:snapToGrid/>
              <w:spacing w:before="313" w:beforeLines="100"/>
              <w:jc w:val="center"/>
              <w:textAlignment w:val="auto"/>
              <w:rPr>
                <w:rFonts w:hint="default" w:ascii="Times New Roman" w:hAnsi="Times New Roman" w:eastAsia="宋体" w:cs="Times New Roman"/>
                <w:b/>
                <w:bCs/>
                <w:color w:val="auto"/>
                <w:kern w:val="2"/>
                <w:sz w:val="24"/>
                <w:szCs w:val="24"/>
                <w:highlight w:val="none"/>
                <w:lang w:val="en-US" w:eastAsia="zh-CN" w:bidi="ar-SA"/>
              </w:rPr>
            </w:pPr>
          </w:p>
          <w:p w14:paraId="141F9906">
            <w:pPr>
              <w:keepNext w:val="0"/>
              <w:keepLines w:val="0"/>
              <w:pageBreakBefore w:val="0"/>
              <w:widowControl w:val="0"/>
              <w:tabs>
                <w:tab w:val="left" w:pos="720"/>
              </w:tabs>
              <w:kinsoku/>
              <w:wordWrap/>
              <w:overflowPunct/>
              <w:topLinePunct w:val="0"/>
              <w:autoSpaceDE/>
              <w:autoSpaceDN/>
              <w:bidi w:val="0"/>
              <w:adjustRightInd/>
              <w:snapToGrid/>
              <w:spacing w:before="313" w:beforeLines="10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表4.2-</w:t>
            </w: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 xml:space="preserve"> 项目面源废气预测参数一览表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1"/>
              <w:gridCol w:w="869"/>
              <w:gridCol w:w="727"/>
              <w:gridCol w:w="1139"/>
              <w:gridCol w:w="1003"/>
              <w:gridCol w:w="861"/>
              <w:gridCol w:w="820"/>
              <w:gridCol w:w="2467"/>
            </w:tblGrid>
            <w:tr w14:paraId="0B91E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3" w:type="pct"/>
                  <w:vMerge w:val="restart"/>
                  <w:noWrap w:val="0"/>
                  <w:vAlign w:val="center"/>
                </w:tcPr>
                <w:p w14:paraId="4DEA0A3B">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513" w:type="pct"/>
                  <w:vMerge w:val="restart"/>
                  <w:noWrap w:val="0"/>
                  <w:vAlign w:val="center"/>
                </w:tcPr>
                <w:p w14:paraId="616ECEAA">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429" w:type="pct"/>
                  <w:vMerge w:val="restart"/>
                  <w:noWrap w:val="0"/>
                  <w:vAlign w:val="center"/>
                </w:tcPr>
                <w:p w14:paraId="420DD0F4">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w:t>
                  </w:r>
                </w:p>
                <w:p w14:paraId="30EDBE28">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长度</w:t>
                  </w:r>
                </w:p>
                <w:p w14:paraId="0A0E6155">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672" w:type="pct"/>
                  <w:vMerge w:val="restart"/>
                  <w:noWrap w:val="0"/>
                  <w:vAlign w:val="center"/>
                </w:tcPr>
                <w:p w14:paraId="578BF7E2">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w:t>
                  </w:r>
                </w:p>
                <w:p w14:paraId="7229B78B">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宽度</w:t>
                  </w:r>
                </w:p>
                <w:p w14:paraId="50653BC3">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592" w:type="pct"/>
                  <w:vMerge w:val="restart"/>
                  <w:noWrap w:val="0"/>
                  <w:vAlign w:val="center"/>
                </w:tcPr>
                <w:p w14:paraId="673855A9">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面源有效排放高度</w:t>
                  </w:r>
                </w:p>
                <w:p w14:paraId="20BC6C0C">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508" w:type="pct"/>
                  <w:vMerge w:val="restart"/>
                  <w:noWrap w:val="0"/>
                  <w:vAlign w:val="center"/>
                </w:tcPr>
                <w:p w14:paraId="21F29EC7">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w:t>
                  </w:r>
                </w:p>
                <w:p w14:paraId="4B9A55D1">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小时数</w:t>
                  </w:r>
                </w:p>
                <w:p w14:paraId="4C499539">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p>
              </w:tc>
              <w:tc>
                <w:tcPr>
                  <w:tcW w:w="484" w:type="pct"/>
                  <w:vMerge w:val="restart"/>
                  <w:noWrap w:val="0"/>
                  <w:vAlign w:val="center"/>
                </w:tcPr>
                <w:p w14:paraId="40DAECB8">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p w14:paraId="51969C44">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工况</w:t>
                  </w:r>
                </w:p>
              </w:tc>
              <w:tc>
                <w:tcPr>
                  <w:tcW w:w="1456" w:type="pct"/>
                  <w:noWrap w:val="0"/>
                  <w:vAlign w:val="center"/>
                </w:tcPr>
                <w:p w14:paraId="7AE02747">
                  <w:pPr>
                    <w:adjustRightInd w:val="0"/>
                    <w:snapToGrid w:val="0"/>
                    <w:spacing w:line="340" w:lineRule="exact"/>
                    <w:ind w:firstLine="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污染物排放速率/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kg/h</w:t>
                  </w:r>
                  <w:r>
                    <w:rPr>
                      <w:rFonts w:hint="eastAsia" w:cs="Times New Roman"/>
                      <w:color w:val="auto"/>
                      <w:sz w:val="21"/>
                      <w:szCs w:val="21"/>
                      <w:highlight w:val="none"/>
                      <w:lang w:eastAsia="zh-CN"/>
                    </w:rPr>
                    <w:t>)</w:t>
                  </w:r>
                </w:p>
              </w:tc>
            </w:tr>
            <w:tr w14:paraId="3FAE6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3" w:type="pct"/>
                  <w:vMerge w:val="continue"/>
                  <w:noWrap w:val="0"/>
                  <w:vAlign w:val="center"/>
                </w:tcPr>
                <w:p w14:paraId="6ADAD2F8">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513" w:type="pct"/>
                  <w:vMerge w:val="continue"/>
                  <w:noWrap w:val="0"/>
                  <w:vAlign w:val="center"/>
                </w:tcPr>
                <w:p w14:paraId="5ECF30FA">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429" w:type="pct"/>
                  <w:vMerge w:val="continue"/>
                  <w:noWrap w:val="0"/>
                  <w:vAlign w:val="center"/>
                </w:tcPr>
                <w:p w14:paraId="29F7099D">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672" w:type="pct"/>
                  <w:vMerge w:val="continue"/>
                  <w:noWrap w:val="0"/>
                  <w:vAlign w:val="center"/>
                </w:tcPr>
                <w:p w14:paraId="3E59C9F0">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592" w:type="pct"/>
                  <w:vMerge w:val="continue"/>
                  <w:noWrap w:val="0"/>
                  <w:vAlign w:val="center"/>
                </w:tcPr>
                <w:p w14:paraId="5C9D3463">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508" w:type="pct"/>
                  <w:vMerge w:val="continue"/>
                  <w:noWrap w:val="0"/>
                  <w:vAlign w:val="center"/>
                </w:tcPr>
                <w:p w14:paraId="7BFB0294">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484" w:type="pct"/>
                  <w:vMerge w:val="continue"/>
                  <w:noWrap w:val="0"/>
                  <w:vAlign w:val="center"/>
                </w:tcPr>
                <w:p w14:paraId="393892DD">
                  <w:pPr>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456" w:type="pct"/>
                  <w:noWrap w:val="0"/>
                  <w:vAlign w:val="center"/>
                </w:tcPr>
                <w:p w14:paraId="6E14B338">
                  <w:pPr>
                    <w:adjustRightInd w:val="0"/>
                    <w:snapToGrid w:val="0"/>
                    <w:spacing w:line="340" w:lineRule="exact"/>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TSP</w:t>
                  </w:r>
                </w:p>
              </w:tc>
            </w:tr>
            <w:tr w14:paraId="401AB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3" w:type="pct"/>
                  <w:noWrap w:val="0"/>
                  <w:vAlign w:val="center"/>
                </w:tcPr>
                <w:p w14:paraId="3B941A02">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13" w:type="pct"/>
                  <w:noWrap w:val="0"/>
                  <w:vAlign w:val="center"/>
                </w:tcPr>
                <w:p w14:paraId="46776193">
                  <w:pPr>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w:t>
                  </w:r>
                </w:p>
              </w:tc>
              <w:tc>
                <w:tcPr>
                  <w:tcW w:w="429" w:type="pct"/>
                  <w:noWrap w:val="0"/>
                  <w:vAlign w:val="center"/>
                </w:tcPr>
                <w:p w14:paraId="7BE12C5E">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133.6</w:t>
                  </w:r>
                </w:p>
              </w:tc>
              <w:tc>
                <w:tcPr>
                  <w:tcW w:w="672" w:type="pct"/>
                  <w:noWrap w:val="0"/>
                  <w:vAlign w:val="center"/>
                </w:tcPr>
                <w:p w14:paraId="1BA9B86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125</w:t>
                  </w:r>
                </w:p>
              </w:tc>
              <w:tc>
                <w:tcPr>
                  <w:tcW w:w="592" w:type="pct"/>
                  <w:noWrap w:val="0"/>
                  <w:vAlign w:val="center"/>
                </w:tcPr>
                <w:p w14:paraId="0770F73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c>
                <w:tcPr>
                  <w:tcW w:w="508" w:type="pct"/>
                  <w:noWrap w:val="0"/>
                  <w:vAlign w:val="center"/>
                </w:tcPr>
                <w:p w14:paraId="6737603F">
                  <w:pPr>
                    <w:adjustRightInd w:val="0"/>
                    <w:snapToGrid w:val="0"/>
                    <w:spacing w:line="340" w:lineRule="exact"/>
                    <w:ind w:firstLine="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2400</w:t>
                  </w:r>
                </w:p>
              </w:tc>
              <w:tc>
                <w:tcPr>
                  <w:tcW w:w="484" w:type="pct"/>
                  <w:noWrap w:val="0"/>
                  <w:vAlign w:val="center"/>
                </w:tcPr>
                <w:p w14:paraId="24C34469">
                  <w:pPr>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正常</w:t>
                  </w:r>
                </w:p>
              </w:tc>
              <w:tc>
                <w:tcPr>
                  <w:tcW w:w="1456" w:type="pct"/>
                  <w:noWrap w:val="0"/>
                  <w:vAlign w:val="center"/>
                </w:tcPr>
                <w:p w14:paraId="272ACF0D">
                  <w:pPr>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0.901</w:t>
                  </w:r>
                </w:p>
              </w:tc>
            </w:tr>
          </w:tbl>
          <w:p w14:paraId="1949781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2"/>
              <w:rPr>
                <w:rFonts w:hint="default" w:ascii="Times New Roman" w:hAnsi="Times New Roman" w:cs="Times New Roman"/>
                <w:b w:val="0"/>
                <w:bCs/>
                <w:color w:val="auto"/>
                <w:sz w:val="24"/>
                <w:szCs w:val="24"/>
                <w:highlight w:val="none"/>
                <w:lang w:val="en-GB"/>
              </w:rPr>
            </w:pPr>
            <w:bookmarkStart w:id="108" w:name="_Toc17348"/>
            <w:bookmarkStart w:id="109" w:name="_Toc7617"/>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3</w:t>
            </w:r>
            <w:r>
              <w:rPr>
                <w:rFonts w:hint="eastAsia" w:cs="Times New Roman"/>
                <w:b w:val="0"/>
                <w:bCs/>
                <w:color w:val="auto"/>
                <w:sz w:val="24"/>
                <w:szCs w:val="24"/>
                <w:highlight w:val="none"/>
                <w:shd w:val="clear" w:fill="FFFFFF"/>
                <w:lang w:val="en-US" w:eastAsia="zh-CN"/>
              </w:rPr>
              <w:t>)</w:t>
            </w:r>
            <w:r>
              <w:rPr>
                <w:rFonts w:hint="default" w:ascii="Times New Roman" w:hAnsi="Times New Roman" w:cs="Times New Roman"/>
                <w:b w:val="0"/>
                <w:bCs/>
                <w:color w:val="auto"/>
                <w:sz w:val="24"/>
                <w:szCs w:val="24"/>
                <w:highlight w:val="none"/>
                <w:lang w:val="en-GB"/>
              </w:rPr>
              <w:t>评价</w:t>
            </w:r>
            <w:r>
              <w:rPr>
                <w:rFonts w:hint="default" w:ascii="Times New Roman" w:hAnsi="Times New Roman" w:eastAsia="宋体" w:cs="Times New Roman"/>
                <w:b w:val="0"/>
                <w:bCs/>
                <w:color w:val="auto"/>
                <w:sz w:val="24"/>
                <w:szCs w:val="24"/>
                <w:highlight w:val="none"/>
                <w:lang w:val="en-GB"/>
              </w:rPr>
              <w:t>结果</w:t>
            </w:r>
            <w:r>
              <w:rPr>
                <w:rFonts w:hint="default" w:ascii="Times New Roman" w:hAnsi="Times New Roman" w:cs="Times New Roman"/>
                <w:b w:val="0"/>
                <w:bCs/>
                <w:color w:val="auto"/>
                <w:sz w:val="24"/>
                <w:szCs w:val="24"/>
                <w:highlight w:val="none"/>
                <w:lang w:val="en-GB"/>
              </w:rPr>
              <w:t>分析</w:t>
            </w:r>
            <w:bookmarkEnd w:id="108"/>
            <w:bookmarkEnd w:id="109"/>
          </w:p>
          <w:p w14:paraId="0C8D5DAC">
            <w:pPr>
              <w:pStyle w:val="16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Cs w:val="22"/>
                <w:highlight w:val="none"/>
                <w:lang w:val="en-GB"/>
              </w:rPr>
            </w:pPr>
            <w:r>
              <w:rPr>
                <w:rFonts w:hint="default" w:ascii="Times New Roman" w:hAnsi="Times New Roman" w:cs="Times New Roman"/>
                <w:color w:val="auto"/>
                <w:szCs w:val="22"/>
                <w:highlight w:val="none"/>
                <w:lang w:val="en-GB"/>
              </w:rPr>
              <w:t>①估算模式及参数</w:t>
            </w:r>
          </w:p>
          <w:p w14:paraId="407869B2">
            <w:pPr>
              <w:pStyle w:val="163"/>
              <w:rPr>
                <w:rFonts w:hint="default" w:ascii="Times New Roman" w:hAnsi="Times New Roman" w:eastAsia="宋体" w:cs="Times New Roman"/>
                <w:color w:val="auto"/>
                <w:szCs w:val="24"/>
                <w:highlight w:val="none"/>
                <w:lang w:eastAsia="zh-CN"/>
              </w:rPr>
            </w:pPr>
            <w:r>
              <w:rPr>
                <w:rFonts w:hint="eastAsia" w:cs="Times New Roman"/>
                <w:color w:val="auto"/>
                <w:szCs w:val="22"/>
                <w:highlight w:val="none"/>
                <w:lang w:val="en-GB" w:eastAsia="zh-CN"/>
              </w:rPr>
              <w:t>迁建项目</w:t>
            </w:r>
            <w:r>
              <w:rPr>
                <w:rFonts w:hint="default" w:ascii="Times New Roman" w:hAnsi="Times New Roman" w:cs="Times New Roman"/>
                <w:color w:val="auto"/>
                <w:szCs w:val="22"/>
                <w:highlight w:val="none"/>
                <w:lang w:val="en-GB"/>
              </w:rPr>
              <w:t>废气排放预测采用《环境影响评价技术导则</w:t>
            </w:r>
            <w:r>
              <w:rPr>
                <w:rFonts w:hint="default" w:ascii="Times New Roman" w:hAnsi="Times New Roman" w:cs="Times New Roman"/>
                <w:color w:val="auto"/>
                <w:szCs w:val="22"/>
                <w:highlight w:val="none"/>
                <w:lang w:val="en-US" w:eastAsia="zh-CN"/>
              </w:rPr>
              <w:t xml:space="preserve"> </w:t>
            </w:r>
            <w:r>
              <w:rPr>
                <w:rFonts w:hint="default" w:ascii="Times New Roman" w:hAnsi="Times New Roman" w:cs="Times New Roman"/>
                <w:color w:val="auto"/>
                <w:szCs w:val="22"/>
                <w:highlight w:val="none"/>
                <w:lang w:val="en-GB" w:eastAsia="zh-CN"/>
              </w:rPr>
              <w:t>大气</w:t>
            </w:r>
            <w:r>
              <w:rPr>
                <w:rFonts w:hint="default" w:ascii="Times New Roman" w:hAnsi="Times New Roman" w:cs="Times New Roman"/>
                <w:color w:val="auto"/>
                <w:szCs w:val="22"/>
                <w:highlight w:val="none"/>
                <w:lang w:val="en-GB"/>
              </w:rPr>
              <w:t>环境》</w:t>
            </w:r>
            <w:r>
              <w:rPr>
                <w:rFonts w:hint="eastAsia" w:cs="Times New Roman"/>
                <w:color w:val="auto"/>
                <w:szCs w:val="22"/>
                <w:highlight w:val="none"/>
                <w:lang w:val="en-GB" w:eastAsia="zh-CN"/>
              </w:rPr>
              <w:t>(</w:t>
            </w:r>
            <w:r>
              <w:rPr>
                <w:rFonts w:hint="default" w:ascii="Times New Roman" w:hAnsi="Times New Roman" w:cs="Times New Roman"/>
                <w:color w:val="auto"/>
                <w:szCs w:val="22"/>
                <w:highlight w:val="none"/>
                <w:lang w:val="en-GB"/>
              </w:rPr>
              <w:t>HJ2.2-2018</w:t>
            </w:r>
            <w:r>
              <w:rPr>
                <w:rFonts w:hint="eastAsia" w:cs="Times New Roman"/>
                <w:color w:val="auto"/>
                <w:szCs w:val="22"/>
                <w:highlight w:val="none"/>
                <w:shd w:val="clear" w:fill="FFFFFF"/>
                <w:lang w:val="en-GB" w:eastAsia="zh-CN"/>
              </w:rPr>
              <w:t>)</w:t>
            </w:r>
            <w:r>
              <w:rPr>
                <w:rFonts w:hint="default" w:ascii="Times New Roman" w:hAnsi="Times New Roman" w:cs="Times New Roman"/>
                <w:color w:val="auto"/>
                <w:szCs w:val="22"/>
                <w:highlight w:val="none"/>
                <w:lang w:val="en-GB"/>
              </w:rPr>
              <w:t>推荐的AERSCREEN估算模式，估算模式所用参数</w:t>
            </w:r>
            <w:r>
              <w:rPr>
                <w:rFonts w:hint="default" w:ascii="Times New Roman" w:hAnsi="Times New Roman" w:cs="Times New Roman"/>
                <w:color w:val="auto"/>
                <w:szCs w:val="22"/>
                <w:highlight w:val="none"/>
                <w:lang w:val="en-US" w:eastAsia="zh-CN"/>
              </w:rPr>
              <w:t>4.2-</w:t>
            </w:r>
            <w:r>
              <w:rPr>
                <w:rFonts w:hint="eastAsia" w:cs="Times New Roman"/>
                <w:color w:val="auto"/>
                <w:szCs w:val="22"/>
                <w:highlight w:val="none"/>
                <w:lang w:val="en-US" w:eastAsia="zh-CN"/>
              </w:rPr>
              <w:t>6</w:t>
            </w:r>
            <w:r>
              <w:rPr>
                <w:rFonts w:hint="default" w:ascii="Times New Roman" w:hAnsi="Times New Roman" w:cs="Times New Roman"/>
                <w:color w:val="auto"/>
                <w:szCs w:val="24"/>
                <w:highlight w:val="none"/>
                <w:lang w:eastAsia="zh-CN"/>
              </w:rPr>
              <w:t>。</w:t>
            </w:r>
          </w:p>
          <w:p w14:paraId="279BF2F1">
            <w:pPr>
              <w:keepNext w:val="0"/>
              <w:keepLines w:val="0"/>
              <w:pageBreakBefore w:val="0"/>
              <w:widowControl w:val="0"/>
              <w:tabs>
                <w:tab w:val="left" w:pos="720"/>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表4.2-</w:t>
            </w:r>
            <w:r>
              <w:rPr>
                <w:rFonts w:hint="eastAsia"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kern w:val="2"/>
                <w:sz w:val="24"/>
                <w:szCs w:val="24"/>
                <w:highlight w:val="none"/>
                <w:lang w:val="en-US" w:eastAsia="zh-CN" w:bidi="ar-SA"/>
              </w:rPr>
              <w:t xml:space="preserve">  项目点源废气预测参数一览表</w:t>
            </w:r>
          </w:p>
          <w:tbl>
            <w:tblPr>
              <w:tblStyle w:val="3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2626"/>
              <w:gridCol w:w="3898"/>
            </w:tblGrid>
            <w:tr w14:paraId="5F0B6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98" w:type="pct"/>
                  <w:gridSpan w:val="2"/>
                  <w:noWrap w:val="0"/>
                  <w:vAlign w:val="center"/>
                </w:tcPr>
                <w:p w14:paraId="5CAC3E56">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参数</w:t>
                  </w:r>
                </w:p>
              </w:tc>
              <w:tc>
                <w:tcPr>
                  <w:tcW w:w="2301" w:type="pct"/>
                  <w:noWrap w:val="0"/>
                  <w:vAlign w:val="center"/>
                </w:tcPr>
                <w:p w14:paraId="3E03F956">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取值</w:t>
                  </w:r>
                </w:p>
              </w:tc>
            </w:tr>
            <w:tr w14:paraId="01661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pct"/>
                  <w:vMerge w:val="restart"/>
                  <w:noWrap w:val="0"/>
                  <w:vAlign w:val="center"/>
                </w:tcPr>
                <w:p w14:paraId="27878F40">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城市农村/选项</w:t>
                  </w:r>
                </w:p>
              </w:tc>
              <w:tc>
                <w:tcPr>
                  <w:tcW w:w="1550" w:type="pct"/>
                  <w:noWrap w:val="0"/>
                  <w:vAlign w:val="center"/>
                </w:tcPr>
                <w:p w14:paraId="0C768851">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w:t>
                  </w:r>
                </w:p>
              </w:tc>
              <w:tc>
                <w:tcPr>
                  <w:tcW w:w="2301" w:type="pct"/>
                  <w:noWrap w:val="0"/>
                  <w:vAlign w:val="center"/>
                </w:tcPr>
                <w:p w14:paraId="6CA8B493">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农村</w:t>
                  </w:r>
                </w:p>
              </w:tc>
            </w:tr>
            <w:tr w14:paraId="73B4C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pct"/>
                  <w:vMerge w:val="continue"/>
                  <w:noWrap w:val="0"/>
                  <w:vAlign w:val="center"/>
                </w:tcPr>
                <w:p w14:paraId="28D10023">
                  <w:pPr>
                    <w:widowControl/>
                    <w:spacing w:line="340" w:lineRule="exact"/>
                    <w:jc w:val="center"/>
                    <w:rPr>
                      <w:rFonts w:hint="default" w:ascii="Times New Roman" w:hAnsi="Times New Roman" w:cs="Times New Roman"/>
                      <w:color w:val="auto"/>
                      <w:kern w:val="0"/>
                      <w:sz w:val="21"/>
                      <w:szCs w:val="21"/>
                      <w:highlight w:val="none"/>
                    </w:rPr>
                  </w:pPr>
                </w:p>
              </w:tc>
              <w:tc>
                <w:tcPr>
                  <w:tcW w:w="1550" w:type="pct"/>
                  <w:noWrap w:val="0"/>
                  <w:vAlign w:val="center"/>
                </w:tcPr>
                <w:p w14:paraId="23BFEDF8">
                  <w:pPr>
                    <w:widowControl/>
                    <w:spacing w:line="340" w:lineRule="exact"/>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人口数</w:t>
                  </w:r>
                  <w:r>
                    <w:rPr>
                      <w:rFonts w:hint="eastAsia" w:cs="Times New Roman"/>
                      <w:color w:val="auto"/>
                      <w:kern w:val="0"/>
                      <w:sz w:val="21"/>
                      <w:szCs w:val="21"/>
                      <w:highlight w:val="none"/>
                      <w:shd w:val="clear" w:fill="FFFFFF"/>
                      <w:lang w:eastAsia="zh-CN"/>
                    </w:rPr>
                    <w:t>(</w:t>
                  </w:r>
                  <w:r>
                    <w:rPr>
                      <w:rFonts w:hint="default" w:ascii="Times New Roman" w:hAnsi="Times New Roman" w:cs="Times New Roman"/>
                      <w:color w:val="auto"/>
                      <w:kern w:val="0"/>
                      <w:sz w:val="21"/>
                      <w:szCs w:val="21"/>
                      <w:highlight w:val="none"/>
                    </w:rPr>
                    <w:t>城市人口数</w:t>
                  </w:r>
                  <w:r>
                    <w:rPr>
                      <w:rFonts w:hint="eastAsia" w:cs="Times New Roman"/>
                      <w:color w:val="auto"/>
                      <w:kern w:val="0"/>
                      <w:sz w:val="21"/>
                      <w:szCs w:val="21"/>
                      <w:highlight w:val="none"/>
                      <w:shd w:val="clear" w:fill="FFFFFF"/>
                      <w:lang w:eastAsia="zh-CN"/>
                    </w:rPr>
                    <w:t>)</w:t>
                  </w:r>
                </w:p>
              </w:tc>
              <w:tc>
                <w:tcPr>
                  <w:tcW w:w="2301" w:type="pct"/>
                  <w:noWrap w:val="0"/>
                  <w:vAlign w:val="center"/>
                </w:tcPr>
                <w:p w14:paraId="2E92D653">
                  <w:pPr>
                    <w:widowControl/>
                    <w:spacing w:line="34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w:t>
                  </w:r>
                </w:p>
              </w:tc>
            </w:tr>
            <w:tr w14:paraId="73A44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98" w:type="pct"/>
                  <w:gridSpan w:val="2"/>
                  <w:noWrap w:val="0"/>
                  <w:vAlign w:val="center"/>
                </w:tcPr>
                <w:p w14:paraId="6A62532B">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最高环境温度</w:t>
                  </w:r>
                </w:p>
              </w:tc>
              <w:tc>
                <w:tcPr>
                  <w:tcW w:w="2301" w:type="pct"/>
                  <w:noWrap w:val="0"/>
                  <w:vAlign w:val="center"/>
                </w:tcPr>
                <w:p w14:paraId="280B66E2">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38.7</w:t>
                  </w:r>
                  <w:r>
                    <w:rPr>
                      <w:rFonts w:hint="default" w:ascii="Times New Roman" w:hAnsi="Times New Roman" w:cs="Times New Roman"/>
                      <w:color w:val="auto"/>
                      <w:kern w:val="0"/>
                      <w:sz w:val="21"/>
                      <w:szCs w:val="21"/>
                      <w:highlight w:val="none"/>
                    </w:rPr>
                    <w:t>℃</w:t>
                  </w:r>
                </w:p>
              </w:tc>
            </w:tr>
            <w:tr w14:paraId="35BC5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98" w:type="pct"/>
                  <w:gridSpan w:val="2"/>
                  <w:noWrap w:val="0"/>
                  <w:vAlign w:val="center"/>
                </w:tcPr>
                <w:p w14:paraId="5FB127DC">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最低环境温度</w:t>
                  </w:r>
                </w:p>
              </w:tc>
              <w:tc>
                <w:tcPr>
                  <w:tcW w:w="2301" w:type="pct"/>
                  <w:noWrap w:val="0"/>
                  <w:vAlign w:val="center"/>
                </w:tcPr>
                <w:p w14:paraId="0EC928D4">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-0.3</w:t>
                  </w:r>
                  <w:r>
                    <w:rPr>
                      <w:rFonts w:hint="default" w:ascii="Times New Roman" w:hAnsi="Times New Roman" w:cs="Times New Roman"/>
                      <w:color w:val="auto"/>
                      <w:kern w:val="0"/>
                      <w:sz w:val="21"/>
                      <w:szCs w:val="21"/>
                      <w:highlight w:val="none"/>
                    </w:rPr>
                    <w:t>℃</w:t>
                  </w:r>
                </w:p>
              </w:tc>
            </w:tr>
            <w:tr w14:paraId="6572E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98" w:type="pct"/>
                  <w:gridSpan w:val="2"/>
                  <w:noWrap w:val="0"/>
                  <w:vAlign w:val="center"/>
                </w:tcPr>
                <w:p w14:paraId="0CE77AD2">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土地利用类型</w:t>
                  </w:r>
                </w:p>
              </w:tc>
              <w:tc>
                <w:tcPr>
                  <w:tcW w:w="2301" w:type="pct"/>
                  <w:noWrap w:val="0"/>
                  <w:vAlign w:val="center"/>
                </w:tcPr>
                <w:p w14:paraId="49EEBF9C">
                  <w:pPr>
                    <w:widowControl/>
                    <w:spacing w:line="340" w:lineRule="exact"/>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建设用地</w:t>
                  </w:r>
                </w:p>
              </w:tc>
            </w:tr>
            <w:tr w14:paraId="4CBD6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98" w:type="pct"/>
                  <w:gridSpan w:val="2"/>
                  <w:noWrap w:val="0"/>
                  <w:vAlign w:val="center"/>
                </w:tcPr>
                <w:p w14:paraId="1E6E5FBC">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区域湿度条件</w:t>
                  </w:r>
                </w:p>
              </w:tc>
              <w:tc>
                <w:tcPr>
                  <w:tcW w:w="2301" w:type="pct"/>
                  <w:noWrap w:val="0"/>
                  <w:vAlign w:val="center"/>
                </w:tcPr>
                <w:p w14:paraId="12D13707">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湿润</w:t>
                  </w:r>
                </w:p>
              </w:tc>
            </w:tr>
            <w:tr w14:paraId="40B5B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pct"/>
                  <w:vMerge w:val="restart"/>
                  <w:noWrap w:val="0"/>
                  <w:vAlign w:val="center"/>
                </w:tcPr>
                <w:p w14:paraId="6C10FFE6">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是否考虑地形</w:t>
                  </w:r>
                </w:p>
              </w:tc>
              <w:tc>
                <w:tcPr>
                  <w:tcW w:w="1550" w:type="pct"/>
                  <w:noWrap w:val="0"/>
                  <w:vAlign w:val="center"/>
                </w:tcPr>
                <w:p w14:paraId="432EAC08">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考虑地形</w:t>
                  </w:r>
                </w:p>
              </w:tc>
              <w:tc>
                <w:tcPr>
                  <w:tcW w:w="2301" w:type="pct"/>
                  <w:noWrap w:val="0"/>
                  <w:vAlign w:val="center"/>
                </w:tcPr>
                <w:p w14:paraId="11A293B0">
                  <w:pPr>
                    <w:widowControl/>
                    <w:spacing w:line="340" w:lineRule="exact"/>
                    <w:jc w:val="center"/>
                    <w:rPr>
                      <w:rFonts w:hint="default" w:ascii="Times New Roman" w:hAnsi="Times New Roman" w:cs="Times New Roman"/>
                      <w:color w:val="auto"/>
                      <w:kern w:val="0"/>
                      <w:sz w:val="21"/>
                      <w:szCs w:val="21"/>
                      <w:highlight w:val="none"/>
                    </w:rPr>
                  </w:pPr>
                  <w:r>
                    <w:rPr>
                      <w:rFonts w:hint="eastAsia" w:eastAsia="黑体" w:cs="Times New Roman"/>
                      <w:color w:val="auto"/>
                      <w:sz w:val="21"/>
                      <w:szCs w:val="21"/>
                      <w:highlight w:val="none"/>
                      <w:shd w:val="clear" w:fill="FFFFFF"/>
                      <w:lang w:eastAsia="zh-CN"/>
                    </w:rPr>
                    <w:sym w:font="Wingdings 2" w:char="00A3"/>
                  </w:r>
                  <w:r>
                    <w:rPr>
                      <w:rFonts w:hint="default" w:ascii="Times New Roman" w:hAnsi="Times New Roman" w:cs="Times New Roman"/>
                      <w:color w:val="auto"/>
                      <w:kern w:val="0"/>
                      <w:sz w:val="21"/>
                      <w:szCs w:val="21"/>
                      <w:highlight w:val="none"/>
                    </w:rPr>
                    <w:t xml:space="preserve">是  </w:t>
                  </w:r>
                  <w:r>
                    <w:rPr>
                      <w:rFonts w:hint="eastAsia" w:eastAsia="黑体" w:cs="Times New Roman"/>
                      <w:color w:val="auto"/>
                      <w:sz w:val="21"/>
                      <w:szCs w:val="21"/>
                      <w:highlight w:val="none"/>
                      <w:shd w:val="clear" w:fill="FFFFFF"/>
                      <w:lang w:eastAsia="zh-CN"/>
                    </w:rPr>
                    <w:sym w:font="Wingdings 2" w:char="0052"/>
                  </w:r>
                  <w:r>
                    <w:rPr>
                      <w:rFonts w:hint="default" w:ascii="Times New Roman" w:hAnsi="Times New Roman" w:cs="Times New Roman"/>
                      <w:color w:val="auto"/>
                      <w:kern w:val="0"/>
                      <w:sz w:val="21"/>
                      <w:szCs w:val="21"/>
                      <w:highlight w:val="none"/>
                    </w:rPr>
                    <w:t>否</w:t>
                  </w:r>
                </w:p>
              </w:tc>
            </w:tr>
            <w:tr w14:paraId="0B34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pct"/>
                  <w:vMerge w:val="continue"/>
                  <w:noWrap w:val="0"/>
                  <w:vAlign w:val="center"/>
                </w:tcPr>
                <w:p w14:paraId="69569E9A">
                  <w:pPr>
                    <w:widowControl/>
                    <w:spacing w:line="340" w:lineRule="exact"/>
                    <w:jc w:val="center"/>
                    <w:rPr>
                      <w:rFonts w:hint="default" w:ascii="Times New Roman" w:hAnsi="Times New Roman" w:cs="Times New Roman"/>
                      <w:color w:val="auto"/>
                      <w:kern w:val="0"/>
                      <w:sz w:val="21"/>
                      <w:szCs w:val="21"/>
                      <w:highlight w:val="none"/>
                    </w:rPr>
                  </w:pPr>
                </w:p>
              </w:tc>
              <w:tc>
                <w:tcPr>
                  <w:tcW w:w="1550" w:type="pct"/>
                  <w:noWrap w:val="0"/>
                  <w:vAlign w:val="center"/>
                </w:tcPr>
                <w:p w14:paraId="473B7C34">
                  <w:pPr>
                    <w:widowControl/>
                    <w:spacing w:line="340" w:lineRule="exact"/>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地形数据分辨率</w:t>
                  </w:r>
                  <w:r>
                    <w:rPr>
                      <w:rFonts w:hint="eastAsia" w:cs="Times New Roman"/>
                      <w:color w:val="auto"/>
                      <w:kern w:val="0"/>
                      <w:sz w:val="21"/>
                      <w:szCs w:val="21"/>
                      <w:highlight w:val="none"/>
                      <w:shd w:val="clear" w:fill="FFFFFF"/>
                      <w:lang w:eastAsia="zh-CN"/>
                    </w:rPr>
                    <w:t>(</w:t>
                  </w:r>
                  <w:r>
                    <w:rPr>
                      <w:rFonts w:hint="default" w:ascii="Times New Roman" w:hAnsi="Times New Roman" w:cs="Times New Roman"/>
                      <w:color w:val="auto"/>
                      <w:kern w:val="0"/>
                      <w:sz w:val="21"/>
                      <w:szCs w:val="21"/>
                      <w:highlight w:val="none"/>
                    </w:rPr>
                    <w:t>m</w:t>
                  </w:r>
                  <w:r>
                    <w:rPr>
                      <w:rFonts w:hint="eastAsia" w:cs="Times New Roman"/>
                      <w:color w:val="auto"/>
                      <w:kern w:val="0"/>
                      <w:sz w:val="21"/>
                      <w:szCs w:val="21"/>
                      <w:highlight w:val="none"/>
                      <w:shd w:val="clear" w:fill="FFFFFF"/>
                      <w:lang w:eastAsia="zh-CN"/>
                    </w:rPr>
                    <w:t>)</w:t>
                  </w:r>
                </w:p>
              </w:tc>
              <w:tc>
                <w:tcPr>
                  <w:tcW w:w="2301" w:type="pct"/>
                  <w:noWrap w:val="0"/>
                  <w:vAlign w:val="center"/>
                </w:tcPr>
                <w:p w14:paraId="2990644F">
                  <w:pPr>
                    <w:widowControl/>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14:paraId="714DB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pct"/>
                  <w:vMerge w:val="restart"/>
                  <w:noWrap w:val="0"/>
                  <w:vAlign w:val="center"/>
                </w:tcPr>
                <w:p w14:paraId="5AA12709">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是否考虑岸线熏烟</w:t>
                  </w:r>
                </w:p>
              </w:tc>
              <w:tc>
                <w:tcPr>
                  <w:tcW w:w="1550" w:type="pct"/>
                  <w:noWrap w:val="0"/>
                  <w:vAlign w:val="center"/>
                </w:tcPr>
                <w:p w14:paraId="46C7D6EA">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考虑岸线熏烟</w:t>
                  </w:r>
                </w:p>
              </w:tc>
              <w:tc>
                <w:tcPr>
                  <w:tcW w:w="2301" w:type="pct"/>
                  <w:noWrap w:val="0"/>
                  <w:vAlign w:val="center"/>
                </w:tcPr>
                <w:p w14:paraId="32504094">
                  <w:pPr>
                    <w:spacing w:line="340" w:lineRule="exact"/>
                    <w:jc w:val="center"/>
                    <w:rPr>
                      <w:rFonts w:hint="default" w:ascii="Times New Roman" w:hAnsi="Times New Roman" w:cs="Times New Roman"/>
                      <w:color w:val="auto"/>
                      <w:kern w:val="0"/>
                      <w:sz w:val="21"/>
                      <w:szCs w:val="21"/>
                      <w:highlight w:val="none"/>
                    </w:rPr>
                  </w:pPr>
                  <w:r>
                    <w:rPr>
                      <w:rFonts w:hint="eastAsia" w:eastAsia="黑体" w:cs="Times New Roman"/>
                      <w:color w:val="auto"/>
                      <w:sz w:val="21"/>
                      <w:szCs w:val="21"/>
                      <w:highlight w:val="none"/>
                      <w:shd w:val="clear" w:fill="FFFFFF"/>
                      <w:lang w:eastAsia="zh-CN"/>
                    </w:rPr>
                    <w:sym w:font="Wingdings 2" w:char="00A3"/>
                  </w:r>
                  <w:r>
                    <w:rPr>
                      <w:rFonts w:hint="default" w:ascii="Times New Roman" w:hAnsi="Times New Roman" w:cs="Times New Roman"/>
                      <w:color w:val="auto"/>
                      <w:kern w:val="0"/>
                      <w:sz w:val="21"/>
                      <w:szCs w:val="21"/>
                      <w:highlight w:val="none"/>
                    </w:rPr>
                    <w:t xml:space="preserve">是  </w:t>
                  </w:r>
                  <w:r>
                    <w:rPr>
                      <w:rFonts w:hint="eastAsia" w:eastAsia="黑体" w:cs="Times New Roman"/>
                      <w:color w:val="auto"/>
                      <w:sz w:val="21"/>
                      <w:szCs w:val="21"/>
                      <w:highlight w:val="none"/>
                      <w:shd w:val="clear" w:fill="FFFFFF"/>
                      <w:lang w:eastAsia="zh-CN"/>
                    </w:rPr>
                    <w:sym w:font="Wingdings 2" w:char="0052"/>
                  </w:r>
                  <w:r>
                    <w:rPr>
                      <w:rFonts w:hint="default" w:ascii="Times New Roman" w:hAnsi="Times New Roman" w:cs="Times New Roman"/>
                      <w:color w:val="auto"/>
                      <w:kern w:val="0"/>
                      <w:sz w:val="21"/>
                      <w:szCs w:val="21"/>
                      <w:highlight w:val="none"/>
                    </w:rPr>
                    <w:t>否</w:t>
                  </w:r>
                </w:p>
              </w:tc>
            </w:tr>
            <w:tr w14:paraId="1DC58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pct"/>
                  <w:vMerge w:val="continue"/>
                  <w:noWrap w:val="0"/>
                  <w:vAlign w:val="center"/>
                </w:tcPr>
                <w:p w14:paraId="5DA870F4">
                  <w:pPr>
                    <w:widowControl/>
                    <w:spacing w:line="340" w:lineRule="exact"/>
                    <w:jc w:val="center"/>
                    <w:rPr>
                      <w:rFonts w:hint="default" w:ascii="Times New Roman" w:hAnsi="Times New Roman" w:cs="Times New Roman"/>
                      <w:color w:val="auto"/>
                      <w:kern w:val="0"/>
                      <w:sz w:val="21"/>
                      <w:szCs w:val="21"/>
                      <w:highlight w:val="none"/>
                    </w:rPr>
                  </w:pPr>
                </w:p>
              </w:tc>
              <w:tc>
                <w:tcPr>
                  <w:tcW w:w="1550" w:type="pct"/>
                  <w:noWrap w:val="0"/>
                  <w:vAlign w:val="center"/>
                </w:tcPr>
                <w:p w14:paraId="0011E255">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岸线距离/km</w:t>
                  </w:r>
                </w:p>
              </w:tc>
              <w:tc>
                <w:tcPr>
                  <w:tcW w:w="2301" w:type="pct"/>
                  <w:noWrap w:val="0"/>
                  <w:vAlign w:val="center"/>
                </w:tcPr>
                <w:p w14:paraId="7BAA6B16">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r w14:paraId="0312A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pct"/>
                  <w:vMerge w:val="continue"/>
                  <w:noWrap w:val="0"/>
                  <w:vAlign w:val="center"/>
                </w:tcPr>
                <w:p w14:paraId="64C3C95F">
                  <w:pPr>
                    <w:widowControl/>
                    <w:spacing w:line="340" w:lineRule="exact"/>
                    <w:jc w:val="center"/>
                    <w:rPr>
                      <w:rFonts w:hint="default" w:ascii="Times New Roman" w:hAnsi="Times New Roman" w:cs="Times New Roman"/>
                      <w:color w:val="auto"/>
                      <w:kern w:val="0"/>
                      <w:sz w:val="21"/>
                      <w:szCs w:val="21"/>
                      <w:highlight w:val="none"/>
                    </w:rPr>
                  </w:pPr>
                </w:p>
              </w:tc>
              <w:tc>
                <w:tcPr>
                  <w:tcW w:w="1550" w:type="pct"/>
                  <w:noWrap w:val="0"/>
                  <w:vAlign w:val="center"/>
                </w:tcPr>
                <w:p w14:paraId="2A3DFD48">
                  <w:pPr>
                    <w:widowControl/>
                    <w:spacing w:line="340" w:lineRule="exact"/>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岸线方向/</w:t>
                  </w:r>
                  <w:r>
                    <w:rPr>
                      <w:rFonts w:hint="default" w:ascii="Times New Roman" w:hAnsi="Times New Roman" w:cs="Times New Roman"/>
                      <w:color w:val="auto"/>
                      <w:kern w:val="0"/>
                      <w:sz w:val="21"/>
                      <w:szCs w:val="21"/>
                      <w:highlight w:val="none"/>
                      <w:vertAlign w:val="superscript"/>
                    </w:rPr>
                    <w:t>o</w:t>
                  </w:r>
                </w:p>
              </w:tc>
              <w:tc>
                <w:tcPr>
                  <w:tcW w:w="2301" w:type="pct"/>
                  <w:noWrap w:val="0"/>
                  <w:vAlign w:val="center"/>
                </w:tcPr>
                <w:p w14:paraId="49683675">
                  <w:pPr>
                    <w:widowControl/>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bl>
          <w:p w14:paraId="670F1684">
            <w:pPr>
              <w:pStyle w:val="163"/>
              <w:spacing w:before="120" w:beforeLines="50"/>
              <w:rPr>
                <w:rFonts w:hint="default" w:ascii="Times New Roman" w:hAnsi="Times New Roman" w:cs="Times New Roman"/>
                <w:color w:val="auto"/>
                <w:szCs w:val="22"/>
                <w:highlight w:val="none"/>
                <w:lang w:val="en-GB"/>
              </w:rPr>
            </w:pPr>
            <w:r>
              <w:rPr>
                <w:rFonts w:hint="default" w:ascii="Times New Roman" w:hAnsi="Times New Roman" w:cs="Times New Roman"/>
                <w:color w:val="auto"/>
                <w:szCs w:val="22"/>
                <w:highlight w:val="none"/>
                <w:lang w:val="en-GB"/>
              </w:rPr>
              <w:t>②预测质量浓度及占标率分析</w:t>
            </w:r>
          </w:p>
          <w:p w14:paraId="7CFC975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GB"/>
              </w:rPr>
              <w:t>项目废气预测质量浓度及占标率分析结果详见表</w:t>
            </w:r>
            <w:r>
              <w:rPr>
                <w:rFonts w:hint="default" w:ascii="Times New Roman" w:hAnsi="Times New Roman" w:cs="Times New Roman"/>
                <w:color w:val="auto"/>
                <w:szCs w:val="22"/>
                <w:highlight w:val="none"/>
                <w:lang w:val="en-US" w:eastAsia="zh-CN"/>
              </w:rPr>
              <w:t>4.2-</w:t>
            </w:r>
            <w:bookmarkEnd w:id="105"/>
            <w:bookmarkStart w:id="110" w:name="_Toc27919_WPSOffice_Level2"/>
            <w:r>
              <w:rPr>
                <w:rFonts w:hint="default" w:ascii="Times New Roman" w:hAnsi="Times New Roman" w:cs="Times New Roman"/>
                <w:color w:val="auto"/>
                <w:szCs w:val="22"/>
                <w:highlight w:val="none"/>
                <w:lang w:val="en-US" w:eastAsia="zh-CN"/>
              </w:rPr>
              <w:t>11~4.2-12。</w:t>
            </w:r>
          </w:p>
          <w:p w14:paraId="3E8E347E">
            <w:pPr>
              <w:spacing w:before="120" w:beforeLines="50"/>
              <w:ind w:firstLine="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p>
          <w:p w14:paraId="7685158C">
            <w:pPr>
              <w:spacing w:before="120" w:beforeLines="50"/>
              <w:ind w:firstLine="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p>
          <w:p w14:paraId="6BF4F94A">
            <w:pPr>
              <w:spacing w:before="120" w:beforeLines="50"/>
              <w:ind w:firstLine="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p>
          <w:p w14:paraId="57688482">
            <w:pPr>
              <w:spacing w:before="120" w:beforeLines="50"/>
              <w:ind w:firstLine="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p>
          <w:p w14:paraId="0914D487">
            <w:pPr>
              <w:spacing w:before="120" w:beforeLines="50"/>
              <w:ind w:firstLine="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p>
          <w:p w14:paraId="149774C3">
            <w:pPr>
              <w:spacing w:before="120" w:beforeLines="50"/>
              <w:ind w:firstLine="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p>
          <w:p w14:paraId="4FD81FB1">
            <w:pPr>
              <w:spacing w:before="120" w:beforeLines="50"/>
              <w:ind w:firstLine="0"/>
              <w:jc w:val="center"/>
              <w:rPr>
                <w:rFonts w:hint="default" w:ascii="Times New Roman" w:hAnsi="Times New Roman" w:eastAsia="黑体" w:cs="Times New Roman"/>
                <w:color w:val="auto"/>
                <w:sz w:val="24"/>
                <w:highlight w:val="none"/>
              </w:rPr>
            </w:pPr>
            <w:r>
              <w:rPr>
                <w:rFonts w:hint="default" w:ascii="Times New Roman" w:hAnsi="Times New Roman" w:eastAsia="宋体" w:cs="Times New Roman"/>
                <w:b/>
                <w:color w:val="auto"/>
                <w:spacing w:val="0"/>
                <w:w w:val="100"/>
                <w:kern w:val="2"/>
                <w:position w:val="0"/>
                <w:sz w:val="24"/>
                <w:szCs w:val="24"/>
                <w:highlight w:val="none"/>
                <w:lang w:val="en-US" w:eastAsia="zh-CN" w:bidi="ar-SA"/>
              </w:rPr>
              <w:t>表4.2-</w:t>
            </w:r>
            <w:r>
              <w:rPr>
                <w:rFonts w:hint="eastAsia" w:cs="Times New Roman"/>
                <w:b/>
                <w:color w:val="auto"/>
                <w:spacing w:val="0"/>
                <w:w w:val="100"/>
                <w:kern w:val="2"/>
                <w:position w:val="0"/>
                <w:sz w:val="24"/>
                <w:szCs w:val="24"/>
                <w:highlight w:val="none"/>
                <w:lang w:val="en-US" w:eastAsia="zh-CN" w:bidi="ar-SA"/>
              </w:rPr>
              <w:t>6</w:t>
            </w:r>
            <w:r>
              <w:rPr>
                <w:rFonts w:hint="default" w:ascii="Times New Roman" w:hAnsi="Times New Roman" w:eastAsia="宋体" w:cs="Times New Roman"/>
                <w:b/>
                <w:color w:val="auto"/>
                <w:spacing w:val="0"/>
                <w:w w:val="100"/>
                <w:kern w:val="2"/>
                <w:position w:val="0"/>
                <w:sz w:val="24"/>
                <w:szCs w:val="24"/>
                <w:highlight w:val="none"/>
                <w:lang w:val="en-US" w:eastAsia="zh-CN" w:bidi="ar-SA"/>
              </w:rPr>
              <w:t xml:space="preserve">  项目正常工况下有组织大气污染物最大影响估算结果表</w:t>
            </w:r>
            <w:bookmarkEnd w:id="110"/>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2828"/>
              <w:gridCol w:w="1183"/>
              <w:gridCol w:w="1667"/>
              <w:gridCol w:w="734"/>
            </w:tblGrid>
            <w:tr w14:paraId="15671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noWrap w:val="0"/>
                  <w:vAlign w:val="center"/>
                </w:tcPr>
                <w:p w14:paraId="0B3BD154">
                  <w:pPr>
                    <w:spacing w:line="340" w:lineRule="exact"/>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距源中心下风向距离</w:t>
                  </w:r>
                  <w:r>
                    <w:rPr>
                      <w:rFonts w:hint="default" w:ascii="Times New Roman" w:hAnsi="Times New Roman" w:cs="Times New Roman"/>
                      <w:color w:val="auto"/>
                      <w:sz w:val="21"/>
                      <w:szCs w:val="21"/>
                      <w:highlight w:val="none"/>
                      <w:shd w:val="clear" w:fill="FFFFFF"/>
                      <w:lang w:eastAsia="zh-CN"/>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shd w:val="clear" w:fill="FFFFFF"/>
                      <w:lang w:eastAsia="zh-CN"/>
                    </w:rPr>
                    <w:t>)</w:t>
                  </w:r>
                </w:p>
              </w:tc>
              <w:tc>
                <w:tcPr>
                  <w:tcW w:w="0" w:type="auto"/>
                  <w:gridSpan w:val="2"/>
                  <w:noWrap w:val="0"/>
                  <w:vAlign w:val="center"/>
                </w:tcPr>
                <w:p w14:paraId="1530AB17">
                  <w:pPr>
                    <w:spacing w:line="340" w:lineRule="exact"/>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有组织排放</w:t>
                  </w:r>
                </w:p>
              </w:tc>
              <w:tc>
                <w:tcPr>
                  <w:tcW w:w="0" w:type="auto"/>
                  <w:gridSpan w:val="2"/>
                  <w:noWrap w:val="0"/>
                  <w:vAlign w:val="center"/>
                </w:tcPr>
                <w:p w14:paraId="71372127">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无组织排放</w:t>
                  </w:r>
                </w:p>
              </w:tc>
            </w:tr>
            <w:tr w14:paraId="69754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noWrap w:val="0"/>
                  <w:vAlign w:val="center"/>
                </w:tcPr>
                <w:p w14:paraId="0E0CC9ED">
                  <w:pPr>
                    <w:spacing w:line="340" w:lineRule="exact"/>
                    <w:ind w:firstLine="0"/>
                    <w:jc w:val="center"/>
                    <w:rPr>
                      <w:rFonts w:hint="default" w:ascii="Times New Roman" w:hAnsi="Times New Roman" w:cs="Times New Roman"/>
                      <w:color w:val="auto"/>
                      <w:sz w:val="21"/>
                      <w:szCs w:val="21"/>
                      <w:highlight w:val="none"/>
                    </w:rPr>
                  </w:pPr>
                </w:p>
              </w:tc>
              <w:tc>
                <w:tcPr>
                  <w:tcW w:w="0" w:type="auto"/>
                  <w:gridSpan w:val="2"/>
                  <w:noWrap w:val="0"/>
                  <w:vAlign w:val="center"/>
                </w:tcPr>
                <w:p w14:paraId="7B734E58">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DA001</w:t>
                  </w:r>
                  <w:r>
                    <w:rPr>
                      <w:rFonts w:hint="default" w:ascii="Times New Roman" w:hAnsi="Times New Roman" w:cs="Times New Roman"/>
                      <w:color w:val="auto"/>
                      <w:sz w:val="21"/>
                      <w:szCs w:val="21"/>
                      <w:highlight w:val="none"/>
                    </w:rPr>
                    <w:t>排气筒</w:t>
                  </w: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lang w:val="en-US" w:eastAsia="zh-CN"/>
                    </w:rPr>
                    <w:t>DA005排气筒</w:t>
                  </w: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lang w:val="en-US" w:eastAsia="zh-CN"/>
                    </w:rPr>
                    <w:t>每根污染源都一样，就体现一根</w:t>
                  </w:r>
                  <w:r>
                    <w:rPr>
                      <w:rFonts w:hint="default" w:ascii="Times New Roman" w:hAnsi="Times New Roman" w:cs="Times New Roman"/>
                      <w:color w:val="auto"/>
                      <w:sz w:val="21"/>
                      <w:szCs w:val="21"/>
                      <w:highlight w:val="none"/>
                      <w:shd w:val="clear" w:fill="FFFFFF"/>
                      <w:lang w:val="en-US" w:eastAsia="zh-CN"/>
                    </w:rPr>
                    <w:t>)</w:t>
                  </w:r>
                </w:p>
              </w:tc>
              <w:tc>
                <w:tcPr>
                  <w:tcW w:w="0" w:type="auto"/>
                  <w:gridSpan w:val="2"/>
                  <w:noWrap w:val="0"/>
                  <w:vAlign w:val="center"/>
                </w:tcPr>
                <w:p w14:paraId="3318CD6B">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厂界无组织排放</w:t>
                  </w:r>
                </w:p>
              </w:tc>
            </w:tr>
            <w:tr w14:paraId="22565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noWrap w:val="0"/>
                  <w:vAlign w:val="center"/>
                </w:tcPr>
                <w:p w14:paraId="793708E4">
                  <w:pPr>
                    <w:spacing w:line="340" w:lineRule="exact"/>
                    <w:ind w:firstLine="0"/>
                    <w:jc w:val="center"/>
                    <w:rPr>
                      <w:rFonts w:hint="default" w:ascii="Times New Roman" w:hAnsi="Times New Roman" w:cs="Times New Roman"/>
                      <w:color w:val="auto"/>
                      <w:sz w:val="21"/>
                      <w:szCs w:val="21"/>
                      <w:highlight w:val="none"/>
                    </w:rPr>
                  </w:pPr>
                </w:p>
              </w:tc>
              <w:tc>
                <w:tcPr>
                  <w:tcW w:w="0" w:type="auto"/>
                  <w:gridSpan w:val="2"/>
                  <w:noWrap w:val="0"/>
                  <w:vAlign w:val="center"/>
                </w:tcPr>
                <w:p w14:paraId="5A08BE90">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0" w:type="auto"/>
                  <w:gridSpan w:val="2"/>
                  <w:noWrap w:val="0"/>
                  <w:vAlign w:val="center"/>
                </w:tcPr>
                <w:p w14:paraId="51A6A74D">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TSP</w:t>
                  </w:r>
                </w:p>
              </w:tc>
            </w:tr>
            <w:tr w14:paraId="61433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noWrap w:val="0"/>
                  <w:vAlign w:val="center"/>
                </w:tcPr>
                <w:p w14:paraId="6F9E10F9">
                  <w:pPr>
                    <w:spacing w:line="340" w:lineRule="exact"/>
                    <w:ind w:firstLine="0"/>
                    <w:jc w:val="center"/>
                    <w:rPr>
                      <w:rFonts w:hint="default" w:ascii="Times New Roman" w:hAnsi="Times New Roman" w:cs="Times New Roman"/>
                      <w:color w:val="auto"/>
                      <w:sz w:val="21"/>
                      <w:szCs w:val="21"/>
                      <w:highlight w:val="none"/>
                    </w:rPr>
                  </w:pPr>
                </w:p>
              </w:tc>
              <w:tc>
                <w:tcPr>
                  <w:tcW w:w="0" w:type="auto"/>
                  <w:noWrap w:val="0"/>
                  <w:vAlign w:val="center"/>
                </w:tcPr>
                <w:p w14:paraId="2B379E9D">
                  <w:pPr>
                    <w:spacing w:line="340" w:lineRule="exact"/>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预测质量浓度/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lang w:eastAsia="zh-CN"/>
                    </w:rPr>
                    <w:t>)</w:t>
                  </w:r>
                </w:p>
              </w:tc>
              <w:tc>
                <w:tcPr>
                  <w:tcW w:w="0" w:type="auto"/>
                  <w:noWrap w:val="0"/>
                  <w:vAlign w:val="center"/>
                </w:tcPr>
                <w:p w14:paraId="4A1C84DD">
                  <w:pPr>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p w14:paraId="4C4A81C8">
                  <w:pPr>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0" w:type="auto"/>
                  <w:noWrap w:val="0"/>
                  <w:vAlign w:val="center"/>
                </w:tcPr>
                <w:p w14:paraId="449AC0D0">
                  <w:pPr>
                    <w:spacing w:line="340" w:lineRule="exact"/>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预测质量浓度/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lang w:eastAsia="zh-CN"/>
                    </w:rPr>
                    <w:t>)</w:t>
                  </w:r>
                </w:p>
              </w:tc>
              <w:tc>
                <w:tcPr>
                  <w:tcW w:w="0" w:type="auto"/>
                  <w:noWrap w:val="0"/>
                  <w:vAlign w:val="center"/>
                </w:tcPr>
                <w:p w14:paraId="028CA16A">
                  <w:pPr>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p w14:paraId="2ECD043E">
                  <w:pPr>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6E4F4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0" w:type="auto"/>
                  <w:noWrap w:val="0"/>
                  <w:vAlign w:val="center"/>
                </w:tcPr>
                <w:p w14:paraId="057C4E0F">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0" w:type="auto"/>
                  <w:noWrap w:val="0"/>
                  <w:vAlign w:val="center"/>
                </w:tcPr>
                <w:p w14:paraId="235E52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2.02×10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8</w:t>
                  </w:r>
                </w:p>
              </w:tc>
              <w:tc>
                <w:tcPr>
                  <w:tcW w:w="0" w:type="auto"/>
                  <w:noWrap w:val="0"/>
                  <w:vAlign w:val="center"/>
                </w:tcPr>
                <w:p w14:paraId="7894C7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0" w:type="auto"/>
                  <w:noWrap w:val="0"/>
                  <w:vAlign w:val="center"/>
                </w:tcPr>
                <w:p w14:paraId="461B44C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4.39×10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3</w:t>
                  </w:r>
                </w:p>
              </w:tc>
              <w:tc>
                <w:tcPr>
                  <w:tcW w:w="0" w:type="auto"/>
                  <w:noWrap w:val="0"/>
                  <w:vAlign w:val="center"/>
                </w:tcPr>
                <w:p w14:paraId="60E6A6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0.49</w:t>
                  </w:r>
                </w:p>
              </w:tc>
            </w:tr>
            <w:tr w14:paraId="752CD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0" w:type="auto"/>
                  <w:noWrap w:val="0"/>
                  <w:vAlign w:val="center"/>
                </w:tcPr>
                <w:p w14:paraId="740D86CE">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0" w:type="auto"/>
                  <w:noWrap w:val="0"/>
                  <w:vAlign w:val="center"/>
                </w:tcPr>
                <w:p w14:paraId="5F0A1E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2.17×10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8</w:t>
                  </w:r>
                </w:p>
              </w:tc>
              <w:tc>
                <w:tcPr>
                  <w:tcW w:w="0" w:type="auto"/>
                  <w:noWrap w:val="0"/>
                  <w:vAlign w:val="center"/>
                </w:tcPr>
                <w:p w14:paraId="69D4DE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2"/>
                      <w:szCs w:val="22"/>
                      <w:u w:val="none"/>
                      <w:lang w:val="en-US" w:eastAsia="zh-CN" w:bidi="ar"/>
                    </w:rPr>
                    <w:t>0</w:t>
                  </w:r>
                </w:p>
              </w:tc>
              <w:tc>
                <w:tcPr>
                  <w:tcW w:w="0" w:type="auto"/>
                  <w:noWrap w:val="0"/>
                  <w:vAlign w:val="center"/>
                </w:tcPr>
                <w:p w14:paraId="6C6993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5.43×10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3</w:t>
                  </w:r>
                </w:p>
              </w:tc>
              <w:tc>
                <w:tcPr>
                  <w:tcW w:w="0" w:type="auto"/>
                  <w:noWrap w:val="0"/>
                  <w:vAlign w:val="center"/>
                </w:tcPr>
                <w:p w14:paraId="0EA142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0.6</w:t>
                  </w:r>
                </w:p>
              </w:tc>
            </w:tr>
            <w:tr w14:paraId="49549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0" w:type="auto"/>
                  <w:noWrap w:val="0"/>
                  <w:vAlign w:val="center"/>
                </w:tcPr>
                <w:p w14:paraId="7B4962F4">
                  <w:pPr>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w:t>
                  </w:r>
                </w:p>
              </w:tc>
              <w:tc>
                <w:tcPr>
                  <w:tcW w:w="0" w:type="auto"/>
                  <w:noWrap w:val="0"/>
                  <w:vAlign w:val="center"/>
                </w:tcPr>
                <w:p w14:paraId="6FDCD9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3.56×10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8</w:t>
                  </w:r>
                </w:p>
              </w:tc>
              <w:tc>
                <w:tcPr>
                  <w:tcW w:w="0" w:type="auto"/>
                  <w:noWrap w:val="0"/>
                  <w:vAlign w:val="center"/>
                </w:tcPr>
                <w:p w14:paraId="2371B2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w:t>
                  </w:r>
                </w:p>
              </w:tc>
              <w:tc>
                <w:tcPr>
                  <w:tcW w:w="0" w:type="auto"/>
                  <w:noWrap w:val="0"/>
                  <w:vAlign w:val="center"/>
                </w:tcPr>
                <w:p w14:paraId="6696528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7.29×10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3</w:t>
                  </w:r>
                </w:p>
              </w:tc>
              <w:tc>
                <w:tcPr>
                  <w:tcW w:w="0" w:type="auto"/>
                  <w:noWrap w:val="0"/>
                  <w:vAlign w:val="center"/>
                </w:tcPr>
                <w:p w14:paraId="35A12F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0.81</w:t>
                  </w:r>
                </w:p>
              </w:tc>
            </w:tr>
            <w:tr w14:paraId="6BFCD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0" w:type="auto"/>
                  <w:noWrap w:val="0"/>
                  <w:vAlign w:val="center"/>
                </w:tcPr>
                <w:p w14:paraId="51367D56">
                  <w:pPr>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w:t>
                  </w:r>
                </w:p>
              </w:tc>
              <w:tc>
                <w:tcPr>
                  <w:tcW w:w="0" w:type="auto"/>
                  <w:noWrap w:val="0"/>
                  <w:vAlign w:val="center"/>
                </w:tcPr>
                <w:p w14:paraId="3A1591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9.85×10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5</w:t>
                  </w:r>
                </w:p>
              </w:tc>
              <w:tc>
                <w:tcPr>
                  <w:tcW w:w="0" w:type="auto"/>
                  <w:noWrap w:val="0"/>
                  <w:vAlign w:val="center"/>
                </w:tcPr>
                <w:p w14:paraId="1E2C115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0.07</w:t>
                  </w:r>
                </w:p>
              </w:tc>
              <w:tc>
                <w:tcPr>
                  <w:tcW w:w="0" w:type="auto"/>
                  <w:noWrap w:val="0"/>
                  <w:vAlign w:val="center"/>
                </w:tcPr>
                <w:p w14:paraId="47FA44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1.09×10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c>
                <w:tcPr>
                  <w:tcW w:w="0" w:type="auto"/>
                  <w:noWrap w:val="0"/>
                  <w:vAlign w:val="center"/>
                </w:tcPr>
                <w:p w14:paraId="51E5A1B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1.21</w:t>
                  </w:r>
                </w:p>
              </w:tc>
            </w:tr>
            <w:tr w14:paraId="576C4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0619DB50">
                  <w:pPr>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w:t>
                  </w:r>
                </w:p>
              </w:tc>
              <w:tc>
                <w:tcPr>
                  <w:tcW w:w="0" w:type="auto"/>
                  <w:noWrap w:val="0"/>
                  <w:vAlign w:val="center"/>
                </w:tcPr>
                <w:p w14:paraId="683890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1.93×10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4</w:t>
                  </w:r>
                </w:p>
              </w:tc>
              <w:tc>
                <w:tcPr>
                  <w:tcW w:w="0" w:type="auto"/>
                  <w:noWrap w:val="0"/>
                  <w:vAlign w:val="center"/>
                </w:tcPr>
                <w:p w14:paraId="1BED2D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0.13</w:t>
                  </w:r>
                </w:p>
              </w:tc>
              <w:tc>
                <w:tcPr>
                  <w:tcW w:w="0" w:type="auto"/>
                  <w:noWrap w:val="0"/>
                  <w:vAlign w:val="center"/>
                </w:tcPr>
                <w:p w14:paraId="7037A5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1.19×10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c>
                <w:tcPr>
                  <w:tcW w:w="0" w:type="auto"/>
                  <w:noWrap w:val="0"/>
                  <w:vAlign w:val="center"/>
                </w:tcPr>
                <w:p w14:paraId="5DF07B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1.32</w:t>
                  </w:r>
                </w:p>
              </w:tc>
            </w:tr>
            <w:tr w14:paraId="539B3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525EFD24">
                  <w:pPr>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r>
                    <w:rPr>
                      <w:rFonts w:hint="default" w:ascii="Times New Roman" w:hAnsi="Times New Roman" w:cs="Times New Roman"/>
                      <w:color w:val="auto"/>
                      <w:kern w:val="2"/>
                      <w:sz w:val="21"/>
                      <w:szCs w:val="21"/>
                      <w:highlight w:val="none"/>
                      <w:lang w:val="en-US" w:eastAsia="zh-CN" w:bidi="ar-SA"/>
                    </w:rPr>
                    <w:t>50</w:t>
                  </w:r>
                  <w:r>
                    <w:rPr>
                      <w:rFonts w:hint="default" w:ascii="Times New Roman" w:hAnsi="Times New Roman" w:eastAsia="宋体" w:cs="Times New Roman"/>
                      <w:color w:val="auto"/>
                      <w:kern w:val="2"/>
                      <w:sz w:val="21"/>
                      <w:szCs w:val="21"/>
                      <w:highlight w:val="none"/>
                      <w:shd w:val="clear" w:fill="FFFFFF"/>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下堡村</w:t>
                  </w:r>
                  <w:r>
                    <w:rPr>
                      <w:rFonts w:hint="default" w:ascii="Times New Roman" w:hAnsi="Times New Roman" w:eastAsia="宋体" w:cs="Times New Roman"/>
                      <w:color w:val="auto"/>
                      <w:kern w:val="2"/>
                      <w:sz w:val="21"/>
                      <w:szCs w:val="21"/>
                      <w:highlight w:val="none"/>
                      <w:shd w:val="clear" w:fill="FFFFFF"/>
                      <w:lang w:val="en-US" w:eastAsia="zh-CN" w:bidi="ar-SA"/>
                    </w:rPr>
                    <w:t>)</w:t>
                  </w:r>
                </w:p>
              </w:tc>
              <w:tc>
                <w:tcPr>
                  <w:tcW w:w="0" w:type="auto"/>
                  <w:noWrap w:val="0"/>
                  <w:vAlign w:val="center"/>
                </w:tcPr>
                <w:p w14:paraId="5FA377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1.58×10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4</w:t>
                  </w:r>
                </w:p>
              </w:tc>
              <w:tc>
                <w:tcPr>
                  <w:tcW w:w="0" w:type="auto"/>
                  <w:noWrap w:val="0"/>
                  <w:vAlign w:val="center"/>
                </w:tcPr>
                <w:p w14:paraId="2C3110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0.11</w:t>
                  </w:r>
                </w:p>
              </w:tc>
              <w:tc>
                <w:tcPr>
                  <w:tcW w:w="0" w:type="auto"/>
                  <w:noWrap w:val="0"/>
                  <w:vAlign w:val="center"/>
                </w:tcPr>
                <w:p w14:paraId="2B183B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1.05×10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c>
                <w:tcPr>
                  <w:tcW w:w="0" w:type="auto"/>
                  <w:noWrap w:val="0"/>
                  <w:vAlign w:val="center"/>
                </w:tcPr>
                <w:p w14:paraId="54E9AAF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1.17</w:t>
                  </w:r>
                </w:p>
              </w:tc>
            </w:tr>
            <w:tr w14:paraId="28024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29C03B6F">
                  <w:pPr>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w:t>
                  </w:r>
                </w:p>
              </w:tc>
              <w:tc>
                <w:tcPr>
                  <w:tcW w:w="0" w:type="auto"/>
                  <w:noWrap w:val="0"/>
                  <w:vAlign w:val="center"/>
                </w:tcPr>
                <w:p w14:paraId="370CE8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1.26×10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4</w:t>
                  </w:r>
                </w:p>
              </w:tc>
              <w:tc>
                <w:tcPr>
                  <w:tcW w:w="0" w:type="auto"/>
                  <w:noWrap w:val="0"/>
                  <w:vAlign w:val="center"/>
                </w:tcPr>
                <w:p w14:paraId="7B7DDC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0.08</w:t>
                  </w:r>
                </w:p>
              </w:tc>
              <w:tc>
                <w:tcPr>
                  <w:tcW w:w="0" w:type="auto"/>
                  <w:noWrap w:val="0"/>
                  <w:vAlign w:val="center"/>
                </w:tcPr>
                <w:p w14:paraId="0101B4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9.07×10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3</w:t>
                  </w:r>
                </w:p>
              </w:tc>
              <w:tc>
                <w:tcPr>
                  <w:tcW w:w="0" w:type="auto"/>
                  <w:noWrap w:val="0"/>
                  <w:vAlign w:val="center"/>
                </w:tcPr>
                <w:p w14:paraId="6DD765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1.01</w:t>
                  </w:r>
                </w:p>
              </w:tc>
            </w:tr>
            <w:tr w14:paraId="3855A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0" w:type="auto"/>
                  <w:noWrap w:val="0"/>
                  <w:vAlign w:val="center"/>
                </w:tcPr>
                <w:p w14:paraId="7D074EE6">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0" w:type="auto"/>
                  <w:noWrap w:val="0"/>
                  <w:vAlign w:val="center"/>
                </w:tcPr>
                <w:p w14:paraId="7CF68A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8.79×10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5</w:t>
                  </w:r>
                </w:p>
              </w:tc>
              <w:tc>
                <w:tcPr>
                  <w:tcW w:w="0" w:type="auto"/>
                  <w:noWrap w:val="0"/>
                  <w:vAlign w:val="center"/>
                </w:tcPr>
                <w:p w14:paraId="154D7F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0.06</w:t>
                  </w:r>
                </w:p>
              </w:tc>
              <w:tc>
                <w:tcPr>
                  <w:tcW w:w="0" w:type="auto"/>
                  <w:noWrap w:val="0"/>
                  <w:vAlign w:val="center"/>
                </w:tcPr>
                <w:p w14:paraId="296D04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6.65×10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3</w:t>
                  </w:r>
                </w:p>
              </w:tc>
              <w:tc>
                <w:tcPr>
                  <w:tcW w:w="0" w:type="auto"/>
                  <w:noWrap w:val="0"/>
                  <w:vAlign w:val="center"/>
                </w:tcPr>
                <w:p w14:paraId="45F5C02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0.74</w:t>
                  </w:r>
                </w:p>
              </w:tc>
            </w:tr>
            <w:tr w14:paraId="6E61B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0" w:type="auto"/>
                  <w:noWrap w:val="0"/>
                  <w:vAlign w:val="center"/>
                </w:tcPr>
                <w:p w14:paraId="2ED2AE98">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0" w:type="auto"/>
                  <w:noWrap w:val="0"/>
                  <w:vAlign w:val="center"/>
                </w:tcPr>
                <w:p w14:paraId="54DE37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6.59×10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5</w:t>
                  </w:r>
                </w:p>
              </w:tc>
              <w:tc>
                <w:tcPr>
                  <w:tcW w:w="0" w:type="auto"/>
                  <w:noWrap w:val="0"/>
                  <w:vAlign w:val="center"/>
                </w:tcPr>
                <w:p w14:paraId="57823F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0.04</w:t>
                  </w:r>
                </w:p>
              </w:tc>
              <w:tc>
                <w:tcPr>
                  <w:tcW w:w="0" w:type="auto"/>
                  <w:noWrap w:val="0"/>
                  <w:vAlign w:val="center"/>
                </w:tcPr>
                <w:p w14:paraId="5F967B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4.99×10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3</w:t>
                  </w:r>
                </w:p>
              </w:tc>
              <w:tc>
                <w:tcPr>
                  <w:tcW w:w="0" w:type="auto"/>
                  <w:noWrap w:val="0"/>
                  <w:vAlign w:val="center"/>
                </w:tcPr>
                <w:p w14:paraId="3742B9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0.55</w:t>
                  </w:r>
                </w:p>
              </w:tc>
            </w:tr>
            <w:tr w14:paraId="3AE11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6887DC69">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下风向最大质量浓度及占标率%</w:t>
                  </w:r>
                </w:p>
              </w:tc>
              <w:tc>
                <w:tcPr>
                  <w:tcW w:w="0" w:type="auto"/>
                  <w:noWrap w:val="0"/>
                  <w:vAlign w:val="center"/>
                </w:tcPr>
                <w:p w14:paraId="0DAE9D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2.12×10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4</w:t>
                  </w:r>
                </w:p>
              </w:tc>
              <w:tc>
                <w:tcPr>
                  <w:tcW w:w="0" w:type="auto"/>
                  <w:noWrap w:val="0"/>
                  <w:vAlign w:val="center"/>
                </w:tcPr>
                <w:p w14:paraId="46FD5BD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0.14</w:t>
                  </w:r>
                </w:p>
              </w:tc>
              <w:tc>
                <w:tcPr>
                  <w:tcW w:w="0" w:type="auto"/>
                  <w:noWrap w:val="0"/>
                  <w:vAlign w:val="center"/>
                </w:tcPr>
                <w:p w14:paraId="518FEA8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1.23×10</w:t>
                  </w:r>
                  <w:r>
                    <w:rPr>
                      <w:rFonts w:hint="default" w:ascii="Times New Roman" w:hAnsi="Times New Roman" w:eastAsia="宋体" w:cs="Times New Roman"/>
                      <w:i w:val="0"/>
                      <w:iCs w:val="0"/>
                      <w:color w:val="auto"/>
                      <w:kern w:val="0"/>
                      <w:sz w:val="22"/>
                      <w:szCs w:val="22"/>
                      <w:u w:val="none"/>
                      <w:vertAlign w:val="superscript"/>
                      <w:lang w:val="en-US" w:eastAsia="zh-CN" w:bidi="ar"/>
                    </w:rPr>
                    <w:t>-</w:t>
                  </w:r>
                  <w:r>
                    <w:rPr>
                      <w:rFonts w:hint="eastAsia" w:ascii="Times New Roman" w:hAnsi="Times New Roman" w:eastAsia="宋体" w:cs="Times New Roman"/>
                      <w:i w:val="0"/>
                      <w:iCs w:val="0"/>
                      <w:color w:val="auto"/>
                      <w:kern w:val="0"/>
                      <w:sz w:val="22"/>
                      <w:szCs w:val="22"/>
                      <w:u w:val="none"/>
                      <w:vertAlign w:val="superscript"/>
                      <w:lang w:val="en-US" w:eastAsia="zh-CN" w:bidi="ar"/>
                    </w:rPr>
                    <w:t>2</w:t>
                  </w:r>
                </w:p>
              </w:tc>
              <w:tc>
                <w:tcPr>
                  <w:tcW w:w="0" w:type="auto"/>
                  <w:noWrap w:val="0"/>
                  <w:vAlign w:val="center"/>
                </w:tcPr>
                <w:p w14:paraId="1C094D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1.37</w:t>
                  </w:r>
                </w:p>
              </w:tc>
            </w:tr>
            <w:tr w14:paraId="4BA33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52882184">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下风向最大质量浓度距离m</w:t>
                  </w:r>
                </w:p>
              </w:tc>
              <w:tc>
                <w:tcPr>
                  <w:tcW w:w="0" w:type="auto"/>
                  <w:gridSpan w:val="2"/>
                  <w:noWrap w:val="0"/>
                  <w:vAlign w:val="center"/>
                </w:tcPr>
                <w:p w14:paraId="7A5C9A82">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157</w:t>
                  </w:r>
                </w:p>
              </w:tc>
              <w:tc>
                <w:tcPr>
                  <w:tcW w:w="0" w:type="auto"/>
                  <w:gridSpan w:val="2"/>
                  <w:noWrap w:val="0"/>
                  <w:vAlign w:val="center"/>
                </w:tcPr>
                <w:p w14:paraId="2F928FB1">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155</w:t>
                  </w:r>
                </w:p>
              </w:tc>
            </w:tr>
            <w:tr w14:paraId="01DA9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4AA8137E">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D10%最远距离m</w:t>
                  </w:r>
                </w:p>
              </w:tc>
              <w:tc>
                <w:tcPr>
                  <w:tcW w:w="0" w:type="auto"/>
                  <w:gridSpan w:val="2"/>
                  <w:noWrap w:val="0"/>
                  <w:vAlign w:val="center"/>
                </w:tcPr>
                <w:p w14:paraId="28481F97">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0" w:type="auto"/>
                  <w:gridSpan w:val="2"/>
                  <w:noWrap w:val="0"/>
                  <w:vAlign w:val="center"/>
                </w:tcPr>
                <w:p w14:paraId="1594AEDC">
                  <w:pPr>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216561DC">
            <w:pPr>
              <w:pStyle w:val="124"/>
              <w:spacing w:line="348" w:lineRule="auto"/>
              <w:ind w:firstLine="480"/>
              <w:jc w:val="both"/>
              <w:rPr>
                <w:rFonts w:hint="default" w:ascii="Times New Roman" w:hAnsi="Times New Roman" w:cs="Times New Roman"/>
                <w:color w:val="auto"/>
                <w:sz w:val="24"/>
                <w:szCs w:val="24"/>
              </w:rPr>
            </w:pPr>
            <w:r>
              <w:rPr>
                <w:rFonts w:hint="default" w:ascii="Times New Roman" w:hAnsi="Times New Roman" w:eastAsia="宋体" w:cs="Times New Roman"/>
                <w:color w:val="auto"/>
                <w:sz w:val="24"/>
                <w:highlight w:val="none"/>
                <w:lang w:val="en-US" w:eastAsia="zh-CN"/>
              </w:rPr>
              <w:t>根据表4.</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估算结果，项目P</w:t>
            </w:r>
            <w:r>
              <w:rPr>
                <w:rFonts w:hint="default" w:ascii="Times New Roman" w:hAnsi="Times New Roman" w:eastAsia="宋体" w:cs="Times New Roman"/>
                <w:color w:val="auto"/>
                <w:sz w:val="24"/>
                <w:highlight w:val="none"/>
                <w:vertAlign w:val="subscript"/>
                <w:lang w:val="en-US" w:eastAsia="zh-CN"/>
              </w:rPr>
              <w:t>max</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eastAsia="zh-CN"/>
              </w:rPr>
              <w:t>厂界无组织排放的TSP</w:t>
            </w:r>
            <w:r>
              <w:rPr>
                <w:rFonts w:hint="default" w:ascii="Times New Roman" w:hAnsi="Times New Roman" w:eastAsia="宋体" w:cs="Times New Roman"/>
                <w:color w:val="auto"/>
                <w:sz w:val="24"/>
                <w:highlight w:val="none"/>
                <w:lang w:val="en-US" w:eastAsia="zh-CN"/>
              </w:rPr>
              <w:t>，P</w:t>
            </w:r>
            <w:r>
              <w:rPr>
                <w:rFonts w:hint="default" w:ascii="Times New Roman" w:hAnsi="Times New Roman" w:eastAsia="宋体" w:cs="Times New Roman"/>
                <w:color w:val="auto"/>
                <w:sz w:val="24"/>
                <w:highlight w:val="none"/>
                <w:vertAlign w:val="subscript"/>
                <w:lang w:val="en-US" w:eastAsia="zh-CN"/>
              </w:rPr>
              <w:t>max</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eastAsia="zh-CN"/>
              </w:rPr>
              <w:t>1.37</w:t>
            </w:r>
            <w:r>
              <w:rPr>
                <w:rFonts w:hint="default" w:ascii="Times New Roman" w:hAnsi="Times New Roman" w:eastAsia="宋体" w:cs="Times New Roman"/>
                <w:color w:val="auto"/>
                <w:sz w:val="24"/>
                <w:highlight w:val="none"/>
                <w:lang w:val="en-US" w:eastAsia="zh-CN"/>
              </w:rPr>
              <w:t>%，1%&lt;P</w:t>
            </w:r>
            <w:r>
              <w:rPr>
                <w:rFonts w:hint="default" w:ascii="Times New Roman" w:hAnsi="Times New Roman" w:eastAsia="宋体" w:cs="Times New Roman"/>
                <w:color w:val="auto"/>
                <w:sz w:val="24"/>
                <w:highlight w:val="none"/>
                <w:vertAlign w:val="subscript"/>
                <w:lang w:val="en-US" w:eastAsia="zh-CN"/>
              </w:rPr>
              <w:t>max</w:t>
            </w:r>
            <w:r>
              <w:rPr>
                <w:rFonts w:hint="default" w:ascii="Times New Roman" w:hAnsi="Times New Roman" w:eastAsia="宋体" w:cs="Times New Roman"/>
                <w:color w:val="auto"/>
                <w:sz w:val="24"/>
                <w:highlight w:val="none"/>
                <w:lang w:val="en-US" w:eastAsia="zh-CN"/>
              </w:rPr>
              <w:t>&lt;10%，根据《环境影响评价技术导则 大气环境》</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HJ2.2-2018</w:t>
            </w:r>
            <w:r>
              <w:rPr>
                <w:rFonts w:hint="eastAsia" w:ascii="Times New Roman" w:hAnsi="Times New Roman" w:eastAsia="宋体" w:cs="Times New Roman"/>
                <w:color w:val="auto"/>
                <w:sz w:val="24"/>
                <w:highlight w:val="none"/>
                <w:shd w:val="clear" w:fill="FFFFFF"/>
                <w:lang w:val="en-US" w:eastAsia="zh-CN"/>
              </w:rPr>
              <w:t>)</w:t>
            </w:r>
            <w:r>
              <w:rPr>
                <w:rFonts w:hint="default" w:ascii="Times New Roman" w:hAnsi="Times New Roman" w:eastAsia="宋体" w:cs="Times New Roman"/>
                <w:color w:val="auto"/>
                <w:sz w:val="24"/>
                <w:highlight w:val="none"/>
                <w:lang w:val="en-US" w:eastAsia="zh-CN"/>
              </w:rPr>
              <w:t>分级依据，项目大气环境影响评价工作等级为二级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二级评价项目不进行进一步预测与评价，只对污染物排放量进行核算，其污染物排放量核算见表</w:t>
            </w:r>
            <w:r>
              <w:rPr>
                <w:rFonts w:hint="default" w:ascii="Times New Roman" w:hAnsi="Times New Roman" w:cs="Times New Roman"/>
                <w:color w:val="auto"/>
                <w:sz w:val="24"/>
                <w:szCs w:val="24"/>
                <w:lang w:val="en-US" w:eastAsia="zh-CN"/>
              </w:rPr>
              <w:t>4.2-</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4.2-</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4.2-</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p>
          <w:p w14:paraId="71B536EB">
            <w:pPr>
              <w:pStyle w:val="124"/>
              <w:spacing w:before="120" w:beforeLines="50" w:line="240" w:lineRule="auto"/>
              <w:ind w:firstLine="0" w:firstLineChars="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r>
              <w:rPr>
                <w:rFonts w:hint="default" w:ascii="Times New Roman" w:hAnsi="Times New Roman" w:eastAsia="宋体" w:cs="Times New Roman"/>
                <w:b/>
                <w:color w:val="auto"/>
                <w:spacing w:val="0"/>
                <w:w w:val="100"/>
                <w:kern w:val="2"/>
                <w:position w:val="0"/>
                <w:sz w:val="24"/>
                <w:szCs w:val="24"/>
                <w:highlight w:val="none"/>
                <w:lang w:val="en-US" w:eastAsia="zh-CN" w:bidi="ar-SA"/>
              </w:rPr>
              <w:t>表4.2-</w:t>
            </w:r>
            <w:r>
              <w:rPr>
                <w:rFonts w:hint="eastAsia" w:ascii="Times New Roman" w:hAnsi="Times New Roman" w:cs="Times New Roman"/>
                <w:b/>
                <w:color w:val="auto"/>
                <w:spacing w:val="0"/>
                <w:w w:val="100"/>
                <w:kern w:val="2"/>
                <w:position w:val="0"/>
                <w:sz w:val="24"/>
                <w:szCs w:val="24"/>
                <w:highlight w:val="none"/>
                <w:lang w:val="en-US" w:eastAsia="zh-CN" w:bidi="ar-SA"/>
              </w:rPr>
              <w:t>7</w:t>
            </w:r>
            <w:r>
              <w:rPr>
                <w:rFonts w:hint="default" w:ascii="Times New Roman" w:hAnsi="Times New Roman" w:eastAsia="宋体" w:cs="Times New Roman"/>
                <w:b/>
                <w:color w:val="auto"/>
                <w:spacing w:val="0"/>
                <w:w w:val="100"/>
                <w:kern w:val="2"/>
                <w:position w:val="0"/>
                <w:sz w:val="24"/>
                <w:szCs w:val="24"/>
                <w:highlight w:val="none"/>
                <w:lang w:val="en-US" w:eastAsia="zh-CN" w:bidi="ar-SA"/>
              </w:rPr>
              <w:t xml:space="preserve">  大气污染物有组织排放量核算表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164"/>
              <w:gridCol w:w="2044"/>
              <w:gridCol w:w="915"/>
              <w:gridCol w:w="1187"/>
              <w:gridCol w:w="1151"/>
              <w:gridCol w:w="1291"/>
            </w:tblGrid>
            <w:tr w14:paraId="1C156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527" w:type="dxa"/>
                  <w:noWrap w:val="0"/>
                  <w:vAlign w:val="center"/>
                </w:tcPr>
                <w:p w14:paraId="5E80C3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64" w:type="dxa"/>
                  <w:noWrap w:val="0"/>
                  <w:vAlign w:val="center"/>
                </w:tcPr>
                <w:p w14:paraId="225917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2044" w:type="dxa"/>
                  <w:noWrap w:val="0"/>
                  <w:vAlign w:val="center"/>
                </w:tcPr>
                <w:p w14:paraId="1FD4EF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915" w:type="dxa"/>
                  <w:noWrap w:val="0"/>
                  <w:vAlign w:val="center"/>
                </w:tcPr>
                <w:p w14:paraId="480B80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87" w:type="dxa"/>
                  <w:noWrap w:val="0"/>
                  <w:vAlign w:val="center"/>
                </w:tcPr>
                <w:p w14:paraId="5694B5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核算排放浓度/</w:t>
                  </w:r>
                </w:p>
                <w:p w14:paraId="129C05B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w:t>
                  </w:r>
                </w:p>
              </w:tc>
              <w:tc>
                <w:tcPr>
                  <w:tcW w:w="1151" w:type="dxa"/>
                  <w:noWrap w:val="0"/>
                  <w:vAlign w:val="center"/>
                </w:tcPr>
                <w:p w14:paraId="69D5529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核算排放速率/</w:t>
                  </w:r>
                </w:p>
                <w:p w14:paraId="5832206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kg/h</w:t>
                  </w:r>
                  <w:r>
                    <w:rPr>
                      <w:rFonts w:hint="eastAsia" w:cs="Times New Roman"/>
                      <w:color w:val="auto"/>
                      <w:sz w:val="21"/>
                      <w:szCs w:val="21"/>
                      <w:lang w:eastAsia="zh-CN"/>
                    </w:rPr>
                    <w:t>)</w:t>
                  </w:r>
                </w:p>
              </w:tc>
              <w:tc>
                <w:tcPr>
                  <w:tcW w:w="1291" w:type="dxa"/>
                  <w:noWrap w:val="0"/>
                  <w:vAlign w:val="center"/>
                </w:tcPr>
                <w:p w14:paraId="4B474E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核算年排放量</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rPr>
                    <w:t>t/a</w:t>
                  </w:r>
                  <w:r>
                    <w:rPr>
                      <w:rFonts w:hint="eastAsia" w:cs="Times New Roman"/>
                      <w:color w:val="auto"/>
                      <w:sz w:val="21"/>
                      <w:szCs w:val="21"/>
                      <w:shd w:val="clear" w:fill="FFFFFF"/>
                      <w:lang w:eastAsia="zh-CN"/>
                    </w:rPr>
                    <w:t>)</w:t>
                  </w:r>
                </w:p>
              </w:tc>
            </w:tr>
            <w:tr w14:paraId="364B2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79" w:type="dxa"/>
                  <w:gridSpan w:val="7"/>
                  <w:noWrap w:val="0"/>
                  <w:vAlign w:val="center"/>
                </w:tcPr>
                <w:p w14:paraId="4646D3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r>
            <w:tr w14:paraId="624CF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7" w:type="dxa"/>
                  <w:noWrap w:val="0"/>
                  <w:vAlign w:val="center"/>
                </w:tcPr>
                <w:p w14:paraId="0A25D5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64" w:type="dxa"/>
                  <w:noWrap w:val="0"/>
                  <w:vAlign w:val="center"/>
                </w:tcPr>
                <w:p w14:paraId="440C6C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DA001排气筒</w:t>
                  </w:r>
                </w:p>
              </w:tc>
              <w:tc>
                <w:tcPr>
                  <w:tcW w:w="2044" w:type="dxa"/>
                  <w:noWrap w:val="0"/>
                  <w:vAlign w:val="center"/>
                </w:tcPr>
                <w:p w14:paraId="5D0F9E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水泥罐呼吸气体</w:t>
                  </w:r>
                </w:p>
              </w:tc>
              <w:tc>
                <w:tcPr>
                  <w:tcW w:w="915" w:type="dxa"/>
                  <w:noWrap w:val="0"/>
                  <w:vAlign w:val="center"/>
                </w:tcPr>
                <w:p w14:paraId="3B1A7EA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87" w:type="dxa"/>
                  <w:noWrap w:val="0"/>
                  <w:vAlign w:val="center"/>
                </w:tcPr>
                <w:p w14:paraId="13E99C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51" w:type="dxa"/>
                  <w:shd w:val="clear" w:color="auto" w:fill="auto"/>
                  <w:noWrap w:val="0"/>
                  <w:vAlign w:val="center"/>
                </w:tcPr>
                <w:p w14:paraId="1F553EA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0.012</w:t>
                  </w:r>
                </w:p>
              </w:tc>
              <w:tc>
                <w:tcPr>
                  <w:tcW w:w="1291" w:type="dxa"/>
                  <w:shd w:val="clear" w:color="auto" w:fill="auto"/>
                  <w:noWrap w:val="0"/>
                  <w:vAlign w:val="center"/>
                </w:tcPr>
                <w:p w14:paraId="39CD443B">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0.028</w:t>
                  </w:r>
                </w:p>
              </w:tc>
            </w:tr>
            <w:tr w14:paraId="28B2E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7" w:type="dxa"/>
                  <w:noWrap w:val="0"/>
                  <w:vAlign w:val="center"/>
                </w:tcPr>
                <w:p w14:paraId="1B54FA5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64" w:type="dxa"/>
                  <w:noWrap w:val="0"/>
                  <w:vAlign w:val="center"/>
                </w:tcPr>
                <w:p w14:paraId="221AE2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DA002排气筒</w:t>
                  </w:r>
                </w:p>
              </w:tc>
              <w:tc>
                <w:tcPr>
                  <w:tcW w:w="2044" w:type="dxa"/>
                  <w:noWrap w:val="0"/>
                  <w:vAlign w:val="center"/>
                </w:tcPr>
                <w:p w14:paraId="29E51C1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水泥罐呼吸气体</w:t>
                  </w:r>
                </w:p>
              </w:tc>
              <w:tc>
                <w:tcPr>
                  <w:tcW w:w="915" w:type="dxa"/>
                  <w:noWrap w:val="0"/>
                  <w:vAlign w:val="center"/>
                </w:tcPr>
                <w:p w14:paraId="58C9E7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w:t>
                  </w:r>
                </w:p>
              </w:tc>
              <w:tc>
                <w:tcPr>
                  <w:tcW w:w="1187" w:type="dxa"/>
                  <w:noWrap w:val="0"/>
                  <w:vAlign w:val="center"/>
                </w:tcPr>
                <w:p w14:paraId="207D9F9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51" w:type="dxa"/>
                  <w:shd w:val="clear" w:color="auto" w:fill="auto"/>
                  <w:noWrap w:val="0"/>
                  <w:vAlign w:val="center"/>
                </w:tcPr>
                <w:p w14:paraId="366968B9">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0.012</w:t>
                  </w:r>
                </w:p>
              </w:tc>
              <w:tc>
                <w:tcPr>
                  <w:tcW w:w="1291" w:type="dxa"/>
                  <w:shd w:val="clear" w:color="auto" w:fill="auto"/>
                  <w:noWrap w:val="0"/>
                  <w:vAlign w:val="center"/>
                </w:tcPr>
                <w:p w14:paraId="5BD6DB34">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0.028</w:t>
                  </w:r>
                </w:p>
              </w:tc>
            </w:tr>
            <w:tr w14:paraId="6C15F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7" w:type="dxa"/>
                  <w:noWrap w:val="0"/>
                  <w:vAlign w:val="center"/>
                </w:tcPr>
                <w:p w14:paraId="02A6D7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164" w:type="dxa"/>
                  <w:noWrap w:val="0"/>
                  <w:vAlign w:val="center"/>
                </w:tcPr>
                <w:p w14:paraId="291970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排气筒</w:t>
                  </w:r>
                </w:p>
              </w:tc>
              <w:tc>
                <w:tcPr>
                  <w:tcW w:w="2044" w:type="dxa"/>
                  <w:noWrap w:val="0"/>
                  <w:vAlign w:val="center"/>
                </w:tcPr>
                <w:p w14:paraId="31A3085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水泥罐呼吸气体</w:t>
                  </w:r>
                </w:p>
              </w:tc>
              <w:tc>
                <w:tcPr>
                  <w:tcW w:w="915" w:type="dxa"/>
                  <w:noWrap w:val="0"/>
                  <w:vAlign w:val="center"/>
                </w:tcPr>
                <w:p w14:paraId="5DC149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87" w:type="dxa"/>
                  <w:noWrap w:val="0"/>
                  <w:vAlign w:val="center"/>
                </w:tcPr>
                <w:p w14:paraId="3E7AD90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51" w:type="dxa"/>
                  <w:shd w:val="clear" w:color="auto" w:fill="auto"/>
                  <w:noWrap w:val="0"/>
                  <w:vAlign w:val="center"/>
                </w:tcPr>
                <w:p w14:paraId="2029AE68">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0.012</w:t>
                  </w:r>
                </w:p>
              </w:tc>
              <w:tc>
                <w:tcPr>
                  <w:tcW w:w="1291" w:type="dxa"/>
                  <w:shd w:val="clear" w:color="auto" w:fill="auto"/>
                  <w:noWrap w:val="0"/>
                  <w:vAlign w:val="center"/>
                </w:tcPr>
                <w:p w14:paraId="4EBB193B">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0.028</w:t>
                  </w:r>
                </w:p>
              </w:tc>
            </w:tr>
            <w:tr w14:paraId="3EA04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7" w:type="dxa"/>
                  <w:noWrap w:val="0"/>
                  <w:vAlign w:val="center"/>
                </w:tcPr>
                <w:p w14:paraId="1BC244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164" w:type="dxa"/>
                  <w:noWrap w:val="0"/>
                  <w:vAlign w:val="center"/>
                </w:tcPr>
                <w:p w14:paraId="6BD4B2B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排气筒</w:t>
                  </w:r>
                </w:p>
              </w:tc>
              <w:tc>
                <w:tcPr>
                  <w:tcW w:w="2044" w:type="dxa"/>
                  <w:noWrap w:val="0"/>
                  <w:vAlign w:val="center"/>
                </w:tcPr>
                <w:p w14:paraId="6081545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水泥罐呼吸气体</w:t>
                  </w:r>
                </w:p>
              </w:tc>
              <w:tc>
                <w:tcPr>
                  <w:tcW w:w="915" w:type="dxa"/>
                  <w:noWrap w:val="0"/>
                  <w:vAlign w:val="center"/>
                </w:tcPr>
                <w:p w14:paraId="192C4A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87" w:type="dxa"/>
                  <w:noWrap w:val="0"/>
                  <w:vAlign w:val="center"/>
                </w:tcPr>
                <w:p w14:paraId="54F1BC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51" w:type="dxa"/>
                  <w:shd w:val="clear" w:color="auto" w:fill="auto"/>
                  <w:noWrap w:val="0"/>
                  <w:vAlign w:val="center"/>
                </w:tcPr>
                <w:p w14:paraId="351F19C5">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0.012</w:t>
                  </w:r>
                </w:p>
              </w:tc>
              <w:tc>
                <w:tcPr>
                  <w:tcW w:w="1291" w:type="dxa"/>
                  <w:shd w:val="clear" w:color="auto" w:fill="auto"/>
                  <w:noWrap w:val="0"/>
                  <w:vAlign w:val="center"/>
                </w:tcPr>
                <w:p w14:paraId="2A35A25F">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0.028</w:t>
                  </w:r>
                </w:p>
              </w:tc>
            </w:tr>
            <w:tr w14:paraId="5E182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7" w:type="dxa"/>
                  <w:noWrap w:val="0"/>
                  <w:vAlign w:val="center"/>
                </w:tcPr>
                <w:p w14:paraId="18D60A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164" w:type="dxa"/>
                  <w:noWrap w:val="0"/>
                  <w:vAlign w:val="center"/>
                </w:tcPr>
                <w:p w14:paraId="4A0437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排气筒</w:t>
                  </w:r>
                </w:p>
              </w:tc>
              <w:tc>
                <w:tcPr>
                  <w:tcW w:w="2044" w:type="dxa"/>
                  <w:noWrap w:val="0"/>
                  <w:vAlign w:val="center"/>
                </w:tcPr>
                <w:p w14:paraId="45508D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水泥罐呼吸气体</w:t>
                  </w:r>
                </w:p>
              </w:tc>
              <w:tc>
                <w:tcPr>
                  <w:tcW w:w="915" w:type="dxa"/>
                  <w:noWrap w:val="0"/>
                  <w:vAlign w:val="center"/>
                </w:tcPr>
                <w:p w14:paraId="41DF592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87" w:type="dxa"/>
                  <w:noWrap w:val="0"/>
                  <w:vAlign w:val="center"/>
                </w:tcPr>
                <w:p w14:paraId="7D09E3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151" w:type="dxa"/>
                  <w:shd w:val="clear" w:color="auto" w:fill="auto"/>
                  <w:noWrap w:val="0"/>
                  <w:vAlign w:val="center"/>
                </w:tcPr>
                <w:p w14:paraId="4362A413">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0.012</w:t>
                  </w:r>
                </w:p>
              </w:tc>
              <w:tc>
                <w:tcPr>
                  <w:tcW w:w="1291" w:type="dxa"/>
                  <w:shd w:val="clear" w:color="auto" w:fill="auto"/>
                  <w:noWrap w:val="0"/>
                  <w:vAlign w:val="center"/>
                </w:tcPr>
                <w:p w14:paraId="5B5B5255">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0.028</w:t>
                  </w:r>
                </w:p>
              </w:tc>
            </w:tr>
            <w:tr w14:paraId="6132B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7" w:type="dxa"/>
                  <w:noWrap w:val="0"/>
                  <w:vAlign w:val="center"/>
                </w:tcPr>
                <w:p w14:paraId="62F4408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1164" w:type="dxa"/>
                  <w:noWrap w:val="0"/>
                  <w:vAlign w:val="center"/>
                </w:tcPr>
                <w:p w14:paraId="02A1B8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val="en-US" w:eastAsia="zh-CN"/>
                    </w:rPr>
                    <w:t>排气筒</w:t>
                  </w:r>
                </w:p>
              </w:tc>
              <w:tc>
                <w:tcPr>
                  <w:tcW w:w="2044" w:type="dxa"/>
                  <w:noWrap w:val="0"/>
                  <w:vAlign w:val="center"/>
                </w:tcPr>
                <w:p w14:paraId="46E062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食堂油烟</w:t>
                  </w:r>
                </w:p>
              </w:tc>
              <w:tc>
                <w:tcPr>
                  <w:tcW w:w="915" w:type="dxa"/>
                  <w:noWrap w:val="0"/>
                  <w:vAlign w:val="center"/>
                </w:tcPr>
                <w:p w14:paraId="705487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87" w:type="dxa"/>
                  <w:noWrap w:val="0"/>
                  <w:vAlign w:val="center"/>
                </w:tcPr>
                <w:p w14:paraId="04BA33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800</w:t>
                  </w:r>
                </w:p>
              </w:tc>
              <w:tc>
                <w:tcPr>
                  <w:tcW w:w="1151" w:type="dxa"/>
                  <w:shd w:val="clear" w:color="auto" w:fill="auto"/>
                  <w:noWrap w:val="0"/>
                  <w:vAlign w:val="center"/>
                </w:tcPr>
                <w:p w14:paraId="3790A804">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0.003</w:t>
                  </w:r>
                </w:p>
              </w:tc>
              <w:tc>
                <w:tcPr>
                  <w:tcW w:w="1291" w:type="dxa"/>
                  <w:shd w:val="clear" w:color="auto" w:fill="auto"/>
                  <w:noWrap w:val="0"/>
                  <w:vAlign w:val="center"/>
                </w:tcPr>
                <w:p w14:paraId="263B568E">
                  <w:pPr>
                    <w:pStyle w:val="122"/>
                    <w:keepNext w:val="0"/>
                    <w:keepLines w:val="0"/>
                    <w:pageBreakBefore w:val="0"/>
                    <w:kinsoku/>
                    <w:wordWrap/>
                    <w:overflowPunct/>
                    <w:topLinePunct w:val="0"/>
                    <w:autoSpaceDE/>
                    <w:autoSpaceDN/>
                    <w:bidi w:val="0"/>
                    <w:snapToGrid w:val="0"/>
                    <w:spacing w:line="28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0.004</w:t>
                  </w:r>
                </w:p>
              </w:tc>
            </w:tr>
            <w:tr w14:paraId="4A0E4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1" w:type="dxa"/>
                  <w:gridSpan w:val="2"/>
                  <w:vMerge w:val="restart"/>
                  <w:noWrap w:val="0"/>
                  <w:vAlign w:val="center"/>
                </w:tcPr>
                <w:p w14:paraId="01B928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一般排放口合计</w:t>
                  </w:r>
                </w:p>
              </w:tc>
              <w:tc>
                <w:tcPr>
                  <w:tcW w:w="5297" w:type="dxa"/>
                  <w:gridSpan w:val="4"/>
                  <w:noWrap w:val="0"/>
                  <w:vAlign w:val="center"/>
                </w:tcPr>
                <w:p w14:paraId="534076A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291" w:type="dxa"/>
                  <w:noWrap w:val="0"/>
                  <w:vAlign w:val="center"/>
                </w:tcPr>
                <w:p w14:paraId="099547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r>
            <w:tr w14:paraId="72C18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91" w:type="dxa"/>
                  <w:gridSpan w:val="2"/>
                  <w:vMerge w:val="continue"/>
                  <w:noWrap w:val="0"/>
                  <w:vAlign w:val="center"/>
                </w:tcPr>
                <w:p w14:paraId="2A640E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p>
              </w:tc>
              <w:tc>
                <w:tcPr>
                  <w:tcW w:w="5297" w:type="dxa"/>
                  <w:gridSpan w:val="4"/>
                  <w:noWrap w:val="0"/>
                  <w:vAlign w:val="center"/>
                </w:tcPr>
                <w:p w14:paraId="4A2348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食堂油烟</w:t>
                  </w:r>
                </w:p>
              </w:tc>
              <w:tc>
                <w:tcPr>
                  <w:tcW w:w="1291" w:type="dxa"/>
                  <w:noWrap w:val="0"/>
                  <w:vAlign w:val="center"/>
                </w:tcPr>
                <w:p w14:paraId="5AC05E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w:t>
                  </w:r>
                </w:p>
              </w:tc>
            </w:tr>
          </w:tbl>
          <w:p w14:paraId="7B208205">
            <w:pPr>
              <w:pStyle w:val="124"/>
              <w:spacing w:before="120" w:beforeLines="50" w:line="240" w:lineRule="auto"/>
              <w:ind w:firstLine="0" w:firstLineChars="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r>
              <w:rPr>
                <w:rFonts w:hint="default" w:ascii="Times New Roman" w:hAnsi="Times New Roman" w:eastAsia="宋体" w:cs="Times New Roman"/>
                <w:b/>
                <w:color w:val="auto"/>
                <w:spacing w:val="0"/>
                <w:w w:val="100"/>
                <w:kern w:val="2"/>
                <w:position w:val="0"/>
                <w:sz w:val="24"/>
                <w:szCs w:val="24"/>
                <w:highlight w:val="none"/>
                <w:lang w:val="en-US" w:eastAsia="zh-CN" w:bidi="ar-SA"/>
              </w:rPr>
              <w:br w:type="page"/>
            </w:r>
            <w:r>
              <w:rPr>
                <w:rFonts w:hint="default" w:ascii="Times New Roman" w:hAnsi="Times New Roman" w:eastAsia="宋体" w:cs="Times New Roman"/>
                <w:b/>
                <w:color w:val="auto"/>
                <w:spacing w:val="0"/>
                <w:w w:val="100"/>
                <w:kern w:val="2"/>
                <w:position w:val="0"/>
                <w:sz w:val="24"/>
                <w:szCs w:val="24"/>
                <w:highlight w:val="none"/>
                <w:lang w:val="en-US" w:eastAsia="zh-CN" w:bidi="ar-SA"/>
              </w:rPr>
              <w:t>表4.2-</w:t>
            </w:r>
            <w:r>
              <w:rPr>
                <w:rFonts w:hint="eastAsia" w:ascii="Times New Roman" w:hAnsi="Times New Roman" w:cs="Times New Roman"/>
                <w:b/>
                <w:color w:val="auto"/>
                <w:spacing w:val="0"/>
                <w:w w:val="100"/>
                <w:kern w:val="2"/>
                <w:position w:val="0"/>
                <w:sz w:val="24"/>
                <w:szCs w:val="24"/>
                <w:highlight w:val="none"/>
                <w:lang w:val="en-US" w:eastAsia="zh-CN" w:bidi="ar-SA"/>
              </w:rPr>
              <w:t>8</w:t>
            </w:r>
            <w:r>
              <w:rPr>
                <w:rFonts w:hint="default" w:ascii="Times New Roman" w:hAnsi="Times New Roman" w:eastAsia="宋体" w:cs="Times New Roman"/>
                <w:b/>
                <w:color w:val="auto"/>
                <w:spacing w:val="0"/>
                <w:w w:val="100"/>
                <w:kern w:val="2"/>
                <w:position w:val="0"/>
                <w:sz w:val="24"/>
                <w:szCs w:val="24"/>
                <w:highlight w:val="none"/>
                <w:lang w:val="en-US" w:eastAsia="zh-CN" w:bidi="ar-SA"/>
              </w:rPr>
              <w:t xml:space="preserve">  大气污染物无组织排放量核算表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35"/>
              <w:gridCol w:w="1143"/>
              <w:gridCol w:w="759"/>
              <w:gridCol w:w="1040"/>
              <w:gridCol w:w="2034"/>
              <w:gridCol w:w="1276"/>
              <w:gridCol w:w="936"/>
            </w:tblGrid>
            <w:tr w14:paraId="17B08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vMerge w:val="restart"/>
                  <w:noWrap w:val="0"/>
                  <w:vAlign w:val="center"/>
                </w:tcPr>
                <w:p w14:paraId="2A11C94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35" w:type="dxa"/>
                  <w:vMerge w:val="restart"/>
                  <w:noWrap w:val="0"/>
                  <w:vAlign w:val="center"/>
                </w:tcPr>
                <w:p w14:paraId="68C3C118">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1143" w:type="dxa"/>
                  <w:vMerge w:val="restart"/>
                  <w:noWrap w:val="0"/>
                  <w:vAlign w:val="center"/>
                </w:tcPr>
                <w:p w14:paraId="008E1DE7">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759" w:type="dxa"/>
                  <w:vMerge w:val="restart"/>
                  <w:noWrap w:val="0"/>
                  <w:vAlign w:val="center"/>
                </w:tcPr>
                <w:p w14:paraId="6B2532DC">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040" w:type="dxa"/>
                  <w:vMerge w:val="restart"/>
                  <w:noWrap w:val="0"/>
                  <w:vAlign w:val="center"/>
                </w:tcPr>
                <w:p w14:paraId="56F3130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主要污染防治措施</w:t>
                  </w:r>
                </w:p>
              </w:tc>
              <w:tc>
                <w:tcPr>
                  <w:tcW w:w="3310" w:type="dxa"/>
                  <w:gridSpan w:val="2"/>
                  <w:noWrap w:val="0"/>
                  <w:vAlign w:val="center"/>
                </w:tcPr>
                <w:p w14:paraId="2478EA77">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国家或地方污染物排放标准</w:t>
                  </w:r>
                </w:p>
              </w:tc>
              <w:tc>
                <w:tcPr>
                  <w:tcW w:w="936" w:type="dxa"/>
                  <w:vMerge w:val="restart"/>
                  <w:noWrap w:val="0"/>
                  <w:vAlign w:val="center"/>
                </w:tcPr>
                <w:p w14:paraId="50643F1C">
                  <w:pPr>
                    <w:spacing w:line="34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年排放量</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rPr>
                    <w:t>t/a</w:t>
                  </w:r>
                  <w:r>
                    <w:rPr>
                      <w:rFonts w:hint="eastAsia" w:cs="Times New Roman"/>
                      <w:color w:val="auto"/>
                      <w:sz w:val="21"/>
                      <w:szCs w:val="21"/>
                      <w:shd w:val="clear" w:fill="FFFFFF"/>
                      <w:lang w:eastAsia="zh-CN"/>
                    </w:rPr>
                    <w:t>)</w:t>
                  </w:r>
                </w:p>
              </w:tc>
            </w:tr>
            <w:tr w14:paraId="1F813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vMerge w:val="continue"/>
                  <w:noWrap w:val="0"/>
                  <w:vAlign w:val="center"/>
                </w:tcPr>
                <w:p w14:paraId="19083BBF">
                  <w:pPr>
                    <w:spacing w:line="340" w:lineRule="exact"/>
                    <w:jc w:val="center"/>
                    <w:rPr>
                      <w:rFonts w:hint="default" w:ascii="Times New Roman" w:hAnsi="Times New Roman" w:eastAsia="宋体" w:cs="Times New Roman"/>
                      <w:color w:val="auto"/>
                      <w:sz w:val="21"/>
                      <w:szCs w:val="21"/>
                    </w:rPr>
                  </w:pPr>
                </w:p>
              </w:tc>
              <w:tc>
                <w:tcPr>
                  <w:tcW w:w="635" w:type="dxa"/>
                  <w:vMerge w:val="continue"/>
                  <w:noWrap w:val="0"/>
                  <w:vAlign w:val="center"/>
                </w:tcPr>
                <w:p w14:paraId="5BEA28CA">
                  <w:pPr>
                    <w:spacing w:line="340" w:lineRule="exact"/>
                    <w:jc w:val="center"/>
                    <w:rPr>
                      <w:rFonts w:hint="default" w:ascii="Times New Roman" w:hAnsi="Times New Roman" w:eastAsia="宋体" w:cs="Times New Roman"/>
                      <w:color w:val="auto"/>
                      <w:sz w:val="21"/>
                      <w:szCs w:val="21"/>
                    </w:rPr>
                  </w:pPr>
                </w:p>
              </w:tc>
              <w:tc>
                <w:tcPr>
                  <w:tcW w:w="1143" w:type="dxa"/>
                  <w:vMerge w:val="continue"/>
                  <w:noWrap w:val="0"/>
                  <w:vAlign w:val="center"/>
                </w:tcPr>
                <w:p w14:paraId="716DF4AC">
                  <w:pPr>
                    <w:spacing w:line="340" w:lineRule="exact"/>
                    <w:jc w:val="center"/>
                    <w:rPr>
                      <w:rFonts w:hint="default" w:ascii="Times New Roman" w:hAnsi="Times New Roman" w:eastAsia="宋体" w:cs="Times New Roman"/>
                      <w:color w:val="auto"/>
                      <w:sz w:val="21"/>
                      <w:szCs w:val="21"/>
                    </w:rPr>
                  </w:pPr>
                </w:p>
              </w:tc>
              <w:tc>
                <w:tcPr>
                  <w:tcW w:w="759" w:type="dxa"/>
                  <w:vMerge w:val="continue"/>
                  <w:noWrap w:val="0"/>
                  <w:vAlign w:val="center"/>
                </w:tcPr>
                <w:p w14:paraId="2D040C95">
                  <w:pPr>
                    <w:spacing w:line="340" w:lineRule="exact"/>
                    <w:jc w:val="center"/>
                    <w:rPr>
                      <w:rFonts w:hint="default" w:ascii="Times New Roman" w:hAnsi="Times New Roman" w:eastAsia="宋体" w:cs="Times New Roman"/>
                      <w:color w:val="auto"/>
                      <w:sz w:val="21"/>
                      <w:szCs w:val="21"/>
                    </w:rPr>
                  </w:pPr>
                </w:p>
              </w:tc>
              <w:tc>
                <w:tcPr>
                  <w:tcW w:w="1040" w:type="dxa"/>
                  <w:vMerge w:val="continue"/>
                  <w:noWrap w:val="0"/>
                  <w:vAlign w:val="center"/>
                </w:tcPr>
                <w:p w14:paraId="5A9F4AC4">
                  <w:pPr>
                    <w:spacing w:line="340" w:lineRule="exact"/>
                    <w:jc w:val="center"/>
                    <w:rPr>
                      <w:rFonts w:hint="default" w:ascii="Times New Roman" w:hAnsi="Times New Roman" w:eastAsia="宋体" w:cs="Times New Roman"/>
                      <w:color w:val="auto"/>
                      <w:sz w:val="21"/>
                      <w:szCs w:val="21"/>
                    </w:rPr>
                  </w:pPr>
                </w:p>
              </w:tc>
              <w:tc>
                <w:tcPr>
                  <w:tcW w:w="2034" w:type="dxa"/>
                  <w:noWrap w:val="0"/>
                  <w:vAlign w:val="center"/>
                </w:tcPr>
                <w:p w14:paraId="0FAC0B9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1276" w:type="dxa"/>
                  <w:noWrap w:val="0"/>
                  <w:vAlign w:val="center"/>
                </w:tcPr>
                <w:p w14:paraId="15B5AECA">
                  <w:pPr>
                    <w:spacing w:line="34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浓度限值</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shd w:val="clear" w:fill="FFFFFF"/>
                      <w:lang w:eastAsia="zh-CN"/>
                    </w:rPr>
                    <w:t>)</w:t>
                  </w:r>
                </w:p>
              </w:tc>
              <w:tc>
                <w:tcPr>
                  <w:tcW w:w="936" w:type="dxa"/>
                  <w:vMerge w:val="continue"/>
                  <w:noWrap w:val="0"/>
                  <w:vAlign w:val="center"/>
                </w:tcPr>
                <w:p w14:paraId="047F3C0E">
                  <w:pPr>
                    <w:spacing w:line="340" w:lineRule="exact"/>
                    <w:jc w:val="center"/>
                    <w:rPr>
                      <w:rFonts w:hint="default" w:ascii="Times New Roman" w:hAnsi="Times New Roman" w:eastAsia="宋体" w:cs="Times New Roman"/>
                      <w:color w:val="auto"/>
                      <w:sz w:val="21"/>
                      <w:szCs w:val="21"/>
                    </w:rPr>
                  </w:pPr>
                </w:p>
              </w:tc>
            </w:tr>
            <w:tr w14:paraId="6DB0C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56" w:type="dxa"/>
                  <w:noWrap w:val="0"/>
                  <w:vAlign w:val="center"/>
                </w:tcPr>
                <w:p w14:paraId="60635E8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5" w:type="dxa"/>
                  <w:noWrap w:val="0"/>
                  <w:vAlign w:val="center"/>
                </w:tcPr>
                <w:p w14:paraId="08D8D5A1">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生产车间</w:t>
                  </w:r>
                </w:p>
              </w:tc>
              <w:tc>
                <w:tcPr>
                  <w:tcW w:w="1143" w:type="dxa"/>
                  <w:noWrap w:val="0"/>
                  <w:vAlign w:val="center"/>
                </w:tcPr>
                <w:p w14:paraId="2CEAD887">
                  <w:pPr>
                    <w:spacing w:line="340" w:lineRule="exact"/>
                    <w:jc w:val="center"/>
                    <w:rPr>
                      <w:rFonts w:hint="eastAsia" w:cs="Times New Roman"/>
                      <w:color w:val="auto"/>
                      <w:sz w:val="21"/>
                      <w:szCs w:val="21"/>
                      <w:lang w:eastAsia="zh-CN"/>
                    </w:rPr>
                  </w:pPr>
                  <w:r>
                    <w:rPr>
                      <w:rFonts w:hint="default" w:ascii="Times New Roman" w:hAnsi="Times New Roman" w:eastAsia="宋体" w:cs="Times New Roman"/>
                      <w:color w:val="auto"/>
                      <w:sz w:val="21"/>
                      <w:szCs w:val="21"/>
                    </w:rPr>
                    <w:t>原料装卸</w:t>
                  </w:r>
                  <w:r>
                    <w:rPr>
                      <w:rFonts w:hint="eastAsia" w:cs="Times New Roman"/>
                      <w:color w:val="auto"/>
                      <w:sz w:val="21"/>
                      <w:szCs w:val="21"/>
                      <w:lang w:eastAsia="zh-CN"/>
                    </w:rPr>
                    <w:t>、石子、砂子输送、搅拌、</w:t>
                  </w:r>
                </w:p>
                <w:p w14:paraId="14F3EE36">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焊接</w:t>
                  </w:r>
                  <w:r>
                    <w:rPr>
                      <w:rFonts w:hint="eastAsia" w:cs="Times New Roman"/>
                      <w:color w:val="auto"/>
                      <w:sz w:val="21"/>
                      <w:szCs w:val="21"/>
                      <w:lang w:val="en-US" w:eastAsia="zh-CN"/>
                    </w:rPr>
                    <w:t>等</w:t>
                  </w:r>
                </w:p>
              </w:tc>
              <w:tc>
                <w:tcPr>
                  <w:tcW w:w="759" w:type="dxa"/>
                  <w:noWrap w:val="0"/>
                  <w:vAlign w:val="center"/>
                </w:tcPr>
                <w:p w14:paraId="69E11B1C">
                  <w:pPr>
                    <w:spacing w:line="340" w:lineRule="exact"/>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颗粒物</w:t>
                  </w:r>
                </w:p>
              </w:tc>
              <w:tc>
                <w:tcPr>
                  <w:tcW w:w="1040" w:type="dxa"/>
                  <w:noWrap w:val="0"/>
                  <w:vAlign w:val="center"/>
                </w:tcPr>
                <w:p w14:paraId="03A4BED5">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加强洒水抑尘、水喷淋等措施</w:t>
                  </w:r>
                </w:p>
              </w:tc>
              <w:tc>
                <w:tcPr>
                  <w:tcW w:w="2034" w:type="dxa"/>
                  <w:tcBorders>
                    <w:bottom w:val="single" w:color="000000" w:sz="4" w:space="0"/>
                  </w:tcBorders>
                  <w:noWrap w:val="0"/>
                  <w:vAlign w:val="center"/>
                </w:tcPr>
                <w:p w14:paraId="5A1FE0C7">
                  <w:pPr>
                    <w:spacing w:line="34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福建省地方标准《水泥工业大气污染物排放标准》(DB35/1311-2013</w:t>
                  </w:r>
                  <w:r>
                    <w:rPr>
                      <w:rFonts w:hint="default" w:ascii="Times New Roman" w:hAnsi="Times New Roman" w:eastAsia="宋体" w:cs="Times New Roman"/>
                      <w:color w:val="auto"/>
                      <w:sz w:val="21"/>
                      <w:szCs w:val="21"/>
                      <w:shd w:val="clear" w:fill="FFFFFF"/>
                    </w:rPr>
                    <w:t>)</w:t>
                  </w:r>
                  <w:r>
                    <w:rPr>
                      <w:rFonts w:hint="eastAsia" w:cs="Times New Roman"/>
                      <w:color w:val="auto"/>
                      <w:sz w:val="21"/>
                      <w:szCs w:val="21"/>
                      <w:lang w:val="en-US" w:eastAsia="zh-CN"/>
                    </w:rPr>
                    <w:t>中</w:t>
                  </w:r>
                  <w:r>
                    <w:rPr>
                      <w:rFonts w:hint="default" w:ascii="Times New Roman" w:hAnsi="Times New Roman" w:eastAsia="宋体" w:cs="Times New Roman"/>
                      <w:color w:val="auto"/>
                      <w:sz w:val="21"/>
                      <w:szCs w:val="21"/>
                    </w:rPr>
                    <w:t>表</w:t>
                  </w:r>
                  <w:r>
                    <w:rPr>
                      <w:rFonts w:hint="eastAsia" w:cs="Times New Roman"/>
                      <w:color w:val="auto"/>
                      <w:sz w:val="21"/>
                      <w:szCs w:val="21"/>
                      <w:lang w:val="en-US" w:eastAsia="zh-CN"/>
                    </w:rPr>
                    <w:t>3</w:t>
                  </w:r>
                </w:p>
              </w:tc>
              <w:tc>
                <w:tcPr>
                  <w:tcW w:w="1276" w:type="dxa"/>
                  <w:noWrap w:val="0"/>
                  <w:vAlign w:val="center"/>
                </w:tcPr>
                <w:p w14:paraId="5EF76174">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936" w:type="dxa"/>
                  <w:noWrap w:val="0"/>
                  <w:vAlign w:val="center"/>
                </w:tcPr>
                <w:p w14:paraId="61E4CB5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2.162</w:t>
                  </w:r>
                </w:p>
              </w:tc>
            </w:tr>
            <w:tr w14:paraId="13592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9" w:type="dxa"/>
                  <w:gridSpan w:val="8"/>
                  <w:noWrap w:val="0"/>
                  <w:vAlign w:val="center"/>
                </w:tcPr>
                <w:p w14:paraId="25CB5AA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无组织排放总计</w:t>
                  </w:r>
                </w:p>
              </w:tc>
            </w:tr>
            <w:tr w14:paraId="30903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3" w:type="dxa"/>
                  <w:gridSpan w:val="4"/>
                  <w:noWrap w:val="0"/>
                  <w:vAlign w:val="center"/>
                </w:tcPr>
                <w:p w14:paraId="338545A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无组织排放总计</w:t>
                  </w:r>
                </w:p>
              </w:tc>
              <w:tc>
                <w:tcPr>
                  <w:tcW w:w="4350" w:type="dxa"/>
                  <w:gridSpan w:val="3"/>
                  <w:noWrap w:val="0"/>
                  <w:vAlign w:val="center"/>
                </w:tcPr>
                <w:p w14:paraId="00896F9E">
                  <w:pPr>
                    <w:spacing w:line="340" w:lineRule="exac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颗粒物</w:t>
                  </w:r>
                </w:p>
              </w:tc>
              <w:tc>
                <w:tcPr>
                  <w:tcW w:w="936" w:type="dxa"/>
                  <w:noWrap w:val="0"/>
                  <w:vAlign w:val="center"/>
                </w:tcPr>
                <w:p w14:paraId="6F2A9058">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2.162</w:t>
                  </w:r>
                </w:p>
              </w:tc>
            </w:tr>
          </w:tbl>
          <w:p w14:paraId="6062493D">
            <w:pPr>
              <w:pStyle w:val="124"/>
              <w:spacing w:before="120" w:beforeLines="50" w:line="240" w:lineRule="auto"/>
              <w:ind w:firstLine="0" w:firstLineChars="0"/>
              <w:jc w:val="center"/>
              <w:rPr>
                <w:rFonts w:hint="default" w:ascii="Times New Roman" w:hAnsi="Times New Roman" w:eastAsia="宋体" w:cs="Times New Roman"/>
                <w:b/>
                <w:color w:val="auto"/>
                <w:spacing w:val="0"/>
                <w:w w:val="100"/>
                <w:kern w:val="2"/>
                <w:position w:val="0"/>
                <w:sz w:val="24"/>
                <w:szCs w:val="24"/>
                <w:highlight w:val="none"/>
                <w:lang w:val="en-US" w:eastAsia="zh-CN" w:bidi="ar-SA"/>
              </w:rPr>
            </w:pPr>
            <w:r>
              <w:rPr>
                <w:rFonts w:hint="default" w:ascii="Times New Roman" w:hAnsi="Times New Roman" w:eastAsia="宋体" w:cs="Times New Roman"/>
                <w:b/>
                <w:color w:val="auto"/>
                <w:spacing w:val="0"/>
                <w:w w:val="100"/>
                <w:kern w:val="2"/>
                <w:position w:val="0"/>
                <w:sz w:val="24"/>
                <w:szCs w:val="24"/>
                <w:highlight w:val="none"/>
                <w:lang w:val="en-US" w:eastAsia="zh-CN" w:bidi="ar-SA"/>
              </w:rPr>
              <w:t>表4.2-</w:t>
            </w:r>
            <w:r>
              <w:rPr>
                <w:rFonts w:hint="eastAsia" w:ascii="Times New Roman" w:hAnsi="Times New Roman" w:cs="Times New Roman"/>
                <w:b/>
                <w:color w:val="auto"/>
                <w:spacing w:val="0"/>
                <w:w w:val="100"/>
                <w:kern w:val="2"/>
                <w:position w:val="0"/>
                <w:sz w:val="24"/>
                <w:szCs w:val="24"/>
                <w:highlight w:val="none"/>
                <w:lang w:val="en-US" w:eastAsia="zh-CN" w:bidi="ar-SA"/>
              </w:rPr>
              <w:t>9</w:t>
            </w:r>
            <w:r>
              <w:rPr>
                <w:rFonts w:hint="default" w:ascii="Times New Roman" w:hAnsi="Times New Roman" w:eastAsia="宋体" w:cs="Times New Roman"/>
                <w:b/>
                <w:color w:val="auto"/>
                <w:spacing w:val="0"/>
                <w:w w:val="100"/>
                <w:kern w:val="2"/>
                <w:position w:val="0"/>
                <w:sz w:val="24"/>
                <w:szCs w:val="24"/>
                <w:highlight w:val="none"/>
                <w:lang w:val="en-US" w:eastAsia="zh-CN" w:bidi="ar-SA"/>
              </w:rPr>
              <w:t xml:space="preserve">  大气污染物年排放量核算表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2665"/>
              <w:gridCol w:w="4129"/>
            </w:tblGrid>
            <w:tr w14:paraId="266DB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485" w:type="dxa"/>
                  <w:noWrap w:val="0"/>
                  <w:vAlign w:val="center"/>
                </w:tcPr>
                <w:p w14:paraId="4687C4DD">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665" w:type="dxa"/>
                  <w:noWrap w:val="0"/>
                  <w:vAlign w:val="center"/>
                </w:tcPr>
                <w:p w14:paraId="29D8C10C">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4129" w:type="dxa"/>
                  <w:noWrap w:val="0"/>
                  <w:vAlign w:val="center"/>
                </w:tcPr>
                <w:p w14:paraId="7C28C913">
                  <w:pPr>
                    <w:spacing w:line="34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年排放量</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rPr>
                    <w:t>t/a</w:t>
                  </w:r>
                  <w:r>
                    <w:rPr>
                      <w:rFonts w:hint="eastAsia" w:cs="Times New Roman"/>
                      <w:color w:val="auto"/>
                      <w:sz w:val="21"/>
                      <w:szCs w:val="21"/>
                      <w:shd w:val="clear" w:fill="FFFFFF"/>
                      <w:lang w:eastAsia="zh-CN"/>
                    </w:rPr>
                    <w:t>)</w:t>
                  </w:r>
                </w:p>
              </w:tc>
            </w:tr>
            <w:tr w14:paraId="1B918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noWrap w:val="0"/>
                  <w:vAlign w:val="center"/>
                </w:tcPr>
                <w:p w14:paraId="6A3A1A71">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665" w:type="dxa"/>
                  <w:noWrap w:val="0"/>
                  <w:vAlign w:val="center"/>
                </w:tcPr>
                <w:p w14:paraId="513D9F5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4129" w:type="dxa"/>
                  <w:noWrap w:val="0"/>
                  <w:vAlign w:val="center"/>
                </w:tcPr>
                <w:p w14:paraId="0F015BBE">
                  <w:pPr>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2.302</w:t>
                  </w:r>
                </w:p>
              </w:tc>
            </w:tr>
            <w:tr w14:paraId="13B0B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noWrap w:val="0"/>
                  <w:vAlign w:val="center"/>
                </w:tcPr>
                <w:p w14:paraId="72E21ADB">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665" w:type="dxa"/>
                  <w:noWrap w:val="0"/>
                  <w:vAlign w:val="center"/>
                </w:tcPr>
                <w:p w14:paraId="44B79FAB">
                  <w:pPr>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食堂油烟</w:t>
                  </w:r>
                </w:p>
              </w:tc>
              <w:tc>
                <w:tcPr>
                  <w:tcW w:w="4129" w:type="dxa"/>
                  <w:noWrap w:val="0"/>
                  <w:vAlign w:val="center"/>
                </w:tcPr>
                <w:p w14:paraId="7037C3D6">
                  <w:pPr>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r>
          </w:tbl>
          <w:p w14:paraId="36184997">
            <w:pPr>
              <w:pStyle w:val="68"/>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综上，可知</w:t>
            </w:r>
            <w:r>
              <w:rPr>
                <w:rFonts w:hint="eastAsia" w:cs="Times New Roman"/>
                <w:color w:val="auto"/>
                <w:kern w:val="2"/>
                <w:sz w:val="24"/>
                <w:szCs w:val="24"/>
                <w:highlight w:val="none"/>
                <w:lang w:eastAsia="zh-CN"/>
              </w:rPr>
              <w:t>迁建项目</w:t>
            </w:r>
            <w:r>
              <w:rPr>
                <w:rFonts w:hint="default" w:ascii="Times New Roman" w:hAnsi="Times New Roman" w:eastAsia="宋体" w:cs="Times New Roman"/>
                <w:color w:val="auto"/>
                <w:kern w:val="2"/>
                <w:sz w:val="24"/>
                <w:szCs w:val="24"/>
                <w:highlight w:val="none"/>
                <w:lang w:eastAsia="zh-CN"/>
              </w:rPr>
              <w:t>各污染物预测质量浓度可满足《环境空气质量标准》</w:t>
            </w:r>
            <w:r>
              <w:rPr>
                <w:rFonts w:hint="eastAsia"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GB3096-2012</w:t>
            </w:r>
            <w:r>
              <w:rPr>
                <w:rFonts w:hint="eastAsia" w:eastAsia="宋体" w:cs="Times New Roman"/>
                <w:color w:val="auto"/>
                <w:kern w:val="2"/>
                <w:sz w:val="24"/>
                <w:szCs w:val="24"/>
                <w:highlight w:val="none"/>
                <w:shd w:val="clear" w:fill="FFFFFF"/>
                <w:lang w:eastAsia="zh-CN"/>
              </w:rPr>
              <w:t>)</w:t>
            </w:r>
            <w:r>
              <w:rPr>
                <w:rFonts w:hint="default" w:ascii="Times New Roman" w:hAnsi="Times New Roman" w:eastAsia="宋体" w:cs="Times New Roman"/>
                <w:color w:val="auto"/>
                <w:kern w:val="2"/>
                <w:sz w:val="24"/>
                <w:szCs w:val="24"/>
                <w:highlight w:val="none"/>
                <w:lang w:eastAsia="zh-CN"/>
              </w:rPr>
              <w:t>及其修改单中的二级标准的限值要求，本工程实施后各污染物排放对区域污染物浓度增</w:t>
            </w:r>
            <w:r>
              <w:rPr>
                <w:rFonts w:hint="eastAsia" w:eastAsia="宋体" w:cs="Times New Roman"/>
                <w:color w:val="auto"/>
                <w:kern w:val="2"/>
                <w:sz w:val="24"/>
                <w:szCs w:val="24"/>
                <w:highlight w:val="none"/>
                <w:lang w:eastAsia="zh-CN"/>
              </w:rPr>
              <w:t>量的</w:t>
            </w:r>
            <w:r>
              <w:rPr>
                <w:rFonts w:hint="default" w:ascii="Times New Roman" w:hAnsi="Times New Roman" w:eastAsia="宋体" w:cs="Times New Roman"/>
                <w:color w:val="auto"/>
                <w:kern w:val="2"/>
                <w:sz w:val="24"/>
                <w:szCs w:val="24"/>
                <w:highlight w:val="none"/>
                <w:lang w:eastAsia="zh-CN"/>
              </w:rPr>
              <w:t>贡献值很小，对周边较近的环境空气敏感点产生的影响较低。</w:t>
            </w:r>
          </w:p>
          <w:p w14:paraId="781DCCF8">
            <w:pPr>
              <w:pStyle w:val="136"/>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大气防护距离的分析</w:t>
            </w:r>
          </w:p>
          <w:p w14:paraId="7004BC71">
            <w:pPr>
              <w:pStyle w:val="1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根据《环境影响评价技术导则 大气环境》</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HJ2.2-2018</w:t>
            </w: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中8.7.5.1，“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6DCD0FFB">
            <w:pPr>
              <w:pStyle w:val="1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根据前述预测结果，</w:t>
            </w:r>
            <w:r>
              <w:rPr>
                <w:rFonts w:hint="eastAsia" w:cs="Times New Roman"/>
                <w:color w:val="auto"/>
                <w:highlight w:val="none"/>
                <w:lang w:val="en-US" w:eastAsia="zh-CN"/>
              </w:rPr>
              <w:t>迁建项目</w:t>
            </w:r>
            <w:r>
              <w:rPr>
                <w:rFonts w:hint="default" w:ascii="Times New Roman" w:hAnsi="Times New Roman" w:cs="Times New Roman"/>
                <w:color w:val="auto"/>
                <w:highlight w:val="none"/>
                <w:lang w:val="en-US" w:eastAsia="zh-CN"/>
              </w:rPr>
              <w:t>排放的颗粒物等各污染物厂界浓度限值远小于</w:t>
            </w:r>
            <w:r>
              <w:rPr>
                <w:rFonts w:hint="default" w:ascii="Times New Roman" w:hAnsi="Times New Roman" w:eastAsia="宋体" w:cs="Times New Roman"/>
                <w:color w:val="auto"/>
                <w:kern w:val="2"/>
                <w:sz w:val="24"/>
                <w:szCs w:val="24"/>
                <w:highlight w:val="none"/>
                <w:lang w:eastAsia="zh-CN"/>
              </w:rPr>
              <w:t>《环境空气质量标准》</w:t>
            </w:r>
            <w:r>
              <w:rPr>
                <w:rFonts w:hint="eastAsia"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GB3096-2012</w:t>
            </w:r>
            <w:r>
              <w:rPr>
                <w:rFonts w:hint="eastAsia" w:ascii="Times New Roman" w:hAnsi="Times New Roman" w:eastAsia="宋体" w:cs="Times New Roman"/>
                <w:color w:val="auto"/>
                <w:kern w:val="2"/>
                <w:sz w:val="24"/>
                <w:szCs w:val="24"/>
                <w:highlight w:val="none"/>
                <w:shd w:val="clear" w:fill="FFFFFF"/>
                <w:lang w:eastAsia="zh-CN"/>
              </w:rPr>
              <w:t>)</w:t>
            </w:r>
            <w:r>
              <w:rPr>
                <w:rFonts w:hint="default" w:ascii="Times New Roman" w:hAnsi="Times New Roman" w:eastAsia="宋体" w:cs="Times New Roman"/>
                <w:color w:val="auto"/>
                <w:kern w:val="2"/>
                <w:sz w:val="24"/>
                <w:szCs w:val="24"/>
                <w:highlight w:val="none"/>
                <w:lang w:eastAsia="zh-CN"/>
              </w:rPr>
              <w:t>及其修改单中的二级标准</w:t>
            </w:r>
            <w:r>
              <w:rPr>
                <w:rFonts w:hint="default" w:ascii="Times New Roman" w:hAnsi="Times New Roman" w:cs="Times New Roman"/>
                <w:color w:val="auto"/>
                <w:highlight w:val="none"/>
                <w:lang w:val="en-US" w:eastAsia="zh-CN"/>
              </w:rPr>
              <w:t>等，故项目</w:t>
            </w:r>
            <w:r>
              <w:rPr>
                <w:rFonts w:hint="default" w:ascii="Times New Roman" w:hAnsi="Times New Roman" w:cs="Times New Roman"/>
                <w:color w:val="auto"/>
                <w:highlight w:val="none"/>
                <w:shd w:val="clear" w:fill="FFFFFF"/>
                <w:lang w:val="en-US" w:eastAsia="zh-CN"/>
              </w:rPr>
              <w:t>无需设置</w:t>
            </w:r>
            <w:r>
              <w:rPr>
                <w:rFonts w:hint="default" w:ascii="Times New Roman" w:hAnsi="Times New Roman" w:cs="Times New Roman"/>
                <w:color w:val="auto"/>
                <w:highlight w:val="none"/>
                <w:lang w:val="en-US" w:eastAsia="zh-CN"/>
              </w:rPr>
              <w:t>大气环境防护距离。</w:t>
            </w:r>
          </w:p>
          <w:p w14:paraId="7B4519B9">
            <w:pPr>
              <w:pStyle w:val="136"/>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卫生防护距离分析</w:t>
            </w:r>
          </w:p>
          <w:p w14:paraId="502D5533">
            <w:pPr>
              <w:pStyle w:val="1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根据《大气有害物质无组织排放卫生防护距离推导技术导则》</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GB/T 39499-2020</w:t>
            </w: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规定，无组织排放指不通过排气筒或通过15m高度以下排气筒的有害气体排放，卫生防护距离指为了防控通过无组织排放的大气污染物的健康危害，产生大气有害物质的生产单元</w:t>
            </w: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生产车间或作业场所</w:t>
            </w:r>
            <w:r>
              <w:rPr>
                <w:rFonts w:hint="eastAsia"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的边界至敏感区边界的最小距离。</w:t>
            </w:r>
          </w:p>
          <w:p w14:paraId="2846F881">
            <w:pPr>
              <w:pStyle w:val="136"/>
              <w:bidi w:val="0"/>
              <w:rPr>
                <w:rFonts w:hint="default" w:ascii="Times New Roman" w:hAnsi="Times New Roman" w:cs="Times New Roman"/>
                <w:color w:val="auto"/>
                <w:highlight w:val="none"/>
              </w:rPr>
            </w:pPr>
            <w:r>
              <w:rPr>
                <w:rFonts w:hint="eastAsia" w:cs="Times New Roman"/>
                <w:color w:val="auto"/>
                <w:highlight w:val="none"/>
                <w:lang w:eastAsia="zh-CN"/>
              </w:rPr>
              <w:t>迁建项目</w:t>
            </w:r>
            <w:r>
              <w:rPr>
                <w:rFonts w:hint="default" w:ascii="Times New Roman" w:hAnsi="Times New Roman" w:cs="Times New Roman"/>
                <w:color w:val="auto"/>
                <w:highlight w:val="none"/>
              </w:rPr>
              <w:t>的卫生防护距离按《大气有害物质无组织排放卫生防护距离推导技术导则》</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GB/T39499-2020</w:t>
            </w:r>
            <w:r>
              <w:rPr>
                <w:rFonts w:hint="eastAsia" w:ascii="Times New Roman" w:hAnsi="Times New Roman" w:cs="Times New Roman"/>
                <w:color w:val="auto"/>
                <w:highlight w:val="none"/>
                <w:shd w:val="clear" w:fill="FFFFFF"/>
                <w:lang w:eastAsia="zh-CN"/>
              </w:rPr>
              <w:t>)</w:t>
            </w:r>
            <w:r>
              <w:rPr>
                <w:rFonts w:hint="default" w:ascii="Times New Roman" w:hAnsi="Times New Roman" w:cs="Times New Roman"/>
                <w:color w:val="auto"/>
                <w:highlight w:val="none"/>
              </w:rPr>
              <w:t>中规定的方法及当地的污染气象条件来确定。计算公式如下所示：</w:t>
            </w:r>
          </w:p>
          <w:p w14:paraId="18EE798B">
            <w:pPr>
              <w:snapToGrid w:val="0"/>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30"/>
                <w:sz w:val="24"/>
                <w:highlight w:val="none"/>
                <w:lang w:val="zh-CN"/>
              </w:rPr>
              <w:object>
                <v:shape id="_x0000_i1025" o:spt="75" type="#_x0000_t75" style="height:32.35pt;width:227.95pt;" o:ole="t" filled="f" o:preferrelative="t" stroked="f" coordsize="21600,21600">
                  <v:path/>
                  <v:fill on="f" focussize="0,0"/>
                  <v:stroke on="f"/>
                  <v:imagedata r:id="rId18" o:title=""/>
                  <o:lock v:ext="edit" aspectratio="t"/>
                  <w10:wrap type="none"/>
                  <w10:anchorlock/>
                </v:shape>
                <o:OLEObject Type="Embed" ProgID="Equation.3" ShapeID="_x0000_i1025" DrawAspect="Content" ObjectID="_1468075725" r:id="rId17">
                  <o:LockedField>false</o:LockedField>
                </o:OLEObject>
              </w:object>
            </w:r>
          </w:p>
          <w:p w14:paraId="18A844F4">
            <w:pPr>
              <w:pStyle w:val="1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7F56C0D4">
            <w:pPr>
              <w:pStyle w:val="136"/>
              <w:bidi w:val="0"/>
              <w:rPr>
                <w:rFonts w:hint="default" w:ascii="Times New Roman" w:hAnsi="Times New Roman" w:cs="Times New Roman"/>
                <w:color w:val="auto"/>
                <w:highlight w:val="none"/>
              </w:rPr>
            </w:pPr>
            <w:r>
              <w:rPr>
                <w:rFonts w:hint="default" w:ascii="Times New Roman" w:hAnsi="Times New Roman" w:cs="Times New Roman"/>
                <w:color w:val="auto"/>
                <w:highlight w:val="none"/>
                <w:shd w:val="clear" w:fill="FFFFFF"/>
              </w:rPr>
              <w:t>C</w:t>
            </w:r>
            <w:r>
              <w:rPr>
                <w:rFonts w:hint="default" w:ascii="Times New Roman" w:hAnsi="Times New Roman" w:cs="Times New Roman"/>
                <w:color w:val="auto"/>
                <w:highlight w:val="none"/>
                <w:shd w:val="clear" w:fill="FFFFFF"/>
                <w:vertAlign w:val="subscript"/>
              </w:rPr>
              <w:t>m</w:t>
            </w:r>
            <w:r>
              <w:rPr>
                <w:rFonts w:hint="default" w:ascii="Times New Roman" w:hAnsi="Times New Roman" w:cs="Times New Roman"/>
                <w:color w:val="auto"/>
                <w:highlight w:val="none"/>
              </w:rPr>
              <w:t>—标准浓度限值，mg/m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37198D87">
            <w:pPr>
              <w:pStyle w:val="1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L—企业无组织排放有害气体所需卫生防护距离，m；</w:t>
            </w:r>
          </w:p>
          <w:p w14:paraId="7F15CE4E">
            <w:pPr>
              <w:pStyle w:val="136"/>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r</w:t>
            </w:r>
            <w:r>
              <w:rPr>
                <w:rFonts w:hint="default" w:ascii="Times New Roman" w:hAnsi="Times New Roman" w:cs="Times New Roman"/>
                <w:color w:val="auto"/>
                <w:highlight w:val="none"/>
              </w:rPr>
              <w:t>—有害气体无组织排放源所在生产单元的等效半径，m，根据该生产单元占地面积S</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eastAsia" w:ascii="Times New Roman" w:hAnsi="Times New Roman" w:cs="Times New Roman"/>
                <w:color w:val="auto"/>
                <w:highlight w:val="none"/>
                <w:shd w:val="clear" w:fill="FFFFFF"/>
                <w:lang w:eastAsia="zh-CN"/>
              </w:rPr>
              <w:t>)</w:t>
            </w:r>
            <w:r>
              <w:rPr>
                <w:rFonts w:hint="default" w:ascii="Times New Roman" w:hAnsi="Times New Roman" w:cs="Times New Roman"/>
                <w:color w:val="auto"/>
                <w:highlight w:val="none"/>
              </w:rPr>
              <w:t>计算，r=</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s/π</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0.5；</w:t>
            </w:r>
          </w:p>
          <w:p w14:paraId="66A2D884">
            <w:pPr>
              <w:pStyle w:val="1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A、B、C、D—卫生防护距离计算系数，无因次，根据企业所在地区近五年平均风速及企业大气污染源构成类别查表取值；</w:t>
            </w:r>
          </w:p>
          <w:p w14:paraId="702A9E88">
            <w:pPr>
              <w:pStyle w:val="1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C</w:t>
            </w:r>
            <w:r>
              <w:rPr>
                <w:rFonts w:hint="default" w:ascii="Times New Roman" w:hAnsi="Times New Roman" w:cs="Times New Roman"/>
                <w:color w:val="auto"/>
                <w:highlight w:val="none"/>
              </w:rPr>
              <w:t>—企业有害气体无组织排放量可以达到的控制水平，kg/h。</w:t>
            </w:r>
          </w:p>
          <w:p w14:paraId="3DC8F190">
            <w:pPr>
              <w:pStyle w:val="1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项目所在地区全年平均风速</w:t>
            </w:r>
            <w:r>
              <w:rPr>
                <w:rFonts w:hint="default" w:ascii="Times New Roman" w:hAnsi="Times New Roman" w:cs="Times New Roman"/>
                <w:color w:val="auto"/>
                <w:highlight w:val="none"/>
                <w:lang w:val="en-US" w:eastAsia="zh-CN"/>
              </w:rPr>
              <w:t>2.8</w:t>
            </w:r>
            <w:r>
              <w:rPr>
                <w:rFonts w:hint="default" w:ascii="Times New Roman" w:hAnsi="Times New Roman" w:cs="Times New Roman"/>
                <w:color w:val="auto"/>
                <w:highlight w:val="none"/>
              </w:rPr>
              <w:t>m/s，无组织排放单元等效半径按生产车间面积进行等效换算，项目各参数选取及相关卫生防护距离计算结果，见表</w:t>
            </w: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10</w:t>
            </w:r>
            <w:r>
              <w:rPr>
                <w:rFonts w:hint="default" w:ascii="Times New Roman" w:hAnsi="Times New Roman" w:cs="Times New Roman"/>
                <w:color w:val="auto"/>
                <w:highlight w:val="none"/>
              </w:rPr>
              <w:t>。</w:t>
            </w:r>
          </w:p>
          <w:p w14:paraId="35C84B06">
            <w:pPr>
              <w:pStyle w:val="164"/>
              <w:bidi w:val="0"/>
              <w:rPr>
                <w:rFonts w:hint="default" w:ascii="Times New Roman" w:hAnsi="Times New Roman" w:eastAsia="宋体" w:cs="Times New Roman"/>
                <w:b/>
                <w:bCs w:val="0"/>
                <w:color w:val="auto"/>
                <w:spacing w:val="0"/>
                <w:w w:val="100"/>
                <w:kern w:val="2"/>
                <w:position w:val="0"/>
                <w:sz w:val="24"/>
                <w:szCs w:val="24"/>
                <w:highlight w:val="none"/>
                <w:lang w:val="en-US" w:eastAsia="zh-CN" w:bidi="ar-SA"/>
              </w:rPr>
            </w:pPr>
          </w:p>
          <w:p w14:paraId="32C16C20">
            <w:pPr>
              <w:pStyle w:val="164"/>
              <w:bidi w:val="0"/>
              <w:rPr>
                <w:rFonts w:hint="default" w:ascii="Times New Roman" w:hAnsi="Times New Roman" w:eastAsia="宋体" w:cs="Times New Roman"/>
                <w:b/>
                <w:bCs w:val="0"/>
                <w:color w:val="auto"/>
                <w:spacing w:val="0"/>
                <w:w w:val="100"/>
                <w:kern w:val="2"/>
                <w:position w:val="0"/>
                <w:sz w:val="24"/>
                <w:szCs w:val="24"/>
                <w:highlight w:val="none"/>
                <w:lang w:val="en-US" w:eastAsia="zh-CN" w:bidi="ar-SA"/>
              </w:rPr>
            </w:pPr>
          </w:p>
          <w:p w14:paraId="68D3F2A4">
            <w:pPr>
              <w:pStyle w:val="164"/>
              <w:bidi w:val="0"/>
              <w:rPr>
                <w:rFonts w:hint="default" w:ascii="Times New Roman" w:hAnsi="Times New Roman" w:eastAsia="宋体" w:cs="Times New Roman"/>
                <w:b/>
                <w:bCs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2"/>
                <w:position w:val="0"/>
                <w:sz w:val="24"/>
                <w:szCs w:val="24"/>
                <w:highlight w:val="none"/>
                <w:lang w:val="en-US" w:eastAsia="zh-CN" w:bidi="ar-SA"/>
              </w:rPr>
              <w:t>表4.2-</w:t>
            </w:r>
            <w:r>
              <w:rPr>
                <w:rFonts w:hint="eastAsia" w:eastAsia="宋体" w:cs="Times New Roman"/>
                <w:b/>
                <w:bCs w:val="0"/>
                <w:color w:val="auto"/>
                <w:spacing w:val="0"/>
                <w:w w:val="100"/>
                <w:kern w:val="2"/>
                <w:position w:val="0"/>
                <w:sz w:val="24"/>
                <w:szCs w:val="24"/>
                <w:highlight w:val="none"/>
                <w:lang w:val="en-US" w:eastAsia="zh-CN" w:bidi="ar-SA"/>
              </w:rPr>
              <w:t>10</w:t>
            </w:r>
            <w:r>
              <w:rPr>
                <w:rFonts w:hint="default" w:ascii="Times New Roman" w:hAnsi="Times New Roman" w:eastAsia="宋体" w:cs="Times New Roman"/>
                <w:b/>
                <w:bCs w:val="0"/>
                <w:color w:val="auto"/>
                <w:spacing w:val="0"/>
                <w:w w:val="100"/>
                <w:kern w:val="2"/>
                <w:position w:val="0"/>
                <w:sz w:val="24"/>
                <w:szCs w:val="24"/>
                <w:highlight w:val="none"/>
                <w:lang w:val="en-US" w:eastAsia="zh-CN" w:bidi="ar-SA"/>
              </w:rPr>
              <w:t xml:space="preserve"> 卫生防护距离初值计算系数</w:t>
            </w:r>
          </w:p>
          <w:tbl>
            <w:tblPr>
              <w:tblStyle w:val="36"/>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0"/>
              <w:gridCol w:w="1519"/>
              <w:gridCol w:w="610"/>
              <w:gridCol w:w="686"/>
              <w:gridCol w:w="600"/>
              <w:gridCol w:w="58"/>
              <w:gridCol w:w="686"/>
              <w:gridCol w:w="689"/>
              <w:gridCol w:w="615"/>
              <w:gridCol w:w="738"/>
              <w:gridCol w:w="689"/>
              <w:gridCol w:w="618"/>
            </w:tblGrid>
            <w:tr w14:paraId="7DAE4F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Merge w:val="restart"/>
                  <w:noWrap w:val="0"/>
                  <w:vAlign w:val="center"/>
                </w:tcPr>
                <w:p w14:paraId="12227116">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卫生防护距离初值</w:t>
                  </w:r>
                  <w:r>
                    <w:rPr>
                      <w:rFonts w:hint="default" w:ascii="Times New Roman" w:hAnsi="Times New Roman" w:cs="Times New Roman"/>
                      <w:color w:val="auto"/>
                      <w:sz w:val="21"/>
                      <w:szCs w:val="21"/>
                      <w:highlight w:val="none"/>
                    </w:rPr>
                    <w:t>计算系数</w:t>
                  </w:r>
                </w:p>
              </w:tc>
              <w:tc>
                <w:tcPr>
                  <w:tcW w:w="897" w:type="pct"/>
                  <w:vMerge w:val="restart"/>
                  <w:noWrap w:val="0"/>
                  <w:vAlign w:val="center"/>
                </w:tcPr>
                <w:p w14:paraId="75C09A8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工业企业所在地区近</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 xml:space="preserve">年平均风速 </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m/s</w:t>
                  </w:r>
                  <w:r>
                    <w:rPr>
                      <w:rFonts w:hint="eastAsia" w:ascii="Times New Roman" w:hAnsi="Times New Roman" w:cs="Times New Roman"/>
                      <w:color w:val="auto"/>
                      <w:sz w:val="21"/>
                      <w:szCs w:val="21"/>
                      <w:highlight w:val="none"/>
                      <w:lang w:eastAsia="zh-CN"/>
                    </w:rPr>
                    <w:t>)</w:t>
                  </w:r>
                </w:p>
              </w:tc>
              <w:tc>
                <w:tcPr>
                  <w:tcW w:w="3535" w:type="pct"/>
                  <w:gridSpan w:val="10"/>
                  <w:noWrap w:val="0"/>
                  <w:vAlign w:val="center"/>
                </w:tcPr>
                <w:p w14:paraId="7A5CA69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卫生防护距离L</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m</w:t>
                  </w:r>
                </w:p>
              </w:tc>
            </w:tr>
            <w:tr w14:paraId="295E5F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Merge w:val="continue"/>
                  <w:noWrap w:val="0"/>
                  <w:vAlign w:val="center"/>
                </w:tcPr>
                <w:p w14:paraId="7A6FF0D2">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p>
              </w:tc>
              <w:tc>
                <w:tcPr>
                  <w:tcW w:w="897" w:type="pct"/>
                  <w:vMerge w:val="continue"/>
                  <w:noWrap w:val="0"/>
                  <w:vAlign w:val="center"/>
                </w:tcPr>
                <w:p w14:paraId="04CCE8A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p>
              </w:tc>
              <w:tc>
                <w:tcPr>
                  <w:tcW w:w="1119" w:type="pct"/>
                  <w:gridSpan w:val="3"/>
                  <w:noWrap w:val="0"/>
                  <w:vAlign w:val="center"/>
                </w:tcPr>
                <w:p w14:paraId="49CC8EF2">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L≤1000</w:t>
                  </w:r>
                </w:p>
              </w:tc>
              <w:tc>
                <w:tcPr>
                  <w:tcW w:w="1209" w:type="pct"/>
                  <w:gridSpan w:val="4"/>
                  <w:noWrap w:val="0"/>
                  <w:vAlign w:val="center"/>
                </w:tcPr>
                <w:p w14:paraId="07D8FF8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r>
                    <w:rPr>
                      <w:rFonts w:hint="eastAsia" w:ascii="Times New Roman" w:hAnsi="Times New Roman" w:cs="Times New Roman"/>
                      <w:color w:val="auto"/>
                      <w:sz w:val="21"/>
                      <w:szCs w:val="21"/>
                      <w:highlight w:val="none"/>
                      <w:lang w:eastAsia="zh-CN"/>
                    </w:rPr>
                    <w:t>&lt;</w:t>
                  </w:r>
                  <w:r>
                    <w:rPr>
                      <w:rFonts w:hint="default" w:ascii="Times New Roman" w:hAnsi="Times New Roman" w:cs="Times New Roman"/>
                      <w:color w:val="auto"/>
                      <w:sz w:val="21"/>
                      <w:szCs w:val="21"/>
                      <w:highlight w:val="none"/>
                    </w:rPr>
                    <w:t>L≤2000</w:t>
                  </w:r>
                </w:p>
              </w:tc>
              <w:tc>
                <w:tcPr>
                  <w:tcW w:w="1206" w:type="pct"/>
                  <w:gridSpan w:val="3"/>
                  <w:noWrap w:val="0"/>
                  <w:vAlign w:val="center"/>
                </w:tcPr>
                <w:p w14:paraId="5F7D0A4A">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w:t>
                  </w:r>
                  <w:r>
                    <w:rPr>
                      <w:rFonts w:hint="default" w:ascii="Times New Roman" w:hAnsi="Times New Roman" w:cs="Times New Roman"/>
                      <w:color w:val="auto"/>
                      <w:sz w:val="21"/>
                      <w:szCs w:val="21"/>
                      <w:highlight w:val="none"/>
                      <w:shd w:val="clear" w:fill="FFFFFF"/>
                    </w:rPr>
                    <w:t>＞</w:t>
                  </w:r>
                  <w:r>
                    <w:rPr>
                      <w:rFonts w:hint="default" w:ascii="Times New Roman" w:hAnsi="Times New Roman" w:cs="Times New Roman"/>
                      <w:color w:val="auto"/>
                      <w:sz w:val="21"/>
                      <w:szCs w:val="21"/>
                      <w:highlight w:val="none"/>
                    </w:rPr>
                    <w:t>2000</w:t>
                  </w:r>
                </w:p>
              </w:tc>
            </w:tr>
            <w:tr w14:paraId="5361FF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Merge w:val="continue"/>
                  <w:noWrap w:val="0"/>
                  <w:vAlign w:val="center"/>
                </w:tcPr>
                <w:p w14:paraId="35FD3A55">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p>
              </w:tc>
              <w:tc>
                <w:tcPr>
                  <w:tcW w:w="897" w:type="pct"/>
                  <w:vMerge w:val="continue"/>
                  <w:noWrap w:val="0"/>
                  <w:vAlign w:val="center"/>
                </w:tcPr>
                <w:p w14:paraId="5248FE25">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p>
              </w:tc>
              <w:tc>
                <w:tcPr>
                  <w:tcW w:w="3535" w:type="pct"/>
                  <w:gridSpan w:val="10"/>
                  <w:noWrap w:val="0"/>
                  <w:vAlign w:val="center"/>
                </w:tcPr>
                <w:p w14:paraId="69B7C79E">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工业企业大气污染源构成类别</w:t>
                  </w:r>
                </w:p>
              </w:tc>
            </w:tr>
            <w:tr w14:paraId="5D3075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Merge w:val="continue"/>
                  <w:noWrap w:val="0"/>
                  <w:vAlign w:val="center"/>
                </w:tcPr>
                <w:p w14:paraId="696F39E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p>
              </w:tc>
              <w:tc>
                <w:tcPr>
                  <w:tcW w:w="897" w:type="pct"/>
                  <w:vMerge w:val="continue"/>
                  <w:noWrap w:val="0"/>
                  <w:vAlign w:val="center"/>
                </w:tcPr>
                <w:p w14:paraId="00A054A2">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p>
              </w:tc>
              <w:tc>
                <w:tcPr>
                  <w:tcW w:w="360" w:type="pct"/>
                  <w:noWrap w:val="0"/>
                  <w:vAlign w:val="center"/>
                </w:tcPr>
                <w:p w14:paraId="067E5CC2">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c>
                <w:tcPr>
                  <w:tcW w:w="405" w:type="pct"/>
                  <w:noWrap w:val="0"/>
                  <w:vAlign w:val="center"/>
                </w:tcPr>
                <w:p w14:paraId="123E45C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w:t>
                  </w:r>
                </w:p>
              </w:tc>
              <w:tc>
                <w:tcPr>
                  <w:tcW w:w="387" w:type="pct"/>
                  <w:gridSpan w:val="2"/>
                  <w:noWrap w:val="0"/>
                  <w:vAlign w:val="center"/>
                </w:tcPr>
                <w:p w14:paraId="6A1CD606">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fill="FFFFFF"/>
                    </w:rPr>
                    <w:t>III</w:t>
                  </w:r>
                </w:p>
              </w:tc>
              <w:tc>
                <w:tcPr>
                  <w:tcW w:w="405" w:type="pct"/>
                  <w:noWrap w:val="0"/>
                  <w:vAlign w:val="center"/>
                </w:tcPr>
                <w:p w14:paraId="529CAACE">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c>
                <w:tcPr>
                  <w:tcW w:w="407" w:type="pct"/>
                  <w:noWrap w:val="0"/>
                  <w:vAlign w:val="center"/>
                </w:tcPr>
                <w:p w14:paraId="7AD371C6">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w:t>
                  </w:r>
                </w:p>
              </w:tc>
              <w:tc>
                <w:tcPr>
                  <w:tcW w:w="363" w:type="pct"/>
                  <w:noWrap w:val="0"/>
                  <w:vAlign w:val="center"/>
                </w:tcPr>
                <w:p w14:paraId="20D81B9A">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fill="FFFFFF"/>
                    </w:rPr>
                    <w:t>III</w:t>
                  </w:r>
                </w:p>
              </w:tc>
              <w:tc>
                <w:tcPr>
                  <w:tcW w:w="436" w:type="pct"/>
                  <w:noWrap w:val="0"/>
                  <w:vAlign w:val="center"/>
                </w:tcPr>
                <w:p w14:paraId="4C31DE4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c>
                <w:tcPr>
                  <w:tcW w:w="407" w:type="pct"/>
                  <w:noWrap w:val="0"/>
                  <w:vAlign w:val="center"/>
                </w:tcPr>
                <w:p w14:paraId="5EDFB27D">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w:t>
                  </w:r>
                </w:p>
              </w:tc>
              <w:tc>
                <w:tcPr>
                  <w:tcW w:w="362" w:type="pct"/>
                  <w:noWrap w:val="0"/>
                  <w:vAlign w:val="center"/>
                </w:tcPr>
                <w:p w14:paraId="604D9480">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fill="FFFFFF"/>
                    </w:rPr>
                    <w:t>III</w:t>
                  </w:r>
                </w:p>
              </w:tc>
            </w:tr>
            <w:tr w14:paraId="71CE62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noWrap w:val="0"/>
                  <w:vAlign w:val="center"/>
                </w:tcPr>
                <w:p w14:paraId="2BE0FD0B">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t>
                  </w:r>
                </w:p>
              </w:tc>
              <w:tc>
                <w:tcPr>
                  <w:tcW w:w="897" w:type="pct"/>
                  <w:noWrap w:val="0"/>
                  <w:vAlign w:val="center"/>
                </w:tcPr>
                <w:p w14:paraId="36E01FDA">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&lt;</w:t>
                  </w:r>
                  <w:r>
                    <w:rPr>
                      <w:rFonts w:hint="default" w:ascii="Times New Roman" w:hAnsi="Times New Roman" w:cs="Times New Roman"/>
                      <w:color w:val="auto"/>
                      <w:sz w:val="21"/>
                      <w:szCs w:val="21"/>
                      <w:highlight w:val="none"/>
                    </w:rPr>
                    <w:t>2</w:t>
                  </w:r>
                </w:p>
                <w:p w14:paraId="3F91BAF3">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shd w:val="clear" w:fill="FFFFFF"/>
                    </w:rPr>
                    <w:t>～</w:t>
                  </w:r>
                  <w:r>
                    <w:rPr>
                      <w:rFonts w:hint="default" w:ascii="Times New Roman" w:hAnsi="Times New Roman" w:cs="Times New Roman"/>
                      <w:color w:val="auto"/>
                      <w:sz w:val="21"/>
                      <w:szCs w:val="21"/>
                      <w:highlight w:val="none"/>
                    </w:rPr>
                    <w:t>4</w:t>
                  </w:r>
                </w:p>
                <w:p w14:paraId="2409F6E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rPr>
                    <w:t>4</w:t>
                  </w:r>
                </w:p>
              </w:tc>
              <w:tc>
                <w:tcPr>
                  <w:tcW w:w="360" w:type="pct"/>
                  <w:noWrap w:val="0"/>
                  <w:vAlign w:val="center"/>
                </w:tcPr>
                <w:p w14:paraId="704381A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p w14:paraId="750ECDE0">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700</w:t>
                  </w:r>
                </w:p>
                <w:p w14:paraId="3556B4B8">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530</w:t>
                  </w:r>
                </w:p>
              </w:tc>
              <w:tc>
                <w:tcPr>
                  <w:tcW w:w="405" w:type="pct"/>
                  <w:noWrap w:val="0"/>
                  <w:vAlign w:val="center"/>
                </w:tcPr>
                <w:p w14:paraId="0D567FA0">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p w14:paraId="4C28559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470</w:t>
                  </w:r>
                </w:p>
                <w:p w14:paraId="0CEA3CC5">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387" w:type="pct"/>
                  <w:gridSpan w:val="2"/>
                  <w:noWrap w:val="0"/>
                  <w:vAlign w:val="center"/>
                </w:tcPr>
                <w:p w14:paraId="18A53B9C">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p w14:paraId="0530CD35">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p w14:paraId="362BBF7D">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260</w:t>
                  </w:r>
                </w:p>
              </w:tc>
              <w:tc>
                <w:tcPr>
                  <w:tcW w:w="405" w:type="pct"/>
                  <w:noWrap w:val="0"/>
                  <w:vAlign w:val="center"/>
                </w:tcPr>
                <w:p w14:paraId="1CF73D58">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p w14:paraId="0BEF9F7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700</w:t>
                  </w:r>
                </w:p>
                <w:p w14:paraId="1C62ECE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530</w:t>
                  </w:r>
                </w:p>
              </w:tc>
              <w:tc>
                <w:tcPr>
                  <w:tcW w:w="407" w:type="pct"/>
                  <w:noWrap w:val="0"/>
                  <w:vAlign w:val="center"/>
                </w:tcPr>
                <w:p w14:paraId="59D209C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p w14:paraId="607F0458">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470</w:t>
                  </w:r>
                </w:p>
                <w:p w14:paraId="41101C1D">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363" w:type="pct"/>
                  <w:noWrap w:val="0"/>
                  <w:vAlign w:val="center"/>
                </w:tcPr>
                <w:p w14:paraId="3F2E5367">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p w14:paraId="519F6BA2">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p w14:paraId="4DEEDD36">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260</w:t>
                  </w:r>
                </w:p>
              </w:tc>
              <w:tc>
                <w:tcPr>
                  <w:tcW w:w="436" w:type="pct"/>
                  <w:noWrap w:val="0"/>
                  <w:vAlign w:val="center"/>
                </w:tcPr>
                <w:p w14:paraId="00193047">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p w14:paraId="6B897F06">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380</w:t>
                  </w:r>
                </w:p>
                <w:p w14:paraId="4D0A087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290</w:t>
                  </w:r>
                </w:p>
              </w:tc>
              <w:tc>
                <w:tcPr>
                  <w:tcW w:w="407" w:type="pct"/>
                  <w:noWrap w:val="0"/>
                  <w:vAlign w:val="center"/>
                </w:tcPr>
                <w:p w14:paraId="5E791933">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p w14:paraId="67EB8973">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p w14:paraId="2E10DBE3">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190</w:t>
                  </w:r>
                </w:p>
              </w:tc>
              <w:tc>
                <w:tcPr>
                  <w:tcW w:w="362" w:type="pct"/>
                  <w:noWrap w:val="0"/>
                  <w:vAlign w:val="center"/>
                </w:tcPr>
                <w:p w14:paraId="66A2E6CE">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p w14:paraId="7A52070A">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190</w:t>
                  </w:r>
                </w:p>
                <w:p w14:paraId="2713D20C">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140</w:t>
                  </w:r>
                </w:p>
              </w:tc>
            </w:tr>
            <w:tr w14:paraId="405CD4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noWrap w:val="0"/>
                  <w:vAlign w:val="center"/>
                </w:tcPr>
                <w:p w14:paraId="15A97C0A">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w:t>
                  </w:r>
                </w:p>
              </w:tc>
              <w:tc>
                <w:tcPr>
                  <w:tcW w:w="897" w:type="pct"/>
                  <w:noWrap w:val="0"/>
                  <w:vAlign w:val="center"/>
                </w:tcPr>
                <w:p w14:paraId="75099407">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&lt;</w:t>
                  </w:r>
                  <w:r>
                    <w:rPr>
                      <w:rFonts w:hint="default" w:ascii="Times New Roman" w:hAnsi="Times New Roman" w:cs="Times New Roman"/>
                      <w:color w:val="auto"/>
                      <w:sz w:val="21"/>
                      <w:szCs w:val="21"/>
                      <w:highlight w:val="none"/>
                    </w:rPr>
                    <w:t>2</w:t>
                  </w:r>
                </w:p>
                <w:p w14:paraId="341EA82E">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rPr>
                    <w:t>2</w:t>
                  </w:r>
                </w:p>
              </w:tc>
              <w:tc>
                <w:tcPr>
                  <w:tcW w:w="1153" w:type="pct"/>
                  <w:gridSpan w:val="4"/>
                  <w:noWrap w:val="0"/>
                  <w:vAlign w:val="center"/>
                </w:tcPr>
                <w:p w14:paraId="457C0430">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p w14:paraId="26277ECE">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0.021</w:t>
                  </w:r>
                </w:p>
              </w:tc>
              <w:tc>
                <w:tcPr>
                  <w:tcW w:w="1175" w:type="pct"/>
                  <w:gridSpan w:val="3"/>
                  <w:noWrap w:val="0"/>
                  <w:vAlign w:val="center"/>
                </w:tcPr>
                <w:p w14:paraId="0E92D151">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0.015</w:t>
                  </w:r>
                </w:p>
                <w:p w14:paraId="3DD3A09C">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0.036</w:t>
                  </w:r>
                </w:p>
              </w:tc>
              <w:tc>
                <w:tcPr>
                  <w:tcW w:w="1206" w:type="pct"/>
                  <w:gridSpan w:val="3"/>
                  <w:noWrap w:val="0"/>
                  <w:vAlign w:val="center"/>
                </w:tcPr>
                <w:p w14:paraId="689C9D85">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0.015</w:t>
                  </w:r>
                </w:p>
                <w:p w14:paraId="3F06E67E">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0.036</w:t>
                  </w:r>
                </w:p>
              </w:tc>
            </w:tr>
            <w:tr w14:paraId="0EE2DE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noWrap w:val="0"/>
                  <w:vAlign w:val="center"/>
                </w:tcPr>
                <w:p w14:paraId="286A4BA5">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p>
              </w:tc>
              <w:tc>
                <w:tcPr>
                  <w:tcW w:w="897" w:type="pct"/>
                  <w:noWrap w:val="0"/>
                  <w:vAlign w:val="center"/>
                </w:tcPr>
                <w:p w14:paraId="1E10CFCC">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&lt;</w:t>
                  </w:r>
                  <w:r>
                    <w:rPr>
                      <w:rFonts w:hint="default" w:ascii="Times New Roman" w:hAnsi="Times New Roman" w:cs="Times New Roman"/>
                      <w:color w:val="auto"/>
                      <w:sz w:val="21"/>
                      <w:szCs w:val="21"/>
                      <w:highlight w:val="none"/>
                    </w:rPr>
                    <w:t>2</w:t>
                  </w:r>
                </w:p>
                <w:p w14:paraId="1DD17256">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rPr>
                    <w:t>2</w:t>
                  </w:r>
                </w:p>
              </w:tc>
              <w:tc>
                <w:tcPr>
                  <w:tcW w:w="1153" w:type="pct"/>
                  <w:gridSpan w:val="4"/>
                  <w:noWrap w:val="0"/>
                  <w:vAlign w:val="center"/>
                </w:tcPr>
                <w:p w14:paraId="2E0FB33B">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w:t>
                  </w:r>
                </w:p>
                <w:p w14:paraId="0E1A3182">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w:t>
                  </w:r>
                </w:p>
              </w:tc>
              <w:tc>
                <w:tcPr>
                  <w:tcW w:w="1175" w:type="pct"/>
                  <w:gridSpan w:val="3"/>
                  <w:noWrap w:val="0"/>
                  <w:vAlign w:val="center"/>
                </w:tcPr>
                <w:p w14:paraId="37A827AC">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1.79</w:t>
                  </w:r>
                </w:p>
                <w:p w14:paraId="62778E21">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1.77</w:t>
                  </w:r>
                </w:p>
              </w:tc>
              <w:tc>
                <w:tcPr>
                  <w:tcW w:w="1206" w:type="pct"/>
                  <w:gridSpan w:val="3"/>
                  <w:noWrap w:val="0"/>
                  <w:vAlign w:val="center"/>
                </w:tcPr>
                <w:p w14:paraId="2201DD5A">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1.79</w:t>
                  </w:r>
                </w:p>
                <w:p w14:paraId="5B470279">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1.77</w:t>
                  </w:r>
                </w:p>
              </w:tc>
            </w:tr>
            <w:tr w14:paraId="42FAE1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noWrap w:val="0"/>
                  <w:vAlign w:val="center"/>
                </w:tcPr>
                <w:p w14:paraId="44479091">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t>
                  </w:r>
                </w:p>
              </w:tc>
              <w:tc>
                <w:tcPr>
                  <w:tcW w:w="897" w:type="pct"/>
                  <w:noWrap w:val="0"/>
                  <w:vAlign w:val="center"/>
                </w:tcPr>
                <w:p w14:paraId="0DAC8E50">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&lt;</w:t>
                  </w:r>
                  <w:r>
                    <w:rPr>
                      <w:rFonts w:hint="default" w:ascii="Times New Roman" w:hAnsi="Times New Roman" w:cs="Times New Roman"/>
                      <w:color w:val="auto"/>
                      <w:sz w:val="21"/>
                      <w:szCs w:val="21"/>
                      <w:highlight w:val="none"/>
                    </w:rPr>
                    <w:t>2</w:t>
                  </w:r>
                </w:p>
                <w:p w14:paraId="6959D1D1">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rPr>
                    <w:t>2</w:t>
                  </w:r>
                </w:p>
              </w:tc>
              <w:tc>
                <w:tcPr>
                  <w:tcW w:w="1153" w:type="pct"/>
                  <w:gridSpan w:val="4"/>
                  <w:noWrap w:val="0"/>
                  <w:vAlign w:val="center"/>
                </w:tcPr>
                <w:p w14:paraId="37E69F8B">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0.78</w:t>
                  </w:r>
                </w:p>
                <w:p w14:paraId="0315D8C1">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0.84</w:t>
                  </w:r>
                </w:p>
              </w:tc>
              <w:tc>
                <w:tcPr>
                  <w:tcW w:w="1175" w:type="pct"/>
                  <w:gridSpan w:val="3"/>
                  <w:noWrap w:val="0"/>
                  <w:vAlign w:val="center"/>
                </w:tcPr>
                <w:p w14:paraId="5A82F6CE">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0.78</w:t>
                  </w:r>
                </w:p>
                <w:p w14:paraId="0BDAB5F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0.84</w:t>
                  </w:r>
                </w:p>
              </w:tc>
              <w:tc>
                <w:tcPr>
                  <w:tcW w:w="1206" w:type="pct"/>
                  <w:gridSpan w:val="3"/>
                  <w:noWrap w:val="0"/>
                  <w:vAlign w:val="center"/>
                </w:tcPr>
                <w:p w14:paraId="4E2CA834">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0.57</w:t>
                  </w:r>
                </w:p>
                <w:p w14:paraId="640684CF">
                  <w:pPr>
                    <w:pStyle w:val="162"/>
                    <w:keepNext/>
                    <w:keepLines w:val="0"/>
                    <w:pageBreakBefore w:val="0"/>
                    <w:widowControl w:val="0"/>
                    <w:kinsoku/>
                    <w:wordWrap/>
                    <w:overflowPunct w:val="0"/>
                    <w:topLinePunct w:val="0"/>
                    <w:autoSpaceDE/>
                    <w:autoSpaceDN/>
                    <w:bidi w:val="0"/>
                    <w:adjustRightInd/>
                    <w:snapToGrid w:val="0"/>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0.76</w:t>
                  </w:r>
                </w:p>
              </w:tc>
            </w:tr>
            <w:tr w14:paraId="451CC8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2"/>
                  <w:noWrap w:val="0"/>
                  <w:vAlign w:val="center"/>
                </w:tcPr>
                <w:p w14:paraId="723AA3D5">
                  <w:pPr>
                    <w:pStyle w:val="162"/>
                    <w:keepNext/>
                    <w:keepLines w:val="0"/>
                    <w:pageBreakBefore w:val="0"/>
                    <w:widowControl w:val="0"/>
                    <w:kinsoku/>
                    <w:wordWrap/>
                    <w:overflowPunct w:val="0"/>
                    <w:topLinePunct w:val="0"/>
                    <w:autoSpaceDE/>
                    <w:autoSpaceDN/>
                    <w:bidi w:val="0"/>
                    <w:adjustRightInd/>
                    <w:snapToGrid w:val="0"/>
                    <w:spacing w:line="320" w:lineRule="exact"/>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Ⅰ类：与无组织排放源共存的排放同种有害气体的排气筒的排放量，大于</w:t>
                  </w:r>
                  <w:r>
                    <w:rPr>
                      <w:rFonts w:hint="default" w:ascii="Times New Roman" w:hAnsi="Times New Roman" w:cs="Times New Roman"/>
                      <w:color w:val="auto"/>
                      <w:sz w:val="21"/>
                      <w:szCs w:val="21"/>
                      <w:highlight w:val="none"/>
                      <w:lang w:val="en-US" w:eastAsia="zh-CN"/>
                    </w:rPr>
                    <w:t>或等于</w:t>
                  </w:r>
                  <w:r>
                    <w:rPr>
                      <w:rFonts w:hint="default" w:ascii="Times New Roman" w:hAnsi="Times New Roman" w:cs="Times New Roman"/>
                      <w:color w:val="auto"/>
                      <w:sz w:val="21"/>
                      <w:szCs w:val="21"/>
                      <w:highlight w:val="none"/>
                    </w:rPr>
                    <w:t>标准规定的允许排放量的</w:t>
                  </w:r>
                  <w:r>
                    <w:rPr>
                      <w:rFonts w:hint="default" w:ascii="Times New Roman" w:hAnsi="Times New Roman" w:cs="Times New Roman"/>
                      <w:color w:val="auto"/>
                      <w:sz w:val="21"/>
                      <w:szCs w:val="21"/>
                      <w:highlight w:val="none"/>
                      <w:lang w:val="en-US" w:eastAsia="zh-CN"/>
                    </w:rPr>
                    <w:t>1/3</w:t>
                  </w:r>
                  <w:r>
                    <w:rPr>
                      <w:rFonts w:hint="default" w:ascii="Times New Roman" w:hAnsi="Times New Roman" w:cs="Times New Roman"/>
                      <w:color w:val="auto"/>
                      <w:sz w:val="21"/>
                      <w:szCs w:val="21"/>
                      <w:highlight w:val="none"/>
                    </w:rPr>
                    <w:t>者。</w:t>
                  </w:r>
                </w:p>
                <w:p w14:paraId="63C0FB10">
                  <w:pPr>
                    <w:pStyle w:val="162"/>
                    <w:keepNext/>
                    <w:keepLines w:val="0"/>
                    <w:pageBreakBefore w:val="0"/>
                    <w:widowControl w:val="0"/>
                    <w:kinsoku/>
                    <w:wordWrap/>
                    <w:overflowPunct w:val="0"/>
                    <w:topLinePunct w:val="0"/>
                    <w:autoSpaceDE/>
                    <w:autoSpaceDN/>
                    <w:bidi w:val="0"/>
                    <w:adjustRightInd/>
                    <w:snapToGrid w:val="0"/>
                    <w:spacing w:line="320" w:lineRule="exact"/>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Ⅱ类：与无组织排放源共存的排放同种有害气体的排气筒的排放量，小于标准规定的允许排放量的</w:t>
                  </w:r>
                  <w:r>
                    <w:rPr>
                      <w:rFonts w:hint="default" w:ascii="Times New Roman" w:hAnsi="Times New Roman" w:cs="Times New Roman"/>
                      <w:color w:val="auto"/>
                      <w:sz w:val="21"/>
                      <w:szCs w:val="21"/>
                      <w:highlight w:val="none"/>
                      <w:lang w:val="en-US" w:eastAsia="zh-CN"/>
                    </w:rPr>
                    <w:t>1/3</w:t>
                  </w:r>
                  <w:r>
                    <w:rPr>
                      <w:rFonts w:hint="default" w:ascii="Times New Roman" w:hAnsi="Times New Roman" w:cs="Times New Roman"/>
                      <w:color w:val="auto"/>
                      <w:sz w:val="21"/>
                      <w:szCs w:val="21"/>
                      <w:highlight w:val="none"/>
                    </w:rPr>
                    <w:t>，或虽无排放同种大气污染物之排气筒共存，但无组织排放的有害物质的容许浓度指标是按急性反应指标确定者。</w:t>
                  </w:r>
                </w:p>
                <w:p w14:paraId="43CF881D">
                  <w:pPr>
                    <w:pStyle w:val="162"/>
                    <w:keepNext/>
                    <w:keepLines w:val="0"/>
                    <w:pageBreakBefore w:val="0"/>
                    <w:widowControl w:val="0"/>
                    <w:kinsoku/>
                    <w:wordWrap/>
                    <w:overflowPunct w:val="0"/>
                    <w:topLinePunct w:val="0"/>
                    <w:autoSpaceDE/>
                    <w:autoSpaceDN/>
                    <w:bidi w:val="0"/>
                    <w:adjustRightInd/>
                    <w:snapToGrid w:val="0"/>
                    <w:spacing w:line="320" w:lineRule="exact"/>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Ⅲ类：无排放同种有害物质的排气筒与无组织排放源共存，</w:t>
                  </w:r>
                  <w:r>
                    <w:rPr>
                      <w:rFonts w:hint="default" w:ascii="Times New Roman" w:hAnsi="Times New Roman" w:cs="Times New Roman"/>
                      <w:color w:val="auto"/>
                      <w:sz w:val="21"/>
                      <w:szCs w:val="21"/>
                      <w:highlight w:val="none"/>
                      <w:lang w:val="en-US" w:eastAsia="zh-CN"/>
                    </w:rPr>
                    <w:t>但无</w:t>
                  </w:r>
                  <w:r>
                    <w:rPr>
                      <w:rFonts w:hint="default" w:ascii="Times New Roman" w:hAnsi="Times New Roman" w:cs="Times New Roman"/>
                      <w:color w:val="auto"/>
                      <w:sz w:val="21"/>
                      <w:szCs w:val="21"/>
                      <w:highlight w:val="none"/>
                    </w:rPr>
                    <w:t>组织排放的有害物质的容许浓度是按慢性指标</w:t>
                  </w:r>
                  <w:r>
                    <w:rPr>
                      <w:rFonts w:hint="default" w:ascii="Times New Roman" w:hAnsi="Times New Roman" w:cs="Times New Roman"/>
                      <w:color w:val="auto"/>
                      <w:sz w:val="21"/>
                      <w:szCs w:val="21"/>
                      <w:highlight w:val="none"/>
                      <w:shd w:val="clear" w:fill="FFFFFF"/>
                    </w:rPr>
                    <w:t>确定者</w:t>
                  </w:r>
                  <w:r>
                    <w:rPr>
                      <w:rFonts w:hint="default" w:ascii="Times New Roman" w:hAnsi="Times New Roman" w:cs="Times New Roman"/>
                      <w:color w:val="auto"/>
                      <w:sz w:val="21"/>
                      <w:szCs w:val="21"/>
                      <w:highlight w:val="none"/>
                    </w:rPr>
                    <w:t>。</w:t>
                  </w:r>
                </w:p>
              </w:tc>
            </w:tr>
          </w:tbl>
          <w:p w14:paraId="51255A03">
            <w:pPr>
              <w:pStyle w:val="13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根据该项目所在地的气象特征</w:t>
            </w:r>
            <w:r>
              <w:rPr>
                <w:rFonts w:hint="eastAsia" w:ascii="Times New Roman" w:hAnsi="Times New Roman" w:cs="Times New Roman"/>
                <w:color w:val="auto"/>
                <w:highlight w:val="none"/>
                <w:shd w:val="clear" w:fill="FFFFFF"/>
                <w:lang w:eastAsia="zh-CN"/>
              </w:rPr>
              <w:t>(</w:t>
            </w:r>
            <w:r>
              <w:rPr>
                <w:rFonts w:hint="default" w:ascii="Times New Roman" w:hAnsi="Times New Roman" w:cs="Times New Roman"/>
                <w:color w:val="auto"/>
                <w:highlight w:val="none"/>
              </w:rPr>
              <w:t>年平均风速为</w:t>
            </w:r>
            <w:r>
              <w:rPr>
                <w:rFonts w:hint="default" w:ascii="Times New Roman" w:hAnsi="Times New Roman" w:cs="Times New Roman"/>
                <w:color w:val="auto"/>
                <w:highlight w:val="none"/>
                <w:lang w:val="en-US" w:eastAsia="zh-CN"/>
              </w:rPr>
              <w:t>2.8</w:t>
            </w:r>
            <w:r>
              <w:rPr>
                <w:rFonts w:hint="default" w:ascii="Times New Roman" w:hAnsi="Times New Roman" w:cs="Times New Roman"/>
                <w:color w:val="auto"/>
                <w:highlight w:val="none"/>
              </w:rPr>
              <w:t>m/s，大气污染源构成类别为Ⅱ类，取A=</w:t>
            </w:r>
            <w:r>
              <w:rPr>
                <w:rFonts w:hint="default" w:ascii="Times New Roman" w:hAnsi="Times New Roman" w:cs="Times New Roman"/>
                <w:color w:val="auto"/>
                <w:highlight w:val="none"/>
                <w:lang w:val="en-US" w:eastAsia="zh-CN"/>
              </w:rPr>
              <w:t>470</w:t>
            </w:r>
            <w:r>
              <w:rPr>
                <w:rFonts w:hint="default" w:ascii="Times New Roman" w:hAnsi="Times New Roman" w:cs="Times New Roman"/>
                <w:color w:val="auto"/>
                <w:highlight w:val="none"/>
              </w:rPr>
              <w:t>，B=0.0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，C=1.85，D=0.</w:t>
            </w:r>
            <w:r>
              <w:rPr>
                <w:rFonts w:hint="default" w:ascii="Times New Roman" w:hAnsi="Times New Roman" w:cs="Times New Roman"/>
                <w:color w:val="auto"/>
                <w:highlight w:val="none"/>
                <w:lang w:val="en-US" w:eastAsia="zh-CN"/>
              </w:rPr>
              <w:t>84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S=</w:t>
            </w:r>
            <w:r>
              <w:rPr>
                <w:rFonts w:hint="eastAsia" w:cs="Times New Roman"/>
                <w:color w:val="auto"/>
                <w:highlight w:val="none"/>
                <w:lang w:val="en-US" w:eastAsia="zh-CN"/>
              </w:rPr>
              <w:t>16705.45</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根据《环境空气质量标准》(GB3095-2012</w:t>
            </w:r>
            <w:r>
              <w:rPr>
                <w:rFonts w:hint="default" w:ascii="Times New Roman" w:hAnsi="Times New Roman" w:cs="Times New Roman"/>
                <w:color w:val="auto"/>
                <w:highlight w:val="none"/>
                <w:shd w:val="clear" w:fill="FFFFFF"/>
                <w:lang w:eastAsia="zh-CN"/>
              </w:rPr>
              <w:t>)</w:t>
            </w:r>
            <w:r>
              <w:rPr>
                <w:rFonts w:hint="default" w:ascii="Times New Roman" w:hAnsi="Times New Roman" w:cs="Times New Roman"/>
                <w:color w:val="auto"/>
                <w:highlight w:val="none"/>
                <w:lang w:eastAsia="zh-CN"/>
              </w:rPr>
              <w:t>及其修改单中的二级标准，</w:t>
            </w:r>
            <w:r>
              <w:rPr>
                <w:rFonts w:hint="eastAsia" w:cs="Times New Roman"/>
                <w:color w:val="auto"/>
                <w:highlight w:val="none"/>
                <w:lang w:val="en-US" w:eastAsia="zh-CN"/>
              </w:rPr>
              <w:t>颗粒物</w:t>
            </w:r>
            <w:r>
              <w:rPr>
                <w:rFonts w:hint="eastAsia" w:cs="Times New Roman"/>
                <w:color w:val="auto"/>
                <w:highlight w:val="none"/>
                <w:shd w:val="clear" w:fill="FFFFFF"/>
                <w:lang w:val="en-US" w:eastAsia="zh-CN"/>
              </w:rPr>
              <w:t>(</w:t>
            </w:r>
            <w:r>
              <w:rPr>
                <w:rFonts w:hint="eastAsia" w:cs="Times New Roman"/>
                <w:color w:val="auto"/>
                <w:highlight w:val="none"/>
                <w:lang w:val="en-US" w:eastAsia="zh-CN"/>
              </w:rPr>
              <w:t>无组织以TSP计</w:t>
            </w:r>
            <w:r>
              <w:rPr>
                <w:rFonts w:hint="eastAsia" w:cs="Times New Roman"/>
                <w:color w:val="auto"/>
                <w:highlight w:val="none"/>
                <w:shd w:val="clear" w:fill="FFFFFF"/>
                <w:lang w:val="en-US" w:eastAsia="zh-CN"/>
              </w:rPr>
              <w:t>)</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lang w:val="en-US" w:eastAsia="zh-CN"/>
              </w:rPr>
              <w:t>标准</w:t>
            </w:r>
            <w:r>
              <w:rPr>
                <w:rFonts w:hint="default" w:ascii="Times New Roman" w:hAnsi="Times New Roman" w:cs="Times New Roman"/>
                <w:color w:val="auto"/>
                <w:sz w:val="24"/>
                <w:szCs w:val="24"/>
                <w:highlight w:val="none"/>
                <w:lang w:val="en-US" w:eastAsia="zh-CN"/>
              </w:rPr>
              <w:t>限值为</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00</w:t>
            </w:r>
            <w:r>
              <w:rPr>
                <w:rFonts w:hint="default" w:ascii="Times New Roman" w:hAnsi="Times New Roman" w:cs="Times New Roman"/>
                <w:color w:val="auto"/>
                <w:sz w:val="24"/>
                <w:szCs w:val="24"/>
              </w:rPr>
              <w:t>μg/m</w:t>
            </w:r>
            <w:r>
              <w:rPr>
                <w:rFonts w:hint="default" w:ascii="Times New Roman" w:hAnsi="Times New Roman" w:cs="Times New Roman"/>
                <w:color w:val="auto"/>
                <w:sz w:val="24"/>
                <w:szCs w:val="24"/>
                <w:vertAlign w:val="superscript"/>
              </w:rPr>
              <w:t>3</w:t>
            </w:r>
            <w:r>
              <w:rPr>
                <w:rFonts w:hint="eastAsia" w:cs="Times New Roman"/>
                <w:color w:val="auto"/>
                <w:sz w:val="24"/>
                <w:szCs w:val="24"/>
                <w:highlight w:val="none"/>
                <w:shd w:val="clear" w:fill="FFFFFF"/>
                <w:lang w:val="en-US" w:eastAsia="zh-CN"/>
              </w:rPr>
              <w:t>(</w:t>
            </w:r>
            <w:r>
              <w:rPr>
                <w:rFonts w:hint="eastAsia" w:cs="Times New Roman"/>
                <w:color w:val="auto"/>
                <w:sz w:val="24"/>
                <w:szCs w:val="24"/>
                <w:highlight w:val="none"/>
                <w:lang w:val="en-US" w:eastAsia="zh-CN"/>
              </w:rPr>
              <w:t>按年均值的3倍进行评价</w:t>
            </w:r>
            <w:r>
              <w:rPr>
                <w:rFonts w:hint="eastAsia" w:cs="Times New Roman"/>
                <w:color w:val="auto"/>
                <w:sz w:val="24"/>
                <w:szCs w:val="24"/>
                <w:highlight w:val="none"/>
                <w:shd w:val="clear" w:fill="FFFFFF"/>
                <w:lang w:val="en-US" w:eastAsia="zh-CN"/>
              </w:rPr>
              <w:t>)</w:t>
            </w:r>
            <w:r>
              <w:rPr>
                <w:rFonts w:hint="default" w:ascii="Times New Roman" w:hAnsi="Times New Roman" w:cs="Times New Roman"/>
                <w:color w:val="auto"/>
                <w:sz w:val="24"/>
                <w:szCs w:val="24"/>
                <w:highlight w:val="none"/>
                <w:lang w:eastAsia="zh-CN"/>
              </w:rPr>
              <w:t>。</w:t>
            </w:r>
          </w:p>
          <w:p w14:paraId="6E7A451C">
            <w:pPr>
              <w:pStyle w:val="164"/>
              <w:bidi w:val="0"/>
              <w:outlineLvl w:val="9"/>
              <w:rPr>
                <w:rFonts w:hint="default" w:ascii="Times New Roman" w:hAnsi="Times New Roman" w:eastAsia="宋体" w:cs="Times New Roman"/>
                <w:b/>
                <w:bCs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val="0"/>
                <w:color w:val="auto"/>
                <w:spacing w:val="0"/>
                <w:w w:val="100"/>
                <w:kern w:val="2"/>
                <w:position w:val="0"/>
                <w:sz w:val="24"/>
                <w:szCs w:val="24"/>
                <w:highlight w:val="none"/>
                <w:lang w:val="en-US" w:eastAsia="zh-CN" w:bidi="ar-SA"/>
              </w:rPr>
              <w:t>表4.2-17 卫生防护距离计算参数及结果一览表</w:t>
            </w:r>
          </w:p>
          <w:tbl>
            <w:tblPr>
              <w:tblStyle w:val="36"/>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1052"/>
              <w:gridCol w:w="1050"/>
              <w:gridCol w:w="874"/>
              <w:gridCol w:w="874"/>
              <w:gridCol w:w="1028"/>
              <w:gridCol w:w="872"/>
              <w:gridCol w:w="1563"/>
            </w:tblGrid>
            <w:tr w14:paraId="5E3460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9" w:type="pct"/>
                  <w:noWrap w:val="0"/>
                  <w:vAlign w:val="center"/>
                </w:tcPr>
                <w:p w14:paraId="27172EE9">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单元名称</w:t>
                  </w:r>
                </w:p>
              </w:tc>
              <w:tc>
                <w:tcPr>
                  <w:tcW w:w="621" w:type="pct"/>
                  <w:noWrap w:val="0"/>
                  <w:vAlign w:val="center"/>
                </w:tcPr>
                <w:p w14:paraId="126096C0">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w:t>
                  </w:r>
                </w:p>
              </w:tc>
              <w:tc>
                <w:tcPr>
                  <w:tcW w:w="620" w:type="pct"/>
                  <w:noWrap w:val="0"/>
                  <w:vAlign w:val="center"/>
                </w:tcPr>
                <w:p w14:paraId="6797C5D3">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Q</w:t>
                  </w:r>
                  <w:r>
                    <w:rPr>
                      <w:rFonts w:hint="default" w:ascii="Times New Roman" w:hAnsi="Times New Roman" w:eastAsia="宋体" w:cs="Times New Roman"/>
                      <w:color w:val="auto"/>
                      <w:kern w:val="0"/>
                      <w:sz w:val="21"/>
                      <w:szCs w:val="21"/>
                      <w:highlight w:val="none"/>
                      <w:vertAlign w:val="subscript"/>
                    </w:rPr>
                    <w:t>C</w:t>
                  </w:r>
                  <w:r>
                    <w:rPr>
                      <w:rFonts w:hint="eastAsia"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kg/h</w:t>
                  </w:r>
                  <w:r>
                    <w:rPr>
                      <w:rFonts w:hint="eastAsia" w:ascii="Times New Roman" w:hAnsi="Times New Roman" w:cs="Times New Roman"/>
                      <w:color w:val="auto"/>
                      <w:kern w:val="0"/>
                      <w:sz w:val="21"/>
                      <w:szCs w:val="21"/>
                      <w:highlight w:val="none"/>
                      <w:lang w:eastAsia="zh-CN"/>
                    </w:rPr>
                    <w:t>)</w:t>
                  </w:r>
                </w:p>
              </w:tc>
              <w:tc>
                <w:tcPr>
                  <w:tcW w:w="516" w:type="pct"/>
                  <w:noWrap w:val="0"/>
                  <w:vAlign w:val="center"/>
                </w:tcPr>
                <w:p w14:paraId="0517D8FF">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参数A</w:t>
                  </w:r>
                </w:p>
              </w:tc>
              <w:tc>
                <w:tcPr>
                  <w:tcW w:w="516" w:type="pct"/>
                  <w:noWrap w:val="0"/>
                  <w:vAlign w:val="center"/>
                </w:tcPr>
                <w:p w14:paraId="05DD8189">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参数B</w:t>
                  </w:r>
                </w:p>
              </w:tc>
              <w:tc>
                <w:tcPr>
                  <w:tcW w:w="607" w:type="pct"/>
                  <w:noWrap w:val="0"/>
                  <w:vAlign w:val="center"/>
                </w:tcPr>
                <w:p w14:paraId="36CF24F2">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参数C</w:t>
                  </w:r>
                </w:p>
              </w:tc>
              <w:tc>
                <w:tcPr>
                  <w:tcW w:w="515" w:type="pct"/>
                  <w:noWrap w:val="0"/>
                  <w:vAlign w:val="center"/>
                </w:tcPr>
                <w:p w14:paraId="6E99542C">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参数D</w:t>
                  </w:r>
                </w:p>
              </w:tc>
              <w:tc>
                <w:tcPr>
                  <w:tcW w:w="922" w:type="pct"/>
                  <w:noWrap w:val="0"/>
                  <w:vAlign w:val="center"/>
                </w:tcPr>
                <w:p w14:paraId="596C06F6">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卫生防护距离计算值</w:t>
                  </w:r>
                  <w:r>
                    <w:rPr>
                      <w:rFonts w:hint="eastAsia" w:ascii="Times New Roman" w:hAnsi="Times New Roman" w:cs="Times New Roman"/>
                      <w:color w:val="auto"/>
                      <w:kern w:val="0"/>
                      <w:sz w:val="21"/>
                      <w:szCs w:val="21"/>
                      <w:highlight w:val="none"/>
                      <w:shd w:val="clear" w:fill="FFFFFF"/>
                      <w:lang w:eastAsia="zh-CN"/>
                    </w:rPr>
                    <w:t>(</w:t>
                  </w:r>
                  <w:r>
                    <w:rPr>
                      <w:rFonts w:hint="default" w:ascii="Times New Roman" w:hAnsi="Times New Roman" w:eastAsia="宋体" w:cs="Times New Roman"/>
                      <w:color w:val="auto"/>
                      <w:kern w:val="0"/>
                      <w:sz w:val="21"/>
                      <w:szCs w:val="21"/>
                      <w:highlight w:val="none"/>
                    </w:rPr>
                    <w:t>m</w:t>
                  </w:r>
                  <w:r>
                    <w:rPr>
                      <w:rFonts w:hint="eastAsia" w:ascii="Times New Roman" w:hAnsi="Times New Roman" w:cs="Times New Roman"/>
                      <w:color w:val="auto"/>
                      <w:kern w:val="0"/>
                      <w:sz w:val="21"/>
                      <w:szCs w:val="21"/>
                      <w:highlight w:val="none"/>
                      <w:shd w:val="clear" w:fill="FFFFFF"/>
                      <w:lang w:eastAsia="zh-CN"/>
                    </w:rPr>
                    <w:t>)</w:t>
                  </w:r>
                </w:p>
              </w:tc>
            </w:tr>
            <w:tr w14:paraId="42F295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9" w:type="pct"/>
                  <w:noWrap w:val="0"/>
                  <w:vAlign w:val="center"/>
                </w:tcPr>
                <w:p w14:paraId="76116C00">
                  <w:pPr>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车间四</w:t>
                  </w:r>
                </w:p>
              </w:tc>
              <w:tc>
                <w:tcPr>
                  <w:tcW w:w="621" w:type="pct"/>
                  <w:noWrap w:val="0"/>
                  <w:vAlign w:val="center"/>
                </w:tcPr>
                <w:p w14:paraId="175C8E1C">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TSP</w:t>
                  </w:r>
                </w:p>
              </w:tc>
              <w:tc>
                <w:tcPr>
                  <w:tcW w:w="620" w:type="pct"/>
                  <w:noWrap w:val="0"/>
                  <w:vAlign w:val="center"/>
                </w:tcPr>
                <w:p w14:paraId="73EF184E">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0.901</w:t>
                  </w:r>
                </w:p>
              </w:tc>
              <w:tc>
                <w:tcPr>
                  <w:tcW w:w="516" w:type="pct"/>
                  <w:noWrap w:val="0"/>
                  <w:vAlign w:val="center"/>
                </w:tcPr>
                <w:p w14:paraId="5B619033">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470</w:t>
                  </w:r>
                </w:p>
              </w:tc>
              <w:tc>
                <w:tcPr>
                  <w:tcW w:w="516" w:type="pct"/>
                  <w:noWrap w:val="0"/>
                  <w:vAlign w:val="center"/>
                </w:tcPr>
                <w:p w14:paraId="4A11DED1">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0.021</w:t>
                  </w:r>
                </w:p>
              </w:tc>
              <w:tc>
                <w:tcPr>
                  <w:tcW w:w="607" w:type="pct"/>
                  <w:noWrap w:val="0"/>
                  <w:vAlign w:val="center"/>
                </w:tcPr>
                <w:p w14:paraId="50617E6D">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1.85</w:t>
                  </w:r>
                </w:p>
              </w:tc>
              <w:tc>
                <w:tcPr>
                  <w:tcW w:w="515" w:type="pct"/>
                  <w:noWrap w:val="0"/>
                  <w:vAlign w:val="center"/>
                </w:tcPr>
                <w:p w14:paraId="7F2BAB16">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0.84</w:t>
                  </w:r>
                </w:p>
              </w:tc>
              <w:tc>
                <w:tcPr>
                  <w:tcW w:w="922" w:type="pct"/>
                  <w:noWrap w:val="0"/>
                  <w:vAlign w:val="center"/>
                </w:tcPr>
                <w:p w14:paraId="0DD8684E">
                  <w:pPr>
                    <w:pStyle w:val="165"/>
                    <w:keepNext w:val="0"/>
                    <w:keepLines w:val="0"/>
                    <w:pageBreakBefore w:val="0"/>
                    <w:suppressLineNumbers w:val="0"/>
                    <w:kinsoku/>
                    <w:wordWrap/>
                    <w:overflowPunct/>
                    <w:topLinePunct w:val="0"/>
                    <w:autoSpaceDE/>
                    <w:autoSpaceDN/>
                    <w:bidi w:val="0"/>
                    <w:spacing w:before="0" w:beforeAutospacing="0" w:after="0" w:afterAutospacing="0" w:line="38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33.673</w:t>
                  </w:r>
                </w:p>
              </w:tc>
            </w:tr>
          </w:tbl>
          <w:p w14:paraId="136B5C96">
            <w:pPr>
              <w:pStyle w:val="13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color w:val="auto"/>
                <w:highlight w:val="none"/>
                <w:lang w:val="en-US" w:eastAsia="zh-CN"/>
              </w:rPr>
              <w:t>由表4.</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shd w:val="clear" w:fill="FFFFFF"/>
                <w:lang w:val="en-US" w:eastAsia="zh-CN"/>
              </w:rPr>
              <w:t>-</w:t>
            </w:r>
            <w:r>
              <w:rPr>
                <w:rFonts w:hint="default" w:ascii="Times New Roman" w:hAnsi="Times New Roman" w:eastAsia="宋体" w:cs="Times New Roman"/>
                <w:color w:val="auto"/>
                <w:highlight w:val="none"/>
                <w:lang w:val="en-US" w:eastAsia="zh-CN"/>
              </w:rPr>
              <w:t>9分析结果，项目无组织排放的</w:t>
            </w:r>
            <w:r>
              <w:rPr>
                <w:rFonts w:hint="eastAsia" w:cs="Times New Roman"/>
                <w:color w:val="auto"/>
                <w:highlight w:val="none"/>
                <w:lang w:val="en-US" w:eastAsia="zh-CN"/>
              </w:rPr>
              <w:t>颗粒物</w:t>
            </w:r>
            <w:r>
              <w:rPr>
                <w:rFonts w:hint="default" w:ascii="Times New Roman" w:hAnsi="Times New Roman" w:eastAsia="宋体" w:cs="Times New Roman"/>
                <w:color w:val="auto"/>
                <w:highlight w:val="none"/>
                <w:lang w:val="en-US" w:eastAsia="zh-CN"/>
              </w:rPr>
              <w:t>卫生防护距离值计算初值最大为</w:t>
            </w:r>
            <w:r>
              <w:rPr>
                <w:rFonts w:hint="eastAsia" w:cs="Times New Roman"/>
                <w:color w:val="auto"/>
                <w:highlight w:val="none"/>
                <w:lang w:val="en-US" w:eastAsia="zh-CN"/>
              </w:rPr>
              <w:t>33.673</w:t>
            </w:r>
            <w:r>
              <w:rPr>
                <w:rFonts w:hint="default" w:ascii="Times New Roman" w:hAnsi="Times New Roman" w:eastAsia="宋体" w:cs="Times New Roman"/>
                <w:color w:val="auto"/>
                <w:highlight w:val="none"/>
                <w:lang w:val="en-US" w:eastAsia="zh-CN"/>
              </w:rPr>
              <w:t>m，卫生防护距离值计算初值距离较小，结合《制定地方大气污染排放标准的技术方法》</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GB/T3840-1991</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7.2章节相关内容“无组织排放的有害气体进入呼吸带大气层时，其浓度如超过GB3095与TJ36规定的居住容许浓度限值，则无组织排放源所在的生产车间</w:t>
            </w:r>
            <w:r>
              <w:rPr>
                <w:rFonts w:hint="eastAsia" w:ascii="Times New Roman" w:hAnsi="Times New Roman" w:cs="Times New Roman"/>
                <w:color w:val="auto"/>
                <w:highlight w:val="none"/>
                <w:shd w:val="clear" w:fill="FFFFFF"/>
                <w:lang w:val="en-US" w:eastAsia="zh-CN"/>
              </w:rPr>
              <w:t>(</w:t>
            </w:r>
            <w:r>
              <w:rPr>
                <w:rFonts w:hint="default" w:ascii="Times New Roman" w:hAnsi="Times New Roman" w:eastAsia="宋体" w:cs="Times New Roman"/>
                <w:color w:val="auto"/>
                <w:highlight w:val="none"/>
                <w:lang w:val="en-US" w:eastAsia="zh-CN"/>
              </w:rPr>
              <w:t>生产区、车间或者工段</w:t>
            </w:r>
            <w:r>
              <w:rPr>
                <w:rFonts w:hint="eastAsia" w:ascii="Times New Roman" w:hAnsi="Times New Roman" w:cs="Times New Roman"/>
                <w:color w:val="auto"/>
                <w:highlight w:val="none"/>
                <w:shd w:val="clear" w:fill="FFFFFF"/>
                <w:lang w:val="en-US" w:eastAsia="zh-CN"/>
              </w:rPr>
              <w:t>)</w:t>
            </w:r>
            <w:r>
              <w:rPr>
                <w:rFonts w:hint="default" w:ascii="Times New Roman" w:hAnsi="Times New Roman" w:eastAsia="宋体" w:cs="Times New Roman"/>
                <w:color w:val="auto"/>
                <w:highlight w:val="none"/>
                <w:lang w:val="en-US" w:eastAsia="zh-CN"/>
              </w:rPr>
              <w:t>与居住区之间应设置卫生防护距离”。根据前文项目大气污染影响预测结果表，项目排放的</w:t>
            </w:r>
            <w:r>
              <w:rPr>
                <w:rFonts w:hint="eastAsia" w:cs="Times New Roman"/>
                <w:color w:val="auto"/>
                <w:highlight w:val="none"/>
                <w:lang w:val="en-US" w:eastAsia="zh-CN"/>
              </w:rPr>
              <w:t>颗粒物</w:t>
            </w:r>
            <w:r>
              <w:rPr>
                <w:rFonts w:hint="default" w:ascii="Times New Roman" w:hAnsi="Times New Roman" w:cs="Times New Roman"/>
                <w:color w:val="auto"/>
                <w:highlight w:val="none"/>
                <w:lang w:eastAsia="zh-CN"/>
              </w:rPr>
              <w:t>《环境空气质量标准》(GB3095-2012</w:t>
            </w:r>
            <w:r>
              <w:rPr>
                <w:rFonts w:hint="default" w:ascii="Times New Roman" w:hAnsi="Times New Roman" w:cs="Times New Roman"/>
                <w:color w:val="auto"/>
                <w:highlight w:val="none"/>
                <w:shd w:val="clear" w:fill="FFFFFF"/>
                <w:lang w:eastAsia="zh-CN"/>
              </w:rPr>
              <w:t>)</w:t>
            </w:r>
            <w:r>
              <w:rPr>
                <w:rFonts w:hint="default" w:ascii="Times New Roman" w:hAnsi="Times New Roman" w:cs="Times New Roman"/>
                <w:color w:val="auto"/>
                <w:highlight w:val="none"/>
                <w:lang w:eastAsia="zh-CN"/>
              </w:rPr>
              <w:t>及其修改单中的二级标准</w:t>
            </w:r>
            <w:r>
              <w:rPr>
                <w:rFonts w:hint="default" w:ascii="Times New Roman" w:hAnsi="Times New Roman" w:eastAsia="宋体" w:cs="Times New Roman"/>
                <w:color w:val="auto"/>
                <w:highlight w:val="none"/>
                <w:lang w:val="en-US" w:eastAsia="zh-CN"/>
              </w:rPr>
              <w:t>，因此，在企业落实有效的废气收集、处理措施的前提下，</w:t>
            </w:r>
            <w:r>
              <w:rPr>
                <w:rFonts w:hint="default" w:ascii="Times New Roman" w:hAnsi="Times New Roman" w:eastAsia="宋体" w:cs="Times New Roman"/>
                <w:b/>
                <w:bCs/>
                <w:color w:val="auto"/>
                <w:highlight w:val="none"/>
                <w:lang w:val="en-US" w:eastAsia="zh-CN"/>
              </w:rPr>
              <w:t>本评价不设置卫生防护距离</w:t>
            </w:r>
            <w:r>
              <w:rPr>
                <w:rFonts w:hint="default" w:ascii="Times New Roman" w:hAnsi="Times New Roman" w:eastAsia="宋体" w:cs="Times New Roman"/>
                <w:b/>
                <w:bCs/>
                <w:color w:val="auto"/>
                <w:kern w:val="2"/>
                <w:sz w:val="24"/>
                <w:szCs w:val="24"/>
                <w:highlight w:val="none"/>
              </w:rPr>
              <w:t>。</w:t>
            </w:r>
          </w:p>
          <w:p w14:paraId="734E2708">
            <w:pPr>
              <w:adjustRightInd/>
              <w:snapToGrid/>
              <w:spacing w:line="360" w:lineRule="auto"/>
              <w:ind w:firstLine="482" w:firstLineChars="200"/>
              <w:rPr>
                <w:color w:val="auto"/>
                <w:sz w:val="24"/>
              </w:rPr>
            </w:pPr>
            <w:r>
              <w:rPr>
                <w:rFonts w:hint="default" w:ascii="Times New Roman" w:hAnsi="Times New Roman" w:eastAsia="宋体" w:cs="Times New Roman"/>
                <w:b/>
                <w:bCs/>
                <w:color w:val="auto"/>
                <w:kern w:val="2"/>
                <w:sz w:val="24"/>
                <w:szCs w:val="24"/>
                <w:highlight w:val="none"/>
                <w:lang w:val="en-US" w:eastAsia="zh-CN"/>
              </w:rPr>
              <w:t>综上所述，根据大气预测可知，项目运营期生产过程中对周边的大气环境影响不大</w:t>
            </w:r>
            <w:r>
              <w:rPr>
                <w:rFonts w:hint="eastAsia" w:cs="Times New Roman"/>
                <w:b/>
                <w:bCs/>
                <w:color w:val="auto"/>
                <w:kern w:val="2"/>
                <w:sz w:val="24"/>
                <w:szCs w:val="24"/>
                <w:highlight w:val="none"/>
                <w:lang w:val="en-US" w:eastAsia="zh-CN"/>
              </w:rPr>
              <w:t>。</w:t>
            </w:r>
          </w:p>
          <w:p w14:paraId="36A27717">
            <w:pPr>
              <w:pStyle w:val="68"/>
              <w:ind w:firstLine="482"/>
              <w:rPr>
                <w:b/>
                <w:bCs/>
                <w:color w:val="auto"/>
                <w:kern w:val="2"/>
                <w:sz w:val="24"/>
                <w:szCs w:val="24"/>
              </w:rPr>
            </w:pPr>
            <w:r>
              <w:rPr>
                <w:rFonts w:hint="eastAsia"/>
                <w:b/>
                <w:bCs/>
                <w:color w:val="auto"/>
                <w:kern w:val="2"/>
                <w:sz w:val="24"/>
                <w:szCs w:val="24"/>
                <w:lang w:val="en-US" w:eastAsia="zh-CN"/>
              </w:rPr>
              <w:t>6</w:t>
            </w:r>
            <w:r>
              <w:rPr>
                <w:b/>
                <w:bCs/>
                <w:color w:val="auto"/>
                <w:kern w:val="2"/>
                <w:sz w:val="24"/>
                <w:szCs w:val="24"/>
              </w:rPr>
              <w:t>、</w:t>
            </w:r>
            <w:r>
              <w:rPr>
                <w:rFonts w:hint="eastAsia"/>
                <w:b/>
                <w:bCs/>
                <w:color w:val="auto"/>
                <w:kern w:val="2"/>
                <w:sz w:val="24"/>
                <w:szCs w:val="24"/>
              </w:rPr>
              <w:t>废气排放口设置情况及监测计划</w:t>
            </w:r>
          </w:p>
          <w:p w14:paraId="5FDFB310">
            <w:pPr>
              <w:pStyle w:val="68"/>
              <w:ind w:firstLine="480"/>
              <w:rPr>
                <w:color w:val="auto"/>
                <w:sz w:val="24"/>
                <w:szCs w:val="24"/>
              </w:rPr>
            </w:pPr>
            <w:r>
              <w:rPr>
                <w:color w:val="auto"/>
                <w:sz w:val="24"/>
                <w:szCs w:val="24"/>
              </w:rPr>
              <w:t>根据《固定污染源排污许可分类管理名录</w:t>
            </w:r>
            <w:r>
              <w:rPr>
                <w:rFonts w:hint="eastAsia"/>
                <w:color w:val="auto"/>
                <w:sz w:val="24"/>
                <w:szCs w:val="24"/>
                <w:shd w:val="clear" w:fill="FFFFFF"/>
                <w:lang w:eastAsia="zh-CN"/>
              </w:rPr>
              <w:t>(</w:t>
            </w:r>
            <w:r>
              <w:rPr>
                <w:color w:val="auto"/>
                <w:sz w:val="24"/>
                <w:szCs w:val="24"/>
              </w:rPr>
              <w:t>2019年版</w:t>
            </w:r>
            <w:r>
              <w:rPr>
                <w:rFonts w:hint="eastAsia"/>
                <w:color w:val="auto"/>
                <w:sz w:val="24"/>
                <w:szCs w:val="24"/>
                <w:shd w:val="clear" w:fill="FFFFFF"/>
                <w:lang w:eastAsia="zh-CN"/>
              </w:rPr>
              <w:t>)</w:t>
            </w:r>
            <w:r>
              <w:rPr>
                <w:color w:val="auto"/>
                <w:sz w:val="24"/>
                <w:szCs w:val="24"/>
              </w:rPr>
              <w:t>》，</w:t>
            </w:r>
            <w:r>
              <w:rPr>
                <w:rFonts w:hint="eastAsia"/>
                <w:color w:val="auto"/>
                <w:sz w:val="24"/>
                <w:szCs w:val="24"/>
                <w:lang w:eastAsia="zh-CN"/>
              </w:rPr>
              <w:t>迁建项目</w:t>
            </w:r>
            <w:r>
              <w:rPr>
                <w:color w:val="auto"/>
                <w:sz w:val="24"/>
                <w:szCs w:val="24"/>
              </w:rPr>
              <w:t>属于“二十五、非金属矿物制品业</w:t>
            </w:r>
            <w:r>
              <w:rPr>
                <w:color w:val="auto"/>
                <w:sz w:val="24"/>
                <w:szCs w:val="24"/>
                <w:shd w:val="clear" w:fill="FFFFFF"/>
              </w:rPr>
              <w:t>-</w:t>
            </w:r>
            <w:r>
              <w:rPr>
                <w:color w:val="auto"/>
                <w:sz w:val="24"/>
                <w:szCs w:val="24"/>
              </w:rPr>
              <w:t>水泥制品制造3021”类别，属于登记管理。根据《排污单位自行监测技术指南 水泥工业》</w:t>
            </w:r>
            <w:r>
              <w:rPr>
                <w:rFonts w:hint="eastAsia"/>
                <w:color w:val="auto"/>
                <w:sz w:val="24"/>
                <w:szCs w:val="24"/>
                <w:lang w:eastAsia="zh-CN"/>
              </w:rPr>
              <w:t>(</w:t>
            </w:r>
            <w:r>
              <w:rPr>
                <w:color w:val="auto"/>
                <w:sz w:val="24"/>
                <w:szCs w:val="24"/>
              </w:rPr>
              <w:t>HJ848-2017</w:t>
            </w:r>
            <w:r>
              <w:rPr>
                <w:rFonts w:hint="eastAsia"/>
                <w:color w:val="auto"/>
                <w:sz w:val="24"/>
                <w:szCs w:val="24"/>
                <w:lang w:eastAsia="zh-CN"/>
              </w:rPr>
              <w:t>)</w:t>
            </w:r>
            <w:r>
              <w:rPr>
                <w:color w:val="auto"/>
                <w:sz w:val="24"/>
                <w:szCs w:val="24"/>
              </w:rPr>
              <w:t>，</w:t>
            </w:r>
            <w:r>
              <w:rPr>
                <w:rFonts w:hint="eastAsia"/>
                <w:color w:val="auto"/>
                <w:sz w:val="24"/>
                <w:szCs w:val="24"/>
                <w:lang w:eastAsia="zh-CN"/>
              </w:rPr>
              <w:t>迁建项目</w:t>
            </w:r>
            <w:r>
              <w:rPr>
                <w:color w:val="auto"/>
                <w:sz w:val="24"/>
                <w:szCs w:val="24"/>
              </w:rPr>
              <w:t>运营期环境自行监测计划如下表</w:t>
            </w:r>
            <w:r>
              <w:rPr>
                <w:rFonts w:hint="eastAsia"/>
                <w:color w:val="auto"/>
                <w:sz w:val="24"/>
                <w:szCs w:val="24"/>
              </w:rPr>
              <w:t>4.2-3</w:t>
            </w:r>
            <w:r>
              <w:rPr>
                <w:color w:val="auto"/>
                <w:sz w:val="24"/>
                <w:szCs w:val="24"/>
              </w:rPr>
              <w:t>所示。</w:t>
            </w:r>
          </w:p>
          <w:p w14:paraId="73394C56">
            <w:pPr>
              <w:jc w:val="center"/>
              <w:rPr>
                <w:b/>
                <w:color w:val="auto"/>
                <w:sz w:val="24"/>
              </w:rPr>
            </w:pPr>
            <w:r>
              <w:rPr>
                <w:b/>
                <w:color w:val="auto"/>
                <w:sz w:val="24"/>
              </w:rPr>
              <w:t>表</w:t>
            </w:r>
            <w:r>
              <w:rPr>
                <w:rFonts w:hint="eastAsia"/>
                <w:b/>
                <w:color w:val="auto"/>
                <w:sz w:val="24"/>
              </w:rPr>
              <w:t>4.2-3</w:t>
            </w:r>
            <w:r>
              <w:rPr>
                <w:b/>
                <w:color w:val="auto"/>
                <w:sz w:val="24"/>
              </w:rPr>
              <w:t xml:space="preserve">  </w:t>
            </w:r>
            <w:r>
              <w:rPr>
                <w:rFonts w:hint="eastAsia"/>
                <w:b/>
                <w:color w:val="auto"/>
                <w:sz w:val="24"/>
              </w:rPr>
              <w:t>大气环境自行监测计划一览表</w:t>
            </w:r>
          </w:p>
          <w:tbl>
            <w:tblPr>
              <w:tblStyle w:val="132"/>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59"/>
              <w:gridCol w:w="2073"/>
              <w:gridCol w:w="1496"/>
              <w:gridCol w:w="1159"/>
              <w:gridCol w:w="2817"/>
            </w:tblGrid>
            <w:tr w14:paraId="263393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tcBorders>
                    <w:tl2br w:val="nil"/>
                    <w:tr2bl w:val="nil"/>
                  </w:tcBorders>
                  <w:vAlign w:val="center"/>
                </w:tcPr>
                <w:p w14:paraId="4B63E18C">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污染</w:t>
                  </w:r>
                  <w:r>
                    <w:rPr>
                      <w:color w:val="auto"/>
                      <w:kern w:val="0"/>
                      <w:sz w:val="21"/>
                      <w:lang w:eastAsia="en-US"/>
                    </w:rPr>
                    <w:t>源</w:t>
                  </w:r>
                </w:p>
              </w:tc>
              <w:tc>
                <w:tcPr>
                  <w:tcW w:w="2073" w:type="dxa"/>
                  <w:tcBorders>
                    <w:tl2br w:val="nil"/>
                    <w:tr2bl w:val="nil"/>
                  </w:tcBorders>
                  <w:vAlign w:val="center"/>
                </w:tcPr>
                <w:p w14:paraId="4B814B82">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监测点位</w:t>
                  </w:r>
                </w:p>
              </w:tc>
              <w:tc>
                <w:tcPr>
                  <w:tcW w:w="1496" w:type="dxa"/>
                  <w:tcBorders>
                    <w:tl2br w:val="nil"/>
                    <w:tr2bl w:val="nil"/>
                  </w:tcBorders>
                  <w:vAlign w:val="center"/>
                </w:tcPr>
                <w:p w14:paraId="2664F6B1">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监测指标</w:t>
                  </w:r>
                </w:p>
              </w:tc>
              <w:tc>
                <w:tcPr>
                  <w:tcW w:w="1159" w:type="dxa"/>
                  <w:tcBorders>
                    <w:tl2br w:val="nil"/>
                    <w:tr2bl w:val="nil"/>
                  </w:tcBorders>
                  <w:vAlign w:val="center"/>
                </w:tcPr>
                <w:p w14:paraId="01C17063">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监测频次</w:t>
                  </w:r>
                </w:p>
              </w:tc>
              <w:tc>
                <w:tcPr>
                  <w:tcW w:w="2817" w:type="dxa"/>
                  <w:tcBorders>
                    <w:tl2br w:val="nil"/>
                    <w:tr2bl w:val="nil"/>
                  </w:tcBorders>
                  <w:vAlign w:val="center"/>
                </w:tcPr>
                <w:p w14:paraId="6B56C5BE">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排放标准</w:t>
                  </w:r>
                </w:p>
              </w:tc>
            </w:tr>
            <w:tr w14:paraId="301850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restart"/>
                  <w:tcBorders>
                    <w:tl2br w:val="nil"/>
                    <w:tr2bl w:val="nil"/>
                  </w:tcBorders>
                  <w:vAlign w:val="center"/>
                </w:tcPr>
                <w:p w14:paraId="54336CEF">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 w:val="21"/>
                      <w:lang w:eastAsia="en-US"/>
                    </w:rPr>
                  </w:pPr>
                  <w:r>
                    <w:rPr>
                      <w:rFonts w:hint="eastAsia"/>
                      <w:color w:val="auto"/>
                      <w:sz w:val="21"/>
                      <w:lang w:eastAsia="en-US"/>
                    </w:rPr>
                    <w:t>废气</w:t>
                  </w:r>
                </w:p>
              </w:tc>
              <w:tc>
                <w:tcPr>
                  <w:tcW w:w="2073" w:type="dxa"/>
                  <w:tcBorders>
                    <w:tl2br w:val="nil"/>
                    <w:tr2bl w:val="nil"/>
                  </w:tcBorders>
                  <w:vAlign w:val="center"/>
                </w:tcPr>
                <w:p w14:paraId="7463D206">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eastAsia="宋体"/>
                      <w:color w:val="auto"/>
                      <w:sz w:val="21"/>
                      <w:lang w:val="en-US" w:eastAsia="zh-CN"/>
                    </w:rPr>
                  </w:pPr>
                  <w:r>
                    <w:rPr>
                      <w:rFonts w:hint="eastAsia"/>
                      <w:color w:val="auto"/>
                      <w:sz w:val="21"/>
                      <w:lang w:val="en-US" w:eastAsia="zh-CN"/>
                    </w:rPr>
                    <w:t>DA001~DA005排气筒出口</w:t>
                  </w:r>
                </w:p>
              </w:tc>
              <w:tc>
                <w:tcPr>
                  <w:tcW w:w="1496" w:type="dxa"/>
                  <w:tcBorders>
                    <w:tl2br w:val="nil"/>
                    <w:tr2bl w:val="nil"/>
                  </w:tcBorders>
                  <w:vAlign w:val="center"/>
                </w:tcPr>
                <w:p w14:paraId="6C4E917C">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eastAsia" w:eastAsia="宋体"/>
                      <w:color w:val="auto"/>
                      <w:kern w:val="0"/>
                      <w:sz w:val="21"/>
                      <w:lang w:val="en-US" w:eastAsia="zh-CN"/>
                    </w:rPr>
                  </w:pPr>
                  <w:r>
                    <w:rPr>
                      <w:rFonts w:hint="eastAsia"/>
                      <w:color w:val="auto"/>
                      <w:kern w:val="0"/>
                      <w:sz w:val="21"/>
                      <w:lang w:val="en-US" w:eastAsia="zh-CN"/>
                    </w:rPr>
                    <w:t>颗粒物</w:t>
                  </w:r>
                </w:p>
              </w:tc>
              <w:tc>
                <w:tcPr>
                  <w:tcW w:w="1159" w:type="dxa"/>
                  <w:tcBorders>
                    <w:tl2br w:val="nil"/>
                    <w:tr2bl w:val="nil"/>
                  </w:tcBorders>
                  <w:vAlign w:val="center"/>
                </w:tcPr>
                <w:p w14:paraId="5B461D7B">
                  <w:pPr>
                    <w:pStyle w:val="12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eastAsia" w:eastAsia="宋体"/>
                      <w:color w:val="auto"/>
                      <w:szCs w:val="21"/>
                      <w:lang w:eastAsia="zh-CN"/>
                    </w:rPr>
                  </w:pPr>
                  <w:r>
                    <w:rPr>
                      <w:rFonts w:hint="eastAsia"/>
                      <w:color w:val="auto"/>
                      <w:szCs w:val="21"/>
                      <w:lang w:eastAsia="en-US"/>
                    </w:rPr>
                    <w:t>1次/</w:t>
                  </w:r>
                  <w:r>
                    <w:rPr>
                      <w:rFonts w:hint="eastAsia"/>
                      <w:color w:val="auto"/>
                      <w:szCs w:val="21"/>
                      <w:lang w:val="en-US" w:eastAsia="zh-CN"/>
                    </w:rPr>
                    <w:t>两年</w:t>
                  </w:r>
                </w:p>
              </w:tc>
              <w:tc>
                <w:tcPr>
                  <w:tcW w:w="2817" w:type="dxa"/>
                  <w:tcBorders>
                    <w:tl2br w:val="nil"/>
                    <w:tr2bl w:val="nil"/>
                  </w:tcBorders>
                  <w:vAlign w:val="center"/>
                </w:tcPr>
                <w:p w14:paraId="33F03088">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eastAsia"/>
                      <w:color w:val="auto"/>
                      <w:kern w:val="0"/>
                      <w:sz w:val="21"/>
                      <w:lang w:eastAsia="en-US"/>
                    </w:rPr>
                  </w:pPr>
                  <w:r>
                    <w:rPr>
                      <w:rFonts w:hint="eastAsia"/>
                      <w:color w:val="auto"/>
                      <w:kern w:val="0"/>
                      <w:sz w:val="21"/>
                      <w:lang w:eastAsia="en-US"/>
                    </w:rPr>
                    <w:t>福建省地方标准《水泥工业大气污染物排放标准》(DB35/1311-2013</w:t>
                  </w:r>
                  <w:r>
                    <w:rPr>
                      <w:rFonts w:hint="eastAsia"/>
                      <w:color w:val="auto"/>
                      <w:kern w:val="0"/>
                      <w:sz w:val="21"/>
                      <w:shd w:val="clear" w:fill="FFFFFF"/>
                      <w:lang w:eastAsia="en-US"/>
                    </w:rPr>
                    <w:t>)</w:t>
                  </w:r>
                  <w:r>
                    <w:rPr>
                      <w:rFonts w:hint="eastAsia"/>
                      <w:color w:val="auto"/>
                      <w:kern w:val="0"/>
                      <w:sz w:val="21"/>
                      <w:lang w:eastAsia="en-US"/>
                    </w:rPr>
                    <w:t>表2中水泥制品生产的类别限值要求</w:t>
                  </w:r>
                </w:p>
              </w:tc>
            </w:tr>
            <w:tr w14:paraId="28BB24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vAlign w:val="center"/>
                </w:tcPr>
                <w:p w14:paraId="4C299674">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 w:val="21"/>
                      <w:lang w:eastAsia="en-US"/>
                    </w:rPr>
                  </w:pPr>
                </w:p>
              </w:tc>
              <w:tc>
                <w:tcPr>
                  <w:tcW w:w="2073" w:type="dxa"/>
                  <w:tcBorders>
                    <w:tl2br w:val="nil"/>
                    <w:tr2bl w:val="nil"/>
                  </w:tcBorders>
                  <w:vAlign w:val="center"/>
                </w:tcPr>
                <w:p w14:paraId="6820F549">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 w:val="21"/>
                      <w:lang w:eastAsia="en-US"/>
                    </w:rPr>
                  </w:pPr>
                  <w:r>
                    <w:rPr>
                      <w:rFonts w:hint="eastAsia"/>
                      <w:color w:val="auto"/>
                      <w:sz w:val="21"/>
                      <w:lang w:eastAsia="en-US"/>
                    </w:rPr>
                    <w:t>厂界外20m处上风向设</w:t>
                  </w:r>
                </w:p>
                <w:p w14:paraId="484FE25B">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 w:val="21"/>
                      <w:lang w:eastAsia="en-US"/>
                    </w:rPr>
                  </w:pPr>
                  <w:r>
                    <w:rPr>
                      <w:rFonts w:hint="eastAsia"/>
                      <w:color w:val="auto"/>
                      <w:sz w:val="21"/>
                      <w:lang w:eastAsia="en-US"/>
                    </w:rPr>
                    <w:t>参照点1个，下风向设监控点3个</w:t>
                  </w:r>
                </w:p>
              </w:tc>
              <w:tc>
                <w:tcPr>
                  <w:tcW w:w="1496" w:type="dxa"/>
                  <w:tcBorders>
                    <w:tl2br w:val="nil"/>
                    <w:tr2bl w:val="nil"/>
                  </w:tcBorders>
                  <w:vAlign w:val="center"/>
                </w:tcPr>
                <w:p w14:paraId="151B6F99">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颗粒物</w:t>
                  </w:r>
                </w:p>
              </w:tc>
              <w:tc>
                <w:tcPr>
                  <w:tcW w:w="1159" w:type="dxa"/>
                  <w:tcBorders>
                    <w:tl2br w:val="nil"/>
                    <w:tr2bl w:val="nil"/>
                  </w:tcBorders>
                  <w:vAlign w:val="center"/>
                </w:tcPr>
                <w:p w14:paraId="64A6AA66">
                  <w:pPr>
                    <w:pStyle w:val="12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Cs w:val="21"/>
                      <w:lang w:eastAsia="en-US"/>
                    </w:rPr>
                  </w:pPr>
                  <w:r>
                    <w:rPr>
                      <w:rFonts w:hint="eastAsia"/>
                      <w:color w:val="auto"/>
                      <w:szCs w:val="21"/>
                      <w:lang w:eastAsia="en-US"/>
                    </w:rPr>
                    <w:t>1次/季度</w:t>
                  </w:r>
                </w:p>
              </w:tc>
              <w:tc>
                <w:tcPr>
                  <w:tcW w:w="2817" w:type="dxa"/>
                  <w:tcBorders>
                    <w:tl2br w:val="nil"/>
                    <w:tr2bl w:val="nil"/>
                  </w:tcBorders>
                  <w:vAlign w:val="center"/>
                </w:tcPr>
                <w:p w14:paraId="4898D913">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福建省地方标准《水泥工业大气污染物排放标准》(DB35/1311-2013</w:t>
                  </w:r>
                  <w:r>
                    <w:rPr>
                      <w:rFonts w:hint="eastAsia"/>
                      <w:color w:val="auto"/>
                      <w:kern w:val="0"/>
                      <w:sz w:val="21"/>
                      <w:shd w:val="clear" w:fill="FFFFFF"/>
                      <w:lang w:eastAsia="en-US"/>
                    </w:rPr>
                    <w:t>)</w:t>
                  </w:r>
                  <w:r>
                    <w:rPr>
                      <w:rFonts w:hint="eastAsia"/>
                      <w:color w:val="auto"/>
                      <w:kern w:val="0"/>
                      <w:sz w:val="21"/>
                      <w:lang w:eastAsia="en-US"/>
                    </w:rPr>
                    <w:t>表3大气污染物无组织排放限值</w:t>
                  </w:r>
                </w:p>
              </w:tc>
            </w:tr>
            <w:tr w14:paraId="20459A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vAlign w:val="center"/>
                </w:tcPr>
                <w:p w14:paraId="018015A9">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 w:val="21"/>
                      <w:lang w:eastAsia="en-US"/>
                    </w:rPr>
                  </w:pPr>
                </w:p>
              </w:tc>
              <w:tc>
                <w:tcPr>
                  <w:tcW w:w="2073" w:type="dxa"/>
                  <w:tcBorders>
                    <w:tl2br w:val="nil"/>
                    <w:tr2bl w:val="nil"/>
                  </w:tcBorders>
                  <w:vAlign w:val="center"/>
                </w:tcPr>
                <w:p w14:paraId="174AEA0A">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 w:val="21"/>
                      <w:lang w:eastAsia="en-US"/>
                    </w:rPr>
                  </w:pPr>
                  <w:r>
                    <w:rPr>
                      <w:rFonts w:hint="eastAsia"/>
                      <w:color w:val="auto"/>
                      <w:sz w:val="21"/>
                      <w:lang w:eastAsia="en-US"/>
                    </w:rPr>
                    <w:t>厨房油烟</w:t>
                  </w:r>
                  <w:r>
                    <w:rPr>
                      <w:rFonts w:hint="eastAsia"/>
                      <w:color w:val="auto"/>
                      <w:sz w:val="21"/>
                      <w:lang w:val="en-US" w:eastAsia="zh-CN"/>
                    </w:rPr>
                    <w:t>排气筒出口</w:t>
                  </w:r>
                </w:p>
              </w:tc>
              <w:tc>
                <w:tcPr>
                  <w:tcW w:w="1496" w:type="dxa"/>
                  <w:tcBorders>
                    <w:tl2br w:val="nil"/>
                    <w:tr2bl w:val="nil"/>
                  </w:tcBorders>
                  <w:vAlign w:val="center"/>
                </w:tcPr>
                <w:p w14:paraId="0DF7588E">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kern w:val="0"/>
                      <w:sz w:val="21"/>
                      <w:lang w:eastAsia="en-US"/>
                    </w:rPr>
                  </w:pPr>
                  <w:r>
                    <w:rPr>
                      <w:rFonts w:hint="eastAsia"/>
                      <w:color w:val="auto"/>
                      <w:kern w:val="0"/>
                      <w:sz w:val="21"/>
                      <w:lang w:eastAsia="en-US"/>
                    </w:rPr>
                    <w:t>油烟</w:t>
                  </w:r>
                </w:p>
              </w:tc>
              <w:tc>
                <w:tcPr>
                  <w:tcW w:w="1159" w:type="dxa"/>
                  <w:tcBorders>
                    <w:tl2br w:val="nil"/>
                    <w:tr2bl w:val="nil"/>
                  </w:tcBorders>
                  <w:vAlign w:val="center"/>
                </w:tcPr>
                <w:p w14:paraId="6C549D28">
                  <w:pPr>
                    <w:pStyle w:val="12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color w:val="auto"/>
                      <w:szCs w:val="21"/>
                      <w:lang w:eastAsia="en-US"/>
                    </w:rPr>
                  </w:pPr>
                  <w:r>
                    <w:rPr>
                      <w:rFonts w:hint="eastAsia"/>
                      <w:color w:val="auto"/>
                      <w:szCs w:val="21"/>
                      <w:lang w:eastAsia="en-US"/>
                    </w:rPr>
                    <w:t>1次/年</w:t>
                  </w:r>
                </w:p>
              </w:tc>
              <w:tc>
                <w:tcPr>
                  <w:tcW w:w="2817" w:type="dxa"/>
                  <w:tcBorders>
                    <w:tl2br w:val="nil"/>
                    <w:tr2bl w:val="nil"/>
                  </w:tcBorders>
                  <w:vAlign w:val="center"/>
                </w:tcPr>
                <w:p w14:paraId="5570A062">
                  <w:pPr>
                    <w:pStyle w:val="73"/>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eastAsia" w:eastAsia="宋体"/>
                      <w:color w:val="auto"/>
                      <w:kern w:val="0"/>
                      <w:sz w:val="21"/>
                      <w:lang w:eastAsia="zh-CN"/>
                    </w:rPr>
                  </w:pPr>
                  <w:r>
                    <w:rPr>
                      <w:rFonts w:hint="eastAsia"/>
                      <w:color w:val="auto"/>
                      <w:kern w:val="0"/>
                      <w:sz w:val="21"/>
                      <w:lang w:eastAsia="en-US"/>
                    </w:rPr>
                    <w:t>《饮食业油烟排放标准</w:t>
                  </w:r>
                  <w:r>
                    <w:rPr>
                      <w:rFonts w:hint="eastAsia"/>
                      <w:color w:val="auto"/>
                      <w:kern w:val="0"/>
                      <w:sz w:val="21"/>
                      <w:shd w:val="clear" w:fill="FFFFFF"/>
                      <w:lang w:eastAsia="zh-CN"/>
                    </w:rPr>
                    <w:t>(</w:t>
                  </w:r>
                  <w:r>
                    <w:rPr>
                      <w:rFonts w:hint="eastAsia"/>
                      <w:color w:val="auto"/>
                      <w:kern w:val="0"/>
                      <w:sz w:val="21"/>
                      <w:lang w:eastAsia="en-US"/>
                    </w:rPr>
                    <w:t>试行</w:t>
                  </w:r>
                  <w:r>
                    <w:rPr>
                      <w:rFonts w:hint="eastAsia"/>
                      <w:color w:val="auto"/>
                      <w:kern w:val="0"/>
                      <w:sz w:val="21"/>
                      <w:shd w:val="clear" w:fill="FFFFFF"/>
                      <w:lang w:eastAsia="zh-CN"/>
                    </w:rPr>
                    <w:t>)</w:t>
                  </w:r>
                  <w:r>
                    <w:rPr>
                      <w:rFonts w:hint="eastAsia"/>
                      <w:color w:val="auto"/>
                      <w:kern w:val="0"/>
                      <w:sz w:val="21"/>
                      <w:lang w:eastAsia="en-US"/>
                    </w:rPr>
                    <w:t>》</w:t>
                  </w:r>
                  <w:r>
                    <w:rPr>
                      <w:rFonts w:hint="eastAsia"/>
                      <w:color w:val="auto"/>
                      <w:kern w:val="0"/>
                      <w:sz w:val="21"/>
                      <w:lang w:eastAsia="zh-CN"/>
                    </w:rPr>
                    <w:t>(</w:t>
                  </w:r>
                  <w:r>
                    <w:rPr>
                      <w:rFonts w:hint="eastAsia"/>
                      <w:color w:val="auto"/>
                      <w:kern w:val="0"/>
                      <w:sz w:val="21"/>
                      <w:lang w:eastAsia="en-US"/>
                    </w:rPr>
                    <w:t>GB18483-2001</w:t>
                  </w:r>
                  <w:r>
                    <w:rPr>
                      <w:rFonts w:hint="eastAsia"/>
                      <w:color w:val="auto"/>
                      <w:kern w:val="0"/>
                      <w:sz w:val="21"/>
                      <w:lang w:eastAsia="zh-CN"/>
                    </w:rPr>
                    <w:t>)</w:t>
                  </w:r>
                </w:p>
              </w:tc>
            </w:tr>
          </w:tbl>
          <w:p w14:paraId="67910E5B">
            <w:pPr>
              <w:pStyle w:val="68"/>
              <w:ind w:firstLine="0" w:firstLineChars="0"/>
              <w:rPr>
                <w:b/>
                <w:bCs/>
                <w:color w:val="auto"/>
                <w:kern w:val="2"/>
                <w:sz w:val="24"/>
                <w:szCs w:val="24"/>
              </w:rPr>
            </w:pPr>
            <w:r>
              <w:rPr>
                <w:b/>
                <w:bCs/>
                <w:color w:val="auto"/>
                <w:kern w:val="2"/>
                <w:sz w:val="24"/>
                <w:szCs w:val="24"/>
              </w:rPr>
              <w:t>4.</w:t>
            </w:r>
            <w:r>
              <w:rPr>
                <w:rFonts w:hint="eastAsia"/>
                <w:b/>
                <w:bCs/>
                <w:color w:val="auto"/>
                <w:kern w:val="2"/>
                <w:sz w:val="24"/>
                <w:szCs w:val="24"/>
              </w:rPr>
              <w:t>3运营期废水</w:t>
            </w:r>
            <w:r>
              <w:rPr>
                <w:b/>
                <w:bCs/>
                <w:color w:val="auto"/>
                <w:kern w:val="2"/>
                <w:sz w:val="24"/>
                <w:szCs w:val="24"/>
              </w:rPr>
              <w:t>污染源核算及环保措施</w:t>
            </w:r>
          </w:p>
          <w:p w14:paraId="40442CFC">
            <w:pPr>
              <w:pStyle w:val="68"/>
              <w:ind w:firstLine="482"/>
              <w:rPr>
                <w:b/>
                <w:bCs/>
                <w:color w:val="auto"/>
                <w:kern w:val="2"/>
                <w:sz w:val="24"/>
                <w:szCs w:val="24"/>
              </w:rPr>
            </w:pPr>
            <w:r>
              <w:rPr>
                <w:b/>
                <w:bCs/>
                <w:color w:val="auto"/>
                <w:kern w:val="2"/>
                <w:sz w:val="24"/>
                <w:szCs w:val="24"/>
              </w:rPr>
              <w:t>1、废水污染源核算</w:t>
            </w:r>
          </w:p>
          <w:p w14:paraId="092D111C">
            <w:pPr>
              <w:widowControl/>
              <w:spacing w:line="360" w:lineRule="auto"/>
              <w:ind w:firstLine="480" w:firstLineChars="200"/>
              <w:textAlignment w:val="bottom"/>
              <w:rPr>
                <w:color w:val="auto"/>
                <w:sz w:val="24"/>
              </w:rPr>
            </w:pPr>
            <w:r>
              <w:rPr>
                <w:rFonts w:hint="eastAsia"/>
                <w:color w:val="auto"/>
                <w:sz w:val="24"/>
                <w:lang w:eastAsia="zh-CN"/>
              </w:rPr>
              <w:t>迁建项目</w:t>
            </w:r>
            <w:r>
              <w:rPr>
                <w:rFonts w:hint="eastAsia"/>
                <w:color w:val="auto"/>
                <w:sz w:val="24"/>
              </w:rPr>
              <w:t>生产废水</w:t>
            </w:r>
            <w:r>
              <w:rPr>
                <w:rFonts w:hint="eastAsia"/>
                <w:color w:val="auto"/>
                <w:sz w:val="24"/>
                <w:shd w:val="clear" w:fill="FFFFFF"/>
                <w:lang w:eastAsia="zh-CN"/>
              </w:rPr>
              <w:t>(</w:t>
            </w:r>
            <w:r>
              <w:rPr>
                <w:rFonts w:hint="eastAsia"/>
                <w:color w:val="auto"/>
                <w:sz w:val="24"/>
              </w:rPr>
              <w:t>搅拌机清洗废水和地面清洗废水</w:t>
            </w:r>
            <w:r>
              <w:rPr>
                <w:rFonts w:hint="eastAsia"/>
                <w:color w:val="auto"/>
                <w:sz w:val="24"/>
                <w:shd w:val="clear" w:fill="FFFFFF"/>
                <w:lang w:eastAsia="zh-CN"/>
              </w:rPr>
              <w:t>)</w:t>
            </w:r>
            <w:r>
              <w:rPr>
                <w:rFonts w:hint="eastAsia"/>
                <w:color w:val="auto"/>
                <w:sz w:val="24"/>
              </w:rPr>
              <w:t>、初期雨水收集后经</w:t>
            </w:r>
            <w:r>
              <w:rPr>
                <w:rFonts w:hint="eastAsia"/>
                <w:color w:val="auto"/>
                <w:sz w:val="24"/>
                <w:lang w:eastAsia="zh-CN"/>
              </w:rPr>
              <w:t>三级沉淀池处理后回用于生产</w:t>
            </w:r>
            <w:r>
              <w:rPr>
                <w:rFonts w:hint="eastAsia"/>
                <w:color w:val="auto"/>
                <w:sz w:val="24"/>
                <w:shd w:val="clear" w:fill="FFFFFF"/>
                <w:lang w:eastAsia="zh-CN"/>
              </w:rPr>
              <w:t>(</w:t>
            </w:r>
            <w:r>
              <w:rPr>
                <w:rFonts w:hint="eastAsia"/>
                <w:color w:val="auto"/>
                <w:sz w:val="24"/>
                <w:lang w:eastAsia="zh-CN"/>
              </w:rPr>
              <w:t>养护工序</w:t>
            </w:r>
            <w:r>
              <w:rPr>
                <w:rFonts w:hint="eastAsia"/>
                <w:color w:val="auto"/>
                <w:sz w:val="24"/>
                <w:shd w:val="clear" w:fill="FFFFFF"/>
                <w:lang w:eastAsia="zh-CN"/>
              </w:rPr>
              <w:t>)</w:t>
            </w:r>
            <w:r>
              <w:rPr>
                <w:rFonts w:hint="eastAsia"/>
                <w:color w:val="auto"/>
                <w:sz w:val="24"/>
              </w:rPr>
              <w:t>，不外排。</w:t>
            </w:r>
            <w:r>
              <w:rPr>
                <w:rFonts w:hint="eastAsia"/>
                <w:color w:val="auto"/>
                <w:sz w:val="24"/>
                <w:lang w:eastAsia="zh-CN"/>
              </w:rPr>
              <w:t>迁建项目</w:t>
            </w:r>
            <w:r>
              <w:rPr>
                <w:rFonts w:hint="eastAsia"/>
                <w:color w:val="auto"/>
                <w:sz w:val="24"/>
              </w:rPr>
              <w:t>排放的废水主要为生活污水。</w:t>
            </w:r>
          </w:p>
          <w:p w14:paraId="1B080D55">
            <w:pPr>
              <w:widowControl/>
              <w:spacing w:line="360" w:lineRule="auto"/>
              <w:ind w:firstLine="480" w:firstLineChars="200"/>
              <w:textAlignment w:val="bottom"/>
              <w:rPr>
                <w:color w:val="auto"/>
                <w:sz w:val="24"/>
              </w:rPr>
            </w:pPr>
            <w:r>
              <w:rPr>
                <w:rFonts w:hint="eastAsia"/>
                <w:color w:val="auto"/>
                <w:sz w:val="24"/>
              </w:rPr>
              <w:t>根据建设单位提供资料，项目建成后劳动定员80人</w:t>
            </w:r>
            <w:r>
              <w:rPr>
                <w:rFonts w:hint="eastAsia"/>
                <w:color w:val="auto"/>
                <w:sz w:val="24"/>
                <w:shd w:val="clear" w:fill="FFFFFF"/>
              </w:rPr>
              <w:t>(</w:t>
            </w:r>
            <w:r>
              <w:rPr>
                <w:rFonts w:hint="eastAsia"/>
                <w:color w:val="auto"/>
                <w:sz w:val="24"/>
              </w:rPr>
              <w:t>包括生产人员、管理人员等</w:t>
            </w:r>
            <w:r>
              <w:rPr>
                <w:rFonts w:hint="eastAsia"/>
                <w:color w:val="auto"/>
                <w:sz w:val="24"/>
                <w:shd w:val="clear" w:fill="FFFFFF"/>
              </w:rPr>
              <w:t>)</w:t>
            </w:r>
            <w:r>
              <w:rPr>
                <w:rFonts w:hint="eastAsia"/>
                <w:color w:val="auto"/>
                <w:sz w:val="24"/>
              </w:rPr>
              <w:t>，其中30人食宿厂区，年工作时间为300天。根据</w:t>
            </w:r>
            <w:r>
              <w:rPr>
                <w:rFonts w:hint="eastAsia"/>
                <w:color w:val="auto"/>
                <w:sz w:val="24"/>
                <w:lang w:eastAsia="zh-CN"/>
              </w:rPr>
              <w:t>《建筑给水排水设计规范》(GB50016-2019)</w:t>
            </w:r>
            <w:r>
              <w:rPr>
                <w:rFonts w:hint="eastAsia"/>
                <w:color w:val="auto"/>
                <w:sz w:val="24"/>
              </w:rPr>
              <w:t>，不住厂员工生活用水量为50L/人，住厂员工生活用水量为150L/人，则全厂员工生活用水量约为7t/d(2100t/a)；</w:t>
            </w:r>
            <w:r>
              <w:rPr>
                <w:color w:val="auto"/>
                <w:sz w:val="24"/>
              </w:rPr>
              <w:t>排水系数取0.8，则</w:t>
            </w:r>
            <w:r>
              <w:rPr>
                <w:rFonts w:hint="eastAsia"/>
                <w:color w:val="auto"/>
                <w:sz w:val="24"/>
              </w:rPr>
              <w:t>员工</w:t>
            </w:r>
            <w:r>
              <w:rPr>
                <w:color w:val="auto"/>
                <w:sz w:val="24"/>
              </w:rPr>
              <w:t>生活污水</w:t>
            </w:r>
            <w:r>
              <w:rPr>
                <w:rFonts w:hint="eastAsia"/>
                <w:color w:val="auto"/>
                <w:sz w:val="24"/>
              </w:rPr>
              <w:t>产生</w:t>
            </w:r>
            <w:r>
              <w:rPr>
                <w:color w:val="auto"/>
                <w:sz w:val="24"/>
              </w:rPr>
              <w:t>量为</w:t>
            </w:r>
            <w:r>
              <w:rPr>
                <w:rFonts w:hint="eastAsia"/>
                <w:color w:val="auto"/>
                <w:sz w:val="24"/>
              </w:rPr>
              <w:t>5.6</w:t>
            </w:r>
            <w:r>
              <w:rPr>
                <w:color w:val="auto"/>
                <w:sz w:val="24"/>
              </w:rPr>
              <w:t>t/d(</w:t>
            </w:r>
            <w:r>
              <w:rPr>
                <w:rFonts w:hint="eastAsia"/>
                <w:color w:val="auto"/>
                <w:sz w:val="24"/>
              </w:rPr>
              <w:t>1680</w:t>
            </w:r>
            <w:r>
              <w:rPr>
                <w:color w:val="auto"/>
                <w:sz w:val="24"/>
              </w:rPr>
              <w:t>t/a)</w:t>
            </w:r>
            <w:r>
              <w:rPr>
                <w:rFonts w:hint="eastAsia"/>
                <w:color w:val="auto"/>
                <w:sz w:val="24"/>
              </w:rPr>
              <w:t>，经厂区西北侧化粪池处理后</w:t>
            </w:r>
            <w:r>
              <w:rPr>
                <w:color w:val="auto"/>
                <w:sz w:val="24"/>
              </w:rPr>
              <w:t>接入市政污水管网</w:t>
            </w:r>
            <w:r>
              <w:rPr>
                <w:rFonts w:hint="eastAsia"/>
                <w:color w:val="auto"/>
                <w:sz w:val="24"/>
              </w:rPr>
              <w:t>进入江阴污水处理厂处理。</w:t>
            </w:r>
          </w:p>
          <w:p w14:paraId="3BB889C2">
            <w:pPr>
              <w:widowControl/>
              <w:spacing w:line="360" w:lineRule="auto"/>
              <w:ind w:firstLine="480" w:firstLineChars="200"/>
              <w:textAlignment w:val="bottom"/>
              <w:rPr>
                <w:color w:val="auto"/>
                <w:sz w:val="24"/>
              </w:rPr>
            </w:pPr>
            <w:r>
              <w:rPr>
                <w:color w:val="auto"/>
                <w:sz w:val="24"/>
              </w:rPr>
              <w:t>参照《给排水设计手册》</w:t>
            </w:r>
            <w:r>
              <w:rPr>
                <w:rFonts w:hint="eastAsia"/>
                <w:color w:val="auto"/>
                <w:sz w:val="24"/>
                <w:shd w:val="clear" w:fill="FFFFFF"/>
              </w:rPr>
              <w:t>(</w:t>
            </w:r>
            <w:r>
              <w:rPr>
                <w:rFonts w:hint="eastAsia"/>
                <w:color w:val="auto"/>
                <w:sz w:val="24"/>
              </w:rPr>
              <w:t>第5册</w:t>
            </w:r>
            <w:r>
              <w:rPr>
                <w:rFonts w:hint="eastAsia"/>
                <w:color w:val="auto"/>
                <w:sz w:val="24"/>
                <w:shd w:val="clear" w:fill="FFFFFF"/>
              </w:rPr>
              <w:t>)</w:t>
            </w:r>
            <w:r>
              <w:rPr>
                <w:rFonts w:hint="eastAsia"/>
                <w:color w:val="auto"/>
                <w:sz w:val="24"/>
              </w:rPr>
              <w:t>中§4.2城镇污水水质，</w:t>
            </w:r>
            <w:r>
              <w:rPr>
                <w:rFonts w:hint="eastAsia"/>
                <w:color w:val="auto"/>
                <w:sz w:val="24"/>
                <w:lang w:eastAsia="zh-CN"/>
              </w:rPr>
              <w:t>迁建项目</w:t>
            </w:r>
            <w:r>
              <w:rPr>
                <w:color w:val="auto"/>
                <w:sz w:val="24"/>
              </w:rPr>
              <w:t>生活污水污染指标浓度选取为COD：400mg/L，BOD</w:t>
            </w:r>
            <w:r>
              <w:rPr>
                <w:color w:val="auto"/>
                <w:sz w:val="24"/>
                <w:vertAlign w:val="subscript"/>
              </w:rPr>
              <w:t>5</w:t>
            </w:r>
            <w:r>
              <w:rPr>
                <w:color w:val="auto"/>
                <w:sz w:val="24"/>
                <w:shd w:val="clear" w:fill="FFFFFF"/>
              </w:rPr>
              <w:t>：</w:t>
            </w:r>
            <w:r>
              <w:rPr>
                <w:color w:val="auto"/>
                <w:sz w:val="24"/>
              </w:rPr>
              <w:t>200mg/L，SS：220mg/L</w:t>
            </w:r>
            <w:r>
              <w:rPr>
                <w:rFonts w:hint="eastAsia"/>
                <w:color w:val="auto"/>
                <w:sz w:val="24"/>
              </w:rPr>
              <w:t>、</w:t>
            </w:r>
            <w:r>
              <w:rPr>
                <w:color w:val="auto"/>
                <w:sz w:val="24"/>
              </w:rPr>
              <w:t>NH</w:t>
            </w:r>
            <w:r>
              <w:rPr>
                <w:color w:val="auto"/>
                <w:sz w:val="24"/>
                <w:vertAlign w:val="subscript"/>
              </w:rPr>
              <w:t>3</w:t>
            </w:r>
            <w:r>
              <w:rPr>
                <w:color w:val="auto"/>
                <w:sz w:val="24"/>
              </w:rPr>
              <w:t>-N：35mg/L，</w:t>
            </w:r>
            <w:r>
              <w:rPr>
                <w:rFonts w:hint="eastAsia"/>
                <w:color w:val="auto"/>
                <w:sz w:val="24"/>
              </w:rPr>
              <w:t>化粪池对生活污水</w:t>
            </w:r>
            <w:r>
              <w:rPr>
                <w:color w:val="auto"/>
                <w:sz w:val="24"/>
              </w:rPr>
              <w:t>COD</w:t>
            </w:r>
            <w:r>
              <w:rPr>
                <w:rFonts w:hint="eastAsia"/>
                <w:color w:val="auto"/>
                <w:sz w:val="24"/>
              </w:rPr>
              <w:t>、</w:t>
            </w:r>
            <w:r>
              <w:rPr>
                <w:color w:val="auto"/>
                <w:sz w:val="24"/>
              </w:rPr>
              <w:t>BOD</w:t>
            </w:r>
            <w:r>
              <w:rPr>
                <w:color w:val="auto"/>
                <w:sz w:val="24"/>
                <w:vertAlign w:val="subscript"/>
              </w:rPr>
              <w:t>5</w:t>
            </w:r>
            <w:r>
              <w:rPr>
                <w:rFonts w:hint="eastAsia"/>
                <w:color w:val="auto"/>
                <w:sz w:val="24"/>
              </w:rPr>
              <w:t>、</w:t>
            </w:r>
            <w:r>
              <w:rPr>
                <w:color w:val="auto"/>
                <w:sz w:val="24"/>
              </w:rPr>
              <w:t>SS</w:t>
            </w:r>
            <w:r>
              <w:rPr>
                <w:rFonts w:hint="eastAsia"/>
                <w:color w:val="auto"/>
                <w:sz w:val="24"/>
              </w:rPr>
              <w:t>的设计去除率分别取20%、15%、30%，</w:t>
            </w:r>
            <w:r>
              <w:rPr>
                <w:color w:val="auto"/>
                <w:sz w:val="24"/>
              </w:rPr>
              <w:t>NH</w:t>
            </w:r>
            <w:r>
              <w:rPr>
                <w:color w:val="auto"/>
                <w:sz w:val="24"/>
                <w:vertAlign w:val="subscript"/>
              </w:rPr>
              <w:t>3</w:t>
            </w:r>
            <w:r>
              <w:rPr>
                <w:color w:val="auto"/>
                <w:sz w:val="24"/>
              </w:rPr>
              <w:t>-N</w:t>
            </w:r>
            <w:r>
              <w:rPr>
                <w:rFonts w:hint="eastAsia"/>
                <w:color w:val="auto"/>
                <w:sz w:val="24"/>
              </w:rPr>
              <w:t>基本无去除率，则化粪池处理后的生活污水污染指标浓度分别为</w:t>
            </w:r>
            <w:r>
              <w:rPr>
                <w:color w:val="auto"/>
                <w:sz w:val="24"/>
              </w:rPr>
              <w:t>COD：</w:t>
            </w:r>
            <w:r>
              <w:rPr>
                <w:rFonts w:hint="eastAsia"/>
                <w:color w:val="auto"/>
                <w:sz w:val="24"/>
              </w:rPr>
              <w:t>32</w:t>
            </w:r>
            <w:r>
              <w:rPr>
                <w:color w:val="auto"/>
                <w:sz w:val="24"/>
              </w:rPr>
              <w:t>0mg/L，BOD</w:t>
            </w:r>
            <w:r>
              <w:rPr>
                <w:color w:val="auto"/>
                <w:sz w:val="24"/>
                <w:vertAlign w:val="subscript"/>
              </w:rPr>
              <w:t>5</w:t>
            </w:r>
            <w:r>
              <w:rPr>
                <w:color w:val="auto"/>
                <w:sz w:val="24"/>
                <w:shd w:val="clear" w:fill="FFFFFF"/>
              </w:rPr>
              <w:t>：</w:t>
            </w:r>
            <w:r>
              <w:rPr>
                <w:rFonts w:hint="eastAsia"/>
                <w:color w:val="auto"/>
                <w:sz w:val="24"/>
              </w:rPr>
              <w:t>170</w:t>
            </w:r>
            <w:r>
              <w:rPr>
                <w:color w:val="auto"/>
                <w:sz w:val="24"/>
              </w:rPr>
              <w:t>mg/L，SS：</w:t>
            </w:r>
            <w:r>
              <w:rPr>
                <w:rFonts w:hint="eastAsia"/>
                <w:color w:val="auto"/>
                <w:sz w:val="24"/>
              </w:rPr>
              <w:t>154</w:t>
            </w:r>
            <w:r>
              <w:rPr>
                <w:color w:val="auto"/>
                <w:sz w:val="24"/>
              </w:rPr>
              <w:t>mg/L</w:t>
            </w:r>
            <w:r>
              <w:rPr>
                <w:rFonts w:hint="eastAsia"/>
                <w:color w:val="auto"/>
                <w:sz w:val="24"/>
              </w:rPr>
              <w:t>、</w:t>
            </w:r>
            <w:r>
              <w:rPr>
                <w:color w:val="auto"/>
                <w:sz w:val="24"/>
              </w:rPr>
              <w:t>NH</w:t>
            </w:r>
            <w:r>
              <w:rPr>
                <w:color w:val="auto"/>
                <w:sz w:val="24"/>
                <w:vertAlign w:val="subscript"/>
              </w:rPr>
              <w:t>3</w:t>
            </w:r>
            <w:r>
              <w:rPr>
                <w:color w:val="auto"/>
                <w:sz w:val="24"/>
              </w:rPr>
              <w:t>-N：35mg/L，则项目生活污水产排情况详见表4</w:t>
            </w:r>
            <w:r>
              <w:rPr>
                <w:rFonts w:hint="eastAsia"/>
                <w:color w:val="auto"/>
                <w:sz w:val="24"/>
              </w:rPr>
              <w:t>.3-1</w:t>
            </w:r>
            <w:r>
              <w:rPr>
                <w:color w:val="auto"/>
                <w:sz w:val="24"/>
              </w:rPr>
              <w:t>。</w:t>
            </w:r>
          </w:p>
          <w:p w14:paraId="1FE83237">
            <w:pPr>
              <w:pStyle w:val="77"/>
              <w:rPr>
                <w:color w:val="auto"/>
                <w:sz w:val="24"/>
              </w:rPr>
            </w:pPr>
            <w:bookmarkStart w:id="111" w:name="_Toc18192_WPSOffice_Level2"/>
            <w:bookmarkStart w:id="112" w:name="_Toc9634_WPSOffice_Level2"/>
            <w:bookmarkStart w:id="113" w:name="_Toc13927"/>
            <w:bookmarkStart w:id="114" w:name="_Toc31751_WPSOffice_Level2"/>
            <w:bookmarkStart w:id="115" w:name="_Toc17000_WPSOffice_Level1"/>
            <w:r>
              <w:rPr>
                <w:color w:val="auto"/>
                <w:sz w:val="24"/>
              </w:rPr>
              <w:t>表4.3-1  项目运营期生活污水中主要污染物产排情况一览表</w:t>
            </w:r>
            <w:bookmarkEnd w:id="111"/>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1371"/>
              <w:gridCol w:w="9"/>
              <w:gridCol w:w="1364"/>
              <w:gridCol w:w="32"/>
              <w:gridCol w:w="1349"/>
              <w:gridCol w:w="1376"/>
            </w:tblGrid>
            <w:tr w14:paraId="5F124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2D988CFC">
                  <w:pPr>
                    <w:spacing w:line="340" w:lineRule="exact"/>
                    <w:jc w:val="center"/>
                    <w:rPr>
                      <w:color w:val="auto"/>
                      <w:szCs w:val="21"/>
                    </w:rPr>
                  </w:pPr>
                  <w:r>
                    <w:rPr>
                      <w:color w:val="auto"/>
                      <w:szCs w:val="21"/>
                    </w:rPr>
                    <w:t>项目</w:t>
                  </w:r>
                </w:p>
              </w:tc>
              <w:tc>
                <w:tcPr>
                  <w:tcW w:w="1371" w:type="dxa"/>
                  <w:vAlign w:val="center"/>
                </w:tcPr>
                <w:p w14:paraId="6EA5192C">
                  <w:pPr>
                    <w:spacing w:line="340" w:lineRule="exact"/>
                    <w:jc w:val="center"/>
                    <w:rPr>
                      <w:color w:val="auto"/>
                      <w:szCs w:val="21"/>
                    </w:rPr>
                  </w:pPr>
                  <w:r>
                    <w:rPr>
                      <w:color w:val="auto"/>
                      <w:szCs w:val="21"/>
                      <w:shd w:val="clear" w:fill="FFFFFF"/>
                    </w:rPr>
                    <w:t>COD</w:t>
                  </w:r>
                  <w:r>
                    <w:rPr>
                      <w:color w:val="auto"/>
                      <w:szCs w:val="21"/>
                      <w:shd w:val="clear" w:fill="FFFFFF"/>
                      <w:vertAlign w:val="subscript"/>
                    </w:rPr>
                    <w:t>Cr</w:t>
                  </w:r>
                </w:p>
              </w:tc>
              <w:tc>
                <w:tcPr>
                  <w:tcW w:w="1373" w:type="dxa"/>
                  <w:gridSpan w:val="2"/>
                  <w:vAlign w:val="center"/>
                </w:tcPr>
                <w:p w14:paraId="71660FC9">
                  <w:pPr>
                    <w:spacing w:line="340" w:lineRule="exact"/>
                    <w:jc w:val="center"/>
                    <w:rPr>
                      <w:color w:val="auto"/>
                      <w:szCs w:val="21"/>
                    </w:rPr>
                  </w:pPr>
                  <w:r>
                    <w:rPr>
                      <w:color w:val="auto"/>
                      <w:szCs w:val="21"/>
                    </w:rPr>
                    <w:t>BOD</w:t>
                  </w:r>
                  <w:r>
                    <w:rPr>
                      <w:color w:val="auto"/>
                      <w:szCs w:val="21"/>
                      <w:vertAlign w:val="subscript"/>
                    </w:rPr>
                    <w:t>5</w:t>
                  </w:r>
                </w:p>
              </w:tc>
              <w:tc>
                <w:tcPr>
                  <w:tcW w:w="1381" w:type="dxa"/>
                  <w:gridSpan w:val="2"/>
                  <w:vAlign w:val="center"/>
                </w:tcPr>
                <w:p w14:paraId="1EDF5BAE">
                  <w:pPr>
                    <w:spacing w:line="340" w:lineRule="exact"/>
                    <w:jc w:val="center"/>
                    <w:rPr>
                      <w:color w:val="auto"/>
                      <w:szCs w:val="21"/>
                    </w:rPr>
                  </w:pPr>
                  <w:r>
                    <w:rPr>
                      <w:color w:val="auto"/>
                      <w:szCs w:val="21"/>
                    </w:rPr>
                    <w:t>SS</w:t>
                  </w:r>
                </w:p>
              </w:tc>
              <w:tc>
                <w:tcPr>
                  <w:tcW w:w="1376" w:type="dxa"/>
                  <w:vAlign w:val="center"/>
                </w:tcPr>
                <w:p w14:paraId="5A9E4C0C">
                  <w:pPr>
                    <w:spacing w:line="340" w:lineRule="exact"/>
                    <w:jc w:val="center"/>
                    <w:rPr>
                      <w:color w:val="auto"/>
                      <w:szCs w:val="21"/>
                    </w:rPr>
                  </w:pPr>
                  <w:r>
                    <w:rPr>
                      <w:color w:val="auto"/>
                      <w:szCs w:val="21"/>
                    </w:rPr>
                    <w:t>NH</w:t>
                  </w:r>
                  <w:r>
                    <w:rPr>
                      <w:color w:val="auto"/>
                      <w:szCs w:val="21"/>
                      <w:vertAlign w:val="subscript"/>
                    </w:rPr>
                    <w:t>3</w:t>
                  </w:r>
                  <w:r>
                    <w:rPr>
                      <w:color w:val="auto"/>
                      <w:szCs w:val="21"/>
                    </w:rPr>
                    <w:t>-N</w:t>
                  </w:r>
                </w:p>
              </w:tc>
            </w:tr>
            <w:tr w14:paraId="31CAB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248EA480">
                  <w:pPr>
                    <w:spacing w:line="340" w:lineRule="exact"/>
                    <w:jc w:val="center"/>
                    <w:rPr>
                      <w:color w:val="auto"/>
                      <w:szCs w:val="21"/>
                    </w:rPr>
                  </w:pPr>
                  <w:r>
                    <w:rPr>
                      <w:color w:val="auto"/>
                      <w:szCs w:val="21"/>
                    </w:rPr>
                    <w:t>生活污水量</w:t>
                  </w:r>
                  <w:r>
                    <w:rPr>
                      <w:color w:val="auto"/>
                      <w:szCs w:val="21"/>
                      <w:shd w:val="clear" w:fill="FFFFFF"/>
                    </w:rPr>
                    <w:t>(</w:t>
                  </w:r>
                  <w:r>
                    <w:rPr>
                      <w:rFonts w:hint="eastAsia"/>
                      <w:color w:val="auto"/>
                      <w:szCs w:val="21"/>
                    </w:rPr>
                    <w:t>t</w:t>
                  </w:r>
                  <w:r>
                    <w:rPr>
                      <w:color w:val="auto"/>
                      <w:szCs w:val="21"/>
                    </w:rPr>
                    <w:t>/a</w:t>
                  </w:r>
                  <w:r>
                    <w:rPr>
                      <w:color w:val="auto"/>
                      <w:szCs w:val="21"/>
                      <w:shd w:val="clear" w:fill="FFFFFF"/>
                    </w:rPr>
                    <w:t>)</w:t>
                  </w:r>
                </w:p>
              </w:tc>
              <w:tc>
                <w:tcPr>
                  <w:tcW w:w="5501" w:type="dxa"/>
                  <w:gridSpan w:val="6"/>
                  <w:vAlign w:val="center"/>
                </w:tcPr>
                <w:p w14:paraId="17AC797E">
                  <w:pPr>
                    <w:jc w:val="center"/>
                    <w:rPr>
                      <w:color w:val="auto"/>
                      <w:szCs w:val="21"/>
                    </w:rPr>
                  </w:pPr>
                  <w:r>
                    <w:rPr>
                      <w:rFonts w:hint="eastAsia"/>
                      <w:color w:val="auto"/>
                      <w:szCs w:val="21"/>
                    </w:rPr>
                    <w:t>1680</w:t>
                  </w:r>
                </w:p>
              </w:tc>
            </w:tr>
            <w:tr w14:paraId="26D9F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457710D1">
                  <w:pPr>
                    <w:spacing w:line="340" w:lineRule="exact"/>
                    <w:jc w:val="center"/>
                    <w:rPr>
                      <w:color w:val="auto"/>
                      <w:szCs w:val="21"/>
                    </w:rPr>
                  </w:pPr>
                  <w:r>
                    <w:rPr>
                      <w:color w:val="auto"/>
                      <w:szCs w:val="21"/>
                    </w:rPr>
                    <w:t>产生浓度值</w:t>
                  </w:r>
                  <w:r>
                    <w:rPr>
                      <w:color w:val="auto"/>
                      <w:szCs w:val="21"/>
                      <w:shd w:val="clear" w:fill="FFFFFF"/>
                    </w:rPr>
                    <w:t>(</w:t>
                  </w:r>
                  <w:r>
                    <w:rPr>
                      <w:color w:val="auto"/>
                      <w:szCs w:val="21"/>
                    </w:rPr>
                    <w:t>mg/L</w:t>
                  </w:r>
                  <w:r>
                    <w:rPr>
                      <w:color w:val="auto"/>
                      <w:szCs w:val="21"/>
                      <w:shd w:val="clear" w:fill="FFFFFF"/>
                    </w:rPr>
                    <w:t>)</w:t>
                  </w:r>
                </w:p>
              </w:tc>
              <w:tc>
                <w:tcPr>
                  <w:tcW w:w="1380" w:type="dxa"/>
                  <w:gridSpan w:val="2"/>
                  <w:vAlign w:val="center"/>
                </w:tcPr>
                <w:p w14:paraId="2411C71E">
                  <w:pPr>
                    <w:widowControl/>
                    <w:jc w:val="center"/>
                    <w:textAlignment w:val="center"/>
                    <w:rPr>
                      <w:color w:val="auto"/>
                      <w:szCs w:val="21"/>
                    </w:rPr>
                  </w:pPr>
                  <w:r>
                    <w:rPr>
                      <w:color w:val="auto"/>
                      <w:kern w:val="0"/>
                      <w:szCs w:val="21"/>
                    </w:rPr>
                    <w:t>400</w:t>
                  </w:r>
                </w:p>
              </w:tc>
              <w:tc>
                <w:tcPr>
                  <w:tcW w:w="1396" w:type="dxa"/>
                  <w:gridSpan w:val="2"/>
                  <w:vAlign w:val="center"/>
                </w:tcPr>
                <w:p w14:paraId="6353A8B0">
                  <w:pPr>
                    <w:widowControl/>
                    <w:jc w:val="center"/>
                    <w:textAlignment w:val="center"/>
                    <w:rPr>
                      <w:color w:val="auto"/>
                      <w:szCs w:val="21"/>
                    </w:rPr>
                  </w:pPr>
                  <w:r>
                    <w:rPr>
                      <w:color w:val="auto"/>
                      <w:kern w:val="0"/>
                      <w:szCs w:val="21"/>
                    </w:rPr>
                    <w:t>2</w:t>
                  </w:r>
                  <w:r>
                    <w:rPr>
                      <w:rFonts w:hint="eastAsia"/>
                      <w:color w:val="auto"/>
                      <w:kern w:val="0"/>
                      <w:szCs w:val="21"/>
                    </w:rPr>
                    <w:t>00</w:t>
                  </w:r>
                </w:p>
              </w:tc>
              <w:tc>
                <w:tcPr>
                  <w:tcW w:w="1349" w:type="dxa"/>
                  <w:vAlign w:val="center"/>
                </w:tcPr>
                <w:p w14:paraId="6DEB2A2D">
                  <w:pPr>
                    <w:widowControl/>
                    <w:jc w:val="center"/>
                    <w:textAlignment w:val="center"/>
                    <w:rPr>
                      <w:color w:val="auto"/>
                      <w:szCs w:val="21"/>
                    </w:rPr>
                  </w:pPr>
                  <w:r>
                    <w:rPr>
                      <w:rFonts w:hint="eastAsia"/>
                      <w:color w:val="auto"/>
                      <w:kern w:val="0"/>
                      <w:szCs w:val="21"/>
                    </w:rPr>
                    <w:t>220</w:t>
                  </w:r>
                </w:p>
              </w:tc>
              <w:tc>
                <w:tcPr>
                  <w:tcW w:w="1376" w:type="dxa"/>
                  <w:vAlign w:val="center"/>
                </w:tcPr>
                <w:p w14:paraId="51D3AAD5">
                  <w:pPr>
                    <w:widowControl/>
                    <w:jc w:val="center"/>
                    <w:textAlignment w:val="center"/>
                    <w:rPr>
                      <w:color w:val="auto"/>
                      <w:szCs w:val="21"/>
                    </w:rPr>
                  </w:pPr>
                  <w:r>
                    <w:rPr>
                      <w:color w:val="auto"/>
                      <w:kern w:val="0"/>
                      <w:szCs w:val="21"/>
                    </w:rPr>
                    <w:t>35</w:t>
                  </w:r>
                </w:p>
              </w:tc>
            </w:tr>
            <w:tr w14:paraId="6E5C9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52B6D87B">
                  <w:pPr>
                    <w:spacing w:line="340" w:lineRule="exact"/>
                    <w:jc w:val="center"/>
                    <w:rPr>
                      <w:color w:val="auto"/>
                      <w:szCs w:val="21"/>
                    </w:rPr>
                  </w:pPr>
                  <w:r>
                    <w:rPr>
                      <w:color w:val="auto"/>
                      <w:szCs w:val="21"/>
                    </w:rPr>
                    <w:t>产生量</w:t>
                  </w:r>
                  <w:r>
                    <w:rPr>
                      <w:color w:val="auto"/>
                      <w:szCs w:val="21"/>
                      <w:shd w:val="clear" w:fill="FFFFFF"/>
                    </w:rPr>
                    <w:t>(</w:t>
                  </w:r>
                  <w:r>
                    <w:rPr>
                      <w:color w:val="auto"/>
                      <w:szCs w:val="21"/>
                    </w:rPr>
                    <w:t>t/a</w:t>
                  </w:r>
                  <w:r>
                    <w:rPr>
                      <w:color w:val="auto"/>
                      <w:szCs w:val="21"/>
                      <w:shd w:val="clear" w:fill="FFFFFF"/>
                    </w:rPr>
                    <w:t>)</w:t>
                  </w:r>
                </w:p>
              </w:tc>
              <w:tc>
                <w:tcPr>
                  <w:tcW w:w="1380" w:type="dxa"/>
                  <w:gridSpan w:val="2"/>
                  <w:vAlign w:val="center"/>
                </w:tcPr>
                <w:p w14:paraId="55174E65">
                  <w:pPr>
                    <w:jc w:val="center"/>
                    <w:rPr>
                      <w:rFonts w:ascii="宋体" w:hAnsi="宋体" w:cs="宋体"/>
                      <w:color w:val="auto"/>
                      <w:sz w:val="24"/>
                    </w:rPr>
                  </w:pPr>
                  <w:r>
                    <w:rPr>
                      <w:rFonts w:hint="eastAsia"/>
                      <w:color w:val="auto"/>
                    </w:rPr>
                    <w:t>0.672</w:t>
                  </w:r>
                </w:p>
              </w:tc>
              <w:tc>
                <w:tcPr>
                  <w:tcW w:w="1396" w:type="dxa"/>
                  <w:gridSpan w:val="2"/>
                  <w:vAlign w:val="center"/>
                </w:tcPr>
                <w:p w14:paraId="6EBFF62F">
                  <w:pPr>
                    <w:jc w:val="center"/>
                    <w:rPr>
                      <w:rFonts w:ascii="宋体" w:hAnsi="宋体" w:cs="宋体"/>
                      <w:color w:val="auto"/>
                      <w:sz w:val="24"/>
                    </w:rPr>
                  </w:pPr>
                  <w:r>
                    <w:rPr>
                      <w:rFonts w:hint="eastAsia"/>
                      <w:color w:val="auto"/>
                    </w:rPr>
                    <w:t>0.336</w:t>
                  </w:r>
                </w:p>
              </w:tc>
              <w:tc>
                <w:tcPr>
                  <w:tcW w:w="1349" w:type="dxa"/>
                  <w:vAlign w:val="center"/>
                </w:tcPr>
                <w:p w14:paraId="3A62FFB8">
                  <w:pPr>
                    <w:jc w:val="center"/>
                    <w:rPr>
                      <w:rFonts w:ascii="宋体" w:hAnsi="宋体" w:cs="宋体"/>
                      <w:color w:val="auto"/>
                      <w:sz w:val="24"/>
                    </w:rPr>
                  </w:pPr>
                  <w:r>
                    <w:rPr>
                      <w:rFonts w:hint="eastAsia"/>
                      <w:color w:val="auto"/>
                    </w:rPr>
                    <w:t>0.370</w:t>
                  </w:r>
                </w:p>
              </w:tc>
              <w:tc>
                <w:tcPr>
                  <w:tcW w:w="1376" w:type="dxa"/>
                  <w:vAlign w:val="center"/>
                </w:tcPr>
                <w:p w14:paraId="797536BA">
                  <w:pPr>
                    <w:jc w:val="center"/>
                    <w:rPr>
                      <w:rFonts w:ascii="宋体" w:hAnsi="宋体" w:cs="宋体"/>
                      <w:color w:val="auto"/>
                      <w:sz w:val="24"/>
                    </w:rPr>
                  </w:pPr>
                  <w:r>
                    <w:rPr>
                      <w:rFonts w:hint="eastAsia"/>
                      <w:color w:val="auto"/>
                    </w:rPr>
                    <w:t>0.059</w:t>
                  </w:r>
                </w:p>
              </w:tc>
            </w:tr>
            <w:tr w14:paraId="65724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0778B259">
                  <w:pPr>
                    <w:spacing w:line="340" w:lineRule="exact"/>
                    <w:jc w:val="center"/>
                    <w:rPr>
                      <w:color w:val="auto"/>
                      <w:szCs w:val="21"/>
                    </w:rPr>
                  </w:pPr>
                  <w:r>
                    <w:rPr>
                      <w:color w:val="auto"/>
                      <w:szCs w:val="21"/>
                    </w:rPr>
                    <w:t>处理措施</w:t>
                  </w:r>
                </w:p>
              </w:tc>
              <w:tc>
                <w:tcPr>
                  <w:tcW w:w="5501" w:type="dxa"/>
                  <w:gridSpan w:val="6"/>
                  <w:vAlign w:val="center"/>
                </w:tcPr>
                <w:p w14:paraId="4AEBB5E4">
                  <w:pPr>
                    <w:autoSpaceDE w:val="0"/>
                    <w:autoSpaceDN w:val="0"/>
                    <w:jc w:val="center"/>
                    <w:textAlignment w:val="bottom"/>
                    <w:rPr>
                      <w:color w:val="auto"/>
                      <w:szCs w:val="21"/>
                    </w:rPr>
                  </w:pPr>
                  <w:r>
                    <w:rPr>
                      <w:color w:val="auto"/>
                      <w:szCs w:val="21"/>
                    </w:rPr>
                    <w:t>经厂区西北侧化粪池处理后接入市政污水管网进入江阴污水处理厂处理</w:t>
                  </w:r>
                </w:p>
              </w:tc>
            </w:tr>
            <w:tr w14:paraId="7BECA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12B629D5">
                  <w:pPr>
                    <w:spacing w:line="340" w:lineRule="exact"/>
                    <w:jc w:val="center"/>
                    <w:rPr>
                      <w:color w:val="auto"/>
                      <w:szCs w:val="21"/>
                    </w:rPr>
                  </w:pPr>
                  <w:r>
                    <w:rPr>
                      <w:color w:val="auto"/>
                      <w:szCs w:val="21"/>
                    </w:rPr>
                    <w:t>预测排放浓度</w:t>
                  </w:r>
                  <w:r>
                    <w:rPr>
                      <w:color w:val="auto"/>
                      <w:szCs w:val="21"/>
                      <w:shd w:val="clear" w:fill="FFFFFF"/>
                    </w:rPr>
                    <w:t>(</w:t>
                  </w:r>
                  <w:r>
                    <w:rPr>
                      <w:color w:val="auto"/>
                      <w:szCs w:val="21"/>
                    </w:rPr>
                    <w:t>mg/L</w:t>
                  </w:r>
                  <w:r>
                    <w:rPr>
                      <w:color w:val="auto"/>
                      <w:szCs w:val="21"/>
                      <w:shd w:val="clear" w:fill="FFFFFF"/>
                    </w:rPr>
                    <w:t>)</w:t>
                  </w:r>
                </w:p>
              </w:tc>
              <w:tc>
                <w:tcPr>
                  <w:tcW w:w="1371" w:type="dxa"/>
                  <w:vAlign w:val="center"/>
                </w:tcPr>
                <w:p w14:paraId="615CCFE5">
                  <w:pPr>
                    <w:widowControl/>
                    <w:jc w:val="center"/>
                    <w:textAlignment w:val="center"/>
                    <w:rPr>
                      <w:color w:val="auto"/>
                      <w:szCs w:val="21"/>
                    </w:rPr>
                  </w:pPr>
                  <w:r>
                    <w:rPr>
                      <w:color w:val="auto"/>
                      <w:kern w:val="0"/>
                      <w:szCs w:val="21"/>
                    </w:rPr>
                    <w:t>320</w:t>
                  </w:r>
                </w:p>
              </w:tc>
              <w:tc>
                <w:tcPr>
                  <w:tcW w:w="1373" w:type="dxa"/>
                  <w:gridSpan w:val="2"/>
                  <w:vAlign w:val="center"/>
                </w:tcPr>
                <w:p w14:paraId="77705F3D">
                  <w:pPr>
                    <w:widowControl/>
                    <w:jc w:val="center"/>
                    <w:textAlignment w:val="center"/>
                    <w:rPr>
                      <w:color w:val="auto"/>
                      <w:szCs w:val="21"/>
                    </w:rPr>
                  </w:pPr>
                  <w:r>
                    <w:rPr>
                      <w:color w:val="auto"/>
                      <w:kern w:val="0"/>
                      <w:szCs w:val="21"/>
                    </w:rPr>
                    <w:t>170</w:t>
                  </w:r>
                </w:p>
              </w:tc>
              <w:tc>
                <w:tcPr>
                  <w:tcW w:w="1381" w:type="dxa"/>
                  <w:gridSpan w:val="2"/>
                  <w:vAlign w:val="center"/>
                </w:tcPr>
                <w:p w14:paraId="5C622DCE">
                  <w:pPr>
                    <w:widowControl/>
                    <w:jc w:val="center"/>
                    <w:textAlignment w:val="center"/>
                    <w:rPr>
                      <w:color w:val="auto"/>
                      <w:szCs w:val="21"/>
                    </w:rPr>
                  </w:pPr>
                  <w:r>
                    <w:rPr>
                      <w:color w:val="auto"/>
                      <w:szCs w:val="21"/>
                    </w:rPr>
                    <w:t>154</w:t>
                  </w:r>
                </w:p>
              </w:tc>
              <w:tc>
                <w:tcPr>
                  <w:tcW w:w="1376" w:type="dxa"/>
                  <w:vAlign w:val="center"/>
                </w:tcPr>
                <w:p w14:paraId="3FAEFDE7">
                  <w:pPr>
                    <w:widowControl/>
                    <w:jc w:val="center"/>
                    <w:textAlignment w:val="center"/>
                    <w:rPr>
                      <w:color w:val="auto"/>
                      <w:szCs w:val="21"/>
                    </w:rPr>
                  </w:pPr>
                  <w:r>
                    <w:rPr>
                      <w:color w:val="auto"/>
                      <w:kern w:val="0"/>
                      <w:szCs w:val="21"/>
                    </w:rPr>
                    <w:t>35</w:t>
                  </w:r>
                </w:p>
              </w:tc>
            </w:tr>
            <w:tr w14:paraId="63F14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2D10B3C1">
                  <w:pPr>
                    <w:spacing w:line="340" w:lineRule="exact"/>
                    <w:jc w:val="center"/>
                    <w:rPr>
                      <w:color w:val="auto"/>
                      <w:szCs w:val="21"/>
                    </w:rPr>
                  </w:pPr>
                  <w:r>
                    <w:rPr>
                      <w:color w:val="auto"/>
                      <w:szCs w:val="21"/>
                    </w:rPr>
                    <w:t>排放标准限值</w:t>
                  </w:r>
                  <w:r>
                    <w:rPr>
                      <w:color w:val="auto"/>
                      <w:szCs w:val="21"/>
                      <w:shd w:val="clear" w:fill="FFFFFF"/>
                    </w:rPr>
                    <w:t>(</w:t>
                  </w:r>
                  <w:r>
                    <w:rPr>
                      <w:color w:val="auto"/>
                      <w:szCs w:val="21"/>
                    </w:rPr>
                    <w:t>mg/L</w:t>
                  </w:r>
                  <w:r>
                    <w:rPr>
                      <w:color w:val="auto"/>
                      <w:szCs w:val="21"/>
                      <w:shd w:val="clear" w:fill="FFFFFF"/>
                    </w:rPr>
                    <w:t>)</w:t>
                  </w:r>
                </w:p>
              </w:tc>
              <w:tc>
                <w:tcPr>
                  <w:tcW w:w="1371" w:type="dxa"/>
                  <w:vAlign w:val="center"/>
                </w:tcPr>
                <w:p w14:paraId="77A3C543">
                  <w:pPr>
                    <w:widowControl/>
                    <w:jc w:val="center"/>
                    <w:textAlignment w:val="center"/>
                    <w:rPr>
                      <w:color w:val="auto"/>
                      <w:szCs w:val="21"/>
                    </w:rPr>
                  </w:pPr>
                  <w:r>
                    <w:rPr>
                      <w:color w:val="auto"/>
                      <w:kern w:val="0"/>
                      <w:szCs w:val="21"/>
                    </w:rPr>
                    <w:t>500</w:t>
                  </w:r>
                </w:p>
              </w:tc>
              <w:tc>
                <w:tcPr>
                  <w:tcW w:w="1373" w:type="dxa"/>
                  <w:gridSpan w:val="2"/>
                  <w:vAlign w:val="center"/>
                </w:tcPr>
                <w:p w14:paraId="07094AC1">
                  <w:pPr>
                    <w:widowControl/>
                    <w:jc w:val="center"/>
                    <w:textAlignment w:val="center"/>
                    <w:rPr>
                      <w:color w:val="auto"/>
                      <w:szCs w:val="21"/>
                    </w:rPr>
                  </w:pPr>
                  <w:r>
                    <w:rPr>
                      <w:color w:val="auto"/>
                      <w:kern w:val="0"/>
                      <w:szCs w:val="21"/>
                    </w:rPr>
                    <w:t>300</w:t>
                  </w:r>
                </w:p>
              </w:tc>
              <w:tc>
                <w:tcPr>
                  <w:tcW w:w="1381" w:type="dxa"/>
                  <w:gridSpan w:val="2"/>
                  <w:vAlign w:val="center"/>
                </w:tcPr>
                <w:p w14:paraId="23D26B21">
                  <w:pPr>
                    <w:widowControl/>
                    <w:jc w:val="center"/>
                    <w:textAlignment w:val="center"/>
                    <w:rPr>
                      <w:color w:val="auto"/>
                      <w:szCs w:val="21"/>
                    </w:rPr>
                  </w:pPr>
                  <w:r>
                    <w:rPr>
                      <w:color w:val="auto"/>
                      <w:kern w:val="0"/>
                      <w:szCs w:val="21"/>
                    </w:rPr>
                    <w:t>400</w:t>
                  </w:r>
                </w:p>
              </w:tc>
              <w:tc>
                <w:tcPr>
                  <w:tcW w:w="1376" w:type="dxa"/>
                  <w:vAlign w:val="center"/>
                </w:tcPr>
                <w:p w14:paraId="52E915C4">
                  <w:pPr>
                    <w:widowControl/>
                    <w:jc w:val="center"/>
                    <w:textAlignment w:val="center"/>
                    <w:rPr>
                      <w:color w:val="auto"/>
                      <w:szCs w:val="21"/>
                    </w:rPr>
                  </w:pPr>
                  <w:r>
                    <w:rPr>
                      <w:color w:val="auto"/>
                      <w:kern w:val="0"/>
                      <w:szCs w:val="21"/>
                    </w:rPr>
                    <w:t>45</w:t>
                  </w:r>
                </w:p>
              </w:tc>
            </w:tr>
            <w:tr w14:paraId="5D8E8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54A81CFC">
                  <w:pPr>
                    <w:spacing w:line="340" w:lineRule="exact"/>
                    <w:jc w:val="center"/>
                    <w:rPr>
                      <w:color w:val="auto"/>
                      <w:szCs w:val="21"/>
                    </w:rPr>
                  </w:pPr>
                  <w:r>
                    <w:rPr>
                      <w:color w:val="auto"/>
                      <w:szCs w:val="21"/>
                    </w:rPr>
                    <w:t>达标判断</w:t>
                  </w:r>
                </w:p>
              </w:tc>
              <w:tc>
                <w:tcPr>
                  <w:tcW w:w="1371" w:type="dxa"/>
                  <w:vAlign w:val="center"/>
                </w:tcPr>
                <w:p w14:paraId="733B83DA">
                  <w:pPr>
                    <w:jc w:val="center"/>
                    <w:rPr>
                      <w:color w:val="auto"/>
                      <w:szCs w:val="21"/>
                    </w:rPr>
                  </w:pPr>
                  <w:r>
                    <w:rPr>
                      <w:color w:val="auto"/>
                      <w:szCs w:val="21"/>
                    </w:rPr>
                    <w:t>达标</w:t>
                  </w:r>
                </w:p>
              </w:tc>
              <w:tc>
                <w:tcPr>
                  <w:tcW w:w="1373" w:type="dxa"/>
                  <w:gridSpan w:val="2"/>
                  <w:vAlign w:val="center"/>
                </w:tcPr>
                <w:p w14:paraId="609E50A7">
                  <w:pPr>
                    <w:jc w:val="center"/>
                    <w:rPr>
                      <w:color w:val="auto"/>
                      <w:szCs w:val="21"/>
                    </w:rPr>
                  </w:pPr>
                  <w:r>
                    <w:rPr>
                      <w:color w:val="auto"/>
                      <w:szCs w:val="21"/>
                    </w:rPr>
                    <w:t>达标</w:t>
                  </w:r>
                </w:p>
              </w:tc>
              <w:tc>
                <w:tcPr>
                  <w:tcW w:w="1381" w:type="dxa"/>
                  <w:gridSpan w:val="2"/>
                  <w:vAlign w:val="center"/>
                </w:tcPr>
                <w:p w14:paraId="4BE537DE">
                  <w:pPr>
                    <w:jc w:val="center"/>
                    <w:rPr>
                      <w:color w:val="auto"/>
                      <w:szCs w:val="21"/>
                    </w:rPr>
                  </w:pPr>
                  <w:r>
                    <w:rPr>
                      <w:color w:val="auto"/>
                      <w:szCs w:val="21"/>
                    </w:rPr>
                    <w:t>达标</w:t>
                  </w:r>
                </w:p>
              </w:tc>
              <w:tc>
                <w:tcPr>
                  <w:tcW w:w="1376" w:type="dxa"/>
                  <w:vAlign w:val="center"/>
                </w:tcPr>
                <w:p w14:paraId="188F3A67">
                  <w:pPr>
                    <w:jc w:val="center"/>
                    <w:rPr>
                      <w:color w:val="auto"/>
                      <w:szCs w:val="21"/>
                    </w:rPr>
                  </w:pPr>
                  <w:r>
                    <w:rPr>
                      <w:color w:val="auto"/>
                      <w:szCs w:val="21"/>
                    </w:rPr>
                    <w:t>达标</w:t>
                  </w:r>
                </w:p>
              </w:tc>
            </w:tr>
            <w:tr w14:paraId="7DE41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7F5CABCD">
                  <w:pPr>
                    <w:spacing w:line="340" w:lineRule="exact"/>
                    <w:jc w:val="center"/>
                    <w:rPr>
                      <w:color w:val="auto"/>
                      <w:szCs w:val="21"/>
                    </w:rPr>
                  </w:pPr>
                  <w:r>
                    <w:rPr>
                      <w:color w:val="auto"/>
                      <w:szCs w:val="21"/>
                    </w:rPr>
                    <w:t>纳管排放量</w:t>
                  </w:r>
                  <w:r>
                    <w:rPr>
                      <w:color w:val="auto"/>
                      <w:szCs w:val="21"/>
                      <w:shd w:val="clear" w:fill="FFFFFF"/>
                    </w:rPr>
                    <w:t>(</w:t>
                  </w:r>
                  <w:r>
                    <w:rPr>
                      <w:color w:val="auto"/>
                      <w:szCs w:val="21"/>
                    </w:rPr>
                    <w:t>t/a</w:t>
                  </w:r>
                  <w:r>
                    <w:rPr>
                      <w:color w:val="auto"/>
                      <w:szCs w:val="21"/>
                      <w:shd w:val="clear" w:fill="FFFFFF"/>
                    </w:rPr>
                    <w:t>)</w:t>
                  </w:r>
                </w:p>
              </w:tc>
              <w:tc>
                <w:tcPr>
                  <w:tcW w:w="1371" w:type="dxa"/>
                  <w:vAlign w:val="center"/>
                </w:tcPr>
                <w:p w14:paraId="18288EC0">
                  <w:pPr>
                    <w:jc w:val="center"/>
                    <w:rPr>
                      <w:color w:val="auto"/>
                      <w:szCs w:val="21"/>
                    </w:rPr>
                  </w:pPr>
                  <w:r>
                    <w:rPr>
                      <w:rFonts w:hint="eastAsia"/>
                      <w:color w:val="auto"/>
                      <w:szCs w:val="21"/>
                    </w:rPr>
                    <w:t>0.538</w:t>
                  </w:r>
                </w:p>
              </w:tc>
              <w:tc>
                <w:tcPr>
                  <w:tcW w:w="1373" w:type="dxa"/>
                  <w:gridSpan w:val="2"/>
                  <w:vAlign w:val="center"/>
                </w:tcPr>
                <w:p w14:paraId="53709CED">
                  <w:pPr>
                    <w:jc w:val="center"/>
                    <w:rPr>
                      <w:color w:val="auto"/>
                      <w:szCs w:val="21"/>
                    </w:rPr>
                  </w:pPr>
                  <w:r>
                    <w:rPr>
                      <w:rFonts w:hint="eastAsia"/>
                      <w:color w:val="auto"/>
                      <w:szCs w:val="21"/>
                    </w:rPr>
                    <w:t>0.286</w:t>
                  </w:r>
                </w:p>
              </w:tc>
              <w:tc>
                <w:tcPr>
                  <w:tcW w:w="1381" w:type="dxa"/>
                  <w:gridSpan w:val="2"/>
                  <w:vAlign w:val="center"/>
                </w:tcPr>
                <w:p w14:paraId="3AF57E3E">
                  <w:pPr>
                    <w:jc w:val="center"/>
                    <w:rPr>
                      <w:color w:val="auto"/>
                      <w:szCs w:val="21"/>
                    </w:rPr>
                  </w:pPr>
                  <w:r>
                    <w:rPr>
                      <w:rFonts w:hint="eastAsia"/>
                      <w:color w:val="auto"/>
                      <w:szCs w:val="21"/>
                    </w:rPr>
                    <w:t>0.259</w:t>
                  </w:r>
                </w:p>
              </w:tc>
              <w:tc>
                <w:tcPr>
                  <w:tcW w:w="1376" w:type="dxa"/>
                  <w:vAlign w:val="center"/>
                </w:tcPr>
                <w:p w14:paraId="421E1548">
                  <w:pPr>
                    <w:jc w:val="center"/>
                    <w:rPr>
                      <w:color w:val="auto"/>
                      <w:szCs w:val="21"/>
                    </w:rPr>
                  </w:pPr>
                  <w:r>
                    <w:rPr>
                      <w:rFonts w:hint="eastAsia"/>
                      <w:color w:val="auto"/>
                      <w:szCs w:val="21"/>
                    </w:rPr>
                    <w:t>0.059</w:t>
                  </w:r>
                </w:p>
              </w:tc>
            </w:tr>
            <w:tr w14:paraId="2E2F6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0DDE11FD">
                  <w:pPr>
                    <w:spacing w:line="340" w:lineRule="exact"/>
                    <w:jc w:val="center"/>
                    <w:rPr>
                      <w:rFonts w:hint="eastAsia" w:eastAsia="宋体"/>
                      <w:color w:val="auto"/>
                      <w:szCs w:val="21"/>
                      <w:lang w:eastAsia="zh-CN"/>
                    </w:rPr>
                  </w:pPr>
                  <w:r>
                    <w:rPr>
                      <w:color w:val="auto"/>
                      <w:szCs w:val="21"/>
                    </w:rPr>
                    <w:t>削减量</w:t>
                  </w:r>
                  <w:r>
                    <w:rPr>
                      <w:rFonts w:hint="eastAsia"/>
                      <w:color w:val="auto"/>
                      <w:szCs w:val="21"/>
                      <w:shd w:val="clear" w:fill="FFFFFF"/>
                      <w:lang w:eastAsia="zh-CN"/>
                    </w:rPr>
                    <w:t>(</w:t>
                  </w:r>
                  <w:r>
                    <w:rPr>
                      <w:color w:val="auto"/>
                      <w:szCs w:val="21"/>
                    </w:rPr>
                    <w:t>t/a</w:t>
                  </w:r>
                  <w:r>
                    <w:rPr>
                      <w:rFonts w:hint="eastAsia"/>
                      <w:color w:val="auto"/>
                      <w:szCs w:val="21"/>
                      <w:shd w:val="clear" w:fill="FFFFFF"/>
                      <w:lang w:eastAsia="zh-CN"/>
                    </w:rPr>
                    <w:t>)</w:t>
                  </w:r>
                </w:p>
              </w:tc>
              <w:tc>
                <w:tcPr>
                  <w:tcW w:w="1371" w:type="dxa"/>
                  <w:vAlign w:val="center"/>
                </w:tcPr>
                <w:p w14:paraId="70DC5722">
                  <w:pPr>
                    <w:jc w:val="center"/>
                    <w:rPr>
                      <w:color w:val="auto"/>
                      <w:szCs w:val="21"/>
                    </w:rPr>
                  </w:pPr>
                  <w:r>
                    <w:rPr>
                      <w:rFonts w:hint="eastAsia"/>
                      <w:color w:val="auto"/>
                      <w:szCs w:val="21"/>
                    </w:rPr>
                    <w:t>0.362</w:t>
                  </w:r>
                </w:p>
              </w:tc>
              <w:tc>
                <w:tcPr>
                  <w:tcW w:w="1373" w:type="dxa"/>
                  <w:gridSpan w:val="2"/>
                  <w:vAlign w:val="center"/>
                </w:tcPr>
                <w:p w14:paraId="58613BB5">
                  <w:pPr>
                    <w:jc w:val="center"/>
                    <w:rPr>
                      <w:color w:val="auto"/>
                      <w:szCs w:val="21"/>
                    </w:rPr>
                  </w:pPr>
                  <w:r>
                    <w:rPr>
                      <w:rFonts w:hint="eastAsia"/>
                      <w:color w:val="auto"/>
                      <w:szCs w:val="21"/>
                    </w:rPr>
                    <w:t>0.05</w:t>
                  </w:r>
                </w:p>
              </w:tc>
              <w:tc>
                <w:tcPr>
                  <w:tcW w:w="1381" w:type="dxa"/>
                  <w:gridSpan w:val="2"/>
                  <w:vAlign w:val="center"/>
                </w:tcPr>
                <w:p w14:paraId="3AE08219">
                  <w:pPr>
                    <w:jc w:val="center"/>
                    <w:rPr>
                      <w:color w:val="auto"/>
                      <w:szCs w:val="21"/>
                    </w:rPr>
                  </w:pPr>
                  <w:r>
                    <w:rPr>
                      <w:rFonts w:hint="eastAsia"/>
                      <w:color w:val="auto"/>
                      <w:szCs w:val="21"/>
                    </w:rPr>
                    <w:t>0.111</w:t>
                  </w:r>
                </w:p>
              </w:tc>
              <w:tc>
                <w:tcPr>
                  <w:tcW w:w="1376" w:type="dxa"/>
                  <w:vAlign w:val="center"/>
                </w:tcPr>
                <w:p w14:paraId="239F040D">
                  <w:pPr>
                    <w:jc w:val="center"/>
                    <w:rPr>
                      <w:color w:val="auto"/>
                      <w:szCs w:val="21"/>
                    </w:rPr>
                  </w:pPr>
                  <w:r>
                    <w:rPr>
                      <w:rFonts w:hint="eastAsia"/>
                      <w:color w:val="auto"/>
                      <w:szCs w:val="21"/>
                    </w:rPr>
                    <w:t>0</w:t>
                  </w:r>
                </w:p>
              </w:tc>
            </w:tr>
          </w:tbl>
          <w:p w14:paraId="2B8D1A0A">
            <w:pPr>
              <w:pStyle w:val="68"/>
              <w:ind w:firstLine="482"/>
              <w:rPr>
                <w:b/>
                <w:bCs/>
                <w:color w:val="auto"/>
                <w:kern w:val="2"/>
                <w:sz w:val="24"/>
                <w:szCs w:val="24"/>
              </w:rPr>
            </w:pPr>
            <w:r>
              <w:rPr>
                <w:rFonts w:hint="eastAsia"/>
                <w:b/>
                <w:bCs/>
                <w:color w:val="auto"/>
                <w:kern w:val="2"/>
                <w:sz w:val="24"/>
                <w:szCs w:val="24"/>
              </w:rPr>
              <w:t>2、地表水环境影响分析</w:t>
            </w:r>
          </w:p>
          <w:p w14:paraId="0B2BAE98">
            <w:pPr>
              <w:adjustRightInd/>
              <w:snapToGrid/>
              <w:spacing w:line="360" w:lineRule="auto"/>
              <w:ind w:firstLine="480" w:firstLineChars="200"/>
              <w:rPr>
                <w:color w:val="auto"/>
                <w:sz w:val="24"/>
              </w:rPr>
            </w:pPr>
            <w:r>
              <w:rPr>
                <w:rFonts w:hint="eastAsia"/>
                <w:color w:val="auto"/>
                <w:sz w:val="24"/>
              </w:rPr>
              <w:t>根据工程分析，项目生活污水预处理后通过市政管网排入江阴污水处理厂处理，属于间接排放，根据《环境影响评价技术导则—地表水环境》</w:t>
            </w:r>
            <w:r>
              <w:rPr>
                <w:rFonts w:hint="eastAsia"/>
                <w:color w:val="auto"/>
                <w:sz w:val="24"/>
                <w:lang w:eastAsia="zh-CN"/>
              </w:rPr>
              <w:t>(</w:t>
            </w:r>
            <w:r>
              <w:rPr>
                <w:rFonts w:hint="eastAsia"/>
                <w:color w:val="auto"/>
                <w:sz w:val="24"/>
              </w:rPr>
              <w:t>HJ2.3-2018</w:t>
            </w:r>
            <w:r>
              <w:rPr>
                <w:rFonts w:hint="eastAsia"/>
                <w:color w:val="auto"/>
                <w:sz w:val="24"/>
                <w:shd w:val="clear" w:fill="FFFFFF"/>
                <w:lang w:eastAsia="zh-CN"/>
              </w:rPr>
              <w:t>)</w:t>
            </w:r>
            <w:r>
              <w:rPr>
                <w:rFonts w:hint="eastAsia"/>
                <w:color w:val="auto"/>
                <w:sz w:val="24"/>
              </w:rPr>
              <w:t>评价等级的依据，项目水环境影响评价确定为三级B评价，评价主要分析废水接管可行性。具体评价等级见表4.3-2。</w:t>
            </w:r>
          </w:p>
          <w:p w14:paraId="4B982978">
            <w:pPr>
              <w:pStyle w:val="77"/>
              <w:rPr>
                <w:color w:val="auto"/>
                <w:sz w:val="24"/>
              </w:rPr>
            </w:pPr>
            <w:r>
              <w:rPr>
                <w:rFonts w:hint="eastAsia"/>
                <w:color w:val="auto"/>
                <w:sz w:val="24"/>
              </w:rPr>
              <w:t xml:space="preserve">表4.3-2  </w:t>
            </w:r>
            <w:r>
              <w:rPr>
                <w:color w:val="auto"/>
                <w:sz w:val="24"/>
              </w:rPr>
              <w:t>水污染影响型建设项目评价等级判定</w:t>
            </w:r>
          </w:p>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264"/>
              <w:gridCol w:w="6032"/>
            </w:tblGrid>
            <w:tr w14:paraId="27F61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restart"/>
                  <w:tcBorders>
                    <w:tl2br w:val="nil"/>
                    <w:tr2bl w:val="nil"/>
                  </w:tcBorders>
                  <w:vAlign w:val="center"/>
                </w:tcPr>
                <w:p w14:paraId="22165DA6">
                  <w:pPr>
                    <w:pStyle w:val="122"/>
                    <w:rPr>
                      <w:color w:val="auto"/>
                    </w:rPr>
                  </w:pPr>
                  <w:r>
                    <w:rPr>
                      <w:color w:val="auto"/>
                    </w:rPr>
                    <w:t>评价等级</w:t>
                  </w:r>
                </w:p>
              </w:tc>
              <w:tc>
                <w:tcPr>
                  <w:tcW w:w="7296" w:type="dxa"/>
                  <w:gridSpan w:val="2"/>
                  <w:tcBorders>
                    <w:tl2br w:val="nil"/>
                    <w:tr2bl w:val="nil"/>
                  </w:tcBorders>
                  <w:vAlign w:val="center"/>
                </w:tcPr>
                <w:p w14:paraId="1185C7DD">
                  <w:pPr>
                    <w:pStyle w:val="122"/>
                    <w:rPr>
                      <w:color w:val="auto"/>
                    </w:rPr>
                  </w:pPr>
                  <w:r>
                    <w:rPr>
                      <w:color w:val="auto"/>
                    </w:rPr>
                    <w:t>判定依据</w:t>
                  </w:r>
                </w:p>
              </w:tc>
            </w:tr>
            <w:tr w14:paraId="10AB7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continue"/>
                  <w:tcBorders>
                    <w:tl2br w:val="nil"/>
                    <w:tr2bl w:val="nil"/>
                  </w:tcBorders>
                  <w:vAlign w:val="center"/>
                </w:tcPr>
                <w:p w14:paraId="08907002">
                  <w:pPr>
                    <w:pStyle w:val="122"/>
                    <w:rPr>
                      <w:color w:val="auto"/>
                    </w:rPr>
                  </w:pPr>
                </w:p>
              </w:tc>
              <w:tc>
                <w:tcPr>
                  <w:tcW w:w="1264" w:type="dxa"/>
                  <w:tcBorders>
                    <w:tl2br w:val="nil"/>
                    <w:tr2bl w:val="nil"/>
                  </w:tcBorders>
                  <w:vAlign w:val="center"/>
                </w:tcPr>
                <w:p w14:paraId="3C836C7B">
                  <w:pPr>
                    <w:pStyle w:val="122"/>
                    <w:rPr>
                      <w:color w:val="auto"/>
                    </w:rPr>
                  </w:pPr>
                  <w:r>
                    <w:rPr>
                      <w:color w:val="auto"/>
                    </w:rPr>
                    <w:t>排放方式</w:t>
                  </w:r>
                </w:p>
              </w:tc>
              <w:tc>
                <w:tcPr>
                  <w:tcW w:w="6032" w:type="dxa"/>
                  <w:tcBorders>
                    <w:tl2br w:val="nil"/>
                    <w:tr2bl w:val="nil"/>
                  </w:tcBorders>
                  <w:vAlign w:val="center"/>
                </w:tcPr>
                <w:p w14:paraId="5B996589">
                  <w:pPr>
                    <w:pStyle w:val="122"/>
                    <w:rPr>
                      <w:rFonts w:hint="eastAsia" w:eastAsia="宋体"/>
                      <w:color w:val="auto"/>
                      <w:lang w:eastAsia="zh-CN"/>
                    </w:rPr>
                  </w:pPr>
                  <w:r>
                    <w:rPr>
                      <w:color w:val="auto"/>
                    </w:rPr>
                    <w:t>废水排放量Q/</w:t>
                  </w:r>
                  <w:r>
                    <w:rPr>
                      <w:rFonts w:hint="eastAsia"/>
                      <w:color w:val="auto"/>
                      <w:lang w:eastAsia="zh-CN"/>
                    </w:rPr>
                    <w:t>(</w:t>
                  </w:r>
                  <w:r>
                    <w:rPr>
                      <w:color w:val="auto"/>
                    </w:rPr>
                    <w:t>m</w:t>
                  </w:r>
                  <w:r>
                    <w:rPr>
                      <w:color w:val="auto"/>
                      <w:vertAlign w:val="superscript"/>
                    </w:rPr>
                    <w:t>3</w:t>
                  </w:r>
                  <w:r>
                    <w:rPr>
                      <w:color w:val="auto"/>
                    </w:rPr>
                    <w:t>/d</w:t>
                  </w:r>
                  <w:r>
                    <w:rPr>
                      <w:rFonts w:hint="eastAsia"/>
                      <w:color w:val="auto"/>
                      <w:lang w:eastAsia="zh-CN"/>
                    </w:rPr>
                    <w:t>)</w:t>
                  </w:r>
                  <w:r>
                    <w:rPr>
                      <w:color w:val="auto"/>
                    </w:rPr>
                    <w:t>；水污染物当量数W/</w:t>
                  </w:r>
                  <w:r>
                    <w:rPr>
                      <w:rFonts w:hint="eastAsia"/>
                      <w:color w:val="auto"/>
                      <w:shd w:val="clear" w:fill="FFFFFF"/>
                      <w:lang w:eastAsia="zh-CN"/>
                    </w:rPr>
                    <w:t>(</w:t>
                  </w:r>
                  <w:r>
                    <w:rPr>
                      <w:color w:val="auto"/>
                    </w:rPr>
                    <w:t>无量纲</w:t>
                  </w:r>
                  <w:r>
                    <w:rPr>
                      <w:rFonts w:hint="eastAsia"/>
                      <w:color w:val="auto"/>
                      <w:shd w:val="clear" w:fill="FFFFFF"/>
                      <w:lang w:eastAsia="zh-CN"/>
                    </w:rPr>
                    <w:t>)</w:t>
                  </w:r>
                </w:p>
              </w:tc>
            </w:tr>
            <w:tr w14:paraId="0A76B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vAlign w:val="center"/>
                </w:tcPr>
                <w:p w14:paraId="044C0458">
                  <w:pPr>
                    <w:pStyle w:val="122"/>
                    <w:rPr>
                      <w:color w:val="auto"/>
                    </w:rPr>
                  </w:pPr>
                  <w:r>
                    <w:rPr>
                      <w:color w:val="auto"/>
                    </w:rPr>
                    <w:t>一级</w:t>
                  </w:r>
                </w:p>
              </w:tc>
              <w:tc>
                <w:tcPr>
                  <w:tcW w:w="1264" w:type="dxa"/>
                  <w:tcBorders>
                    <w:tl2br w:val="nil"/>
                    <w:tr2bl w:val="nil"/>
                  </w:tcBorders>
                  <w:vAlign w:val="center"/>
                </w:tcPr>
                <w:p w14:paraId="22510D7E">
                  <w:pPr>
                    <w:pStyle w:val="122"/>
                    <w:rPr>
                      <w:color w:val="auto"/>
                    </w:rPr>
                  </w:pPr>
                  <w:r>
                    <w:rPr>
                      <w:color w:val="auto"/>
                    </w:rPr>
                    <w:t>直接排放</w:t>
                  </w:r>
                </w:p>
              </w:tc>
              <w:tc>
                <w:tcPr>
                  <w:tcW w:w="6032" w:type="dxa"/>
                  <w:tcBorders>
                    <w:tl2br w:val="nil"/>
                    <w:tr2bl w:val="nil"/>
                  </w:tcBorders>
                  <w:vAlign w:val="center"/>
                </w:tcPr>
                <w:p w14:paraId="244AE7D8">
                  <w:pPr>
                    <w:pStyle w:val="122"/>
                    <w:rPr>
                      <w:color w:val="auto"/>
                    </w:rPr>
                  </w:pPr>
                  <w:r>
                    <w:rPr>
                      <w:color w:val="auto"/>
                    </w:rPr>
                    <w:t>Q≥20000或W≥600000</w:t>
                  </w:r>
                </w:p>
              </w:tc>
            </w:tr>
            <w:tr w14:paraId="7B73E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vAlign w:val="center"/>
                </w:tcPr>
                <w:p w14:paraId="396C5B96">
                  <w:pPr>
                    <w:pStyle w:val="122"/>
                    <w:rPr>
                      <w:color w:val="auto"/>
                    </w:rPr>
                  </w:pPr>
                  <w:r>
                    <w:rPr>
                      <w:color w:val="auto"/>
                    </w:rPr>
                    <w:t>二级</w:t>
                  </w:r>
                </w:p>
              </w:tc>
              <w:tc>
                <w:tcPr>
                  <w:tcW w:w="1264" w:type="dxa"/>
                  <w:tcBorders>
                    <w:tl2br w:val="nil"/>
                    <w:tr2bl w:val="nil"/>
                  </w:tcBorders>
                  <w:vAlign w:val="center"/>
                </w:tcPr>
                <w:p w14:paraId="4C5B1D6E">
                  <w:pPr>
                    <w:pStyle w:val="122"/>
                    <w:rPr>
                      <w:color w:val="auto"/>
                    </w:rPr>
                  </w:pPr>
                  <w:r>
                    <w:rPr>
                      <w:color w:val="auto"/>
                    </w:rPr>
                    <w:t>直接排放</w:t>
                  </w:r>
                </w:p>
              </w:tc>
              <w:tc>
                <w:tcPr>
                  <w:tcW w:w="6032" w:type="dxa"/>
                  <w:tcBorders>
                    <w:tl2br w:val="nil"/>
                    <w:tr2bl w:val="nil"/>
                  </w:tcBorders>
                  <w:vAlign w:val="center"/>
                </w:tcPr>
                <w:p w14:paraId="1FA505E0">
                  <w:pPr>
                    <w:pStyle w:val="122"/>
                    <w:rPr>
                      <w:color w:val="auto"/>
                    </w:rPr>
                  </w:pPr>
                  <w:r>
                    <w:rPr>
                      <w:color w:val="auto"/>
                    </w:rPr>
                    <w:t>其他</w:t>
                  </w:r>
                </w:p>
              </w:tc>
            </w:tr>
            <w:tr w14:paraId="6AF29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vAlign w:val="center"/>
                </w:tcPr>
                <w:p w14:paraId="459F36F5">
                  <w:pPr>
                    <w:pStyle w:val="122"/>
                    <w:rPr>
                      <w:color w:val="auto"/>
                    </w:rPr>
                  </w:pPr>
                  <w:r>
                    <w:rPr>
                      <w:color w:val="auto"/>
                    </w:rPr>
                    <w:t>三级A</w:t>
                  </w:r>
                </w:p>
              </w:tc>
              <w:tc>
                <w:tcPr>
                  <w:tcW w:w="1264" w:type="dxa"/>
                  <w:tcBorders>
                    <w:tl2br w:val="nil"/>
                    <w:tr2bl w:val="nil"/>
                  </w:tcBorders>
                  <w:vAlign w:val="center"/>
                </w:tcPr>
                <w:p w14:paraId="2AA44177">
                  <w:pPr>
                    <w:pStyle w:val="122"/>
                    <w:rPr>
                      <w:color w:val="auto"/>
                    </w:rPr>
                  </w:pPr>
                  <w:r>
                    <w:rPr>
                      <w:color w:val="auto"/>
                    </w:rPr>
                    <w:t>直接排放</w:t>
                  </w:r>
                </w:p>
              </w:tc>
              <w:tc>
                <w:tcPr>
                  <w:tcW w:w="6032" w:type="dxa"/>
                  <w:tcBorders>
                    <w:tl2br w:val="nil"/>
                    <w:tr2bl w:val="nil"/>
                  </w:tcBorders>
                  <w:vAlign w:val="center"/>
                </w:tcPr>
                <w:p w14:paraId="01E75E00">
                  <w:pPr>
                    <w:pStyle w:val="122"/>
                    <w:rPr>
                      <w:color w:val="auto"/>
                    </w:rPr>
                  </w:pPr>
                  <w:r>
                    <w:rPr>
                      <w:color w:val="auto"/>
                    </w:rPr>
                    <w:t>Q＜200且W＜6000</w:t>
                  </w:r>
                </w:p>
              </w:tc>
            </w:tr>
            <w:tr w14:paraId="3D5B9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shd w:val="clear" w:color="auto" w:fill="A4A4A4" w:themeFill="background1" w:themeFillShade="A5"/>
                  <w:vAlign w:val="center"/>
                </w:tcPr>
                <w:p w14:paraId="26751160">
                  <w:pPr>
                    <w:pStyle w:val="122"/>
                    <w:rPr>
                      <w:color w:val="auto"/>
                    </w:rPr>
                  </w:pPr>
                  <w:r>
                    <w:rPr>
                      <w:color w:val="auto"/>
                    </w:rPr>
                    <w:t>三级B</w:t>
                  </w:r>
                </w:p>
              </w:tc>
              <w:tc>
                <w:tcPr>
                  <w:tcW w:w="1264" w:type="dxa"/>
                  <w:tcBorders>
                    <w:tl2br w:val="nil"/>
                    <w:tr2bl w:val="nil"/>
                  </w:tcBorders>
                  <w:shd w:val="clear" w:color="auto" w:fill="A4A4A4" w:themeFill="background1" w:themeFillShade="A5"/>
                  <w:vAlign w:val="center"/>
                </w:tcPr>
                <w:p w14:paraId="74FD4CD9">
                  <w:pPr>
                    <w:pStyle w:val="122"/>
                    <w:rPr>
                      <w:color w:val="auto"/>
                    </w:rPr>
                  </w:pPr>
                  <w:r>
                    <w:rPr>
                      <w:color w:val="auto"/>
                    </w:rPr>
                    <w:t>间接排放</w:t>
                  </w:r>
                </w:p>
              </w:tc>
              <w:tc>
                <w:tcPr>
                  <w:tcW w:w="6032" w:type="dxa"/>
                  <w:tcBorders>
                    <w:tl2br w:val="nil"/>
                    <w:tr2bl w:val="nil"/>
                  </w:tcBorders>
                  <w:shd w:val="clear" w:color="auto" w:fill="A4A4A4" w:themeFill="background1" w:themeFillShade="A5"/>
                  <w:vAlign w:val="center"/>
                </w:tcPr>
                <w:p w14:paraId="40895187">
                  <w:pPr>
                    <w:pStyle w:val="122"/>
                    <w:rPr>
                      <w:color w:val="auto"/>
                    </w:rPr>
                  </w:pPr>
                  <w:r>
                    <w:rPr>
                      <w:color w:val="auto"/>
                    </w:rPr>
                    <w:t>—</w:t>
                  </w:r>
                </w:p>
              </w:tc>
            </w:tr>
          </w:tbl>
          <w:p w14:paraId="67D2CD15">
            <w:pPr>
              <w:tabs>
                <w:tab w:val="left" w:pos="3420"/>
              </w:tabs>
              <w:adjustRightInd/>
              <w:snapToGrid/>
              <w:spacing w:line="360" w:lineRule="auto"/>
              <w:ind w:firstLine="480" w:firstLineChars="200"/>
              <w:rPr>
                <w:color w:val="auto"/>
                <w:sz w:val="24"/>
              </w:rPr>
            </w:pPr>
            <w:r>
              <w:rPr>
                <w:color w:val="auto"/>
                <w:sz w:val="24"/>
              </w:rPr>
              <w:t>项目生活污水经处理达标后排入市政污水管网，</w:t>
            </w:r>
            <w:r>
              <w:rPr>
                <w:rFonts w:hint="eastAsia"/>
                <w:color w:val="auto"/>
                <w:sz w:val="24"/>
              </w:rPr>
              <w:t>接入江阴</w:t>
            </w:r>
            <w:r>
              <w:rPr>
                <w:color w:val="auto"/>
                <w:sz w:val="24"/>
              </w:rPr>
              <w:t>污水处理厂集中处理，属于间接排放，根据《建设项目环境影响报告表编制技术指南</w:t>
            </w:r>
            <w:r>
              <w:rPr>
                <w:color w:val="auto"/>
                <w:sz w:val="24"/>
                <w:shd w:val="clear" w:fill="FFFFFF"/>
              </w:rPr>
              <w:t>(</w:t>
            </w:r>
            <w:r>
              <w:rPr>
                <w:color w:val="auto"/>
                <w:sz w:val="24"/>
              </w:rPr>
              <w:t>污染影响类</w:t>
            </w:r>
            <w:r>
              <w:rPr>
                <w:color w:val="auto"/>
                <w:sz w:val="24"/>
                <w:shd w:val="clear" w:fill="FFFFFF"/>
              </w:rPr>
              <w:t>)(</w:t>
            </w:r>
            <w:r>
              <w:rPr>
                <w:color w:val="auto"/>
                <w:sz w:val="24"/>
              </w:rPr>
              <w:t>试行</w:t>
            </w:r>
            <w:r>
              <w:rPr>
                <w:color w:val="auto"/>
                <w:sz w:val="24"/>
                <w:shd w:val="clear" w:fill="FFFFFF"/>
              </w:rPr>
              <w:t>)</w:t>
            </w:r>
            <w:r>
              <w:rPr>
                <w:color w:val="auto"/>
                <w:sz w:val="24"/>
              </w:rPr>
              <w:t>》</w:t>
            </w:r>
            <w:r>
              <w:rPr>
                <w:color w:val="auto"/>
                <w:sz w:val="24"/>
                <w:shd w:val="clear" w:fill="FFFFFF"/>
              </w:rPr>
              <w:t>(</w:t>
            </w:r>
            <w:r>
              <w:rPr>
                <w:color w:val="auto"/>
                <w:sz w:val="24"/>
              </w:rPr>
              <w:t>环办环评〔2020〕33号</w:t>
            </w:r>
            <w:r>
              <w:rPr>
                <w:color w:val="auto"/>
                <w:sz w:val="24"/>
                <w:shd w:val="clear" w:fill="FFFFFF"/>
              </w:rPr>
              <w:t>)</w:t>
            </w:r>
            <w:r>
              <w:rPr>
                <w:color w:val="auto"/>
                <w:sz w:val="24"/>
              </w:rPr>
              <w:t>要求，废水间接排放的建设项目应从处理能力、处理工艺、设计进出水水质等方面，分析依托集中污水处理厂的可行性。</w:t>
            </w:r>
          </w:p>
          <w:p w14:paraId="7ECFB858">
            <w:pPr>
              <w:pStyle w:val="150"/>
              <w:rPr>
                <w:color w:val="auto"/>
              </w:rPr>
            </w:pPr>
            <w:r>
              <w:rPr>
                <w:rFonts w:hint="eastAsia"/>
                <w:color w:val="auto"/>
                <w:shd w:val="clear" w:fill="FFFFFF"/>
              </w:rPr>
              <w:t>(</w:t>
            </w:r>
            <w:r>
              <w:rPr>
                <w:rFonts w:hint="eastAsia"/>
                <w:color w:val="auto"/>
              </w:rPr>
              <w:t>1</w:t>
            </w:r>
            <w:r>
              <w:rPr>
                <w:rFonts w:hint="eastAsia"/>
                <w:color w:val="auto"/>
                <w:shd w:val="clear" w:fill="FFFFFF"/>
              </w:rPr>
              <w:t>)</w:t>
            </w:r>
            <w:r>
              <w:rPr>
                <w:rFonts w:hint="eastAsia"/>
                <w:color w:val="auto"/>
                <w:lang w:eastAsia="zh-CN"/>
              </w:rPr>
              <w:t>江阴污水处理厂</w:t>
            </w:r>
            <w:r>
              <w:rPr>
                <w:color w:val="auto"/>
              </w:rPr>
              <w:t>建设情况</w:t>
            </w:r>
          </w:p>
          <w:p w14:paraId="046AF375">
            <w:pPr>
              <w:pStyle w:val="140"/>
              <w:ind w:firstLine="480"/>
              <w:rPr>
                <w:color w:val="auto"/>
              </w:rPr>
            </w:pPr>
            <w:r>
              <w:rPr>
                <w:color w:val="auto"/>
              </w:rPr>
              <w:t>①设计规模</w:t>
            </w:r>
          </w:p>
          <w:p w14:paraId="622C4480">
            <w:pPr>
              <w:pStyle w:val="140"/>
              <w:ind w:firstLine="480"/>
              <w:rPr>
                <w:color w:val="auto"/>
              </w:rPr>
            </w:pPr>
            <w:r>
              <w:rPr>
                <w:rFonts w:hint="eastAsia"/>
                <w:color w:val="auto"/>
                <w:lang w:eastAsia="zh-CN"/>
              </w:rPr>
              <w:t>江阴污水处理厂</w:t>
            </w:r>
            <w:r>
              <w:rPr>
                <w:color w:val="auto"/>
              </w:rPr>
              <w:t>位于福州江阴工业集中区西部工业区规划地块内，总用地16公顷，总设计规模12万t/d，主要负责江阴工业集中区启动区13.8km</w:t>
            </w:r>
            <w:r>
              <w:rPr>
                <w:color w:val="auto"/>
                <w:vertAlign w:val="superscript"/>
              </w:rPr>
              <w:t>2</w:t>
            </w:r>
            <w:r>
              <w:rPr>
                <w:color w:val="auto"/>
              </w:rPr>
              <w:t>范围内的污水处理，分期建设，近期4万t/d、中期8万t/d、远期12万t/d。</w:t>
            </w:r>
          </w:p>
          <w:p w14:paraId="78C3C26D">
            <w:pPr>
              <w:pStyle w:val="140"/>
              <w:ind w:firstLine="480"/>
              <w:rPr>
                <w:color w:val="auto"/>
              </w:rPr>
            </w:pPr>
            <w:r>
              <w:rPr>
                <w:color w:val="auto"/>
              </w:rPr>
              <w:t>2023年12月，污水处理厂中期工程投用，目前总处理能力为8万t/d，主体生化工艺采用两级AO，深度处理工艺采用芬顿高级氧化，出水水质达到《城镇污水处理厂污染物排放标准》</w:t>
            </w:r>
            <w:r>
              <w:rPr>
                <w:rFonts w:hint="eastAsia"/>
                <w:color w:val="auto"/>
                <w:lang w:eastAsia="zh-CN"/>
              </w:rPr>
              <w:t>(</w:t>
            </w:r>
            <w:r>
              <w:rPr>
                <w:color w:val="auto"/>
              </w:rPr>
              <w:t>GB18918-2002</w:t>
            </w:r>
            <w:r>
              <w:rPr>
                <w:rFonts w:hint="eastAsia"/>
                <w:color w:val="auto"/>
                <w:shd w:val="clear" w:fill="FFFFFF"/>
                <w:lang w:eastAsia="zh-CN"/>
              </w:rPr>
              <w:t>)</w:t>
            </w:r>
            <w:r>
              <w:rPr>
                <w:color w:val="auto"/>
              </w:rPr>
              <w:t>一级A标准。</w:t>
            </w:r>
          </w:p>
          <w:p w14:paraId="7243757E">
            <w:pPr>
              <w:pStyle w:val="140"/>
              <w:ind w:firstLine="480"/>
              <w:rPr>
                <w:color w:val="auto"/>
              </w:rPr>
            </w:pPr>
            <w:r>
              <w:rPr>
                <w:color w:val="auto"/>
              </w:rPr>
              <w:t>②服务范围</w:t>
            </w:r>
          </w:p>
          <w:p w14:paraId="25D96CB3">
            <w:pPr>
              <w:pStyle w:val="137"/>
              <w:rPr>
                <w:color w:val="auto"/>
              </w:rPr>
            </w:pPr>
            <w:r>
              <w:rPr>
                <w:color w:val="auto"/>
                <w:lang w:val="zh-CN"/>
              </w:rPr>
              <w:t>江阴工业区污水处理厂一期主要服务范围是工业区启动区块新江公路以西，现状海岸线以东，港口以北，福兴制药厂以南地块，面积约4.4km</w:t>
            </w:r>
            <w:r>
              <w:rPr>
                <w:color w:val="auto"/>
                <w:vertAlign w:val="superscript"/>
                <w:lang w:val="zh-CN"/>
              </w:rPr>
              <w:t>2</w:t>
            </w:r>
            <w:r>
              <w:rPr>
                <w:color w:val="auto"/>
                <w:lang w:val="zh-CN"/>
              </w:rPr>
              <w:t>。二期服务范围有所扩大，福清出口加工区围网内3km</w:t>
            </w:r>
            <w:r>
              <w:rPr>
                <w:color w:val="auto"/>
                <w:vertAlign w:val="superscript"/>
                <w:lang w:val="zh-CN"/>
              </w:rPr>
              <w:t>2</w:t>
            </w:r>
            <w:r>
              <w:rPr>
                <w:color w:val="auto"/>
                <w:lang w:val="zh-CN"/>
              </w:rPr>
              <w:t>的工业废水及生活污水也纳入二期服务范围。工业废水来自综合工业区内及福清出口加工区围网内企业生产过程中产生的废水，包括工厂内部生活污水；生活污水来自新江公路以北，西山村以西的生活及公建区，以及福清出口加工区围网内的生活污水，二期工程的服务范围扩大至福州市保税港区。污水处理厂厂前收集系统管网已建设6.1km，污水处理</w:t>
            </w:r>
            <w:r>
              <w:rPr>
                <w:rFonts w:hint="eastAsia"/>
                <w:color w:val="auto"/>
                <w:shd w:val="clear" w:fill="FFFFFF"/>
                <w:lang w:val="zh-CN"/>
              </w:rPr>
              <w:t>厂</w:t>
            </w:r>
            <w:r>
              <w:rPr>
                <w:color w:val="auto"/>
                <w:lang w:val="zh-CN"/>
              </w:rPr>
              <w:t>后尾水排污管线已建设5.4km，海上段已</w:t>
            </w:r>
            <w:r>
              <w:rPr>
                <w:rFonts w:hint="eastAsia"/>
                <w:color w:val="auto"/>
                <w:lang w:val="zh-CN"/>
              </w:rPr>
              <w:t>建设</w:t>
            </w:r>
            <w:r>
              <w:rPr>
                <w:color w:val="auto"/>
                <w:lang w:val="zh-CN"/>
              </w:rPr>
              <w:t>968m。现有工业集中区内企业污水已经全部纳入</w:t>
            </w:r>
            <w:r>
              <w:rPr>
                <w:rFonts w:hint="eastAsia"/>
                <w:color w:val="auto"/>
                <w:lang w:val="zh-CN"/>
              </w:rPr>
              <w:t>污水处理厂</w:t>
            </w:r>
            <w:r>
              <w:rPr>
                <w:color w:val="auto"/>
                <w:lang w:val="zh-CN"/>
              </w:rPr>
              <w:t>管网收集服务范围</w:t>
            </w:r>
            <w:r>
              <w:rPr>
                <w:color w:val="auto"/>
              </w:rPr>
              <w:t>。</w:t>
            </w:r>
          </w:p>
          <w:p w14:paraId="4C7FCB92">
            <w:pPr>
              <w:pStyle w:val="140"/>
              <w:ind w:firstLine="480"/>
              <w:rPr>
                <w:color w:val="auto"/>
              </w:rPr>
            </w:pPr>
            <w:r>
              <w:rPr>
                <w:color w:val="auto"/>
              </w:rPr>
              <w:t>③设计出水指标</w:t>
            </w:r>
          </w:p>
          <w:p w14:paraId="61C04103">
            <w:pPr>
              <w:pStyle w:val="137"/>
              <w:rPr>
                <w:color w:val="auto"/>
              </w:rPr>
            </w:pPr>
            <w:r>
              <w:rPr>
                <w:rFonts w:hint="eastAsia"/>
                <w:color w:val="auto"/>
                <w:lang w:eastAsia="zh-CN"/>
              </w:rPr>
              <w:t>江阴污水处理厂</w:t>
            </w:r>
            <w:r>
              <w:rPr>
                <w:color w:val="auto"/>
              </w:rPr>
              <w:t>要求各企业出水水质达到江阴工业区集中污水处理厂主要进水指标要求，</w:t>
            </w:r>
            <w:r>
              <w:rPr>
                <w:color w:val="auto"/>
                <w:shd w:val="clear" w:fill="FFFFFF"/>
              </w:rPr>
              <w:t>其它</w:t>
            </w:r>
            <w:r>
              <w:rPr>
                <w:color w:val="auto"/>
              </w:rPr>
              <w:t>水质指标满足《污水综合排放标准》</w:t>
            </w:r>
            <w:r>
              <w:rPr>
                <w:rFonts w:hint="eastAsia"/>
                <w:color w:val="auto"/>
                <w:lang w:eastAsia="zh-CN"/>
              </w:rPr>
              <w:t>(</w:t>
            </w:r>
            <w:r>
              <w:rPr>
                <w:color w:val="auto"/>
              </w:rPr>
              <w:t>GB8978-1996</w:t>
            </w:r>
            <w:r>
              <w:rPr>
                <w:rFonts w:hint="eastAsia"/>
                <w:color w:val="auto"/>
                <w:shd w:val="clear" w:fill="FFFFFF"/>
                <w:lang w:eastAsia="zh-CN"/>
              </w:rPr>
              <w:t>)</w:t>
            </w:r>
            <w:r>
              <w:rPr>
                <w:color w:val="auto"/>
              </w:rPr>
              <w:t>三级标准及《污水排入城市下水道水质标准》</w:t>
            </w:r>
            <w:r>
              <w:rPr>
                <w:rFonts w:hint="eastAsia"/>
                <w:color w:val="auto"/>
                <w:lang w:eastAsia="zh-CN"/>
              </w:rPr>
              <w:t>(</w:t>
            </w:r>
            <w:r>
              <w:rPr>
                <w:color w:val="auto"/>
              </w:rPr>
              <w:t>GB/T31962-2015</w:t>
            </w:r>
            <w:r>
              <w:rPr>
                <w:rFonts w:hint="eastAsia"/>
                <w:color w:val="auto"/>
                <w:lang w:eastAsia="zh-CN"/>
              </w:rPr>
              <w:t>)</w:t>
            </w:r>
            <w:r>
              <w:rPr>
                <w:color w:val="auto"/>
              </w:rPr>
              <w:t>B级标准及相关行业污染物排放标准后才能接入。</w:t>
            </w:r>
          </w:p>
          <w:p w14:paraId="3E527DE4">
            <w:pPr>
              <w:pStyle w:val="140"/>
              <w:ind w:firstLine="480"/>
              <w:rPr>
                <w:color w:val="auto"/>
              </w:rPr>
            </w:pPr>
            <w:r>
              <w:rPr>
                <w:rFonts w:hint="eastAsia"/>
                <w:color w:val="auto"/>
                <w:lang w:eastAsia="zh-CN"/>
              </w:rPr>
              <w:t>江阴污水处理厂</w:t>
            </w:r>
            <w:r>
              <w:rPr>
                <w:rFonts w:hint="eastAsia"/>
                <w:color w:val="auto"/>
                <w:lang w:val="en-US" w:eastAsia="zh-CN"/>
              </w:rPr>
              <w:t>的</w:t>
            </w:r>
            <w:r>
              <w:rPr>
                <w:color w:val="auto"/>
              </w:rPr>
              <w:t>出水水质标准为《城镇污水处理厂污染物排放标准》</w:t>
            </w:r>
            <w:r>
              <w:rPr>
                <w:rFonts w:hint="eastAsia"/>
                <w:color w:val="auto"/>
                <w:lang w:eastAsia="zh-CN"/>
              </w:rPr>
              <w:t>(</w:t>
            </w:r>
            <w:r>
              <w:rPr>
                <w:color w:val="auto"/>
              </w:rPr>
              <w:t>GB18918-2002</w:t>
            </w:r>
            <w:r>
              <w:rPr>
                <w:rFonts w:hint="eastAsia"/>
                <w:color w:val="auto"/>
                <w:shd w:val="clear" w:fill="FFFFFF"/>
                <w:lang w:eastAsia="zh-CN"/>
              </w:rPr>
              <w:t>)</w:t>
            </w:r>
            <w:r>
              <w:rPr>
                <w:color w:val="auto"/>
              </w:rPr>
              <w:t>一级A标准，进出水水质指标见表4.</w:t>
            </w:r>
            <w:r>
              <w:rPr>
                <w:rFonts w:hint="eastAsia"/>
                <w:color w:val="auto"/>
              </w:rPr>
              <w:t>3-3</w:t>
            </w:r>
            <w:r>
              <w:rPr>
                <w:color w:val="auto"/>
              </w:rPr>
              <w:t>。</w:t>
            </w:r>
          </w:p>
          <w:p w14:paraId="7E11AA97">
            <w:pPr>
              <w:pStyle w:val="140"/>
              <w:ind w:firstLine="480"/>
              <w:rPr>
                <w:color w:val="auto"/>
              </w:rPr>
            </w:pPr>
            <w:r>
              <w:rPr>
                <w:color w:val="auto"/>
              </w:rPr>
              <w:t>④处理工艺流程</w:t>
            </w:r>
          </w:p>
          <w:p w14:paraId="5947C4E4">
            <w:pPr>
              <w:pStyle w:val="137"/>
              <w:rPr>
                <w:color w:val="auto"/>
              </w:rPr>
            </w:pPr>
            <w:r>
              <w:rPr>
                <w:color w:val="auto"/>
                <w:lang w:val="zh-CN"/>
              </w:rPr>
              <w:t>工业区企业废水达到纳管标准，经工业区管网进入江阴污水处理厂，采用“粗格栅及提升泵房+细格栅及旋流沉砂池+水解酸化池+两级AO池+二沉池+中间水池+芬顿氧化塔+高密度沉淀池+转盘式微过滤器+接触消毒池”工艺处理后排海，根据《排污许可证申请与核发技术规范 水处理</w:t>
            </w:r>
            <w:r>
              <w:rPr>
                <w:rFonts w:hint="eastAsia"/>
                <w:color w:val="auto"/>
                <w:shd w:val="clear" w:fill="FFFFFF"/>
                <w:lang w:val="zh-CN"/>
              </w:rPr>
              <w:t>(</w:t>
            </w:r>
            <w:r>
              <w:rPr>
                <w:color w:val="auto"/>
                <w:lang w:val="zh-CN"/>
              </w:rPr>
              <w:t>试行</w:t>
            </w:r>
            <w:r>
              <w:rPr>
                <w:rFonts w:hint="eastAsia"/>
                <w:color w:val="auto"/>
                <w:shd w:val="clear" w:fill="FFFFFF"/>
                <w:lang w:val="zh-CN"/>
              </w:rPr>
              <w:t>)</w:t>
            </w:r>
            <w:r>
              <w:rPr>
                <w:color w:val="auto"/>
                <w:lang w:val="zh-CN"/>
              </w:rPr>
              <w:t>》</w:t>
            </w:r>
            <w:r>
              <w:rPr>
                <w:rFonts w:hint="eastAsia"/>
                <w:color w:val="auto"/>
                <w:lang w:val="zh-CN"/>
              </w:rPr>
              <w:t>(</w:t>
            </w:r>
            <w:r>
              <w:rPr>
                <w:color w:val="auto"/>
                <w:lang w:val="zh-CN"/>
              </w:rPr>
              <w:t>HJ978-2018</w:t>
            </w:r>
            <w:r>
              <w:rPr>
                <w:rFonts w:hint="eastAsia"/>
                <w:color w:val="auto"/>
                <w:shd w:val="clear" w:fill="FFFFFF"/>
                <w:lang w:val="zh-CN"/>
              </w:rPr>
              <w:t>)</w:t>
            </w:r>
            <w:r>
              <w:rPr>
                <w:color w:val="auto"/>
                <w:lang w:val="zh-CN"/>
              </w:rPr>
              <w:t>表4污水处理可行技术参照表，</w:t>
            </w:r>
            <w:r>
              <w:rPr>
                <w:rFonts w:hint="eastAsia"/>
                <w:color w:val="auto"/>
                <w:lang w:val="zh-CN"/>
              </w:rPr>
              <w:t>污水处理厂</w:t>
            </w:r>
            <w:r>
              <w:rPr>
                <w:color w:val="auto"/>
                <w:lang w:val="zh-CN"/>
              </w:rPr>
              <w:t>采用的工艺为可行技术</w:t>
            </w:r>
            <w:r>
              <w:rPr>
                <w:color w:val="auto"/>
              </w:rPr>
              <w:t>。</w:t>
            </w:r>
          </w:p>
          <w:p w14:paraId="4EEDBA5A">
            <w:pPr>
              <w:pStyle w:val="77"/>
              <w:rPr>
                <w:color w:val="auto"/>
                <w:sz w:val="24"/>
              </w:rPr>
            </w:pPr>
            <w:r>
              <w:rPr>
                <w:color w:val="auto"/>
                <w:sz w:val="24"/>
              </w:rPr>
              <w:t>表4.</w:t>
            </w:r>
            <w:r>
              <w:rPr>
                <w:rFonts w:hint="eastAsia"/>
                <w:color w:val="auto"/>
                <w:sz w:val="24"/>
              </w:rPr>
              <w:t>3-3</w:t>
            </w:r>
            <w:r>
              <w:rPr>
                <w:color w:val="auto"/>
                <w:sz w:val="24"/>
              </w:rPr>
              <w:t xml:space="preserve">  纳管水质和设计出水水质指标一览表    单位：mg/L</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978"/>
              <w:gridCol w:w="893"/>
              <w:gridCol w:w="713"/>
              <w:gridCol w:w="988"/>
              <w:gridCol w:w="1048"/>
              <w:gridCol w:w="1043"/>
              <w:gridCol w:w="1036"/>
            </w:tblGrid>
            <w:tr w14:paraId="4BA69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5" w:type="dxa"/>
                  <w:tcBorders>
                    <w:tl2br w:val="nil"/>
                    <w:tr2bl w:val="nil"/>
                  </w:tcBorders>
                  <w:vAlign w:val="center"/>
                </w:tcPr>
                <w:p w14:paraId="5550373D">
                  <w:pPr>
                    <w:pStyle w:val="135"/>
                    <w:rPr>
                      <w:color w:val="auto"/>
                    </w:rPr>
                  </w:pPr>
                  <w:r>
                    <w:rPr>
                      <w:color w:val="auto"/>
                    </w:rPr>
                    <w:t>项目</w:t>
                  </w:r>
                </w:p>
              </w:tc>
              <w:tc>
                <w:tcPr>
                  <w:tcW w:w="978" w:type="dxa"/>
                  <w:tcBorders>
                    <w:tl2br w:val="nil"/>
                    <w:tr2bl w:val="nil"/>
                  </w:tcBorders>
                  <w:vAlign w:val="center"/>
                </w:tcPr>
                <w:p w14:paraId="0F9502D6">
                  <w:pPr>
                    <w:pStyle w:val="135"/>
                    <w:rPr>
                      <w:color w:val="auto"/>
                    </w:rPr>
                  </w:pPr>
                  <w:r>
                    <w:rPr>
                      <w:color w:val="auto"/>
                      <w:shd w:val="clear" w:fill="FFFFFF"/>
                    </w:rPr>
                    <w:t>COD</w:t>
                  </w:r>
                  <w:r>
                    <w:rPr>
                      <w:color w:val="auto"/>
                      <w:shd w:val="clear" w:fill="FFFFFF"/>
                      <w:vertAlign w:val="subscript"/>
                    </w:rPr>
                    <w:t>Cr</w:t>
                  </w:r>
                </w:p>
              </w:tc>
              <w:tc>
                <w:tcPr>
                  <w:tcW w:w="893" w:type="dxa"/>
                  <w:tcBorders>
                    <w:tl2br w:val="nil"/>
                    <w:tr2bl w:val="nil"/>
                  </w:tcBorders>
                  <w:vAlign w:val="center"/>
                </w:tcPr>
                <w:p w14:paraId="5B204553">
                  <w:pPr>
                    <w:pStyle w:val="135"/>
                    <w:rPr>
                      <w:color w:val="auto"/>
                    </w:rPr>
                  </w:pPr>
                  <w:r>
                    <w:rPr>
                      <w:color w:val="auto"/>
                    </w:rPr>
                    <w:t>BOD</w:t>
                  </w:r>
                  <w:r>
                    <w:rPr>
                      <w:color w:val="auto"/>
                      <w:vertAlign w:val="subscript"/>
                    </w:rPr>
                    <w:t>5</w:t>
                  </w:r>
                </w:p>
              </w:tc>
              <w:tc>
                <w:tcPr>
                  <w:tcW w:w="713" w:type="dxa"/>
                  <w:tcBorders>
                    <w:tl2br w:val="nil"/>
                    <w:tr2bl w:val="nil"/>
                  </w:tcBorders>
                  <w:vAlign w:val="center"/>
                </w:tcPr>
                <w:p w14:paraId="7324CAA1">
                  <w:pPr>
                    <w:pStyle w:val="135"/>
                    <w:rPr>
                      <w:color w:val="auto"/>
                    </w:rPr>
                  </w:pPr>
                  <w:r>
                    <w:rPr>
                      <w:color w:val="auto"/>
                    </w:rPr>
                    <w:t>SS</w:t>
                  </w:r>
                </w:p>
              </w:tc>
              <w:tc>
                <w:tcPr>
                  <w:tcW w:w="988" w:type="dxa"/>
                  <w:tcBorders>
                    <w:tl2br w:val="nil"/>
                    <w:tr2bl w:val="nil"/>
                  </w:tcBorders>
                  <w:vAlign w:val="center"/>
                </w:tcPr>
                <w:p w14:paraId="1C5D8F8B">
                  <w:pPr>
                    <w:pStyle w:val="135"/>
                    <w:rPr>
                      <w:color w:val="auto"/>
                    </w:rPr>
                  </w:pPr>
                  <w:r>
                    <w:rPr>
                      <w:color w:val="auto"/>
                    </w:rPr>
                    <w:t>NH</w:t>
                  </w:r>
                  <w:r>
                    <w:rPr>
                      <w:color w:val="auto"/>
                      <w:vertAlign w:val="subscript"/>
                    </w:rPr>
                    <w:t>3</w:t>
                  </w:r>
                  <w:r>
                    <w:rPr>
                      <w:color w:val="auto"/>
                    </w:rPr>
                    <w:t>-N</w:t>
                  </w:r>
                </w:p>
              </w:tc>
              <w:tc>
                <w:tcPr>
                  <w:tcW w:w="1048" w:type="dxa"/>
                  <w:tcBorders>
                    <w:tl2br w:val="nil"/>
                    <w:tr2bl w:val="nil"/>
                  </w:tcBorders>
                  <w:vAlign w:val="center"/>
                </w:tcPr>
                <w:p w14:paraId="428EF035">
                  <w:pPr>
                    <w:pStyle w:val="135"/>
                    <w:rPr>
                      <w:color w:val="auto"/>
                    </w:rPr>
                  </w:pPr>
                  <w:r>
                    <w:rPr>
                      <w:color w:val="auto"/>
                    </w:rPr>
                    <w:t>TN</w:t>
                  </w:r>
                </w:p>
              </w:tc>
              <w:tc>
                <w:tcPr>
                  <w:tcW w:w="1043" w:type="dxa"/>
                  <w:tcBorders>
                    <w:tl2br w:val="nil"/>
                    <w:tr2bl w:val="nil"/>
                  </w:tcBorders>
                  <w:vAlign w:val="center"/>
                </w:tcPr>
                <w:p w14:paraId="1B8A474B">
                  <w:pPr>
                    <w:pStyle w:val="135"/>
                    <w:rPr>
                      <w:color w:val="auto"/>
                    </w:rPr>
                  </w:pPr>
                  <w:r>
                    <w:rPr>
                      <w:color w:val="auto"/>
                    </w:rPr>
                    <w:t>TP</w:t>
                  </w:r>
                </w:p>
              </w:tc>
              <w:tc>
                <w:tcPr>
                  <w:tcW w:w="1036" w:type="dxa"/>
                  <w:tcBorders>
                    <w:tl2br w:val="nil"/>
                    <w:tr2bl w:val="nil"/>
                  </w:tcBorders>
                  <w:vAlign w:val="center"/>
                </w:tcPr>
                <w:p w14:paraId="37CFD5EB">
                  <w:pPr>
                    <w:pStyle w:val="135"/>
                    <w:rPr>
                      <w:color w:val="auto"/>
                    </w:rPr>
                  </w:pPr>
                  <w:r>
                    <w:rPr>
                      <w:color w:val="auto"/>
                    </w:rPr>
                    <w:t>石油类</w:t>
                  </w:r>
                </w:p>
              </w:tc>
            </w:tr>
            <w:tr w14:paraId="22423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5" w:type="dxa"/>
                  <w:tcBorders>
                    <w:tl2br w:val="nil"/>
                    <w:tr2bl w:val="nil"/>
                  </w:tcBorders>
                  <w:vAlign w:val="center"/>
                </w:tcPr>
                <w:p w14:paraId="2D0B098E">
                  <w:pPr>
                    <w:pStyle w:val="135"/>
                    <w:rPr>
                      <w:color w:val="auto"/>
                    </w:rPr>
                  </w:pPr>
                  <w:r>
                    <w:rPr>
                      <w:color w:val="auto"/>
                    </w:rPr>
                    <w:t>纳管水质</w:t>
                  </w:r>
                </w:p>
              </w:tc>
              <w:tc>
                <w:tcPr>
                  <w:tcW w:w="978" w:type="dxa"/>
                  <w:tcBorders>
                    <w:tl2br w:val="nil"/>
                    <w:tr2bl w:val="nil"/>
                  </w:tcBorders>
                  <w:vAlign w:val="center"/>
                </w:tcPr>
                <w:p w14:paraId="7A55A317">
                  <w:pPr>
                    <w:pStyle w:val="135"/>
                    <w:rPr>
                      <w:color w:val="auto"/>
                    </w:rPr>
                  </w:pPr>
                  <w:r>
                    <w:rPr>
                      <w:color w:val="auto"/>
                    </w:rPr>
                    <w:t>500</w:t>
                  </w:r>
                </w:p>
              </w:tc>
              <w:tc>
                <w:tcPr>
                  <w:tcW w:w="893" w:type="dxa"/>
                  <w:tcBorders>
                    <w:tl2br w:val="nil"/>
                    <w:tr2bl w:val="nil"/>
                  </w:tcBorders>
                  <w:vAlign w:val="center"/>
                </w:tcPr>
                <w:p w14:paraId="20145C42">
                  <w:pPr>
                    <w:pStyle w:val="135"/>
                    <w:rPr>
                      <w:color w:val="auto"/>
                    </w:rPr>
                  </w:pPr>
                  <w:r>
                    <w:rPr>
                      <w:color w:val="auto"/>
                    </w:rPr>
                    <w:t>300</w:t>
                  </w:r>
                </w:p>
              </w:tc>
              <w:tc>
                <w:tcPr>
                  <w:tcW w:w="713" w:type="dxa"/>
                  <w:tcBorders>
                    <w:tl2br w:val="nil"/>
                    <w:tr2bl w:val="nil"/>
                  </w:tcBorders>
                  <w:vAlign w:val="center"/>
                </w:tcPr>
                <w:p w14:paraId="18524FA6">
                  <w:pPr>
                    <w:pStyle w:val="135"/>
                    <w:rPr>
                      <w:color w:val="auto"/>
                    </w:rPr>
                  </w:pPr>
                  <w:r>
                    <w:rPr>
                      <w:color w:val="auto"/>
                    </w:rPr>
                    <w:t>400</w:t>
                  </w:r>
                </w:p>
              </w:tc>
              <w:tc>
                <w:tcPr>
                  <w:tcW w:w="988" w:type="dxa"/>
                  <w:tcBorders>
                    <w:tl2br w:val="nil"/>
                    <w:tr2bl w:val="nil"/>
                  </w:tcBorders>
                  <w:vAlign w:val="center"/>
                </w:tcPr>
                <w:p w14:paraId="402C35DA">
                  <w:pPr>
                    <w:pStyle w:val="135"/>
                    <w:rPr>
                      <w:color w:val="auto"/>
                    </w:rPr>
                  </w:pPr>
                  <w:r>
                    <w:rPr>
                      <w:color w:val="auto"/>
                    </w:rPr>
                    <w:t>60</w:t>
                  </w:r>
                </w:p>
              </w:tc>
              <w:tc>
                <w:tcPr>
                  <w:tcW w:w="1048" w:type="dxa"/>
                  <w:tcBorders>
                    <w:tl2br w:val="nil"/>
                    <w:tr2bl w:val="nil"/>
                  </w:tcBorders>
                  <w:vAlign w:val="center"/>
                </w:tcPr>
                <w:p w14:paraId="61DB588C">
                  <w:pPr>
                    <w:pStyle w:val="135"/>
                    <w:rPr>
                      <w:color w:val="auto"/>
                    </w:rPr>
                  </w:pPr>
                  <w:r>
                    <w:rPr>
                      <w:color w:val="auto"/>
                    </w:rPr>
                    <w:t>70</w:t>
                  </w:r>
                </w:p>
              </w:tc>
              <w:tc>
                <w:tcPr>
                  <w:tcW w:w="1043" w:type="dxa"/>
                  <w:tcBorders>
                    <w:tl2br w:val="nil"/>
                    <w:tr2bl w:val="nil"/>
                  </w:tcBorders>
                  <w:vAlign w:val="center"/>
                </w:tcPr>
                <w:p w14:paraId="2224358A">
                  <w:pPr>
                    <w:pStyle w:val="135"/>
                    <w:rPr>
                      <w:color w:val="auto"/>
                    </w:rPr>
                  </w:pPr>
                  <w:r>
                    <w:rPr>
                      <w:color w:val="auto"/>
                    </w:rPr>
                    <w:t>8</w:t>
                  </w:r>
                </w:p>
              </w:tc>
              <w:tc>
                <w:tcPr>
                  <w:tcW w:w="1036" w:type="dxa"/>
                  <w:tcBorders>
                    <w:tl2br w:val="nil"/>
                    <w:tr2bl w:val="nil"/>
                  </w:tcBorders>
                  <w:vAlign w:val="center"/>
                </w:tcPr>
                <w:p w14:paraId="0F8C409A">
                  <w:pPr>
                    <w:pStyle w:val="135"/>
                    <w:rPr>
                      <w:color w:val="auto"/>
                    </w:rPr>
                  </w:pPr>
                  <w:r>
                    <w:rPr>
                      <w:color w:val="auto"/>
                    </w:rPr>
                    <w:t>20</w:t>
                  </w:r>
                </w:p>
              </w:tc>
            </w:tr>
            <w:tr w14:paraId="2A05A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5" w:type="dxa"/>
                  <w:tcBorders>
                    <w:tl2br w:val="nil"/>
                    <w:tr2bl w:val="nil"/>
                  </w:tcBorders>
                  <w:vAlign w:val="center"/>
                </w:tcPr>
                <w:p w14:paraId="6A854623">
                  <w:pPr>
                    <w:pStyle w:val="135"/>
                    <w:rPr>
                      <w:color w:val="auto"/>
                    </w:rPr>
                  </w:pPr>
                  <w:r>
                    <w:rPr>
                      <w:color w:val="auto"/>
                    </w:rPr>
                    <w:t>设计出水水质</w:t>
                  </w:r>
                </w:p>
              </w:tc>
              <w:tc>
                <w:tcPr>
                  <w:tcW w:w="978" w:type="dxa"/>
                  <w:tcBorders>
                    <w:tl2br w:val="nil"/>
                    <w:tr2bl w:val="nil"/>
                  </w:tcBorders>
                  <w:vAlign w:val="center"/>
                </w:tcPr>
                <w:p w14:paraId="5C198BE8">
                  <w:pPr>
                    <w:pStyle w:val="135"/>
                    <w:rPr>
                      <w:color w:val="auto"/>
                    </w:rPr>
                  </w:pPr>
                  <w:r>
                    <w:rPr>
                      <w:color w:val="auto"/>
                    </w:rPr>
                    <w:t>≤50</w:t>
                  </w:r>
                </w:p>
              </w:tc>
              <w:tc>
                <w:tcPr>
                  <w:tcW w:w="893" w:type="dxa"/>
                  <w:tcBorders>
                    <w:tl2br w:val="nil"/>
                    <w:tr2bl w:val="nil"/>
                  </w:tcBorders>
                  <w:vAlign w:val="center"/>
                </w:tcPr>
                <w:p w14:paraId="36130C04">
                  <w:pPr>
                    <w:pStyle w:val="135"/>
                    <w:rPr>
                      <w:color w:val="auto"/>
                    </w:rPr>
                  </w:pPr>
                  <w:r>
                    <w:rPr>
                      <w:color w:val="auto"/>
                    </w:rPr>
                    <w:t>≤10</w:t>
                  </w:r>
                </w:p>
              </w:tc>
              <w:tc>
                <w:tcPr>
                  <w:tcW w:w="713" w:type="dxa"/>
                  <w:tcBorders>
                    <w:tl2br w:val="nil"/>
                    <w:tr2bl w:val="nil"/>
                  </w:tcBorders>
                  <w:vAlign w:val="center"/>
                </w:tcPr>
                <w:p w14:paraId="40078AF5">
                  <w:pPr>
                    <w:pStyle w:val="135"/>
                    <w:rPr>
                      <w:color w:val="auto"/>
                    </w:rPr>
                  </w:pPr>
                  <w:r>
                    <w:rPr>
                      <w:color w:val="auto"/>
                    </w:rPr>
                    <w:t>≤10</w:t>
                  </w:r>
                </w:p>
              </w:tc>
              <w:tc>
                <w:tcPr>
                  <w:tcW w:w="988" w:type="dxa"/>
                  <w:tcBorders>
                    <w:tl2br w:val="nil"/>
                    <w:tr2bl w:val="nil"/>
                  </w:tcBorders>
                  <w:vAlign w:val="center"/>
                </w:tcPr>
                <w:p w14:paraId="7F8CFFB6">
                  <w:pPr>
                    <w:pStyle w:val="135"/>
                    <w:rPr>
                      <w:rFonts w:hint="eastAsia" w:eastAsia="宋体"/>
                      <w:color w:val="auto"/>
                      <w:lang w:eastAsia="zh-CN"/>
                    </w:rPr>
                  </w:pPr>
                  <w:r>
                    <w:rPr>
                      <w:color w:val="auto"/>
                    </w:rPr>
                    <w:t>≤5</w:t>
                  </w:r>
                  <w:r>
                    <w:rPr>
                      <w:rFonts w:hint="eastAsia"/>
                      <w:color w:val="auto"/>
                      <w:lang w:eastAsia="zh-CN"/>
                    </w:rPr>
                    <w:t>(</w:t>
                  </w:r>
                  <w:r>
                    <w:rPr>
                      <w:color w:val="auto"/>
                    </w:rPr>
                    <w:t>8</w:t>
                  </w:r>
                  <w:r>
                    <w:rPr>
                      <w:rFonts w:hint="eastAsia"/>
                      <w:color w:val="auto"/>
                      <w:lang w:eastAsia="zh-CN"/>
                    </w:rPr>
                    <w:t>)</w:t>
                  </w:r>
                </w:p>
              </w:tc>
              <w:tc>
                <w:tcPr>
                  <w:tcW w:w="1048" w:type="dxa"/>
                  <w:tcBorders>
                    <w:tl2br w:val="nil"/>
                    <w:tr2bl w:val="nil"/>
                  </w:tcBorders>
                  <w:vAlign w:val="center"/>
                </w:tcPr>
                <w:p w14:paraId="2760B8F7">
                  <w:pPr>
                    <w:pStyle w:val="135"/>
                    <w:rPr>
                      <w:color w:val="auto"/>
                    </w:rPr>
                  </w:pPr>
                  <w:r>
                    <w:rPr>
                      <w:color w:val="auto"/>
                    </w:rPr>
                    <w:t>≤15</w:t>
                  </w:r>
                </w:p>
              </w:tc>
              <w:tc>
                <w:tcPr>
                  <w:tcW w:w="1043" w:type="dxa"/>
                  <w:tcBorders>
                    <w:tl2br w:val="nil"/>
                    <w:tr2bl w:val="nil"/>
                  </w:tcBorders>
                  <w:vAlign w:val="center"/>
                </w:tcPr>
                <w:p w14:paraId="0D4E19E6">
                  <w:pPr>
                    <w:pStyle w:val="135"/>
                    <w:rPr>
                      <w:color w:val="auto"/>
                    </w:rPr>
                  </w:pPr>
                  <w:r>
                    <w:rPr>
                      <w:color w:val="auto"/>
                    </w:rPr>
                    <w:t>≤0.5</w:t>
                  </w:r>
                </w:p>
              </w:tc>
              <w:tc>
                <w:tcPr>
                  <w:tcW w:w="1036" w:type="dxa"/>
                  <w:tcBorders>
                    <w:tl2br w:val="nil"/>
                    <w:tr2bl w:val="nil"/>
                  </w:tcBorders>
                  <w:vAlign w:val="center"/>
                </w:tcPr>
                <w:p w14:paraId="37BAEE12">
                  <w:pPr>
                    <w:pStyle w:val="135"/>
                    <w:rPr>
                      <w:color w:val="auto"/>
                    </w:rPr>
                  </w:pPr>
                  <w:r>
                    <w:rPr>
                      <w:color w:val="auto"/>
                    </w:rPr>
                    <w:t>≤1</w:t>
                  </w:r>
                </w:p>
              </w:tc>
            </w:tr>
          </w:tbl>
          <w:p w14:paraId="7BE808B7">
            <w:pPr>
              <w:pStyle w:val="150"/>
              <w:ind w:left="420" w:leftChars="200" w:firstLine="0" w:firstLineChars="0"/>
              <w:rPr>
                <w:color w:val="auto"/>
              </w:rPr>
            </w:pPr>
            <w:r>
              <w:rPr>
                <w:rFonts w:hint="eastAsia"/>
                <w:color w:val="auto"/>
              </w:rPr>
              <w:t>(2</w:t>
            </w:r>
            <w:r>
              <w:rPr>
                <w:rFonts w:hint="eastAsia"/>
                <w:color w:val="auto"/>
                <w:shd w:val="clear" w:fill="FFFFFF"/>
              </w:rPr>
              <w:t>)</w:t>
            </w:r>
            <w:r>
              <w:rPr>
                <w:color w:val="auto"/>
              </w:rPr>
              <w:t>污水纳入工业区</w:t>
            </w:r>
            <w:r>
              <w:rPr>
                <w:rFonts w:hint="eastAsia"/>
                <w:color w:val="auto"/>
                <w:lang w:eastAsia="zh-CN"/>
              </w:rPr>
              <w:t>污水处理厂</w:t>
            </w:r>
            <w:r>
              <w:rPr>
                <w:color w:val="auto"/>
              </w:rPr>
              <w:t>可行性分析</w:t>
            </w:r>
          </w:p>
          <w:p w14:paraId="64AB1D57">
            <w:pPr>
              <w:pStyle w:val="137"/>
              <w:rPr>
                <w:color w:val="auto"/>
              </w:rPr>
            </w:pPr>
            <w:r>
              <w:rPr>
                <w:color w:val="auto"/>
              </w:rPr>
              <w:t>①水质接纳可行性分析</w:t>
            </w:r>
          </w:p>
          <w:p w14:paraId="63DB8E13">
            <w:pPr>
              <w:pStyle w:val="137"/>
              <w:rPr>
                <w:color w:val="auto"/>
              </w:rPr>
            </w:pPr>
            <w:r>
              <w:rPr>
                <w:rFonts w:hint="eastAsia"/>
                <w:color w:val="auto"/>
                <w:lang w:eastAsia="zh-CN"/>
              </w:rPr>
              <w:t>迁建项目</w:t>
            </w:r>
            <w:r>
              <w:rPr>
                <w:rFonts w:hint="eastAsia"/>
                <w:color w:val="auto"/>
              </w:rPr>
              <w:t>生活污水</w:t>
            </w:r>
            <w:r>
              <w:rPr>
                <w:color w:val="auto"/>
              </w:rPr>
              <w:t>经厂区</w:t>
            </w:r>
            <w:r>
              <w:rPr>
                <w:rFonts w:hint="eastAsia"/>
                <w:color w:val="auto"/>
              </w:rPr>
              <w:t>化粪池</w:t>
            </w:r>
            <w:r>
              <w:rPr>
                <w:color w:val="auto"/>
              </w:rPr>
              <w:t>处理后排入园区污水处理厂进一步处置，根据工程分析可知，</w:t>
            </w:r>
            <w:r>
              <w:rPr>
                <w:rFonts w:hint="eastAsia"/>
                <w:color w:val="auto"/>
                <w:lang w:eastAsia="zh-CN"/>
              </w:rPr>
              <w:t>迁建项目</w:t>
            </w:r>
            <w:r>
              <w:rPr>
                <w:color w:val="auto"/>
              </w:rPr>
              <w:t>废水水质简单，主要污染物为COD、</w:t>
            </w:r>
            <w:r>
              <w:rPr>
                <w:rFonts w:hint="eastAsia"/>
                <w:color w:val="auto"/>
              </w:rPr>
              <w:t>BOD</w:t>
            </w:r>
            <w:r>
              <w:rPr>
                <w:rFonts w:hint="eastAsia"/>
                <w:color w:val="auto"/>
                <w:vertAlign w:val="subscript"/>
              </w:rPr>
              <w:t>5</w:t>
            </w:r>
            <w:r>
              <w:rPr>
                <w:rFonts w:hint="eastAsia"/>
                <w:color w:val="auto"/>
              </w:rPr>
              <w:t>、</w:t>
            </w:r>
            <w:r>
              <w:rPr>
                <w:color w:val="auto"/>
              </w:rPr>
              <w:t>氨氮、SS且产生浓度较低，经厂区</w:t>
            </w:r>
            <w:r>
              <w:rPr>
                <w:rFonts w:hint="eastAsia"/>
                <w:color w:val="auto"/>
              </w:rPr>
              <w:t>化粪池处理</w:t>
            </w:r>
            <w:r>
              <w:rPr>
                <w:color w:val="auto"/>
              </w:rPr>
              <w:t>后的废水符合园区污水处理厂接纳限值。</w:t>
            </w:r>
          </w:p>
          <w:p w14:paraId="3641D8AF">
            <w:pPr>
              <w:pStyle w:val="137"/>
              <w:rPr>
                <w:color w:val="auto"/>
              </w:rPr>
            </w:pPr>
            <w:r>
              <w:rPr>
                <w:color w:val="auto"/>
              </w:rPr>
              <w:t>②水量接纳可行性分析</w:t>
            </w:r>
          </w:p>
          <w:p w14:paraId="01E890CF">
            <w:pPr>
              <w:pStyle w:val="137"/>
              <w:rPr>
                <w:color w:val="auto"/>
              </w:rPr>
            </w:pPr>
            <w:r>
              <w:rPr>
                <w:rFonts w:hint="default" w:ascii="Times New Roman" w:hAnsi="Times New Roman" w:cs="Times New Roman"/>
                <w:color w:val="auto"/>
                <w:sz w:val="24"/>
                <w:szCs w:val="24"/>
              </w:rPr>
              <w:t>2023年10月，</w:t>
            </w:r>
            <w:r>
              <w:rPr>
                <w:rFonts w:hint="eastAsia"/>
                <w:color w:val="auto"/>
                <w:sz w:val="24"/>
                <w:szCs w:val="24"/>
              </w:rPr>
              <w:t>江阴工业集中区污水处理厂</w:t>
            </w:r>
            <w:r>
              <w:rPr>
                <w:rFonts w:hint="default" w:ascii="Times New Roman" w:hAnsi="Times New Roman" w:cs="Times New Roman"/>
                <w:color w:val="auto"/>
                <w:sz w:val="24"/>
                <w:szCs w:val="24"/>
              </w:rPr>
              <w:t>中期工程投用，</w:t>
            </w:r>
            <w:r>
              <w:rPr>
                <w:rFonts w:hint="default" w:ascii="Times New Roman" w:hAnsi="Times New Roman" w:cs="Times New Roman"/>
                <w:color w:val="auto"/>
                <w:sz w:val="24"/>
                <w:szCs w:val="24"/>
                <w:lang w:val="zh-CN"/>
              </w:rPr>
              <w:t>目前总处理能力为8万t/d</w:t>
            </w:r>
            <w:r>
              <w:rPr>
                <w:rFonts w:hint="default" w:ascii="Times New Roman" w:hAnsi="Times New Roman" w:cs="Times New Roman"/>
                <w:color w:val="auto"/>
                <w:sz w:val="24"/>
                <w:szCs w:val="24"/>
              </w:rPr>
              <w:t>。根据调查，截止至2024年8月，污水处理厂实际处理量为79956.392t/d，处理能力余量为45.608t/d，本项目建成后全厂废水排放量约为5.6t/d，</w:t>
            </w:r>
            <w:r>
              <w:rPr>
                <w:rFonts w:hint="default" w:ascii="Times New Roman" w:hAnsi="Times New Roman" w:eastAsia="宋体" w:cs="Times New Roman"/>
                <w:color w:val="auto"/>
                <w:sz w:val="24"/>
                <w:szCs w:val="24"/>
                <w:lang w:val="en-US" w:eastAsia="zh-CN"/>
              </w:rPr>
              <w:t>占</w:t>
            </w:r>
            <w:r>
              <w:rPr>
                <w:rFonts w:hint="eastAsia" w:cs="Times New Roman"/>
                <w:color w:val="auto"/>
                <w:sz w:val="24"/>
                <w:szCs w:val="24"/>
                <w:lang w:val="en-US" w:eastAsia="zh-CN"/>
              </w:rPr>
              <w:t>污水处理厂</w:t>
            </w:r>
            <w:r>
              <w:rPr>
                <w:rFonts w:hint="default" w:ascii="Times New Roman" w:hAnsi="Times New Roman" w:eastAsia="宋体" w:cs="Times New Roman"/>
                <w:color w:val="auto"/>
                <w:sz w:val="24"/>
                <w:szCs w:val="24"/>
                <w:lang w:val="en-US" w:eastAsia="zh-CN"/>
              </w:rPr>
              <w:t>剩余处理规模的</w:t>
            </w:r>
            <w:r>
              <w:rPr>
                <w:rFonts w:hint="eastAsia" w:ascii="Times New Roman" w:hAnsi="Times New Roman" w:eastAsia="宋体" w:cs="Times New Roman"/>
                <w:color w:val="auto"/>
                <w:sz w:val="24"/>
                <w:szCs w:val="24"/>
                <w:lang w:val="en-US" w:eastAsia="zh-CN"/>
              </w:rPr>
              <w:t>12.3</w:t>
            </w:r>
            <w:r>
              <w:rPr>
                <w:rFonts w:hint="default" w:ascii="Times New Roman" w:hAnsi="Times New Roman" w:eastAsia="宋体" w:cs="Times New Roman"/>
                <w:color w:val="auto"/>
                <w:sz w:val="24"/>
                <w:szCs w:val="24"/>
                <w:lang w:val="en-US" w:eastAsia="zh-CN"/>
              </w:rPr>
              <w:t>%，</w:t>
            </w:r>
            <w:r>
              <w:rPr>
                <w:rFonts w:hint="eastAsia"/>
                <w:color w:val="auto"/>
                <w:sz w:val="24"/>
                <w:szCs w:val="24"/>
              </w:rPr>
              <w:t>江阴工业集中区污水处理厂</w:t>
            </w:r>
            <w:r>
              <w:rPr>
                <w:rFonts w:hint="default" w:ascii="Times New Roman" w:hAnsi="Times New Roman" w:eastAsia="宋体" w:cs="Times New Roman"/>
                <w:color w:val="auto"/>
                <w:sz w:val="24"/>
                <w:szCs w:val="24"/>
                <w:lang w:val="en-US" w:eastAsia="zh-CN"/>
              </w:rPr>
              <w:t>有足够的余量处理本项目外排废水，因此，本项目废水不会对</w:t>
            </w:r>
            <w:r>
              <w:rPr>
                <w:rFonts w:hint="eastAsia"/>
                <w:color w:val="auto"/>
                <w:sz w:val="24"/>
                <w:szCs w:val="24"/>
              </w:rPr>
              <w:t>江阴工业集中区污水处理厂</w:t>
            </w:r>
            <w:r>
              <w:rPr>
                <w:rFonts w:hint="default" w:ascii="Times New Roman" w:hAnsi="Times New Roman" w:eastAsia="宋体" w:cs="Times New Roman"/>
                <w:color w:val="auto"/>
                <w:sz w:val="24"/>
                <w:szCs w:val="24"/>
                <w:lang w:val="en-US" w:eastAsia="zh-CN"/>
              </w:rPr>
              <w:t>造成明显负荷冲击</w:t>
            </w:r>
            <w:r>
              <w:rPr>
                <w:rFonts w:hint="eastAsia" w:ascii="Times New Roman" w:hAnsi="Times New Roman" w:eastAsia="宋体" w:cs="Times New Roman"/>
                <w:color w:val="auto"/>
                <w:sz w:val="24"/>
                <w:szCs w:val="24"/>
                <w:lang w:val="en-US" w:eastAsia="zh-CN"/>
              </w:rPr>
              <w:t>，</w:t>
            </w:r>
            <w:r>
              <w:rPr>
                <w:color w:val="auto"/>
                <w:sz w:val="24"/>
                <w:szCs w:val="24"/>
              </w:rPr>
              <w:t>从水量接纳角度分析是可行的</w:t>
            </w:r>
            <w:r>
              <w:rPr>
                <w:color w:val="auto"/>
              </w:rPr>
              <w:t>。</w:t>
            </w:r>
          </w:p>
          <w:p w14:paraId="00FDD0F8">
            <w:pPr>
              <w:pStyle w:val="137"/>
              <w:rPr>
                <w:color w:val="auto"/>
              </w:rPr>
            </w:pPr>
            <w:r>
              <w:rPr>
                <w:color w:val="auto"/>
              </w:rPr>
              <w:t>③管网</w:t>
            </w:r>
            <w:r>
              <w:rPr>
                <w:rFonts w:hint="eastAsia"/>
                <w:color w:val="auto"/>
                <w:lang w:eastAsia="zh-CN"/>
              </w:rPr>
              <w:t>接驳</w:t>
            </w:r>
            <w:r>
              <w:rPr>
                <w:color w:val="auto"/>
              </w:rPr>
              <w:t>可行性分析</w:t>
            </w:r>
          </w:p>
          <w:p w14:paraId="78D61238">
            <w:pPr>
              <w:pStyle w:val="137"/>
              <w:rPr>
                <w:color w:val="auto"/>
              </w:rPr>
            </w:pPr>
            <w:r>
              <w:rPr>
                <w:rFonts w:hint="eastAsia"/>
                <w:color w:val="auto"/>
                <w:lang w:eastAsia="zh-CN"/>
              </w:rPr>
              <w:t>迁建项目</w:t>
            </w:r>
            <w:r>
              <w:rPr>
                <w:color w:val="auto"/>
              </w:rPr>
              <w:t>位于江阴港城经济区启动区工业污水处理厂服务区范围之内，目前厂区周边已布设污水接收管道，因此</w:t>
            </w:r>
            <w:r>
              <w:rPr>
                <w:rFonts w:hint="eastAsia"/>
                <w:color w:val="auto"/>
                <w:lang w:eastAsia="zh-CN"/>
              </w:rPr>
              <w:t>迁建项目</w:t>
            </w:r>
            <w:r>
              <w:rPr>
                <w:color w:val="auto"/>
              </w:rPr>
              <w:t>排放的污水由园区</w:t>
            </w:r>
            <w:r>
              <w:rPr>
                <w:rFonts w:hint="eastAsia"/>
                <w:color w:val="auto"/>
                <w:lang w:eastAsia="zh-CN"/>
              </w:rPr>
              <w:t>污水处理厂</w:t>
            </w:r>
            <w:r>
              <w:rPr>
                <w:color w:val="auto"/>
              </w:rPr>
              <w:t>接收处置是可行的。</w:t>
            </w:r>
          </w:p>
          <w:p w14:paraId="53019FFD">
            <w:pPr>
              <w:pStyle w:val="137"/>
              <w:rPr>
                <w:color w:val="auto"/>
              </w:rPr>
            </w:pPr>
            <w:r>
              <w:rPr>
                <w:color w:val="auto"/>
              </w:rPr>
              <w:t>综合以上分析，</w:t>
            </w:r>
            <w:r>
              <w:rPr>
                <w:rFonts w:hint="eastAsia"/>
                <w:color w:val="auto"/>
                <w:lang w:eastAsia="zh-CN"/>
              </w:rPr>
              <w:t>迁建项目</w:t>
            </w:r>
            <w:r>
              <w:rPr>
                <w:color w:val="auto"/>
              </w:rPr>
              <w:t>位于江阴港城经济区启动区工业污水处理厂服务区范围之内，从污水处理厂的处理工艺及接管标准要求分析，</w:t>
            </w:r>
            <w:r>
              <w:rPr>
                <w:rFonts w:hint="eastAsia"/>
                <w:color w:val="auto"/>
                <w:lang w:eastAsia="zh-CN"/>
              </w:rPr>
              <w:t>迁建项目</w:t>
            </w:r>
            <w:r>
              <w:rPr>
                <w:color w:val="auto"/>
              </w:rPr>
              <w:t>废水经厂区污水处理站处理后水质符合工业区</w:t>
            </w:r>
            <w:r>
              <w:rPr>
                <w:rFonts w:hint="eastAsia"/>
                <w:color w:val="auto"/>
                <w:lang w:eastAsia="zh-CN"/>
              </w:rPr>
              <w:t>污水处理厂</w:t>
            </w:r>
            <w:r>
              <w:rPr>
                <w:color w:val="auto"/>
              </w:rPr>
              <w:t>的接管标准要求，可以纳入园区污水处理厂进一步处置。</w:t>
            </w:r>
            <w:bookmarkEnd w:id="112"/>
            <w:bookmarkEnd w:id="113"/>
            <w:bookmarkEnd w:id="114"/>
            <w:bookmarkEnd w:id="115"/>
          </w:p>
          <w:p w14:paraId="7A5571D7">
            <w:pPr>
              <w:pStyle w:val="137"/>
              <w:numPr>
                <w:ilvl w:val="0"/>
                <w:numId w:val="0"/>
              </w:numPr>
              <w:ind w:left="0" w:leftChars="0" w:firstLine="482" w:firstLineChars="200"/>
              <w:rPr>
                <w:rFonts w:hint="eastAsia"/>
                <w:b/>
                <w:bCs/>
                <w:color w:val="auto"/>
                <w:kern w:val="2"/>
                <w:sz w:val="24"/>
                <w:szCs w:val="24"/>
              </w:rPr>
            </w:pPr>
            <w:r>
              <w:rPr>
                <w:rFonts w:hint="eastAsia" w:ascii="Times New Roman" w:hAnsi="Times New Roman" w:eastAsia="宋体" w:cs="Times New Roman"/>
                <w:b/>
                <w:bCs/>
                <w:color w:val="auto"/>
                <w:kern w:val="2"/>
                <w:sz w:val="24"/>
                <w:szCs w:val="24"/>
                <w:lang w:val="en-US" w:eastAsia="zh-CN" w:bidi="ar-SA"/>
              </w:rPr>
              <w:t>3、</w:t>
            </w:r>
            <w:r>
              <w:rPr>
                <w:rFonts w:hint="eastAsia"/>
                <w:b/>
                <w:bCs/>
                <w:color w:val="auto"/>
                <w:kern w:val="2"/>
                <w:sz w:val="24"/>
                <w:szCs w:val="24"/>
              </w:rPr>
              <w:t>清洗废</w:t>
            </w:r>
            <w:r>
              <w:rPr>
                <w:rFonts w:hint="eastAsia"/>
                <w:b/>
                <w:bCs/>
                <w:color w:val="auto"/>
                <w:kern w:val="2"/>
                <w:sz w:val="24"/>
                <w:szCs w:val="24"/>
                <w:lang w:val="en-US" w:eastAsia="zh-CN"/>
              </w:rPr>
              <w:t>水和初期雨水</w:t>
            </w:r>
            <w:r>
              <w:rPr>
                <w:rFonts w:hint="eastAsia"/>
                <w:b/>
                <w:bCs/>
                <w:color w:val="auto"/>
                <w:kern w:val="2"/>
                <w:sz w:val="24"/>
                <w:szCs w:val="24"/>
              </w:rPr>
              <w:t>回用可行性分析</w:t>
            </w:r>
          </w:p>
          <w:p w14:paraId="7E211EE4">
            <w:pPr>
              <w:pStyle w:val="68"/>
              <w:ind w:firstLine="480"/>
              <w:rPr>
                <w:color w:val="auto"/>
                <w:kern w:val="2"/>
                <w:sz w:val="24"/>
                <w:szCs w:val="24"/>
              </w:rPr>
            </w:pPr>
            <w:r>
              <w:rPr>
                <w:rFonts w:hint="eastAsia"/>
                <w:color w:val="auto"/>
                <w:kern w:val="2"/>
                <w:sz w:val="24"/>
                <w:szCs w:val="24"/>
                <w:lang w:eastAsia="zh-CN"/>
              </w:rPr>
              <w:t>本项目</w:t>
            </w:r>
            <w:r>
              <w:rPr>
                <w:rFonts w:hint="eastAsia"/>
                <w:color w:val="auto"/>
                <w:kern w:val="2"/>
                <w:sz w:val="24"/>
                <w:szCs w:val="24"/>
              </w:rPr>
              <w:t>搅拌机清洗废水产生量约为0.396t/d（118.8t/a）</w:t>
            </w:r>
            <w:r>
              <w:rPr>
                <w:rFonts w:hint="eastAsia"/>
                <w:color w:val="auto"/>
                <w:kern w:val="2"/>
                <w:sz w:val="24"/>
                <w:szCs w:val="24"/>
                <w:lang w:eastAsia="zh-CN"/>
              </w:rPr>
              <w:t>，</w:t>
            </w:r>
            <w:r>
              <w:rPr>
                <w:rFonts w:hint="eastAsia"/>
                <w:color w:val="auto"/>
                <w:kern w:val="2"/>
                <w:sz w:val="24"/>
                <w:szCs w:val="24"/>
              </w:rPr>
              <w:t>道路清洗废水产生量为6.75t/d（2025t/a）</w:t>
            </w:r>
            <w:r>
              <w:rPr>
                <w:rFonts w:hint="eastAsia"/>
                <w:color w:val="auto"/>
                <w:kern w:val="2"/>
                <w:sz w:val="24"/>
                <w:szCs w:val="24"/>
                <w:lang w:eastAsia="zh-CN"/>
              </w:rPr>
              <w:t>，清洗废水产生总量为</w:t>
            </w:r>
            <w:r>
              <w:rPr>
                <w:rFonts w:hint="eastAsia"/>
                <w:color w:val="auto"/>
                <w:kern w:val="2"/>
                <w:sz w:val="24"/>
                <w:szCs w:val="24"/>
                <w:lang w:val="en-US" w:eastAsia="zh-CN"/>
              </w:rPr>
              <w:t>7.146</w:t>
            </w:r>
            <w:r>
              <w:rPr>
                <w:rFonts w:hint="eastAsia"/>
                <w:color w:val="auto"/>
                <w:kern w:val="2"/>
                <w:sz w:val="24"/>
                <w:szCs w:val="24"/>
              </w:rPr>
              <w:t>t/d（2</w:t>
            </w:r>
            <w:r>
              <w:rPr>
                <w:rFonts w:hint="eastAsia"/>
                <w:color w:val="auto"/>
                <w:kern w:val="2"/>
                <w:sz w:val="24"/>
                <w:szCs w:val="24"/>
                <w:lang w:val="en-US" w:eastAsia="zh-CN"/>
              </w:rPr>
              <w:t>143.8</w:t>
            </w:r>
            <w:r>
              <w:rPr>
                <w:rFonts w:hint="eastAsia"/>
                <w:color w:val="auto"/>
                <w:kern w:val="2"/>
                <w:sz w:val="24"/>
                <w:szCs w:val="24"/>
              </w:rPr>
              <w:t>t/a）</w:t>
            </w:r>
            <w:r>
              <w:rPr>
                <w:rFonts w:hint="eastAsia"/>
                <w:color w:val="auto"/>
                <w:kern w:val="2"/>
                <w:sz w:val="24"/>
                <w:szCs w:val="24"/>
                <w:lang w:eastAsia="zh-CN"/>
              </w:rPr>
              <w:t>，</w:t>
            </w:r>
            <w:r>
              <w:rPr>
                <w:rFonts w:hint="eastAsia"/>
                <w:color w:val="auto"/>
                <w:kern w:val="2"/>
                <w:sz w:val="24"/>
                <w:szCs w:val="24"/>
              </w:rPr>
              <w:t>收集后经三级沉淀池处理后回用于养护工序，不外排。</w:t>
            </w:r>
          </w:p>
          <w:p w14:paraId="651F5113">
            <w:pPr>
              <w:pStyle w:val="68"/>
              <w:ind w:firstLine="480"/>
              <w:rPr>
                <w:rFonts w:hint="eastAsia" w:eastAsia="宋体"/>
                <w:color w:val="auto"/>
                <w:kern w:val="2"/>
                <w:sz w:val="24"/>
                <w:szCs w:val="24"/>
                <w:lang w:val="en-US" w:eastAsia="zh-CN"/>
              </w:rPr>
            </w:pPr>
            <w:r>
              <w:rPr>
                <w:rFonts w:hint="eastAsia" w:eastAsia="宋体"/>
                <w:color w:val="auto"/>
                <w:kern w:val="2"/>
                <w:sz w:val="24"/>
                <w:szCs w:val="24"/>
                <w:lang w:val="en-US" w:eastAsia="zh-CN"/>
              </w:rPr>
              <w:t>①</w:t>
            </w:r>
            <w:r>
              <w:rPr>
                <w:rFonts w:hint="eastAsia"/>
                <w:color w:val="auto"/>
                <w:kern w:val="2"/>
                <w:sz w:val="24"/>
                <w:szCs w:val="24"/>
                <w:lang w:val="en-US" w:eastAsia="zh-CN"/>
              </w:rPr>
              <w:t>本项目产生的清洗废水7.146t/d ，拟设置容积15m</w:t>
            </w:r>
            <w:r>
              <w:rPr>
                <w:rFonts w:hint="eastAsia"/>
                <w:color w:val="auto"/>
                <w:kern w:val="2"/>
                <w:sz w:val="24"/>
                <w:szCs w:val="24"/>
                <w:vertAlign w:val="superscript"/>
                <w:lang w:val="en-US" w:eastAsia="zh-CN"/>
              </w:rPr>
              <w:t>3</w:t>
            </w:r>
            <w:r>
              <w:rPr>
                <w:rFonts w:hint="eastAsia"/>
                <w:color w:val="auto"/>
                <w:kern w:val="2"/>
                <w:sz w:val="24"/>
                <w:szCs w:val="24"/>
                <w:lang w:val="en-US" w:eastAsia="zh-CN"/>
              </w:rPr>
              <w:t>的三级沉淀池可以容纳产生的清洗废水，符合接纳处理要求。</w:t>
            </w:r>
          </w:p>
          <w:p w14:paraId="0D04D63C">
            <w:pPr>
              <w:pStyle w:val="68"/>
              <w:ind w:firstLine="480"/>
              <w:rPr>
                <w:rFonts w:hint="eastAsia" w:ascii="Times New Roman" w:hAnsi="Times New Roman"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②</w:t>
            </w:r>
            <w:r>
              <w:rPr>
                <w:rFonts w:hint="eastAsia" w:ascii="Times New Roman" w:hAnsi="Times New Roman" w:cs="Times New Roman"/>
                <w:color w:val="auto"/>
                <w:kern w:val="2"/>
                <w:sz w:val="24"/>
                <w:szCs w:val="24"/>
                <w:lang w:val="en-US" w:eastAsia="zh-CN"/>
              </w:rPr>
              <w:t>参照《商品混凝土》杂志 2021年第5期中《搅拌站废水对混凝土性能的影响及回收利用》（黄海城，严舒超，吴志华，周应中，倪孔森），该杂志显示：搅拌站废水主要来源设备洗刷水、场地冲洗水、部分雨水，经中水自动化处理系统（主要处理工艺为压滤和沉淀）处理后</w:t>
            </w:r>
            <w:r>
              <w:rPr>
                <w:rFonts w:hint="eastAsia" w:cs="Times New Roman"/>
                <w:color w:val="auto"/>
                <w:kern w:val="2"/>
                <w:sz w:val="24"/>
                <w:szCs w:val="24"/>
                <w:lang w:val="en-US" w:eastAsia="zh-CN"/>
              </w:rPr>
              <w:t>回用于生产</w:t>
            </w:r>
            <w:r>
              <w:rPr>
                <w:rFonts w:hint="eastAsia" w:cs="Times New Roman"/>
                <w:color w:val="auto"/>
                <w:kern w:val="2"/>
                <w:sz w:val="24"/>
                <w:szCs w:val="24"/>
                <w:shd w:val="clear" w:fill="FFFFFF"/>
                <w:lang w:val="en-US" w:eastAsia="zh-CN"/>
              </w:rPr>
              <w:t>(</w:t>
            </w:r>
            <w:r>
              <w:rPr>
                <w:rFonts w:hint="eastAsia" w:cs="Times New Roman"/>
                <w:color w:val="auto"/>
                <w:kern w:val="2"/>
                <w:sz w:val="24"/>
                <w:szCs w:val="24"/>
                <w:lang w:val="en-US" w:eastAsia="zh-CN"/>
              </w:rPr>
              <w:t>养护工序</w:t>
            </w:r>
            <w:r>
              <w:rPr>
                <w:rFonts w:hint="eastAsia" w:cs="Times New Roman"/>
                <w:color w:val="auto"/>
                <w:kern w:val="2"/>
                <w:sz w:val="24"/>
                <w:szCs w:val="24"/>
                <w:shd w:val="clear" w:fill="FFFFFF"/>
                <w:lang w:val="en-US" w:eastAsia="zh-CN"/>
              </w:rPr>
              <w:t>)</w:t>
            </w:r>
            <w:r>
              <w:rPr>
                <w:rFonts w:hint="eastAsia" w:ascii="Times New Roman" w:hAnsi="Times New Roman" w:cs="Times New Roman"/>
                <w:color w:val="auto"/>
                <w:kern w:val="2"/>
                <w:sz w:val="24"/>
                <w:szCs w:val="24"/>
                <w:lang w:val="en-US" w:eastAsia="zh-CN"/>
              </w:rPr>
              <w:t>，经试验分析得出搅拌站废水经中水自动化处理系统处理后，污水的各参数项目符合《再生水用作工业用水水源的水质标准》（GB/T 19923-2005）和《混凝土用水标准》（JGJ63-2006）要求，本项目属于水泥预制品，产生的清洗废水主要为搅拌机清洗废水和道路清洗废水，与文献中研究的废水水质类型相似，且项目清洗废水经三级化粪池处理与文献中经中水自动化处理系统（主要处理工艺为压滤和沉淀）相似，则项目清洗废水经三级化粪池处理后水质各参数符合《再生水用作工业用水水源的水质标准》（GB/T 19923-2005）和《混凝土用水标准》（JGJ63-2006）要求。</w:t>
            </w:r>
          </w:p>
          <w:p w14:paraId="0FFB2683">
            <w:pPr>
              <w:pStyle w:val="68"/>
              <w:ind w:firstLine="480"/>
              <w:rPr>
                <w:rFonts w:hint="eastAsia" w:eastAsia="宋体"/>
                <w:color w:val="auto"/>
                <w:lang w:eastAsia="zh-CN"/>
              </w:rPr>
            </w:pPr>
            <w:r>
              <w:rPr>
                <w:rFonts w:hint="eastAsia" w:ascii="Times New Roman" w:hAnsi="Times New Roman" w:cs="Times New Roman"/>
                <w:color w:val="auto"/>
                <w:kern w:val="2"/>
                <w:sz w:val="24"/>
                <w:szCs w:val="24"/>
                <w:lang w:val="en-US" w:eastAsia="zh-CN"/>
              </w:rPr>
              <w:t>综上分析，本项目清洗废水经三级沉淀池处理后回用生产可行。</w:t>
            </w:r>
          </w:p>
        </w:tc>
      </w:tr>
    </w:tbl>
    <w:p w14:paraId="62964F75">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6"/>
        <w:tblW w:w="13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2495"/>
      </w:tblGrid>
      <w:tr w14:paraId="66F5A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44" w:type="dxa"/>
            <w:tcMar>
              <w:left w:w="28" w:type="dxa"/>
              <w:right w:w="28" w:type="dxa"/>
            </w:tcMar>
            <w:vAlign w:val="center"/>
          </w:tcPr>
          <w:p w14:paraId="2ADB9C42">
            <w:pPr>
              <w:pStyle w:val="31"/>
              <w:spacing w:before="0" w:beforeAutospacing="0" w:after="0" w:afterAutospacing="0"/>
              <w:jc w:val="center"/>
              <w:rPr>
                <w:rFonts w:ascii="Times New Roman" w:hAnsi="Times New Roman"/>
                <w:color w:val="auto"/>
                <w:kern w:val="21"/>
                <w:szCs w:val="24"/>
              </w:rPr>
            </w:pPr>
            <w:r>
              <w:rPr>
                <w:rFonts w:hint="eastAsia" w:ascii="Times New Roman" w:hAnsi="Times New Roman"/>
                <w:color w:val="auto"/>
                <w:kern w:val="21"/>
                <w:szCs w:val="24"/>
              </w:rPr>
              <w:t>运营期</w:t>
            </w:r>
            <w:r>
              <w:rPr>
                <w:rFonts w:ascii="Times New Roman" w:hAnsi="Times New Roman"/>
                <w:color w:val="auto"/>
                <w:kern w:val="21"/>
                <w:szCs w:val="24"/>
              </w:rPr>
              <w:t>环</w:t>
            </w:r>
          </w:p>
          <w:p w14:paraId="097FC7C7">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境保</w:t>
            </w:r>
          </w:p>
          <w:p w14:paraId="5A22BC74">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护措</w:t>
            </w:r>
          </w:p>
          <w:p w14:paraId="6E6E2654">
            <w:pPr>
              <w:jc w:val="center"/>
              <w:rPr>
                <w:color w:val="auto"/>
                <w:kern w:val="21"/>
                <w:sz w:val="24"/>
              </w:rPr>
            </w:pPr>
            <w:r>
              <w:rPr>
                <w:color w:val="auto"/>
                <w:kern w:val="21"/>
                <w:sz w:val="24"/>
              </w:rPr>
              <w:t>施</w:t>
            </w:r>
          </w:p>
        </w:tc>
        <w:tc>
          <w:tcPr>
            <w:tcW w:w="12495" w:type="dxa"/>
            <w:vAlign w:val="center"/>
          </w:tcPr>
          <w:p w14:paraId="3A00952A">
            <w:pPr>
              <w:pStyle w:val="77"/>
              <w:rPr>
                <w:color w:val="auto"/>
                <w:sz w:val="24"/>
              </w:rPr>
            </w:pPr>
            <w:r>
              <w:rPr>
                <w:rFonts w:hint="eastAsia"/>
                <w:color w:val="auto"/>
                <w:sz w:val="24"/>
              </w:rPr>
              <w:t>表4.3-4  废水类别、污染物及污染治理设施信息表</w:t>
            </w:r>
          </w:p>
          <w:tbl>
            <w:tblPr>
              <w:tblStyle w:val="37"/>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53"/>
              <w:gridCol w:w="986"/>
              <w:gridCol w:w="1552"/>
              <w:gridCol w:w="1000"/>
              <w:gridCol w:w="1064"/>
              <w:gridCol w:w="1044"/>
              <w:gridCol w:w="886"/>
              <w:gridCol w:w="908"/>
              <w:gridCol w:w="3055"/>
            </w:tblGrid>
            <w:tr w14:paraId="6EC6A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8" w:type="dxa"/>
                  <w:vMerge w:val="restart"/>
                  <w:tcBorders>
                    <w:tl2br w:val="nil"/>
                    <w:tr2bl w:val="nil"/>
                  </w:tcBorders>
                  <w:vAlign w:val="center"/>
                </w:tcPr>
                <w:p w14:paraId="782FAE8D">
                  <w:pPr>
                    <w:pStyle w:val="122"/>
                    <w:rPr>
                      <w:color w:val="auto"/>
                    </w:rPr>
                  </w:pPr>
                  <w:r>
                    <w:rPr>
                      <w:rFonts w:hint="eastAsia"/>
                      <w:color w:val="auto"/>
                    </w:rPr>
                    <w:t>废水类别</w:t>
                  </w:r>
                </w:p>
              </w:tc>
              <w:tc>
                <w:tcPr>
                  <w:tcW w:w="953" w:type="dxa"/>
                  <w:vMerge w:val="restart"/>
                  <w:tcBorders>
                    <w:tl2br w:val="nil"/>
                    <w:tr2bl w:val="nil"/>
                  </w:tcBorders>
                  <w:vAlign w:val="center"/>
                </w:tcPr>
                <w:p w14:paraId="73EDC692">
                  <w:pPr>
                    <w:pStyle w:val="122"/>
                    <w:rPr>
                      <w:color w:val="auto"/>
                    </w:rPr>
                  </w:pPr>
                  <w:r>
                    <w:rPr>
                      <w:rFonts w:hint="eastAsia"/>
                      <w:color w:val="auto"/>
                    </w:rPr>
                    <w:t>污染物种类</w:t>
                  </w:r>
                </w:p>
              </w:tc>
              <w:tc>
                <w:tcPr>
                  <w:tcW w:w="986" w:type="dxa"/>
                  <w:vMerge w:val="restart"/>
                  <w:tcBorders>
                    <w:tl2br w:val="nil"/>
                    <w:tr2bl w:val="nil"/>
                  </w:tcBorders>
                  <w:vAlign w:val="center"/>
                </w:tcPr>
                <w:p w14:paraId="382D2FB5">
                  <w:pPr>
                    <w:pStyle w:val="122"/>
                    <w:rPr>
                      <w:color w:val="auto"/>
                    </w:rPr>
                  </w:pPr>
                  <w:r>
                    <w:rPr>
                      <w:rFonts w:hint="eastAsia"/>
                      <w:color w:val="auto"/>
                    </w:rPr>
                    <w:t>排放</w:t>
                  </w:r>
                </w:p>
                <w:p w14:paraId="4724A265">
                  <w:pPr>
                    <w:pStyle w:val="122"/>
                    <w:rPr>
                      <w:color w:val="auto"/>
                    </w:rPr>
                  </w:pPr>
                  <w:r>
                    <w:rPr>
                      <w:rFonts w:hint="eastAsia"/>
                      <w:color w:val="auto"/>
                    </w:rPr>
                    <w:t>去向</w:t>
                  </w:r>
                </w:p>
              </w:tc>
              <w:tc>
                <w:tcPr>
                  <w:tcW w:w="1552" w:type="dxa"/>
                  <w:vMerge w:val="restart"/>
                  <w:tcBorders>
                    <w:tl2br w:val="nil"/>
                    <w:tr2bl w:val="nil"/>
                  </w:tcBorders>
                  <w:vAlign w:val="center"/>
                </w:tcPr>
                <w:p w14:paraId="03867739">
                  <w:pPr>
                    <w:pStyle w:val="122"/>
                    <w:rPr>
                      <w:color w:val="auto"/>
                    </w:rPr>
                  </w:pPr>
                  <w:r>
                    <w:rPr>
                      <w:rFonts w:hint="eastAsia"/>
                      <w:color w:val="auto"/>
                    </w:rPr>
                    <w:t>排放规律</w:t>
                  </w:r>
                </w:p>
              </w:tc>
              <w:tc>
                <w:tcPr>
                  <w:tcW w:w="3108" w:type="dxa"/>
                  <w:gridSpan w:val="3"/>
                  <w:tcBorders>
                    <w:tl2br w:val="nil"/>
                    <w:tr2bl w:val="nil"/>
                  </w:tcBorders>
                  <w:vAlign w:val="center"/>
                </w:tcPr>
                <w:p w14:paraId="659607B4">
                  <w:pPr>
                    <w:pStyle w:val="122"/>
                    <w:rPr>
                      <w:color w:val="auto"/>
                    </w:rPr>
                  </w:pPr>
                  <w:r>
                    <w:rPr>
                      <w:rFonts w:hint="eastAsia"/>
                      <w:color w:val="auto"/>
                    </w:rPr>
                    <w:t>污染治理设施</w:t>
                  </w:r>
                </w:p>
              </w:tc>
              <w:tc>
                <w:tcPr>
                  <w:tcW w:w="886" w:type="dxa"/>
                  <w:vMerge w:val="restart"/>
                  <w:tcBorders>
                    <w:tl2br w:val="nil"/>
                    <w:tr2bl w:val="nil"/>
                  </w:tcBorders>
                  <w:vAlign w:val="center"/>
                </w:tcPr>
                <w:p w14:paraId="7E19535F">
                  <w:pPr>
                    <w:pStyle w:val="122"/>
                    <w:rPr>
                      <w:color w:val="auto"/>
                    </w:rPr>
                  </w:pPr>
                  <w:r>
                    <w:rPr>
                      <w:rFonts w:hint="eastAsia"/>
                      <w:color w:val="auto"/>
                    </w:rPr>
                    <w:t>排放口编号</w:t>
                  </w:r>
                </w:p>
              </w:tc>
              <w:tc>
                <w:tcPr>
                  <w:tcW w:w="908" w:type="dxa"/>
                  <w:vMerge w:val="restart"/>
                  <w:tcBorders>
                    <w:tl2br w:val="nil"/>
                    <w:tr2bl w:val="nil"/>
                  </w:tcBorders>
                  <w:vAlign w:val="center"/>
                </w:tcPr>
                <w:p w14:paraId="3E7C69C5">
                  <w:pPr>
                    <w:pStyle w:val="122"/>
                    <w:rPr>
                      <w:color w:val="auto"/>
                    </w:rPr>
                  </w:pPr>
                  <w:r>
                    <w:rPr>
                      <w:rFonts w:hint="eastAsia"/>
                      <w:color w:val="auto"/>
                    </w:rPr>
                    <w:t>排放口设置是否符合要求</w:t>
                  </w:r>
                </w:p>
              </w:tc>
              <w:tc>
                <w:tcPr>
                  <w:tcW w:w="3055" w:type="dxa"/>
                  <w:vMerge w:val="restart"/>
                  <w:tcBorders>
                    <w:tl2br w:val="nil"/>
                    <w:tr2bl w:val="nil"/>
                  </w:tcBorders>
                  <w:vAlign w:val="center"/>
                </w:tcPr>
                <w:p w14:paraId="31E52885">
                  <w:pPr>
                    <w:pStyle w:val="122"/>
                    <w:rPr>
                      <w:color w:val="auto"/>
                    </w:rPr>
                  </w:pPr>
                  <w:r>
                    <w:rPr>
                      <w:rFonts w:hint="eastAsia"/>
                      <w:color w:val="auto"/>
                    </w:rPr>
                    <w:t>排放类型</w:t>
                  </w:r>
                </w:p>
              </w:tc>
            </w:tr>
            <w:tr w14:paraId="71560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8" w:type="dxa"/>
                  <w:vMerge w:val="continue"/>
                  <w:tcBorders>
                    <w:tl2br w:val="nil"/>
                    <w:tr2bl w:val="nil"/>
                  </w:tcBorders>
                  <w:vAlign w:val="center"/>
                </w:tcPr>
                <w:p w14:paraId="4A782A31">
                  <w:pPr>
                    <w:pStyle w:val="122"/>
                    <w:rPr>
                      <w:color w:val="auto"/>
                    </w:rPr>
                  </w:pPr>
                </w:p>
              </w:tc>
              <w:tc>
                <w:tcPr>
                  <w:tcW w:w="953" w:type="dxa"/>
                  <w:vMerge w:val="continue"/>
                  <w:tcBorders>
                    <w:tl2br w:val="nil"/>
                    <w:tr2bl w:val="nil"/>
                  </w:tcBorders>
                  <w:vAlign w:val="center"/>
                </w:tcPr>
                <w:p w14:paraId="56F67805">
                  <w:pPr>
                    <w:pStyle w:val="122"/>
                    <w:rPr>
                      <w:color w:val="auto"/>
                    </w:rPr>
                  </w:pPr>
                </w:p>
              </w:tc>
              <w:tc>
                <w:tcPr>
                  <w:tcW w:w="986" w:type="dxa"/>
                  <w:vMerge w:val="continue"/>
                  <w:tcBorders>
                    <w:tl2br w:val="nil"/>
                    <w:tr2bl w:val="nil"/>
                  </w:tcBorders>
                  <w:vAlign w:val="center"/>
                </w:tcPr>
                <w:p w14:paraId="61A4826A">
                  <w:pPr>
                    <w:pStyle w:val="122"/>
                    <w:rPr>
                      <w:color w:val="auto"/>
                    </w:rPr>
                  </w:pPr>
                </w:p>
              </w:tc>
              <w:tc>
                <w:tcPr>
                  <w:tcW w:w="1552" w:type="dxa"/>
                  <w:vMerge w:val="continue"/>
                  <w:tcBorders>
                    <w:tl2br w:val="nil"/>
                    <w:tr2bl w:val="nil"/>
                  </w:tcBorders>
                  <w:vAlign w:val="center"/>
                </w:tcPr>
                <w:p w14:paraId="694FB1D2">
                  <w:pPr>
                    <w:pStyle w:val="122"/>
                    <w:rPr>
                      <w:color w:val="auto"/>
                    </w:rPr>
                  </w:pPr>
                </w:p>
              </w:tc>
              <w:tc>
                <w:tcPr>
                  <w:tcW w:w="1000" w:type="dxa"/>
                  <w:tcBorders>
                    <w:tl2br w:val="nil"/>
                    <w:tr2bl w:val="nil"/>
                  </w:tcBorders>
                  <w:vAlign w:val="center"/>
                </w:tcPr>
                <w:p w14:paraId="1BE32D49">
                  <w:pPr>
                    <w:pStyle w:val="122"/>
                    <w:rPr>
                      <w:color w:val="auto"/>
                    </w:rPr>
                  </w:pPr>
                  <w:r>
                    <w:rPr>
                      <w:rFonts w:hint="eastAsia"/>
                      <w:color w:val="auto"/>
                    </w:rPr>
                    <w:t>污染治理设施编号</w:t>
                  </w:r>
                </w:p>
              </w:tc>
              <w:tc>
                <w:tcPr>
                  <w:tcW w:w="1064" w:type="dxa"/>
                  <w:tcBorders>
                    <w:tl2br w:val="nil"/>
                    <w:tr2bl w:val="nil"/>
                  </w:tcBorders>
                  <w:vAlign w:val="center"/>
                </w:tcPr>
                <w:p w14:paraId="1BF424AE">
                  <w:pPr>
                    <w:pStyle w:val="122"/>
                    <w:rPr>
                      <w:color w:val="auto"/>
                    </w:rPr>
                  </w:pPr>
                  <w:r>
                    <w:rPr>
                      <w:rFonts w:hint="eastAsia"/>
                      <w:color w:val="auto"/>
                    </w:rPr>
                    <w:t>污染治理设施名称</w:t>
                  </w:r>
                </w:p>
              </w:tc>
              <w:tc>
                <w:tcPr>
                  <w:tcW w:w="1044" w:type="dxa"/>
                  <w:tcBorders>
                    <w:tl2br w:val="nil"/>
                    <w:tr2bl w:val="nil"/>
                  </w:tcBorders>
                  <w:vAlign w:val="center"/>
                </w:tcPr>
                <w:p w14:paraId="5AA7DDB9">
                  <w:pPr>
                    <w:pStyle w:val="122"/>
                    <w:rPr>
                      <w:color w:val="auto"/>
                    </w:rPr>
                  </w:pPr>
                  <w:r>
                    <w:rPr>
                      <w:rFonts w:hint="eastAsia"/>
                      <w:color w:val="auto"/>
                    </w:rPr>
                    <w:t>污染治理设施工艺</w:t>
                  </w:r>
                </w:p>
              </w:tc>
              <w:tc>
                <w:tcPr>
                  <w:tcW w:w="886" w:type="dxa"/>
                  <w:vMerge w:val="continue"/>
                  <w:tcBorders>
                    <w:tl2br w:val="nil"/>
                    <w:tr2bl w:val="nil"/>
                  </w:tcBorders>
                  <w:vAlign w:val="center"/>
                </w:tcPr>
                <w:p w14:paraId="3FD6B806">
                  <w:pPr>
                    <w:pStyle w:val="122"/>
                    <w:rPr>
                      <w:color w:val="auto"/>
                    </w:rPr>
                  </w:pPr>
                </w:p>
              </w:tc>
              <w:tc>
                <w:tcPr>
                  <w:tcW w:w="908" w:type="dxa"/>
                  <w:vMerge w:val="continue"/>
                  <w:tcBorders>
                    <w:tl2br w:val="nil"/>
                    <w:tr2bl w:val="nil"/>
                  </w:tcBorders>
                  <w:vAlign w:val="center"/>
                </w:tcPr>
                <w:p w14:paraId="413A241E">
                  <w:pPr>
                    <w:pStyle w:val="122"/>
                    <w:rPr>
                      <w:color w:val="auto"/>
                    </w:rPr>
                  </w:pPr>
                </w:p>
              </w:tc>
              <w:tc>
                <w:tcPr>
                  <w:tcW w:w="3055" w:type="dxa"/>
                  <w:vMerge w:val="continue"/>
                  <w:tcBorders>
                    <w:tl2br w:val="nil"/>
                    <w:tr2bl w:val="nil"/>
                  </w:tcBorders>
                  <w:vAlign w:val="center"/>
                </w:tcPr>
                <w:p w14:paraId="71296CCA">
                  <w:pPr>
                    <w:pStyle w:val="122"/>
                    <w:rPr>
                      <w:color w:val="auto"/>
                    </w:rPr>
                  </w:pPr>
                </w:p>
              </w:tc>
            </w:tr>
            <w:tr w14:paraId="0316B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798" w:type="dxa"/>
                  <w:tcBorders>
                    <w:tl2br w:val="nil"/>
                    <w:tr2bl w:val="nil"/>
                  </w:tcBorders>
                  <w:vAlign w:val="center"/>
                </w:tcPr>
                <w:p w14:paraId="54785268">
                  <w:pPr>
                    <w:pStyle w:val="122"/>
                    <w:rPr>
                      <w:color w:val="auto"/>
                    </w:rPr>
                  </w:pPr>
                  <w:r>
                    <w:rPr>
                      <w:rFonts w:hint="eastAsia"/>
                      <w:color w:val="auto"/>
                    </w:rPr>
                    <w:t>生活</w:t>
                  </w:r>
                </w:p>
                <w:p w14:paraId="2431E6FA">
                  <w:pPr>
                    <w:pStyle w:val="122"/>
                    <w:rPr>
                      <w:color w:val="auto"/>
                    </w:rPr>
                  </w:pPr>
                  <w:r>
                    <w:rPr>
                      <w:rFonts w:hint="eastAsia"/>
                      <w:color w:val="auto"/>
                    </w:rPr>
                    <w:t>污水</w:t>
                  </w:r>
                </w:p>
              </w:tc>
              <w:tc>
                <w:tcPr>
                  <w:tcW w:w="953" w:type="dxa"/>
                  <w:tcBorders>
                    <w:tl2br w:val="nil"/>
                    <w:tr2bl w:val="nil"/>
                  </w:tcBorders>
                  <w:vAlign w:val="center"/>
                </w:tcPr>
                <w:p w14:paraId="2DC583D9">
                  <w:pPr>
                    <w:pStyle w:val="122"/>
                    <w:rPr>
                      <w:color w:val="auto"/>
                    </w:rPr>
                  </w:pPr>
                  <w:r>
                    <w:rPr>
                      <w:rFonts w:hint="eastAsia"/>
                      <w:color w:val="auto"/>
                    </w:rPr>
                    <w:t>pH、</w:t>
                  </w:r>
                  <w:r>
                    <w:rPr>
                      <w:color w:val="auto"/>
                    </w:rPr>
                    <w:t>COD、</w:t>
                  </w:r>
                  <w:r>
                    <w:rPr>
                      <w:rFonts w:hint="eastAsia"/>
                      <w:color w:val="auto"/>
                    </w:rPr>
                    <w:t>BOD</w:t>
                  </w:r>
                  <w:r>
                    <w:rPr>
                      <w:rFonts w:hint="eastAsia"/>
                      <w:color w:val="auto"/>
                      <w:vertAlign w:val="subscript"/>
                    </w:rPr>
                    <w:t>5</w:t>
                  </w:r>
                  <w:r>
                    <w:rPr>
                      <w:rFonts w:hint="eastAsia"/>
                      <w:color w:val="auto"/>
                    </w:rPr>
                    <w:t>、SS、</w:t>
                  </w:r>
                  <w:r>
                    <w:rPr>
                      <w:color w:val="auto"/>
                    </w:rPr>
                    <w:t>NH</w:t>
                  </w:r>
                  <w:r>
                    <w:rPr>
                      <w:color w:val="auto"/>
                      <w:vertAlign w:val="subscript"/>
                    </w:rPr>
                    <w:t>3</w:t>
                  </w:r>
                  <w:r>
                    <w:rPr>
                      <w:color w:val="auto"/>
                    </w:rPr>
                    <w:t>-N</w:t>
                  </w:r>
                </w:p>
              </w:tc>
              <w:tc>
                <w:tcPr>
                  <w:tcW w:w="986" w:type="dxa"/>
                  <w:tcBorders>
                    <w:tl2br w:val="nil"/>
                    <w:tr2bl w:val="nil"/>
                  </w:tcBorders>
                  <w:vAlign w:val="center"/>
                </w:tcPr>
                <w:p w14:paraId="7F07C8E9">
                  <w:pPr>
                    <w:pStyle w:val="122"/>
                    <w:rPr>
                      <w:color w:val="auto"/>
                    </w:rPr>
                  </w:pPr>
                  <w:r>
                    <w:rPr>
                      <w:color w:val="auto"/>
                    </w:rPr>
                    <w:t>进入城市污水处理厂</w:t>
                  </w:r>
                </w:p>
              </w:tc>
              <w:tc>
                <w:tcPr>
                  <w:tcW w:w="1552" w:type="dxa"/>
                  <w:tcBorders>
                    <w:tl2br w:val="nil"/>
                    <w:tr2bl w:val="nil"/>
                  </w:tcBorders>
                  <w:vAlign w:val="center"/>
                </w:tcPr>
                <w:p w14:paraId="43E1E344">
                  <w:pPr>
                    <w:pStyle w:val="122"/>
                    <w:rPr>
                      <w:color w:val="auto"/>
                    </w:rPr>
                  </w:pPr>
                  <w:r>
                    <w:rPr>
                      <w:color w:val="auto"/>
                    </w:rPr>
                    <w:t>间断排放</w:t>
                  </w:r>
                  <w:r>
                    <w:rPr>
                      <w:rFonts w:hint="eastAsia"/>
                      <w:color w:val="auto"/>
                    </w:rPr>
                    <w:t>，</w:t>
                  </w:r>
                  <w:r>
                    <w:rPr>
                      <w:color w:val="auto"/>
                    </w:rPr>
                    <w:t>排放期间流量不稳定且无规律，但不属于</w:t>
                  </w:r>
                  <w:r>
                    <w:rPr>
                      <w:color w:val="auto"/>
                      <w:shd w:val="clear" w:fill="FFFFFF"/>
                    </w:rPr>
                    <w:t>冲击型</w:t>
                  </w:r>
                  <w:r>
                    <w:rPr>
                      <w:color w:val="auto"/>
                    </w:rPr>
                    <w:t>排放</w:t>
                  </w:r>
                </w:p>
              </w:tc>
              <w:tc>
                <w:tcPr>
                  <w:tcW w:w="1000" w:type="dxa"/>
                  <w:tcBorders>
                    <w:tl2br w:val="nil"/>
                    <w:tr2bl w:val="nil"/>
                  </w:tcBorders>
                  <w:vAlign w:val="center"/>
                </w:tcPr>
                <w:p w14:paraId="19D56A35">
                  <w:pPr>
                    <w:pStyle w:val="122"/>
                    <w:rPr>
                      <w:color w:val="auto"/>
                    </w:rPr>
                  </w:pPr>
                  <w:r>
                    <w:rPr>
                      <w:rFonts w:hint="eastAsia"/>
                      <w:color w:val="auto"/>
                    </w:rPr>
                    <w:t>TW001</w:t>
                  </w:r>
                </w:p>
              </w:tc>
              <w:tc>
                <w:tcPr>
                  <w:tcW w:w="1064" w:type="dxa"/>
                  <w:tcBorders>
                    <w:tl2br w:val="nil"/>
                    <w:tr2bl w:val="nil"/>
                  </w:tcBorders>
                  <w:vAlign w:val="center"/>
                </w:tcPr>
                <w:p w14:paraId="5B783945">
                  <w:pPr>
                    <w:pStyle w:val="122"/>
                    <w:rPr>
                      <w:color w:val="auto"/>
                    </w:rPr>
                  </w:pPr>
                  <w:r>
                    <w:rPr>
                      <w:rFonts w:hint="eastAsia"/>
                      <w:color w:val="auto"/>
                    </w:rPr>
                    <w:t>化粪池</w:t>
                  </w:r>
                </w:p>
              </w:tc>
              <w:tc>
                <w:tcPr>
                  <w:tcW w:w="1044" w:type="dxa"/>
                  <w:tcBorders>
                    <w:tl2br w:val="nil"/>
                    <w:tr2bl w:val="nil"/>
                  </w:tcBorders>
                  <w:vAlign w:val="center"/>
                </w:tcPr>
                <w:p w14:paraId="50A5A57A">
                  <w:pPr>
                    <w:pStyle w:val="122"/>
                    <w:rPr>
                      <w:color w:val="auto"/>
                    </w:rPr>
                  </w:pPr>
                  <w:r>
                    <w:rPr>
                      <w:rFonts w:hint="eastAsia"/>
                      <w:color w:val="auto"/>
                    </w:rPr>
                    <w:t>沉淀、生化</w:t>
                  </w:r>
                </w:p>
              </w:tc>
              <w:tc>
                <w:tcPr>
                  <w:tcW w:w="886" w:type="dxa"/>
                  <w:tcBorders>
                    <w:tl2br w:val="nil"/>
                    <w:tr2bl w:val="nil"/>
                  </w:tcBorders>
                  <w:vAlign w:val="center"/>
                </w:tcPr>
                <w:p w14:paraId="1F24F0A3">
                  <w:pPr>
                    <w:pStyle w:val="122"/>
                    <w:rPr>
                      <w:color w:val="auto"/>
                    </w:rPr>
                  </w:pPr>
                  <w:r>
                    <w:rPr>
                      <w:color w:val="auto"/>
                    </w:rPr>
                    <w:t>DW001</w:t>
                  </w:r>
                </w:p>
              </w:tc>
              <w:tc>
                <w:tcPr>
                  <w:tcW w:w="908" w:type="dxa"/>
                  <w:tcBorders>
                    <w:tl2br w:val="nil"/>
                    <w:tr2bl w:val="nil"/>
                  </w:tcBorders>
                  <w:vAlign w:val="center"/>
                </w:tcPr>
                <w:p w14:paraId="66952BE4">
                  <w:pPr>
                    <w:pStyle w:val="122"/>
                    <w:rPr>
                      <w:color w:val="auto"/>
                    </w:rPr>
                  </w:pPr>
                  <w:r>
                    <w:rPr>
                      <w:color w:val="auto"/>
                      <w:shd w:val="clear" w:fill="FFFFFF"/>
                    </w:rPr>
                    <w:sym w:font="Wingdings" w:char="00FE"/>
                  </w:r>
                  <w:r>
                    <w:rPr>
                      <w:color w:val="auto"/>
                    </w:rPr>
                    <w:t xml:space="preserve"> 是</w:t>
                  </w:r>
                </w:p>
                <w:p w14:paraId="20FD9066">
                  <w:pPr>
                    <w:pStyle w:val="122"/>
                    <w:rPr>
                      <w:color w:val="auto"/>
                    </w:rPr>
                  </w:pPr>
                  <w:r>
                    <w:rPr>
                      <w:color w:val="auto"/>
                      <w:shd w:val="clear" w:fill="FFFFFF"/>
                    </w:rPr>
                    <w:sym w:font="Wingdings" w:char="00A8"/>
                  </w:r>
                  <w:r>
                    <w:rPr>
                      <w:color w:val="auto"/>
                    </w:rPr>
                    <w:t xml:space="preserve"> 否</w:t>
                  </w:r>
                </w:p>
              </w:tc>
              <w:tc>
                <w:tcPr>
                  <w:tcW w:w="3055" w:type="dxa"/>
                  <w:tcBorders>
                    <w:tl2br w:val="nil"/>
                    <w:tr2bl w:val="nil"/>
                  </w:tcBorders>
                  <w:vAlign w:val="center"/>
                </w:tcPr>
                <w:p w14:paraId="18AE3B3B">
                  <w:pPr>
                    <w:pStyle w:val="122"/>
                    <w:jc w:val="left"/>
                    <w:rPr>
                      <w:color w:val="auto"/>
                    </w:rPr>
                  </w:pPr>
                  <w:r>
                    <w:rPr>
                      <w:color w:val="auto"/>
                      <w:shd w:val="clear" w:fill="FFFFFF"/>
                    </w:rPr>
                    <w:sym w:font="Wingdings" w:char="00A8"/>
                  </w:r>
                  <w:r>
                    <w:rPr>
                      <w:color w:val="auto"/>
                    </w:rPr>
                    <w:t xml:space="preserve"> 企业总排</w:t>
                  </w:r>
                </w:p>
                <w:p w14:paraId="1C3D53EB">
                  <w:pPr>
                    <w:pStyle w:val="122"/>
                    <w:jc w:val="left"/>
                    <w:rPr>
                      <w:color w:val="auto"/>
                    </w:rPr>
                  </w:pPr>
                  <w:r>
                    <w:rPr>
                      <w:color w:val="auto"/>
                      <w:shd w:val="clear" w:fill="FFFFFF"/>
                    </w:rPr>
                    <w:sym w:font="Wingdings" w:char="00A8"/>
                  </w:r>
                  <w:r>
                    <w:rPr>
                      <w:color w:val="auto"/>
                    </w:rPr>
                    <w:t xml:space="preserve"> 雨水排放</w:t>
                  </w:r>
                </w:p>
                <w:p w14:paraId="187986E6">
                  <w:pPr>
                    <w:pStyle w:val="122"/>
                    <w:jc w:val="left"/>
                    <w:rPr>
                      <w:color w:val="auto"/>
                    </w:rPr>
                  </w:pPr>
                  <w:r>
                    <w:rPr>
                      <w:color w:val="auto"/>
                      <w:shd w:val="clear" w:fill="FFFFFF"/>
                    </w:rPr>
                    <w:sym w:font="Wingdings" w:char="00A8"/>
                  </w:r>
                  <w:r>
                    <w:rPr>
                      <w:color w:val="auto"/>
                    </w:rPr>
                    <w:t xml:space="preserve"> 清净下水排放</w:t>
                  </w:r>
                </w:p>
                <w:p w14:paraId="72095114">
                  <w:pPr>
                    <w:pStyle w:val="122"/>
                    <w:jc w:val="left"/>
                    <w:rPr>
                      <w:color w:val="auto"/>
                    </w:rPr>
                  </w:pPr>
                  <w:r>
                    <w:rPr>
                      <w:color w:val="auto"/>
                      <w:shd w:val="clear" w:fill="FFFFFF"/>
                    </w:rPr>
                    <w:sym w:font="Wingdings" w:char="00A8"/>
                  </w:r>
                  <w:r>
                    <w:rPr>
                      <w:color w:val="auto"/>
                    </w:rPr>
                    <w:t xml:space="preserve"> 温水排放</w:t>
                  </w:r>
                </w:p>
                <w:p w14:paraId="21FCF20D">
                  <w:pPr>
                    <w:pStyle w:val="122"/>
                    <w:jc w:val="left"/>
                    <w:rPr>
                      <w:color w:val="auto"/>
                    </w:rPr>
                  </w:pPr>
                  <w:r>
                    <w:rPr>
                      <w:color w:val="auto"/>
                      <w:shd w:val="clear" w:fill="FFFFFF"/>
                    </w:rPr>
                    <w:sym w:font="Wingdings" w:char="00A8"/>
                  </w:r>
                  <w:r>
                    <w:rPr>
                      <w:color w:val="auto"/>
                    </w:rPr>
                    <w:t xml:space="preserve"> 车间或车间处理设施排放口</w:t>
                  </w:r>
                </w:p>
                <w:p w14:paraId="36AE72CA">
                  <w:pPr>
                    <w:pStyle w:val="122"/>
                    <w:jc w:val="left"/>
                    <w:rPr>
                      <w:color w:val="auto"/>
                    </w:rPr>
                  </w:pPr>
                  <w:r>
                    <w:rPr>
                      <w:color w:val="auto"/>
                      <w:shd w:val="clear" w:fill="FFFFFF"/>
                    </w:rPr>
                    <w:sym w:font="Wingdings" w:char="00FE"/>
                  </w:r>
                  <w:r>
                    <w:rPr>
                      <w:rFonts w:hint="eastAsia"/>
                      <w:color w:val="auto"/>
                    </w:rPr>
                    <w:t xml:space="preserve"> </w:t>
                  </w:r>
                  <w:r>
                    <w:rPr>
                      <w:rFonts w:hint="eastAsia"/>
                      <w:color w:val="auto"/>
                      <w:shd w:val="clear" w:fill="FFFFFF"/>
                    </w:rPr>
                    <w:t>其它</w:t>
                  </w:r>
                </w:p>
              </w:tc>
            </w:tr>
          </w:tbl>
          <w:p w14:paraId="1241289C">
            <w:pPr>
              <w:pStyle w:val="77"/>
              <w:rPr>
                <w:color w:val="auto"/>
                <w:sz w:val="24"/>
              </w:rPr>
            </w:pPr>
            <w:r>
              <w:rPr>
                <w:rFonts w:hint="eastAsia"/>
                <w:color w:val="auto"/>
                <w:sz w:val="24"/>
              </w:rPr>
              <w:t xml:space="preserve">表4.3-5  </w:t>
            </w:r>
            <w:r>
              <w:rPr>
                <w:color w:val="auto"/>
                <w:sz w:val="24"/>
              </w:rPr>
              <w:t>废水间接排放口基本情况表</w:t>
            </w:r>
          </w:p>
          <w:tbl>
            <w:tblPr>
              <w:tblStyle w:val="37"/>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851"/>
              <w:gridCol w:w="1027"/>
              <w:gridCol w:w="974"/>
              <w:gridCol w:w="1937"/>
              <w:gridCol w:w="1153"/>
              <w:gridCol w:w="1046"/>
              <w:gridCol w:w="1163"/>
              <w:gridCol w:w="2117"/>
            </w:tblGrid>
            <w:tr w14:paraId="19C1E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restart"/>
                  <w:tcBorders>
                    <w:tl2br w:val="nil"/>
                    <w:tr2bl w:val="nil"/>
                  </w:tcBorders>
                  <w:vAlign w:val="center"/>
                </w:tcPr>
                <w:p w14:paraId="6BFFCB03">
                  <w:pPr>
                    <w:pStyle w:val="122"/>
                    <w:rPr>
                      <w:color w:val="auto"/>
                    </w:rPr>
                  </w:pPr>
                  <w:r>
                    <w:rPr>
                      <w:rFonts w:hint="eastAsia"/>
                      <w:color w:val="auto"/>
                    </w:rPr>
                    <w:t>排放口编码</w:t>
                  </w:r>
                </w:p>
              </w:tc>
              <w:tc>
                <w:tcPr>
                  <w:tcW w:w="1851" w:type="dxa"/>
                  <w:vMerge w:val="restart"/>
                  <w:tcBorders>
                    <w:tl2br w:val="nil"/>
                    <w:tr2bl w:val="nil"/>
                  </w:tcBorders>
                  <w:vAlign w:val="center"/>
                </w:tcPr>
                <w:p w14:paraId="2C5B4E2F">
                  <w:pPr>
                    <w:pStyle w:val="122"/>
                    <w:rPr>
                      <w:color w:val="auto"/>
                    </w:rPr>
                  </w:pPr>
                  <w:r>
                    <w:rPr>
                      <w:rFonts w:hint="eastAsia"/>
                      <w:color w:val="auto"/>
                    </w:rPr>
                    <w:t>排放口地理坐标</w:t>
                  </w:r>
                </w:p>
              </w:tc>
              <w:tc>
                <w:tcPr>
                  <w:tcW w:w="1027" w:type="dxa"/>
                  <w:vMerge w:val="restart"/>
                  <w:tcBorders>
                    <w:tl2br w:val="nil"/>
                    <w:tr2bl w:val="nil"/>
                  </w:tcBorders>
                  <w:vAlign w:val="center"/>
                </w:tcPr>
                <w:p w14:paraId="33E39E45">
                  <w:pPr>
                    <w:pStyle w:val="122"/>
                    <w:rPr>
                      <w:color w:val="auto"/>
                    </w:rPr>
                  </w:pPr>
                  <w:r>
                    <w:rPr>
                      <w:rFonts w:hint="eastAsia"/>
                      <w:color w:val="auto"/>
                    </w:rPr>
                    <w:t>废水排放量</w:t>
                  </w:r>
                </w:p>
              </w:tc>
              <w:tc>
                <w:tcPr>
                  <w:tcW w:w="974" w:type="dxa"/>
                  <w:vMerge w:val="restart"/>
                  <w:tcBorders>
                    <w:tl2br w:val="nil"/>
                    <w:tr2bl w:val="nil"/>
                  </w:tcBorders>
                  <w:vAlign w:val="center"/>
                </w:tcPr>
                <w:p w14:paraId="0123AB86">
                  <w:pPr>
                    <w:pStyle w:val="122"/>
                    <w:rPr>
                      <w:color w:val="auto"/>
                    </w:rPr>
                  </w:pPr>
                  <w:r>
                    <w:rPr>
                      <w:rFonts w:hint="eastAsia"/>
                      <w:color w:val="auto"/>
                    </w:rPr>
                    <w:t>排放</w:t>
                  </w:r>
                </w:p>
                <w:p w14:paraId="70CDC59F">
                  <w:pPr>
                    <w:pStyle w:val="122"/>
                    <w:rPr>
                      <w:color w:val="auto"/>
                    </w:rPr>
                  </w:pPr>
                  <w:r>
                    <w:rPr>
                      <w:rFonts w:hint="eastAsia"/>
                      <w:color w:val="auto"/>
                    </w:rPr>
                    <w:t>去向</w:t>
                  </w:r>
                </w:p>
              </w:tc>
              <w:tc>
                <w:tcPr>
                  <w:tcW w:w="1937" w:type="dxa"/>
                  <w:vMerge w:val="restart"/>
                  <w:tcBorders>
                    <w:tl2br w:val="nil"/>
                    <w:tr2bl w:val="nil"/>
                  </w:tcBorders>
                  <w:vAlign w:val="center"/>
                </w:tcPr>
                <w:p w14:paraId="4E79D493">
                  <w:pPr>
                    <w:pStyle w:val="122"/>
                    <w:rPr>
                      <w:color w:val="auto"/>
                    </w:rPr>
                  </w:pPr>
                  <w:r>
                    <w:rPr>
                      <w:rFonts w:hint="eastAsia"/>
                      <w:color w:val="auto"/>
                    </w:rPr>
                    <w:t>排放规律</w:t>
                  </w:r>
                </w:p>
              </w:tc>
              <w:tc>
                <w:tcPr>
                  <w:tcW w:w="1153" w:type="dxa"/>
                  <w:vMerge w:val="restart"/>
                  <w:tcBorders>
                    <w:tl2br w:val="nil"/>
                    <w:tr2bl w:val="nil"/>
                  </w:tcBorders>
                  <w:vAlign w:val="center"/>
                </w:tcPr>
                <w:p w14:paraId="5BEB8457">
                  <w:pPr>
                    <w:pStyle w:val="122"/>
                    <w:rPr>
                      <w:color w:val="auto"/>
                    </w:rPr>
                  </w:pPr>
                  <w:r>
                    <w:rPr>
                      <w:rFonts w:hint="eastAsia"/>
                      <w:color w:val="auto"/>
                    </w:rPr>
                    <w:t>间歇排放时段</w:t>
                  </w:r>
                </w:p>
              </w:tc>
              <w:tc>
                <w:tcPr>
                  <w:tcW w:w="4326" w:type="dxa"/>
                  <w:gridSpan w:val="3"/>
                  <w:tcBorders>
                    <w:tl2br w:val="nil"/>
                    <w:tr2bl w:val="nil"/>
                  </w:tcBorders>
                  <w:vAlign w:val="center"/>
                </w:tcPr>
                <w:p w14:paraId="691DBD57">
                  <w:pPr>
                    <w:pStyle w:val="122"/>
                    <w:rPr>
                      <w:color w:val="auto"/>
                    </w:rPr>
                  </w:pPr>
                  <w:r>
                    <w:rPr>
                      <w:rFonts w:hint="eastAsia"/>
                      <w:color w:val="auto"/>
                    </w:rPr>
                    <w:t>收纳污水处理厂信息</w:t>
                  </w:r>
                </w:p>
              </w:tc>
            </w:tr>
            <w:tr w14:paraId="1FF4F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2955B3D2">
                  <w:pPr>
                    <w:pStyle w:val="122"/>
                    <w:rPr>
                      <w:color w:val="auto"/>
                    </w:rPr>
                  </w:pPr>
                </w:p>
              </w:tc>
              <w:tc>
                <w:tcPr>
                  <w:tcW w:w="1851" w:type="dxa"/>
                  <w:vMerge w:val="continue"/>
                  <w:tcBorders>
                    <w:tl2br w:val="nil"/>
                    <w:tr2bl w:val="nil"/>
                  </w:tcBorders>
                  <w:vAlign w:val="center"/>
                </w:tcPr>
                <w:p w14:paraId="5E01CB9A">
                  <w:pPr>
                    <w:pStyle w:val="122"/>
                    <w:rPr>
                      <w:color w:val="auto"/>
                    </w:rPr>
                  </w:pPr>
                </w:p>
              </w:tc>
              <w:tc>
                <w:tcPr>
                  <w:tcW w:w="1027" w:type="dxa"/>
                  <w:vMerge w:val="continue"/>
                  <w:tcBorders>
                    <w:tl2br w:val="nil"/>
                    <w:tr2bl w:val="nil"/>
                  </w:tcBorders>
                  <w:vAlign w:val="center"/>
                </w:tcPr>
                <w:p w14:paraId="50B74014">
                  <w:pPr>
                    <w:pStyle w:val="122"/>
                    <w:rPr>
                      <w:color w:val="auto"/>
                    </w:rPr>
                  </w:pPr>
                </w:p>
              </w:tc>
              <w:tc>
                <w:tcPr>
                  <w:tcW w:w="974" w:type="dxa"/>
                  <w:vMerge w:val="continue"/>
                  <w:tcBorders>
                    <w:tl2br w:val="nil"/>
                    <w:tr2bl w:val="nil"/>
                  </w:tcBorders>
                  <w:vAlign w:val="center"/>
                </w:tcPr>
                <w:p w14:paraId="5D6D8434">
                  <w:pPr>
                    <w:pStyle w:val="122"/>
                    <w:rPr>
                      <w:color w:val="auto"/>
                    </w:rPr>
                  </w:pPr>
                </w:p>
              </w:tc>
              <w:tc>
                <w:tcPr>
                  <w:tcW w:w="1937" w:type="dxa"/>
                  <w:vMerge w:val="continue"/>
                  <w:tcBorders>
                    <w:tl2br w:val="nil"/>
                    <w:tr2bl w:val="nil"/>
                  </w:tcBorders>
                  <w:vAlign w:val="center"/>
                </w:tcPr>
                <w:p w14:paraId="1FAF6F3C">
                  <w:pPr>
                    <w:pStyle w:val="122"/>
                    <w:rPr>
                      <w:color w:val="auto"/>
                    </w:rPr>
                  </w:pPr>
                </w:p>
              </w:tc>
              <w:tc>
                <w:tcPr>
                  <w:tcW w:w="1153" w:type="dxa"/>
                  <w:vMerge w:val="continue"/>
                  <w:tcBorders>
                    <w:tl2br w:val="nil"/>
                    <w:tr2bl w:val="nil"/>
                  </w:tcBorders>
                  <w:vAlign w:val="center"/>
                </w:tcPr>
                <w:p w14:paraId="3B4159DC">
                  <w:pPr>
                    <w:pStyle w:val="122"/>
                    <w:rPr>
                      <w:color w:val="auto"/>
                    </w:rPr>
                  </w:pPr>
                </w:p>
              </w:tc>
              <w:tc>
                <w:tcPr>
                  <w:tcW w:w="1046" w:type="dxa"/>
                  <w:tcBorders>
                    <w:tl2br w:val="nil"/>
                    <w:tr2bl w:val="nil"/>
                  </w:tcBorders>
                  <w:vAlign w:val="center"/>
                </w:tcPr>
                <w:p w14:paraId="0C72F040">
                  <w:pPr>
                    <w:pStyle w:val="122"/>
                    <w:rPr>
                      <w:color w:val="auto"/>
                    </w:rPr>
                  </w:pPr>
                  <w:r>
                    <w:rPr>
                      <w:rFonts w:hint="eastAsia"/>
                      <w:color w:val="auto"/>
                    </w:rPr>
                    <w:t>名称</w:t>
                  </w:r>
                </w:p>
              </w:tc>
              <w:tc>
                <w:tcPr>
                  <w:tcW w:w="1163" w:type="dxa"/>
                  <w:tcBorders>
                    <w:tl2br w:val="nil"/>
                    <w:tr2bl w:val="nil"/>
                  </w:tcBorders>
                  <w:vAlign w:val="center"/>
                </w:tcPr>
                <w:p w14:paraId="720CDE63">
                  <w:pPr>
                    <w:pStyle w:val="122"/>
                    <w:rPr>
                      <w:color w:val="auto"/>
                    </w:rPr>
                  </w:pPr>
                  <w:r>
                    <w:rPr>
                      <w:rFonts w:hint="eastAsia"/>
                      <w:color w:val="auto"/>
                    </w:rPr>
                    <w:t>污染物种类</w:t>
                  </w:r>
                </w:p>
              </w:tc>
              <w:tc>
                <w:tcPr>
                  <w:tcW w:w="2117" w:type="dxa"/>
                  <w:tcBorders>
                    <w:tl2br w:val="nil"/>
                    <w:tr2bl w:val="nil"/>
                  </w:tcBorders>
                  <w:vAlign w:val="center"/>
                </w:tcPr>
                <w:p w14:paraId="72EA9CA3">
                  <w:pPr>
                    <w:pStyle w:val="122"/>
                    <w:rPr>
                      <w:rFonts w:hint="eastAsia" w:eastAsia="宋体"/>
                      <w:color w:val="auto"/>
                      <w:lang w:eastAsia="zh-CN"/>
                    </w:rPr>
                  </w:pPr>
                  <w:r>
                    <w:rPr>
                      <w:color w:val="auto"/>
                    </w:rPr>
                    <w:t>国家或地方污染物排放标准浓度限值</w:t>
                  </w:r>
                  <w:r>
                    <w:rPr>
                      <w:rFonts w:hint="eastAsia"/>
                      <w:color w:val="auto"/>
                      <w:shd w:val="clear" w:fill="FFFFFF"/>
                      <w:lang w:eastAsia="zh-CN"/>
                    </w:rPr>
                    <w:t>(</w:t>
                  </w:r>
                  <w:r>
                    <w:rPr>
                      <w:color w:val="auto"/>
                    </w:rPr>
                    <w:t>mg/L</w:t>
                  </w:r>
                  <w:r>
                    <w:rPr>
                      <w:rFonts w:hint="eastAsia"/>
                      <w:color w:val="auto"/>
                      <w:shd w:val="clear" w:fill="FFFFFF"/>
                      <w:lang w:eastAsia="zh-CN"/>
                    </w:rPr>
                    <w:t>)</w:t>
                  </w:r>
                </w:p>
              </w:tc>
            </w:tr>
            <w:tr w14:paraId="00071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restart"/>
                  <w:tcBorders>
                    <w:tl2br w:val="nil"/>
                    <w:tr2bl w:val="nil"/>
                  </w:tcBorders>
                  <w:vAlign w:val="center"/>
                </w:tcPr>
                <w:p w14:paraId="6397BE18">
                  <w:pPr>
                    <w:pStyle w:val="122"/>
                    <w:rPr>
                      <w:color w:val="auto"/>
                    </w:rPr>
                  </w:pPr>
                  <w:r>
                    <w:rPr>
                      <w:rFonts w:hint="eastAsia"/>
                      <w:color w:val="auto"/>
                    </w:rPr>
                    <w:t>DW001</w:t>
                  </w:r>
                </w:p>
              </w:tc>
              <w:tc>
                <w:tcPr>
                  <w:tcW w:w="1851" w:type="dxa"/>
                  <w:vMerge w:val="restart"/>
                  <w:tcBorders>
                    <w:tl2br w:val="nil"/>
                    <w:tr2bl w:val="nil"/>
                  </w:tcBorders>
                  <w:vAlign w:val="center"/>
                </w:tcPr>
                <w:p w14:paraId="6C2C24F4">
                  <w:pPr>
                    <w:pStyle w:val="122"/>
                    <w:rPr>
                      <w:color w:val="auto"/>
                    </w:rPr>
                  </w:pPr>
                  <w:r>
                    <w:rPr>
                      <w:rFonts w:hint="eastAsia"/>
                      <w:color w:val="auto"/>
                    </w:rPr>
                    <w:t xml:space="preserve">E </w:t>
                  </w:r>
                  <w:r>
                    <w:rPr>
                      <w:color w:val="auto"/>
                    </w:rPr>
                    <w:t>119.32237</w:t>
                  </w:r>
                  <w:r>
                    <w:rPr>
                      <w:rFonts w:hint="eastAsia"/>
                      <w:color w:val="auto"/>
                    </w:rPr>
                    <w:t>2</w:t>
                  </w:r>
                  <w:r>
                    <w:rPr>
                      <w:color w:val="auto"/>
                    </w:rPr>
                    <w:t>°</w:t>
                  </w:r>
                  <w:r>
                    <w:rPr>
                      <w:rFonts w:hint="eastAsia"/>
                      <w:color w:val="auto"/>
                      <w:lang w:eastAsia="zh-CN"/>
                    </w:rPr>
                    <w:t>,</w:t>
                  </w:r>
                </w:p>
                <w:p w14:paraId="53071C0E">
                  <w:pPr>
                    <w:pStyle w:val="122"/>
                    <w:rPr>
                      <w:color w:val="auto"/>
                    </w:rPr>
                  </w:pPr>
                  <w:r>
                    <w:rPr>
                      <w:rFonts w:hint="eastAsia"/>
                      <w:color w:val="auto"/>
                    </w:rPr>
                    <w:t>N 25.438448</w:t>
                  </w:r>
                  <w:r>
                    <w:rPr>
                      <w:color w:val="auto"/>
                    </w:rPr>
                    <w:t>°</w:t>
                  </w:r>
                </w:p>
              </w:tc>
              <w:tc>
                <w:tcPr>
                  <w:tcW w:w="1027" w:type="dxa"/>
                  <w:vMerge w:val="restart"/>
                  <w:tcBorders>
                    <w:tl2br w:val="nil"/>
                    <w:tr2bl w:val="nil"/>
                  </w:tcBorders>
                  <w:vAlign w:val="center"/>
                </w:tcPr>
                <w:p w14:paraId="119D63D4">
                  <w:pPr>
                    <w:pStyle w:val="122"/>
                    <w:rPr>
                      <w:color w:val="auto"/>
                    </w:rPr>
                  </w:pPr>
                  <w:r>
                    <w:rPr>
                      <w:rFonts w:hint="eastAsia"/>
                      <w:color w:val="auto"/>
                    </w:rPr>
                    <w:t>1680</w:t>
                  </w:r>
                  <w:r>
                    <w:rPr>
                      <w:color w:val="auto"/>
                    </w:rPr>
                    <w:t>t/a</w:t>
                  </w:r>
                </w:p>
              </w:tc>
              <w:tc>
                <w:tcPr>
                  <w:tcW w:w="974" w:type="dxa"/>
                  <w:vMerge w:val="restart"/>
                  <w:tcBorders>
                    <w:tl2br w:val="nil"/>
                    <w:tr2bl w:val="nil"/>
                  </w:tcBorders>
                  <w:vAlign w:val="center"/>
                </w:tcPr>
                <w:p w14:paraId="6174B65F">
                  <w:pPr>
                    <w:pStyle w:val="122"/>
                    <w:rPr>
                      <w:color w:val="auto"/>
                    </w:rPr>
                  </w:pPr>
                  <w:r>
                    <w:rPr>
                      <w:color w:val="auto"/>
                    </w:rPr>
                    <w:t>进入城市污水处理厂</w:t>
                  </w:r>
                </w:p>
              </w:tc>
              <w:tc>
                <w:tcPr>
                  <w:tcW w:w="1937" w:type="dxa"/>
                  <w:vMerge w:val="restart"/>
                  <w:tcBorders>
                    <w:tl2br w:val="nil"/>
                    <w:tr2bl w:val="nil"/>
                  </w:tcBorders>
                  <w:vAlign w:val="center"/>
                </w:tcPr>
                <w:p w14:paraId="645A5A7C">
                  <w:pPr>
                    <w:pStyle w:val="122"/>
                    <w:rPr>
                      <w:color w:val="auto"/>
                    </w:rPr>
                  </w:pPr>
                  <w:r>
                    <w:rPr>
                      <w:color w:val="auto"/>
                    </w:rPr>
                    <w:t>间断排放，排放期间流量不稳定且无规律，但不属于冲击型排放</w:t>
                  </w:r>
                </w:p>
              </w:tc>
              <w:tc>
                <w:tcPr>
                  <w:tcW w:w="1153" w:type="dxa"/>
                  <w:vMerge w:val="restart"/>
                  <w:tcBorders>
                    <w:tl2br w:val="nil"/>
                    <w:tr2bl w:val="nil"/>
                  </w:tcBorders>
                  <w:vAlign w:val="center"/>
                </w:tcPr>
                <w:p w14:paraId="7FAAE045">
                  <w:pPr>
                    <w:pStyle w:val="122"/>
                    <w:rPr>
                      <w:color w:val="auto"/>
                    </w:rPr>
                  </w:pPr>
                  <w:r>
                    <w:rPr>
                      <w:color w:val="auto"/>
                    </w:rPr>
                    <w:t>0~24h</w:t>
                  </w:r>
                </w:p>
                <w:p w14:paraId="08F4BEDF">
                  <w:pPr>
                    <w:pStyle w:val="122"/>
                    <w:rPr>
                      <w:color w:val="auto"/>
                    </w:rPr>
                  </w:pPr>
                  <w:r>
                    <w:rPr>
                      <w:color w:val="auto"/>
                    </w:rPr>
                    <w:t>间歇排放</w:t>
                  </w:r>
                </w:p>
              </w:tc>
              <w:tc>
                <w:tcPr>
                  <w:tcW w:w="1046" w:type="dxa"/>
                  <w:vMerge w:val="restart"/>
                  <w:tcBorders>
                    <w:tl2br w:val="nil"/>
                    <w:tr2bl w:val="nil"/>
                  </w:tcBorders>
                  <w:vAlign w:val="center"/>
                </w:tcPr>
                <w:p w14:paraId="655C42C4">
                  <w:pPr>
                    <w:pStyle w:val="122"/>
                    <w:rPr>
                      <w:color w:val="auto"/>
                    </w:rPr>
                  </w:pPr>
                  <w:r>
                    <w:rPr>
                      <w:rFonts w:hint="eastAsia"/>
                      <w:color w:val="auto"/>
                    </w:rPr>
                    <w:t>江阴</w:t>
                  </w:r>
                  <w:r>
                    <w:rPr>
                      <w:color w:val="auto"/>
                    </w:rPr>
                    <w:t>污水处理厂</w:t>
                  </w:r>
                </w:p>
              </w:tc>
              <w:tc>
                <w:tcPr>
                  <w:tcW w:w="1163" w:type="dxa"/>
                  <w:tcBorders>
                    <w:tl2br w:val="nil"/>
                    <w:tr2bl w:val="nil"/>
                  </w:tcBorders>
                  <w:vAlign w:val="center"/>
                </w:tcPr>
                <w:p w14:paraId="090C1357">
                  <w:pPr>
                    <w:pStyle w:val="122"/>
                    <w:rPr>
                      <w:color w:val="auto"/>
                    </w:rPr>
                  </w:pPr>
                  <w:r>
                    <w:rPr>
                      <w:color w:val="auto"/>
                    </w:rPr>
                    <w:t>COD</w:t>
                  </w:r>
                </w:p>
              </w:tc>
              <w:tc>
                <w:tcPr>
                  <w:tcW w:w="2117" w:type="dxa"/>
                  <w:tcBorders>
                    <w:tl2br w:val="nil"/>
                    <w:tr2bl w:val="nil"/>
                  </w:tcBorders>
                  <w:vAlign w:val="center"/>
                </w:tcPr>
                <w:p w14:paraId="2C54DC12">
                  <w:pPr>
                    <w:pStyle w:val="122"/>
                    <w:rPr>
                      <w:color w:val="auto"/>
                    </w:rPr>
                  </w:pPr>
                  <w:r>
                    <w:rPr>
                      <w:rFonts w:hint="eastAsia"/>
                      <w:color w:val="auto"/>
                    </w:rPr>
                    <w:t>500</w:t>
                  </w:r>
                </w:p>
              </w:tc>
            </w:tr>
            <w:tr w14:paraId="4AF8A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187E685A">
                  <w:pPr>
                    <w:pStyle w:val="122"/>
                    <w:rPr>
                      <w:color w:val="auto"/>
                    </w:rPr>
                  </w:pPr>
                </w:p>
              </w:tc>
              <w:tc>
                <w:tcPr>
                  <w:tcW w:w="1851" w:type="dxa"/>
                  <w:vMerge w:val="continue"/>
                  <w:tcBorders>
                    <w:tl2br w:val="nil"/>
                    <w:tr2bl w:val="nil"/>
                  </w:tcBorders>
                  <w:vAlign w:val="center"/>
                </w:tcPr>
                <w:p w14:paraId="7668EDD8">
                  <w:pPr>
                    <w:pStyle w:val="122"/>
                    <w:rPr>
                      <w:color w:val="auto"/>
                    </w:rPr>
                  </w:pPr>
                </w:p>
              </w:tc>
              <w:tc>
                <w:tcPr>
                  <w:tcW w:w="1027" w:type="dxa"/>
                  <w:vMerge w:val="continue"/>
                  <w:tcBorders>
                    <w:tl2br w:val="nil"/>
                    <w:tr2bl w:val="nil"/>
                  </w:tcBorders>
                  <w:vAlign w:val="center"/>
                </w:tcPr>
                <w:p w14:paraId="29D6EBDF">
                  <w:pPr>
                    <w:pStyle w:val="122"/>
                    <w:rPr>
                      <w:color w:val="auto"/>
                    </w:rPr>
                  </w:pPr>
                </w:p>
              </w:tc>
              <w:tc>
                <w:tcPr>
                  <w:tcW w:w="974" w:type="dxa"/>
                  <w:vMerge w:val="continue"/>
                  <w:tcBorders>
                    <w:tl2br w:val="nil"/>
                    <w:tr2bl w:val="nil"/>
                  </w:tcBorders>
                  <w:vAlign w:val="center"/>
                </w:tcPr>
                <w:p w14:paraId="32C28525">
                  <w:pPr>
                    <w:pStyle w:val="122"/>
                    <w:rPr>
                      <w:color w:val="auto"/>
                    </w:rPr>
                  </w:pPr>
                </w:p>
              </w:tc>
              <w:tc>
                <w:tcPr>
                  <w:tcW w:w="1937" w:type="dxa"/>
                  <w:vMerge w:val="continue"/>
                  <w:tcBorders>
                    <w:tl2br w:val="nil"/>
                    <w:tr2bl w:val="nil"/>
                  </w:tcBorders>
                  <w:vAlign w:val="center"/>
                </w:tcPr>
                <w:p w14:paraId="586A8B41">
                  <w:pPr>
                    <w:pStyle w:val="122"/>
                    <w:rPr>
                      <w:color w:val="auto"/>
                    </w:rPr>
                  </w:pPr>
                </w:p>
              </w:tc>
              <w:tc>
                <w:tcPr>
                  <w:tcW w:w="1153" w:type="dxa"/>
                  <w:vMerge w:val="continue"/>
                  <w:tcBorders>
                    <w:tl2br w:val="nil"/>
                    <w:tr2bl w:val="nil"/>
                  </w:tcBorders>
                  <w:vAlign w:val="center"/>
                </w:tcPr>
                <w:p w14:paraId="33801E72">
                  <w:pPr>
                    <w:pStyle w:val="122"/>
                    <w:rPr>
                      <w:color w:val="auto"/>
                    </w:rPr>
                  </w:pPr>
                </w:p>
              </w:tc>
              <w:tc>
                <w:tcPr>
                  <w:tcW w:w="1046" w:type="dxa"/>
                  <w:vMerge w:val="continue"/>
                  <w:tcBorders>
                    <w:tl2br w:val="nil"/>
                    <w:tr2bl w:val="nil"/>
                  </w:tcBorders>
                  <w:vAlign w:val="center"/>
                </w:tcPr>
                <w:p w14:paraId="408E1D58">
                  <w:pPr>
                    <w:pStyle w:val="122"/>
                    <w:rPr>
                      <w:color w:val="auto"/>
                    </w:rPr>
                  </w:pPr>
                </w:p>
              </w:tc>
              <w:tc>
                <w:tcPr>
                  <w:tcW w:w="1163" w:type="dxa"/>
                  <w:tcBorders>
                    <w:tl2br w:val="nil"/>
                    <w:tr2bl w:val="nil"/>
                  </w:tcBorders>
                  <w:vAlign w:val="center"/>
                </w:tcPr>
                <w:p w14:paraId="582BE1FD">
                  <w:pPr>
                    <w:pStyle w:val="122"/>
                    <w:rPr>
                      <w:color w:val="auto"/>
                    </w:rPr>
                  </w:pPr>
                  <w:r>
                    <w:rPr>
                      <w:rFonts w:hint="eastAsia"/>
                      <w:color w:val="auto"/>
                    </w:rPr>
                    <w:t>BOD</w:t>
                  </w:r>
                  <w:r>
                    <w:rPr>
                      <w:rFonts w:hint="eastAsia"/>
                      <w:color w:val="auto"/>
                      <w:vertAlign w:val="subscript"/>
                    </w:rPr>
                    <w:t>5</w:t>
                  </w:r>
                </w:p>
              </w:tc>
              <w:tc>
                <w:tcPr>
                  <w:tcW w:w="2117" w:type="dxa"/>
                  <w:tcBorders>
                    <w:tl2br w:val="nil"/>
                    <w:tr2bl w:val="nil"/>
                  </w:tcBorders>
                  <w:vAlign w:val="center"/>
                </w:tcPr>
                <w:p w14:paraId="3CFB43AD">
                  <w:pPr>
                    <w:pStyle w:val="122"/>
                    <w:rPr>
                      <w:color w:val="auto"/>
                    </w:rPr>
                  </w:pPr>
                  <w:r>
                    <w:rPr>
                      <w:rFonts w:hint="eastAsia"/>
                      <w:color w:val="auto"/>
                    </w:rPr>
                    <w:t>300</w:t>
                  </w:r>
                </w:p>
              </w:tc>
            </w:tr>
            <w:tr w14:paraId="67F63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27FD30D2">
                  <w:pPr>
                    <w:pStyle w:val="122"/>
                    <w:rPr>
                      <w:color w:val="auto"/>
                    </w:rPr>
                  </w:pPr>
                </w:p>
              </w:tc>
              <w:tc>
                <w:tcPr>
                  <w:tcW w:w="1851" w:type="dxa"/>
                  <w:vMerge w:val="continue"/>
                  <w:tcBorders>
                    <w:tl2br w:val="nil"/>
                    <w:tr2bl w:val="nil"/>
                  </w:tcBorders>
                  <w:vAlign w:val="center"/>
                </w:tcPr>
                <w:p w14:paraId="1B3FE2A6">
                  <w:pPr>
                    <w:pStyle w:val="122"/>
                    <w:rPr>
                      <w:color w:val="auto"/>
                    </w:rPr>
                  </w:pPr>
                </w:p>
              </w:tc>
              <w:tc>
                <w:tcPr>
                  <w:tcW w:w="1027" w:type="dxa"/>
                  <w:vMerge w:val="continue"/>
                  <w:tcBorders>
                    <w:tl2br w:val="nil"/>
                    <w:tr2bl w:val="nil"/>
                  </w:tcBorders>
                  <w:vAlign w:val="center"/>
                </w:tcPr>
                <w:p w14:paraId="7C88A29B">
                  <w:pPr>
                    <w:pStyle w:val="122"/>
                    <w:rPr>
                      <w:color w:val="auto"/>
                    </w:rPr>
                  </w:pPr>
                </w:p>
              </w:tc>
              <w:tc>
                <w:tcPr>
                  <w:tcW w:w="974" w:type="dxa"/>
                  <w:vMerge w:val="continue"/>
                  <w:tcBorders>
                    <w:tl2br w:val="nil"/>
                    <w:tr2bl w:val="nil"/>
                  </w:tcBorders>
                  <w:vAlign w:val="center"/>
                </w:tcPr>
                <w:p w14:paraId="55F4A255">
                  <w:pPr>
                    <w:pStyle w:val="122"/>
                    <w:rPr>
                      <w:color w:val="auto"/>
                    </w:rPr>
                  </w:pPr>
                </w:p>
              </w:tc>
              <w:tc>
                <w:tcPr>
                  <w:tcW w:w="1937" w:type="dxa"/>
                  <w:vMerge w:val="continue"/>
                  <w:tcBorders>
                    <w:tl2br w:val="nil"/>
                    <w:tr2bl w:val="nil"/>
                  </w:tcBorders>
                  <w:vAlign w:val="center"/>
                </w:tcPr>
                <w:p w14:paraId="48B17906">
                  <w:pPr>
                    <w:pStyle w:val="122"/>
                    <w:rPr>
                      <w:color w:val="auto"/>
                    </w:rPr>
                  </w:pPr>
                </w:p>
              </w:tc>
              <w:tc>
                <w:tcPr>
                  <w:tcW w:w="1153" w:type="dxa"/>
                  <w:vMerge w:val="continue"/>
                  <w:tcBorders>
                    <w:tl2br w:val="nil"/>
                    <w:tr2bl w:val="nil"/>
                  </w:tcBorders>
                  <w:vAlign w:val="center"/>
                </w:tcPr>
                <w:p w14:paraId="468976EF">
                  <w:pPr>
                    <w:pStyle w:val="122"/>
                    <w:rPr>
                      <w:color w:val="auto"/>
                    </w:rPr>
                  </w:pPr>
                </w:p>
              </w:tc>
              <w:tc>
                <w:tcPr>
                  <w:tcW w:w="1046" w:type="dxa"/>
                  <w:vMerge w:val="continue"/>
                  <w:tcBorders>
                    <w:tl2br w:val="nil"/>
                    <w:tr2bl w:val="nil"/>
                  </w:tcBorders>
                  <w:vAlign w:val="center"/>
                </w:tcPr>
                <w:p w14:paraId="11BF55EF">
                  <w:pPr>
                    <w:pStyle w:val="122"/>
                    <w:rPr>
                      <w:color w:val="auto"/>
                    </w:rPr>
                  </w:pPr>
                </w:p>
              </w:tc>
              <w:tc>
                <w:tcPr>
                  <w:tcW w:w="1163" w:type="dxa"/>
                  <w:tcBorders>
                    <w:tl2br w:val="nil"/>
                    <w:tr2bl w:val="nil"/>
                  </w:tcBorders>
                  <w:vAlign w:val="center"/>
                </w:tcPr>
                <w:p w14:paraId="41BD9942">
                  <w:pPr>
                    <w:pStyle w:val="122"/>
                    <w:rPr>
                      <w:color w:val="auto"/>
                    </w:rPr>
                  </w:pPr>
                  <w:r>
                    <w:rPr>
                      <w:rFonts w:hint="eastAsia"/>
                      <w:color w:val="auto"/>
                    </w:rPr>
                    <w:t>SS</w:t>
                  </w:r>
                </w:p>
              </w:tc>
              <w:tc>
                <w:tcPr>
                  <w:tcW w:w="2117" w:type="dxa"/>
                  <w:tcBorders>
                    <w:tl2br w:val="nil"/>
                    <w:tr2bl w:val="nil"/>
                  </w:tcBorders>
                  <w:vAlign w:val="center"/>
                </w:tcPr>
                <w:p w14:paraId="332267E4">
                  <w:pPr>
                    <w:pStyle w:val="122"/>
                    <w:rPr>
                      <w:color w:val="auto"/>
                    </w:rPr>
                  </w:pPr>
                  <w:r>
                    <w:rPr>
                      <w:rFonts w:hint="eastAsia"/>
                      <w:color w:val="auto"/>
                    </w:rPr>
                    <w:t>400</w:t>
                  </w:r>
                </w:p>
              </w:tc>
            </w:tr>
            <w:tr w14:paraId="5FA06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4C776E12">
                  <w:pPr>
                    <w:pStyle w:val="122"/>
                    <w:rPr>
                      <w:color w:val="auto"/>
                    </w:rPr>
                  </w:pPr>
                </w:p>
              </w:tc>
              <w:tc>
                <w:tcPr>
                  <w:tcW w:w="1851" w:type="dxa"/>
                  <w:vMerge w:val="continue"/>
                  <w:tcBorders>
                    <w:tl2br w:val="nil"/>
                    <w:tr2bl w:val="nil"/>
                  </w:tcBorders>
                  <w:vAlign w:val="center"/>
                </w:tcPr>
                <w:p w14:paraId="1B553FB0">
                  <w:pPr>
                    <w:pStyle w:val="122"/>
                    <w:rPr>
                      <w:color w:val="auto"/>
                    </w:rPr>
                  </w:pPr>
                </w:p>
              </w:tc>
              <w:tc>
                <w:tcPr>
                  <w:tcW w:w="1027" w:type="dxa"/>
                  <w:vMerge w:val="continue"/>
                  <w:tcBorders>
                    <w:tl2br w:val="nil"/>
                    <w:tr2bl w:val="nil"/>
                  </w:tcBorders>
                  <w:vAlign w:val="center"/>
                </w:tcPr>
                <w:p w14:paraId="53609877">
                  <w:pPr>
                    <w:pStyle w:val="122"/>
                    <w:rPr>
                      <w:color w:val="auto"/>
                    </w:rPr>
                  </w:pPr>
                </w:p>
              </w:tc>
              <w:tc>
                <w:tcPr>
                  <w:tcW w:w="974" w:type="dxa"/>
                  <w:vMerge w:val="continue"/>
                  <w:tcBorders>
                    <w:tl2br w:val="nil"/>
                    <w:tr2bl w:val="nil"/>
                  </w:tcBorders>
                  <w:vAlign w:val="center"/>
                </w:tcPr>
                <w:p w14:paraId="1046C244">
                  <w:pPr>
                    <w:pStyle w:val="122"/>
                    <w:rPr>
                      <w:color w:val="auto"/>
                    </w:rPr>
                  </w:pPr>
                </w:p>
              </w:tc>
              <w:tc>
                <w:tcPr>
                  <w:tcW w:w="1937" w:type="dxa"/>
                  <w:vMerge w:val="continue"/>
                  <w:tcBorders>
                    <w:tl2br w:val="nil"/>
                    <w:tr2bl w:val="nil"/>
                  </w:tcBorders>
                  <w:vAlign w:val="center"/>
                </w:tcPr>
                <w:p w14:paraId="6F37B151">
                  <w:pPr>
                    <w:pStyle w:val="122"/>
                    <w:rPr>
                      <w:color w:val="auto"/>
                    </w:rPr>
                  </w:pPr>
                </w:p>
              </w:tc>
              <w:tc>
                <w:tcPr>
                  <w:tcW w:w="1153" w:type="dxa"/>
                  <w:vMerge w:val="continue"/>
                  <w:tcBorders>
                    <w:tl2br w:val="nil"/>
                    <w:tr2bl w:val="nil"/>
                  </w:tcBorders>
                  <w:vAlign w:val="center"/>
                </w:tcPr>
                <w:p w14:paraId="7FB2A598">
                  <w:pPr>
                    <w:pStyle w:val="122"/>
                    <w:rPr>
                      <w:color w:val="auto"/>
                    </w:rPr>
                  </w:pPr>
                </w:p>
              </w:tc>
              <w:tc>
                <w:tcPr>
                  <w:tcW w:w="1046" w:type="dxa"/>
                  <w:vMerge w:val="continue"/>
                  <w:tcBorders>
                    <w:tl2br w:val="nil"/>
                    <w:tr2bl w:val="nil"/>
                  </w:tcBorders>
                  <w:vAlign w:val="center"/>
                </w:tcPr>
                <w:p w14:paraId="09945C7E">
                  <w:pPr>
                    <w:pStyle w:val="122"/>
                    <w:rPr>
                      <w:color w:val="auto"/>
                    </w:rPr>
                  </w:pPr>
                </w:p>
              </w:tc>
              <w:tc>
                <w:tcPr>
                  <w:tcW w:w="1163" w:type="dxa"/>
                  <w:tcBorders>
                    <w:tl2br w:val="nil"/>
                    <w:tr2bl w:val="nil"/>
                  </w:tcBorders>
                  <w:vAlign w:val="center"/>
                </w:tcPr>
                <w:p w14:paraId="412F6AF7">
                  <w:pPr>
                    <w:pStyle w:val="122"/>
                    <w:rPr>
                      <w:color w:val="auto"/>
                    </w:rPr>
                  </w:pPr>
                  <w:r>
                    <w:rPr>
                      <w:color w:val="auto"/>
                    </w:rPr>
                    <w:t>NH</w:t>
                  </w:r>
                  <w:r>
                    <w:rPr>
                      <w:color w:val="auto"/>
                      <w:vertAlign w:val="subscript"/>
                    </w:rPr>
                    <w:t>3</w:t>
                  </w:r>
                  <w:r>
                    <w:rPr>
                      <w:color w:val="auto"/>
                    </w:rPr>
                    <w:t>-N</w:t>
                  </w:r>
                </w:p>
              </w:tc>
              <w:tc>
                <w:tcPr>
                  <w:tcW w:w="2117" w:type="dxa"/>
                  <w:tcBorders>
                    <w:tl2br w:val="nil"/>
                    <w:tr2bl w:val="nil"/>
                  </w:tcBorders>
                  <w:vAlign w:val="center"/>
                </w:tcPr>
                <w:p w14:paraId="2C474855">
                  <w:pPr>
                    <w:pStyle w:val="122"/>
                    <w:rPr>
                      <w:color w:val="auto"/>
                    </w:rPr>
                  </w:pPr>
                  <w:r>
                    <w:rPr>
                      <w:rFonts w:hint="eastAsia"/>
                      <w:color w:val="auto"/>
                    </w:rPr>
                    <w:t>45</w:t>
                  </w:r>
                </w:p>
              </w:tc>
            </w:tr>
          </w:tbl>
          <w:p w14:paraId="1DC21E0A">
            <w:pPr>
              <w:pStyle w:val="77"/>
              <w:rPr>
                <w:color w:val="auto"/>
                <w:sz w:val="24"/>
              </w:rPr>
            </w:pPr>
            <w:r>
              <w:rPr>
                <w:rFonts w:hint="eastAsia"/>
                <w:color w:val="auto"/>
                <w:sz w:val="24"/>
              </w:rPr>
              <w:t xml:space="preserve">表4.3-6  </w:t>
            </w:r>
            <w:r>
              <w:rPr>
                <w:color w:val="auto"/>
                <w:sz w:val="24"/>
              </w:rPr>
              <w:t>废水污染物排放执行标准表</w:t>
            </w:r>
          </w:p>
          <w:tbl>
            <w:tblPr>
              <w:tblStyle w:val="37"/>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848"/>
              <w:gridCol w:w="5393"/>
              <w:gridCol w:w="3310"/>
            </w:tblGrid>
            <w:tr w14:paraId="7516B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restart"/>
                  <w:tcBorders>
                    <w:tl2br w:val="nil"/>
                    <w:tr2bl w:val="nil"/>
                  </w:tcBorders>
                  <w:vAlign w:val="center"/>
                </w:tcPr>
                <w:p w14:paraId="02B5EA9C">
                  <w:pPr>
                    <w:pStyle w:val="122"/>
                    <w:rPr>
                      <w:color w:val="auto"/>
                    </w:rPr>
                  </w:pPr>
                  <w:r>
                    <w:rPr>
                      <w:color w:val="auto"/>
                    </w:rPr>
                    <w:t>排放口编号</w:t>
                  </w:r>
                </w:p>
              </w:tc>
              <w:tc>
                <w:tcPr>
                  <w:tcW w:w="1848" w:type="dxa"/>
                  <w:vMerge w:val="restart"/>
                  <w:tcBorders>
                    <w:tl2br w:val="nil"/>
                    <w:tr2bl w:val="nil"/>
                  </w:tcBorders>
                  <w:vAlign w:val="center"/>
                </w:tcPr>
                <w:p w14:paraId="1E3E8F2E">
                  <w:pPr>
                    <w:pStyle w:val="122"/>
                    <w:rPr>
                      <w:color w:val="auto"/>
                    </w:rPr>
                  </w:pPr>
                  <w:r>
                    <w:rPr>
                      <w:color w:val="auto"/>
                    </w:rPr>
                    <w:t>污染物种类</w:t>
                  </w:r>
                </w:p>
              </w:tc>
              <w:tc>
                <w:tcPr>
                  <w:tcW w:w="8703" w:type="dxa"/>
                  <w:gridSpan w:val="2"/>
                  <w:tcBorders>
                    <w:tl2br w:val="nil"/>
                    <w:tr2bl w:val="nil"/>
                  </w:tcBorders>
                  <w:vAlign w:val="center"/>
                </w:tcPr>
                <w:p w14:paraId="7FB62F55">
                  <w:pPr>
                    <w:pStyle w:val="122"/>
                    <w:rPr>
                      <w:color w:val="auto"/>
                    </w:rPr>
                  </w:pPr>
                  <w:r>
                    <w:rPr>
                      <w:color w:val="auto"/>
                    </w:rPr>
                    <w:t>国家或地方污染物排放标准及其他按规定商定的排放协议</w:t>
                  </w:r>
                </w:p>
              </w:tc>
            </w:tr>
            <w:tr w14:paraId="05F3D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63F263E9">
                  <w:pPr>
                    <w:pStyle w:val="122"/>
                    <w:rPr>
                      <w:color w:val="auto"/>
                    </w:rPr>
                  </w:pPr>
                </w:p>
              </w:tc>
              <w:tc>
                <w:tcPr>
                  <w:tcW w:w="1848" w:type="dxa"/>
                  <w:vMerge w:val="continue"/>
                  <w:tcBorders>
                    <w:tl2br w:val="nil"/>
                    <w:tr2bl w:val="nil"/>
                  </w:tcBorders>
                  <w:vAlign w:val="center"/>
                </w:tcPr>
                <w:p w14:paraId="5D3247EC">
                  <w:pPr>
                    <w:pStyle w:val="122"/>
                    <w:rPr>
                      <w:color w:val="auto"/>
                    </w:rPr>
                  </w:pPr>
                </w:p>
              </w:tc>
              <w:tc>
                <w:tcPr>
                  <w:tcW w:w="5393" w:type="dxa"/>
                  <w:tcBorders>
                    <w:tl2br w:val="nil"/>
                    <w:tr2bl w:val="nil"/>
                  </w:tcBorders>
                  <w:vAlign w:val="center"/>
                </w:tcPr>
                <w:p w14:paraId="7C00924C">
                  <w:pPr>
                    <w:pStyle w:val="122"/>
                    <w:rPr>
                      <w:color w:val="auto"/>
                    </w:rPr>
                  </w:pPr>
                  <w:r>
                    <w:rPr>
                      <w:color w:val="auto"/>
                    </w:rPr>
                    <w:t>名称</w:t>
                  </w:r>
                </w:p>
              </w:tc>
              <w:tc>
                <w:tcPr>
                  <w:tcW w:w="3310" w:type="dxa"/>
                  <w:tcBorders>
                    <w:tl2br w:val="nil"/>
                    <w:tr2bl w:val="nil"/>
                  </w:tcBorders>
                  <w:vAlign w:val="center"/>
                </w:tcPr>
                <w:p w14:paraId="4D061083">
                  <w:pPr>
                    <w:pStyle w:val="122"/>
                    <w:rPr>
                      <w:rFonts w:hint="eastAsia" w:eastAsia="宋体"/>
                      <w:color w:val="auto"/>
                      <w:lang w:eastAsia="zh-CN"/>
                    </w:rPr>
                  </w:pPr>
                  <w:r>
                    <w:rPr>
                      <w:color w:val="auto"/>
                    </w:rPr>
                    <w:t>浓度限值</w:t>
                  </w:r>
                  <w:r>
                    <w:rPr>
                      <w:rFonts w:hint="eastAsia"/>
                      <w:color w:val="auto"/>
                      <w:shd w:val="clear" w:fill="FFFFFF"/>
                      <w:lang w:eastAsia="zh-CN"/>
                    </w:rPr>
                    <w:t>(</w:t>
                  </w:r>
                  <w:r>
                    <w:rPr>
                      <w:color w:val="auto"/>
                    </w:rPr>
                    <w:t>mg/L</w:t>
                  </w:r>
                  <w:r>
                    <w:rPr>
                      <w:rFonts w:hint="eastAsia"/>
                      <w:color w:val="auto"/>
                      <w:shd w:val="clear" w:fill="FFFFFF"/>
                      <w:lang w:eastAsia="zh-CN"/>
                    </w:rPr>
                    <w:t>)</w:t>
                  </w:r>
                </w:p>
              </w:tc>
            </w:tr>
            <w:tr w14:paraId="4ADB9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restart"/>
                  <w:tcBorders>
                    <w:tl2br w:val="nil"/>
                    <w:tr2bl w:val="nil"/>
                  </w:tcBorders>
                  <w:vAlign w:val="center"/>
                </w:tcPr>
                <w:p w14:paraId="2F0678CA">
                  <w:pPr>
                    <w:pStyle w:val="122"/>
                    <w:rPr>
                      <w:color w:val="auto"/>
                    </w:rPr>
                  </w:pPr>
                  <w:r>
                    <w:rPr>
                      <w:color w:val="auto"/>
                    </w:rPr>
                    <w:t>DW001</w:t>
                  </w:r>
                </w:p>
              </w:tc>
              <w:tc>
                <w:tcPr>
                  <w:tcW w:w="1848" w:type="dxa"/>
                  <w:tcBorders>
                    <w:tl2br w:val="nil"/>
                    <w:tr2bl w:val="nil"/>
                  </w:tcBorders>
                  <w:vAlign w:val="center"/>
                </w:tcPr>
                <w:p w14:paraId="5DBFC738">
                  <w:pPr>
                    <w:pStyle w:val="122"/>
                    <w:rPr>
                      <w:color w:val="auto"/>
                    </w:rPr>
                  </w:pPr>
                  <w:r>
                    <w:rPr>
                      <w:color w:val="auto"/>
                    </w:rPr>
                    <w:t>COD</w:t>
                  </w:r>
                </w:p>
              </w:tc>
              <w:tc>
                <w:tcPr>
                  <w:tcW w:w="5393" w:type="dxa"/>
                  <w:vMerge w:val="restart"/>
                  <w:tcBorders>
                    <w:tl2br w:val="nil"/>
                    <w:tr2bl w:val="nil"/>
                  </w:tcBorders>
                  <w:vAlign w:val="center"/>
                </w:tcPr>
                <w:p w14:paraId="544E5624">
                  <w:pPr>
                    <w:pStyle w:val="122"/>
                    <w:rPr>
                      <w:rFonts w:hint="eastAsia" w:eastAsia="宋体"/>
                      <w:color w:val="auto"/>
                      <w:lang w:eastAsia="zh-CN"/>
                    </w:rPr>
                  </w:pPr>
                  <w:r>
                    <w:rPr>
                      <w:rFonts w:hint="eastAsia"/>
                      <w:color w:val="auto"/>
                    </w:rPr>
                    <w:t>《污水综合排放标准》</w:t>
                  </w:r>
                  <w:r>
                    <w:rPr>
                      <w:rFonts w:hint="eastAsia"/>
                      <w:color w:val="auto"/>
                      <w:lang w:eastAsia="zh-CN"/>
                    </w:rPr>
                    <w:t>(</w:t>
                  </w:r>
                  <w:r>
                    <w:rPr>
                      <w:rFonts w:hint="eastAsia"/>
                      <w:color w:val="auto"/>
                    </w:rPr>
                    <w:t>GB8978-1996</w:t>
                  </w:r>
                  <w:r>
                    <w:rPr>
                      <w:rFonts w:hint="eastAsia"/>
                      <w:color w:val="auto"/>
                      <w:shd w:val="clear" w:fill="FFFFFF"/>
                      <w:lang w:eastAsia="zh-CN"/>
                    </w:rPr>
                    <w:t>)</w:t>
                  </w:r>
                  <w:r>
                    <w:rPr>
                      <w:rFonts w:hint="eastAsia"/>
                      <w:color w:val="auto"/>
                    </w:rPr>
                    <w:t>中表4的三级排放标准</w:t>
                  </w:r>
                  <w:r>
                    <w:rPr>
                      <w:rFonts w:hint="eastAsia"/>
                      <w:color w:val="auto"/>
                      <w:shd w:val="clear" w:fill="FFFFFF"/>
                      <w:lang w:eastAsia="zh-CN"/>
                    </w:rPr>
                    <w:t>(</w:t>
                  </w:r>
                  <w:r>
                    <w:rPr>
                      <w:rFonts w:hint="eastAsia"/>
                      <w:color w:val="auto"/>
                    </w:rPr>
                    <w:t>氨氮参照执行《污水排入城市下水道水质标准》</w:t>
                  </w:r>
                  <w:r>
                    <w:rPr>
                      <w:rFonts w:hint="eastAsia"/>
                      <w:color w:val="auto"/>
                      <w:shd w:val="clear" w:fill="FFFFFF"/>
                      <w:lang w:eastAsia="zh-CN"/>
                    </w:rPr>
                    <w:t>(</w:t>
                  </w:r>
                  <w:r>
                    <w:rPr>
                      <w:rFonts w:hint="eastAsia"/>
                      <w:color w:val="auto"/>
                    </w:rPr>
                    <w:t>GB/T31962-2015</w:t>
                  </w:r>
                  <w:r>
                    <w:rPr>
                      <w:rFonts w:hint="eastAsia"/>
                      <w:color w:val="auto"/>
                      <w:shd w:val="clear" w:fill="FFFFFF"/>
                      <w:lang w:eastAsia="zh-CN"/>
                    </w:rPr>
                    <w:t>)</w:t>
                  </w:r>
                  <w:r>
                    <w:rPr>
                      <w:rFonts w:hint="eastAsia"/>
                      <w:color w:val="auto"/>
                    </w:rPr>
                    <w:t>表1中B级标准</w:t>
                  </w:r>
                  <w:r>
                    <w:rPr>
                      <w:rFonts w:hint="eastAsia"/>
                      <w:color w:val="auto"/>
                      <w:shd w:val="clear" w:fill="FFFFFF"/>
                      <w:lang w:eastAsia="zh-CN"/>
                    </w:rPr>
                    <w:t>)</w:t>
                  </w:r>
                </w:p>
              </w:tc>
              <w:tc>
                <w:tcPr>
                  <w:tcW w:w="3310" w:type="dxa"/>
                  <w:tcBorders>
                    <w:tl2br w:val="nil"/>
                    <w:tr2bl w:val="nil"/>
                  </w:tcBorders>
                  <w:vAlign w:val="center"/>
                </w:tcPr>
                <w:p w14:paraId="06814081">
                  <w:pPr>
                    <w:pStyle w:val="122"/>
                    <w:rPr>
                      <w:color w:val="auto"/>
                    </w:rPr>
                  </w:pPr>
                  <w:r>
                    <w:rPr>
                      <w:rFonts w:hint="eastAsia"/>
                      <w:color w:val="auto"/>
                    </w:rPr>
                    <w:t>500</w:t>
                  </w:r>
                </w:p>
              </w:tc>
            </w:tr>
            <w:tr w14:paraId="2E22A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0C9883AF">
                  <w:pPr>
                    <w:pStyle w:val="122"/>
                    <w:rPr>
                      <w:color w:val="auto"/>
                    </w:rPr>
                  </w:pPr>
                </w:p>
              </w:tc>
              <w:tc>
                <w:tcPr>
                  <w:tcW w:w="1848" w:type="dxa"/>
                  <w:tcBorders>
                    <w:tl2br w:val="nil"/>
                    <w:tr2bl w:val="nil"/>
                  </w:tcBorders>
                  <w:vAlign w:val="center"/>
                </w:tcPr>
                <w:p w14:paraId="640D9839">
                  <w:pPr>
                    <w:pStyle w:val="122"/>
                    <w:rPr>
                      <w:color w:val="auto"/>
                    </w:rPr>
                  </w:pPr>
                  <w:r>
                    <w:rPr>
                      <w:rFonts w:hint="eastAsia"/>
                      <w:color w:val="auto"/>
                    </w:rPr>
                    <w:t>BOD</w:t>
                  </w:r>
                  <w:r>
                    <w:rPr>
                      <w:rFonts w:hint="eastAsia"/>
                      <w:color w:val="auto"/>
                      <w:vertAlign w:val="subscript"/>
                    </w:rPr>
                    <w:t>5</w:t>
                  </w:r>
                </w:p>
              </w:tc>
              <w:tc>
                <w:tcPr>
                  <w:tcW w:w="5393" w:type="dxa"/>
                  <w:vMerge w:val="continue"/>
                  <w:tcBorders>
                    <w:tl2br w:val="nil"/>
                    <w:tr2bl w:val="nil"/>
                  </w:tcBorders>
                  <w:vAlign w:val="center"/>
                </w:tcPr>
                <w:p w14:paraId="36A6DE5A">
                  <w:pPr>
                    <w:pStyle w:val="122"/>
                    <w:rPr>
                      <w:color w:val="auto"/>
                    </w:rPr>
                  </w:pPr>
                </w:p>
              </w:tc>
              <w:tc>
                <w:tcPr>
                  <w:tcW w:w="3310" w:type="dxa"/>
                  <w:tcBorders>
                    <w:tl2br w:val="nil"/>
                    <w:tr2bl w:val="nil"/>
                  </w:tcBorders>
                  <w:vAlign w:val="center"/>
                </w:tcPr>
                <w:p w14:paraId="3A00389A">
                  <w:pPr>
                    <w:pStyle w:val="122"/>
                    <w:rPr>
                      <w:color w:val="auto"/>
                    </w:rPr>
                  </w:pPr>
                  <w:r>
                    <w:rPr>
                      <w:rFonts w:hint="eastAsia"/>
                      <w:color w:val="auto"/>
                    </w:rPr>
                    <w:t>300</w:t>
                  </w:r>
                </w:p>
              </w:tc>
            </w:tr>
            <w:tr w14:paraId="1EAC7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452E387E">
                  <w:pPr>
                    <w:pStyle w:val="122"/>
                    <w:rPr>
                      <w:color w:val="auto"/>
                    </w:rPr>
                  </w:pPr>
                </w:p>
              </w:tc>
              <w:tc>
                <w:tcPr>
                  <w:tcW w:w="1848" w:type="dxa"/>
                  <w:tcBorders>
                    <w:tl2br w:val="nil"/>
                    <w:tr2bl w:val="nil"/>
                  </w:tcBorders>
                  <w:vAlign w:val="center"/>
                </w:tcPr>
                <w:p w14:paraId="7BC3AC46">
                  <w:pPr>
                    <w:pStyle w:val="122"/>
                    <w:rPr>
                      <w:color w:val="auto"/>
                    </w:rPr>
                  </w:pPr>
                  <w:r>
                    <w:rPr>
                      <w:rFonts w:hint="eastAsia"/>
                      <w:color w:val="auto"/>
                    </w:rPr>
                    <w:t>SS</w:t>
                  </w:r>
                </w:p>
              </w:tc>
              <w:tc>
                <w:tcPr>
                  <w:tcW w:w="5393" w:type="dxa"/>
                  <w:vMerge w:val="continue"/>
                  <w:tcBorders>
                    <w:tl2br w:val="nil"/>
                    <w:tr2bl w:val="nil"/>
                  </w:tcBorders>
                  <w:vAlign w:val="center"/>
                </w:tcPr>
                <w:p w14:paraId="0216A094">
                  <w:pPr>
                    <w:pStyle w:val="122"/>
                    <w:rPr>
                      <w:color w:val="auto"/>
                    </w:rPr>
                  </w:pPr>
                </w:p>
              </w:tc>
              <w:tc>
                <w:tcPr>
                  <w:tcW w:w="3310" w:type="dxa"/>
                  <w:tcBorders>
                    <w:tl2br w:val="nil"/>
                    <w:tr2bl w:val="nil"/>
                  </w:tcBorders>
                  <w:vAlign w:val="center"/>
                </w:tcPr>
                <w:p w14:paraId="04915CB4">
                  <w:pPr>
                    <w:pStyle w:val="122"/>
                    <w:rPr>
                      <w:color w:val="auto"/>
                    </w:rPr>
                  </w:pPr>
                  <w:r>
                    <w:rPr>
                      <w:rFonts w:hint="eastAsia"/>
                      <w:color w:val="auto"/>
                    </w:rPr>
                    <w:t>400</w:t>
                  </w:r>
                </w:p>
              </w:tc>
            </w:tr>
            <w:tr w14:paraId="76698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0C85FB10">
                  <w:pPr>
                    <w:pStyle w:val="122"/>
                    <w:rPr>
                      <w:color w:val="auto"/>
                    </w:rPr>
                  </w:pPr>
                </w:p>
              </w:tc>
              <w:tc>
                <w:tcPr>
                  <w:tcW w:w="1848" w:type="dxa"/>
                  <w:tcBorders>
                    <w:tl2br w:val="nil"/>
                    <w:tr2bl w:val="nil"/>
                  </w:tcBorders>
                  <w:vAlign w:val="center"/>
                </w:tcPr>
                <w:p w14:paraId="4CFB3B93">
                  <w:pPr>
                    <w:pStyle w:val="122"/>
                    <w:rPr>
                      <w:color w:val="auto"/>
                    </w:rPr>
                  </w:pPr>
                  <w:r>
                    <w:rPr>
                      <w:color w:val="auto"/>
                    </w:rPr>
                    <w:t>NH</w:t>
                  </w:r>
                  <w:r>
                    <w:rPr>
                      <w:color w:val="auto"/>
                      <w:vertAlign w:val="subscript"/>
                    </w:rPr>
                    <w:t>3</w:t>
                  </w:r>
                  <w:r>
                    <w:rPr>
                      <w:color w:val="auto"/>
                    </w:rPr>
                    <w:t>-N</w:t>
                  </w:r>
                </w:p>
              </w:tc>
              <w:tc>
                <w:tcPr>
                  <w:tcW w:w="5393" w:type="dxa"/>
                  <w:vMerge w:val="continue"/>
                  <w:tcBorders>
                    <w:tl2br w:val="nil"/>
                    <w:tr2bl w:val="nil"/>
                  </w:tcBorders>
                  <w:vAlign w:val="center"/>
                </w:tcPr>
                <w:p w14:paraId="69174BC1">
                  <w:pPr>
                    <w:pStyle w:val="122"/>
                    <w:rPr>
                      <w:color w:val="auto"/>
                    </w:rPr>
                  </w:pPr>
                </w:p>
              </w:tc>
              <w:tc>
                <w:tcPr>
                  <w:tcW w:w="3310" w:type="dxa"/>
                  <w:tcBorders>
                    <w:tl2br w:val="nil"/>
                    <w:tr2bl w:val="nil"/>
                  </w:tcBorders>
                  <w:vAlign w:val="center"/>
                </w:tcPr>
                <w:p w14:paraId="732A0AB6">
                  <w:pPr>
                    <w:pStyle w:val="122"/>
                    <w:rPr>
                      <w:color w:val="auto"/>
                    </w:rPr>
                  </w:pPr>
                  <w:r>
                    <w:rPr>
                      <w:rFonts w:hint="eastAsia"/>
                      <w:color w:val="auto"/>
                    </w:rPr>
                    <w:t>45</w:t>
                  </w:r>
                </w:p>
              </w:tc>
            </w:tr>
          </w:tbl>
          <w:p w14:paraId="698D23BC">
            <w:pPr>
              <w:pStyle w:val="22"/>
              <w:spacing w:line="360" w:lineRule="auto"/>
              <w:ind w:left="0" w:right="0" w:firstLine="480"/>
              <w:jc w:val="left"/>
              <w:rPr>
                <w:color w:val="auto"/>
              </w:rPr>
            </w:pPr>
          </w:p>
        </w:tc>
      </w:tr>
    </w:tbl>
    <w:p w14:paraId="31F7940B">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6"/>
        <w:tblW w:w="13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2495"/>
      </w:tblGrid>
      <w:tr w14:paraId="348A0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4" w:type="dxa"/>
            <w:tcMar>
              <w:left w:w="28" w:type="dxa"/>
              <w:right w:w="28" w:type="dxa"/>
            </w:tcMar>
            <w:vAlign w:val="center"/>
          </w:tcPr>
          <w:p w14:paraId="64126A2B">
            <w:pPr>
              <w:pStyle w:val="31"/>
              <w:spacing w:before="0" w:beforeAutospacing="0" w:after="0" w:afterAutospacing="0"/>
              <w:jc w:val="center"/>
              <w:rPr>
                <w:rFonts w:ascii="Times New Roman" w:hAnsi="Times New Roman"/>
                <w:color w:val="auto"/>
                <w:kern w:val="21"/>
                <w:szCs w:val="24"/>
              </w:rPr>
            </w:pPr>
            <w:r>
              <w:rPr>
                <w:rFonts w:hint="eastAsia" w:ascii="Times New Roman" w:hAnsi="Times New Roman"/>
                <w:color w:val="auto"/>
                <w:kern w:val="21"/>
                <w:szCs w:val="24"/>
              </w:rPr>
              <w:t>运营期</w:t>
            </w:r>
            <w:r>
              <w:rPr>
                <w:rFonts w:ascii="Times New Roman" w:hAnsi="Times New Roman"/>
                <w:color w:val="auto"/>
                <w:kern w:val="21"/>
                <w:szCs w:val="24"/>
              </w:rPr>
              <w:t>环</w:t>
            </w:r>
          </w:p>
          <w:p w14:paraId="50911B9A">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境保</w:t>
            </w:r>
          </w:p>
          <w:p w14:paraId="6299C66A">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护措</w:t>
            </w:r>
          </w:p>
          <w:p w14:paraId="174A68DC">
            <w:pPr>
              <w:jc w:val="center"/>
              <w:rPr>
                <w:color w:val="auto"/>
                <w:kern w:val="21"/>
                <w:sz w:val="24"/>
              </w:rPr>
            </w:pPr>
            <w:r>
              <w:rPr>
                <w:color w:val="auto"/>
                <w:kern w:val="21"/>
                <w:sz w:val="24"/>
              </w:rPr>
              <w:t>施</w:t>
            </w:r>
          </w:p>
        </w:tc>
        <w:tc>
          <w:tcPr>
            <w:tcW w:w="12495" w:type="dxa"/>
            <w:vAlign w:val="center"/>
          </w:tcPr>
          <w:p w14:paraId="12C6F63F">
            <w:pPr>
              <w:pStyle w:val="68"/>
              <w:ind w:firstLine="0" w:firstLineChars="0"/>
              <w:rPr>
                <w:b/>
                <w:bCs/>
                <w:color w:val="auto"/>
                <w:kern w:val="2"/>
                <w:sz w:val="24"/>
                <w:szCs w:val="24"/>
              </w:rPr>
            </w:pPr>
            <w:r>
              <w:rPr>
                <w:rFonts w:hint="eastAsia"/>
                <w:b/>
                <w:bCs/>
                <w:color w:val="auto"/>
                <w:kern w:val="2"/>
                <w:sz w:val="24"/>
                <w:szCs w:val="24"/>
              </w:rPr>
              <w:t>4.4运营期</w:t>
            </w:r>
            <w:r>
              <w:rPr>
                <w:b/>
                <w:bCs/>
                <w:color w:val="auto"/>
                <w:kern w:val="2"/>
                <w:sz w:val="24"/>
                <w:szCs w:val="24"/>
              </w:rPr>
              <w:t>噪声源强分析及环保措施</w:t>
            </w:r>
          </w:p>
          <w:p w14:paraId="538DCB47">
            <w:pPr>
              <w:pStyle w:val="68"/>
              <w:ind w:firstLine="482"/>
              <w:rPr>
                <w:b/>
                <w:bCs/>
                <w:color w:val="auto"/>
                <w:kern w:val="2"/>
                <w:sz w:val="24"/>
                <w:szCs w:val="24"/>
              </w:rPr>
            </w:pPr>
            <w:r>
              <w:rPr>
                <w:b/>
                <w:bCs/>
                <w:color w:val="auto"/>
                <w:kern w:val="2"/>
                <w:sz w:val="24"/>
                <w:szCs w:val="24"/>
              </w:rPr>
              <w:t>1、噪声污染源强</w:t>
            </w:r>
          </w:p>
          <w:p w14:paraId="5F09DDFB">
            <w:pPr>
              <w:pStyle w:val="68"/>
              <w:ind w:firstLine="480"/>
              <w:rPr>
                <w:color w:val="auto"/>
                <w:sz w:val="24"/>
                <w:szCs w:val="24"/>
              </w:rPr>
            </w:pPr>
            <w:r>
              <w:rPr>
                <w:rFonts w:hint="eastAsia"/>
                <w:color w:val="auto"/>
                <w:sz w:val="24"/>
                <w:szCs w:val="24"/>
                <w:lang w:eastAsia="zh-CN"/>
              </w:rPr>
              <w:t>迁建项目</w:t>
            </w:r>
            <w:r>
              <w:rPr>
                <w:color w:val="auto"/>
                <w:sz w:val="24"/>
                <w:szCs w:val="24"/>
              </w:rPr>
              <w:t>高噪声设备主要有滚焊机、点焊机、拉丝机、圈板机、搅拌机、芯模振动机、升芯振动机、立式振捣机等设备运行的噪声，其噪声值大约在75-90dB，分布于生产车间内，噪声污染源强核算结果及相关参数如下表4.4-1。</w:t>
            </w:r>
          </w:p>
          <w:p w14:paraId="21E07CEA">
            <w:pPr>
              <w:pStyle w:val="77"/>
              <w:rPr>
                <w:rFonts w:hint="eastAsia" w:eastAsia="宋体"/>
                <w:color w:val="auto"/>
                <w:sz w:val="24"/>
                <w:lang w:eastAsia="zh-CN"/>
              </w:rPr>
            </w:pPr>
            <w:r>
              <w:rPr>
                <w:color w:val="auto"/>
                <w:sz w:val="24"/>
              </w:rPr>
              <w:t>表</w:t>
            </w:r>
            <w:r>
              <w:rPr>
                <w:rFonts w:hint="eastAsia"/>
                <w:color w:val="auto"/>
                <w:sz w:val="24"/>
              </w:rPr>
              <w:t xml:space="preserve">4.4-1 </w:t>
            </w:r>
            <w:r>
              <w:rPr>
                <w:color w:val="auto"/>
                <w:sz w:val="24"/>
              </w:rPr>
              <w:t xml:space="preserve"> 项目噪声</w:t>
            </w:r>
            <w:r>
              <w:rPr>
                <w:rFonts w:hint="eastAsia"/>
                <w:color w:val="auto"/>
                <w:sz w:val="24"/>
              </w:rPr>
              <w:t>污染源强核算结果及相关参数一览表</w:t>
            </w:r>
            <w:r>
              <w:rPr>
                <w:rFonts w:hint="eastAsia"/>
                <w:color w:val="auto"/>
                <w:sz w:val="24"/>
                <w:shd w:val="clear" w:fill="FFFFFF"/>
                <w:lang w:eastAsia="zh-CN"/>
              </w:rPr>
              <w:t>(</w:t>
            </w:r>
            <w:r>
              <w:rPr>
                <w:rFonts w:hint="eastAsia"/>
                <w:color w:val="auto"/>
                <w:sz w:val="24"/>
              </w:rPr>
              <w:t>室内声源</w:t>
            </w:r>
            <w:r>
              <w:rPr>
                <w:rFonts w:hint="eastAsia"/>
                <w:color w:val="auto"/>
                <w:sz w:val="24"/>
                <w:shd w:val="clear" w:fill="FFFFFF"/>
                <w:lang w:eastAsia="zh-CN"/>
              </w:rPr>
              <w:t>)</w:t>
            </w:r>
          </w:p>
          <w:tbl>
            <w:tblPr>
              <w:tblStyle w:val="36"/>
              <w:tblW w:w="12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305"/>
              <w:gridCol w:w="645"/>
              <w:gridCol w:w="1369"/>
              <w:gridCol w:w="965"/>
              <w:gridCol w:w="804"/>
              <w:gridCol w:w="878"/>
              <w:gridCol w:w="1007"/>
              <w:gridCol w:w="606"/>
              <w:gridCol w:w="594"/>
              <w:gridCol w:w="712"/>
              <w:gridCol w:w="591"/>
              <w:gridCol w:w="715"/>
              <w:gridCol w:w="883"/>
              <w:gridCol w:w="599"/>
            </w:tblGrid>
            <w:tr w14:paraId="60A3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restart"/>
                  <w:vAlign w:val="center"/>
                </w:tcPr>
                <w:p w14:paraId="2D8EE4E3">
                  <w:pPr>
                    <w:widowControl/>
                    <w:adjustRightInd/>
                    <w:snapToGrid/>
                    <w:jc w:val="center"/>
                    <w:textAlignment w:val="center"/>
                    <w:rPr>
                      <w:color w:val="auto"/>
                      <w:szCs w:val="21"/>
                    </w:rPr>
                  </w:pPr>
                  <w:r>
                    <w:rPr>
                      <w:color w:val="auto"/>
                      <w:kern w:val="0"/>
                      <w:szCs w:val="21"/>
                    </w:rPr>
                    <w:t>建筑物名称</w:t>
                  </w:r>
                </w:p>
              </w:tc>
              <w:tc>
                <w:tcPr>
                  <w:tcW w:w="1305" w:type="dxa"/>
                  <w:vMerge w:val="restart"/>
                  <w:vAlign w:val="center"/>
                </w:tcPr>
                <w:p w14:paraId="55AA0C66">
                  <w:pPr>
                    <w:widowControl/>
                    <w:adjustRightInd/>
                    <w:snapToGrid/>
                    <w:jc w:val="center"/>
                    <w:textAlignment w:val="center"/>
                    <w:rPr>
                      <w:color w:val="auto"/>
                      <w:szCs w:val="21"/>
                    </w:rPr>
                  </w:pPr>
                  <w:r>
                    <w:rPr>
                      <w:color w:val="auto"/>
                      <w:kern w:val="0"/>
                      <w:szCs w:val="21"/>
                    </w:rPr>
                    <w:t>声源名称</w:t>
                  </w:r>
                </w:p>
              </w:tc>
              <w:tc>
                <w:tcPr>
                  <w:tcW w:w="645" w:type="dxa"/>
                  <w:vMerge w:val="restart"/>
                  <w:vAlign w:val="center"/>
                </w:tcPr>
                <w:p w14:paraId="27BBF0F5">
                  <w:pPr>
                    <w:widowControl/>
                    <w:adjustRightInd/>
                    <w:snapToGrid/>
                    <w:jc w:val="center"/>
                    <w:textAlignment w:val="center"/>
                    <w:rPr>
                      <w:color w:val="auto"/>
                      <w:szCs w:val="21"/>
                    </w:rPr>
                  </w:pPr>
                  <w:r>
                    <w:rPr>
                      <w:color w:val="auto"/>
                      <w:kern w:val="0"/>
                      <w:szCs w:val="21"/>
                    </w:rPr>
                    <w:t>运行台数/台</w:t>
                  </w:r>
                </w:p>
              </w:tc>
              <w:tc>
                <w:tcPr>
                  <w:tcW w:w="2334" w:type="dxa"/>
                  <w:gridSpan w:val="2"/>
                  <w:vAlign w:val="center"/>
                </w:tcPr>
                <w:p w14:paraId="0FC0096B">
                  <w:pPr>
                    <w:widowControl/>
                    <w:adjustRightInd/>
                    <w:snapToGrid/>
                    <w:jc w:val="center"/>
                    <w:textAlignment w:val="center"/>
                    <w:rPr>
                      <w:color w:val="auto"/>
                      <w:szCs w:val="21"/>
                    </w:rPr>
                  </w:pPr>
                  <w:r>
                    <w:rPr>
                      <w:color w:val="auto"/>
                      <w:kern w:val="0"/>
                      <w:szCs w:val="21"/>
                    </w:rPr>
                    <w:t>声源</w:t>
                  </w:r>
                  <w:r>
                    <w:rPr>
                      <w:rFonts w:hint="eastAsia"/>
                      <w:color w:val="auto"/>
                      <w:kern w:val="0"/>
                      <w:szCs w:val="21"/>
                      <w:lang w:val="en-US" w:eastAsia="zh-CN"/>
                    </w:rPr>
                    <w:t>的</w:t>
                  </w:r>
                  <w:r>
                    <w:rPr>
                      <w:color w:val="auto"/>
                      <w:kern w:val="0"/>
                      <w:szCs w:val="21"/>
                    </w:rPr>
                    <w:t>源强</w:t>
                  </w:r>
                </w:p>
              </w:tc>
              <w:tc>
                <w:tcPr>
                  <w:tcW w:w="804" w:type="dxa"/>
                  <w:vMerge w:val="restart"/>
                  <w:vAlign w:val="center"/>
                </w:tcPr>
                <w:p w14:paraId="69D9D8B0">
                  <w:pPr>
                    <w:widowControl/>
                    <w:adjustRightInd/>
                    <w:snapToGrid/>
                    <w:jc w:val="center"/>
                    <w:textAlignment w:val="center"/>
                    <w:rPr>
                      <w:color w:val="auto"/>
                      <w:szCs w:val="21"/>
                    </w:rPr>
                  </w:pPr>
                  <w:r>
                    <w:rPr>
                      <w:color w:val="auto"/>
                      <w:kern w:val="0"/>
                      <w:szCs w:val="21"/>
                    </w:rPr>
                    <w:t>声源控制措施</w:t>
                  </w:r>
                </w:p>
              </w:tc>
              <w:tc>
                <w:tcPr>
                  <w:tcW w:w="2491" w:type="dxa"/>
                  <w:gridSpan w:val="3"/>
                  <w:vAlign w:val="center"/>
                </w:tcPr>
                <w:p w14:paraId="4A704A8E">
                  <w:pPr>
                    <w:widowControl/>
                    <w:adjustRightInd/>
                    <w:snapToGrid/>
                    <w:jc w:val="center"/>
                    <w:textAlignment w:val="center"/>
                    <w:rPr>
                      <w:color w:val="auto"/>
                      <w:szCs w:val="21"/>
                    </w:rPr>
                  </w:pPr>
                  <w:r>
                    <w:rPr>
                      <w:color w:val="auto"/>
                      <w:kern w:val="0"/>
                      <w:szCs w:val="21"/>
                    </w:rPr>
                    <w:t>空间相对位置</w:t>
                  </w:r>
                  <w:r>
                    <w:rPr>
                      <w:color w:val="auto"/>
                      <w:szCs w:val="21"/>
                    </w:rPr>
                    <w:t>/m*</w:t>
                  </w:r>
                </w:p>
              </w:tc>
              <w:tc>
                <w:tcPr>
                  <w:tcW w:w="594" w:type="dxa"/>
                  <w:vMerge w:val="restart"/>
                  <w:vAlign w:val="center"/>
                </w:tcPr>
                <w:p w14:paraId="7E45213B">
                  <w:pPr>
                    <w:widowControl/>
                    <w:adjustRightInd/>
                    <w:snapToGrid/>
                    <w:jc w:val="center"/>
                    <w:textAlignment w:val="center"/>
                    <w:rPr>
                      <w:color w:val="auto"/>
                      <w:szCs w:val="21"/>
                    </w:rPr>
                  </w:pPr>
                  <w:r>
                    <w:rPr>
                      <w:color w:val="auto"/>
                      <w:kern w:val="0"/>
                      <w:szCs w:val="21"/>
                    </w:rPr>
                    <w:t>距室内边界距离</w:t>
                  </w:r>
                  <w:r>
                    <w:rPr>
                      <w:color w:val="auto"/>
                      <w:szCs w:val="21"/>
                    </w:rPr>
                    <w:t>/m</w:t>
                  </w:r>
                </w:p>
              </w:tc>
              <w:tc>
                <w:tcPr>
                  <w:tcW w:w="712" w:type="dxa"/>
                  <w:vMerge w:val="restart"/>
                  <w:vAlign w:val="center"/>
                </w:tcPr>
                <w:p w14:paraId="2E37C82E">
                  <w:pPr>
                    <w:widowControl/>
                    <w:adjustRightInd/>
                    <w:snapToGrid/>
                    <w:jc w:val="center"/>
                    <w:textAlignment w:val="center"/>
                    <w:rPr>
                      <w:color w:val="auto"/>
                      <w:szCs w:val="21"/>
                    </w:rPr>
                  </w:pPr>
                  <w:r>
                    <w:rPr>
                      <w:color w:val="auto"/>
                      <w:kern w:val="0"/>
                      <w:szCs w:val="21"/>
                    </w:rPr>
                    <w:t>室内边界声级</w:t>
                  </w:r>
                  <w:r>
                    <w:rPr>
                      <w:color w:val="auto"/>
                      <w:szCs w:val="21"/>
                    </w:rPr>
                    <w:t>/dB(A)</w:t>
                  </w:r>
                </w:p>
              </w:tc>
              <w:tc>
                <w:tcPr>
                  <w:tcW w:w="591" w:type="dxa"/>
                  <w:vMerge w:val="restart"/>
                  <w:vAlign w:val="center"/>
                </w:tcPr>
                <w:p w14:paraId="25061D24">
                  <w:pPr>
                    <w:widowControl/>
                    <w:adjustRightInd/>
                    <w:snapToGrid/>
                    <w:jc w:val="center"/>
                    <w:textAlignment w:val="center"/>
                    <w:rPr>
                      <w:color w:val="auto"/>
                      <w:szCs w:val="21"/>
                    </w:rPr>
                  </w:pPr>
                  <w:r>
                    <w:rPr>
                      <w:color w:val="auto"/>
                      <w:kern w:val="0"/>
                      <w:szCs w:val="21"/>
                    </w:rPr>
                    <w:t>运行时段</w:t>
                  </w:r>
                </w:p>
              </w:tc>
              <w:tc>
                <w:tcPr>
                  <w:tcW w:w="715" w:type="dxa"/>
                  <w:vMerge w:val="restart"/>
                  <w:vAlign w:val="center"/>
                </w:tcPr>
                <w:p w14:paraId="60123FEE">
                  <w:pPr>
                    <w:widowControl/>
                    <w:adjustRightInd/>
                    <w:snapToGrid/>
                    <w:jc w:val="center"/>
                    <w:textAlignment w:val="center"/>
                    <w:rPr>
                      <w:color w:val="auto"/>
                      <w:szCs w:val="21"/>
                    </w:rPr>
                  </w:pPr>
                  <w:r>
                    <w:rPr>
                      <w:color w:val="auto"/>
                      <w:kern w:val="0"/>
                      <w:szCs w:val="21"/>
                    </w:rPr>
                    <w:t>建筑物插入损失</w:t>
                  </w:r>
                  <w:r>
                    <w:rPr>
                      <w:color w:val="auto"/>
                      <w:szCs w:val="21"/>
                    </w:rPr>
                    <w:t>/dB(A)</w:t>
                  </w:r>
                </w:p>
              </w:tc>
              <w:tc>
                <w:tcPr>
                  <w:tcW w:w="1482" w:type="dxa"/>
                  <w:gridSpan w:val="2"/>
                  <w:vAlign w:val="center"/>
                </w:tcPr>
                <w:p w14:paraId="6298E8C2">
                  <w:pPr>
                    <w:widowControl/>
                    <w:adjustRightInd/>
                    <w:snapToGrid/>
                    <w:jc w:val="center"/>
                    <w:textAlignment w:val="center"/>
                    <w:rPr>
                      <w:color w:val="auto"/>
                      <w:szCs w:val="21"/>
                    </w:rPr>
                  </w:pPr>
                  <w:r>
                    <w:rPr>
                      <w:color w:val="auto"/>
                      <w:kern w:val="0"/>
                      <w:szCs w:val="21"/>
                    </w:rPr>
                    <w:t>建筑外噪声</w:t>
                  </w:r>
                </w:p>
              </w:tc>
            </w:tr>
            <w:tr w14:paraId="4DCA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0D378354">
                  <w:pPr>
                    <w:widowControl/>
                    <w:adjustRightInd/>
                    <w:snapToGrid/>
                    <w:jc w:val="center"/>
                    <w:rPr>
                      <w:color w:val="auto"/>
                      <w:szCs w:val="21"/>
                    </w:rPr>
                  </w:pPr>
                </w:p>
              </w:tc>
              <w:tc>
                <w:tcPr>
                  <w:tcW w:w="1305" w:type="dxa"/>
                  <w:vMerge w:val="continue"/>
                  <w:vAlign w:val="center"/>
                </w:tcPr>
                <w:p w14:paraId="72C212D8">
                  <w:pPr>
                    <w:widowControl/>
                    <w:adjustRightInd/>
                    <w:snapToGrid/>
                    <w:jc w:val="center"/>
                    <w:rPr>
                      <w:color w:val="auto"/>
                      <w:szCs w:val="21"/>
                    </w:rPr>
                  </w:pPr>
                </w:p>
              </w:tc>
              <w:tc>
                <w:tcPr>
                  <w:tcW w:w="645" w:type="dxa"/>
                  <w:vMerge w:val="continue"/>
                  <w:vAlign w:val="center"/>
                </w:tcPr>
                <w:p w14:paraId="46A96A9E">
                  <w:pPr>
                    <w:widowControl/>
                    <w:adjustRightInd/>
                    <w:snapToGrid/>
                    <w:jc w:val="center"/>
                    <w:rPr>
                      <w:color w:val="auto"/>
                      <w:szCs w:val="21"/>
                    </w:rPr>
                  </w:pPr>
                </w:p>
              </w:tc>
              <w:tc>
                <w:tcPr>
                  <w:tcW w:w="1369" w:type="dxa"/>
                  <w:vAlign w:val="center"/>
                </w:tcPr>
                <w:p w14:paraId="05A0319F">
                  <w:pPr>
                    <w:widowControl/>
                    <w:adjustRightInd/>
                    <w:snapToGrid/>
                    <w:jc w:val="center"/>
                    <w:textAlignment w:val="center"/>
                    <w:rPr>
                      <w:rFonts w:hint="eastAsia" w:eastAsia="宋体"/>
                      <w:color w:val="auto"/>
                      <w:szCs w:val="21"/>
                      <w:lang w:eastAsia="zh-CN"/>
                    </w:rPr>
                  </w:pPr>
                  <w:r>
                    <w:rPr>
                      <w:rFonts w:hint="eastAsia"/>
                      <w:color w:val="auto"/>
                      <w:kern w:val="0"/>
                      <w:szCs w:val="21"/>
                      <w:shd w:val="clear" w:fill="FFFFFF"/>
                      <w:lang w:eastAsia="zh-CN"/>
                    </w:rPr>
                    <w:t>(</w:t>
                  </w:r>
                  <w:r>
                    <w:rPr>
                      <w:color w:val="auto"/>
                      <w:kern w:val="0"/>
                      <w:szCs w:val="21"/>
                    </w:rPr>
                    <w:t>声压级</w:t>
                  </w:r>
                  <w:r>
                    <w:rPr>
                      <w:color w:val="auto"/>
                      <w:szCs w:val="21"/>
                    </w:rPr>
                    <w:t>/</w:t>
                  </w:r>
                  <w:r>
                    <w:rPr>
                      <w:color w:val="auto"/>
                      <w:kern w:val="0"/>
                      <w:szCs w:val="21"/>
                    </w:rPr>
                    <w:t>距声源距离</w:t>
                  </w:r>
                  <w:r>
                    <w:rPr>
                      <w:rFonts w:hint="eastAsia"/>
                      <w:color w:val="auto"/>
                      <w:kern w:val="0"/>
                      <w:szCs w:val="21"/>
                      <w:shd w:val="clear" w:fill="FFFFFF"/>
                      <w:lang w:eastAsia="zh-CN"/>
                    </w:rPr>
                    <w:t>)</w:t>
                  </w:r>
                  <w:r>
                    <w:rPr>
                      <w:color w:val="auto"/>
                      <w:szCs w:val="21"/>
                    </w:rPr>
                    <w:t>/</w:t>
                  </w:r>
                  <w:r>
                    <w:rPr>
                      <w:rFonts w:hint="eastAsia"/>
                      <w:color w:val="auto"/>
                      <w:kern w:val="0"/>
                      <w:szCs w:val="21"/>
                      <w:lang w:eastAsia="zh-CN"/>
                    </w:rPr>
                    <w:t>(</w:t>
                  </w:r>
                  <w:r>
                    <w:rPr>
                      <w:color w:val="auto"/>
                      <w:szCs w:val="21"/>
                    </w:rPr>
                    <w:t>dB</w:t>
                  </w:r>
                  <w:r>
                    <w:rPr>
                      <w:color w:val="auto"/>
                      <w:szCs w:val="21"/>
                      <w:shd w:val="clear" w:fill="FFFFFF"/>
                    </w:rPr>
                    <w:t>(</w:t>
                  </w:r>
                  <w:r>
                    <w:rPr>
                      <w:color w:val="auto"/>
                      <w:szCs w:val="21"/>
                    </w:rPr>
                    <w:t>A</w:t>
                  </w:r>
                  <w:r>
                    <w:rPr>
                      <w:color w:val="auto"/>
                      <w:szCs w:val="21"/>
                      <w:shd w:val="clear" w:fill="FFFFFF"/>
                    </w:rPr>
                    <w:t>)</w:t>
                  </w:r>
                  <w:r>
                    <w:rPr>
                      <w:color w:val="auto"/>
                      <w:szCs w:val="21"/>
                    </w:rPr>
                    <w:t>/m</w:t>
                  </w:r>
                  <w:r>
                    <w:rPr>
                      <w:rFonts w:hint="eastAsia"/>
                      <w:color w:val="auto"/>
                      <w:kern w:val="0"/>
                      <w:szCs w:val="21"/>
                      <w:lang w:eastAsia="zh-CN"/>
                    </w:rPr>
                    <w:t>)</w:t>
                  </w:r>
                </w:p>
              </w:tc>
              <w:tc>
                <w:tcPr>
                  <w:tcW w:w="965" w:type="dxa"/>
                  <w:vAlign w:val="center"/>
                </w:tcPr>
                <w:p w14:paraId="670E293C">
                  <w:pPr>
                    <w:widowControl/>
                    <w:adjustRightInd/>
                    <w:snapToGrid/>
                    <w:jc w:val="center"/>
                    <w:textAlignment w:val="center"/>
                    <w:rPr>
                      <w:color w:val="auto"/>
                      <w:szCs w:val="21"/>
                    </w:rPr>
                  </w:pPr>
                  <w:r>
                    <w:rPr>
                      <w:color w:val="auto"/>
                      <w:kern w:val="0"/>
                      <w:szCs w:val="21"/>
                    </w:rPr>
                    <w:t>声功率级</w:t>
                  </w:r>
                  <w:r>
                    <w:rPr>
                      <w:color w:val="auto"/>
                      <w:szCs w:val="21"/>
                    </w:rPr>
                    <w:t xml:space="preserve"> /dB(A)</w:t>
                  </w:r>
                </w:p>
              </w:tc>
              <w:tc>
                <w:tcPr>
                  <w:tcW w:w="804" w:type="dxa"/>
                  <w:vMerge w:val="continue"/>
                  <w:vAlign w:val="center"/>
                </w:tcPr>
                <w:p w14:paraId="5D2845F0">
                  <w:pPr>
                    <w:widowControl/>
                    <w:adjustRightInd/>
                    <w:snapToGrid/>
                    <w:jc w:val="center"/>
                    <w:rPr>
                      <w:color w:val="auto"/>
                      <w:szCs w:val="21"/>
                    </w:rPr>
                  </w:pPr>
                </w:p>
              </w:tc>
              <w:tc>
                <w:tcPr>
                  <w:tcW w:w="878" w:type="dxa"/>
                  <w:vAlign w:val="center"/>
                </w:tcPr>
                <w:p w14:paraId="29C26F43">
                  <w:pPr>
                    <w:widowControl/>
                    <w:adjustRightInd/>
                    <w:snapToGrid/>
                    <w:jc w:val="center"/>
                    <w:textAlignment w:val="center"/>
                    <w:rPr>
                      <w:color w:val="auto"/>
                      <w:szCs w:val="21"/>
                    </w:rPr>
                  </w:pPr>
                  <w:r>
                    <w:rPr>
                      <w:color w:val="auto"/>
                      <w:kern w:val="0"/>
                      <w:szCs w:val="21"/>
                    </w:rPr>
                    <w:t>X</w:t>
                  </w:r>
                </w:p>
              </w:tc>
              <w:tc>
                <w:tcPr>
                  <w:tcW w:w="1007" w:type="dxa"/>
                  <w:vAlign w:val="center"/>
                </w:tcPr>
                <w:p w14:paraId="75B5240D">
                  <w:pPr>
                    <w:widowControl/>
                    <w:adjustRightInd/>
                    <w:snapToGrid/>
                    <w:jc w:val="center"/>
                    <w:textAlignment w:val="center"/>
                    <w:rPr>
                      <w:color w:val="auto"/>
                      <w:szCs w:val="21"/>
                    </w:rPr>
                  </w:pPr>
                  <w:r>
                    <w:rPr>
                      <w:color w:val="auto"/>
                      <w:kern w:val="0"/>
                      <w:szCs w:val="21"/>
                    </w:rPr>
                    <w:t>Y</w:t>
                  </w:r>
                </w:p>
              </w:tc>
              <w:tc>
                <w:tcPr>
                  <w:tcW w:w="606" w:type="dxa"/>
                  <w:vAlign w:val="center"/>
                </w:tcPr>
                <w:p w14:paraId="3D111769">
                  <w:pPr>
                    <w:widowControl/>
                    <w:adjustRightInd/>
                    <w:snapToGrid/>
                    <w:jc w:val="center"/>
                    <w:textAlignment w:val="center"/>
                    <w:rPr>
                      <w:color w:val="auto"/>
                      <w:szCs w:val="21"/>
                    </w:rPr>
                  </w:pPr>
                  <w:r>
                    <w:rPr>
                      <w:color w:val="auto"/>
                      <w:kern w:val="0"/>
                      <w:szCs w:val="21"/>
                    </w:rPr>
                    <w:t>Z</w:t>
                  </w:r>
                </w:p>
              </w:tc>
              <w:tc>
                <w:tcPr>
                  <w:tcW w:w="594" w:type="dxa"/>
                  <w:vMerge w:val="continue"/>
                  <w:vAlign w:val="center"/>
                </w:tcPr>
                <w:p w14:paraId="2EE7ECBF">
                  <w:pPr>
                    <w:widowControl/>
                    <w:adjustRightInd/>
                    <w:snapToGrid/>
                    <w:jc w:val="center"/>
                    <w:rPr>
                      <w:color w:val="auto"/>
                      <w:szCs w:val="21"/>
                    </w:rPr>
                  </w:pPr>
                </w:p>
              </w:tc>
              <w:tc>
                <w:tcPr>
                  <w:tcW w:w="712" w:type="dxa"/>
                  <w:vMerge w:val="continue"/>
                  <w:vAlign w:val="center"/>
                </w:tcPr>
                <w:p w14:paraId="26B91D77">
                  <w:pPr>
                    <w:widowControl/>
                    <w:adjustRightInd/>
                    <w:snapToGrid/>
                    <w:jc w:val="center"/>
                    <w:rPr>
                      <w:color w:val="auto"/>
                      <w:szCs w:val="21"/>
                    </w:rPr>
                  </w:pPr>
                </w:p>
              </w:tc>
              <w:tc>
                <w:tcPr>
                  <w:tcW w:w="591" w:type="dxa"/>
                  <w:vMerge w:val="continue"/>
                  <w:vAlign w:val="center"/>
                </w:tcPr>
                <w:p w14:paraId="0C6B4F22">
                  <w:pPr>
                    <w:widowControl/>
                    <w:adjustRightInd/>
                    <w:snapToGrid/>
                    <w:jc w:val="center"/>
                    <w:rPr>
                      <w:color w:val="auto"/>
                      <w:szCs w:val="21"/>
                    </w:rPr>
                  </w:pPr>
                </w:p>
              </w:tc>
              <w:tc>
                <w:tcPr>
                  <w:tcW w:w="715" w:type="dxa"/>
                  <w:vMerge w:val="continue"/>
                  <w:vAlign w:val="center"/>
                </w:tcPr>
                <w:p w14:paraId="65A1C952">
                  <w:pPr>
                    <w:widowControl/>
                    <w:adjustRightInd/>
                    <w:snapToGrid/>
                    <w:jc w:val="center"/>
                    <w:rPr>
                      <w:color w:val="auto"/>
                      <w:szCs w:val="21"/>
                    </w:rPr>
                  </w:pPr>
                </w:p>
              </w:tc>
              <w:tc>
                <w:tcPr>
                  <w:tcW w:w="883" w:type="dxa"/>
                  <w:vAlign w:val="center"/>
                </w:tcPr>
                <w:p w14:paraId="035FAAC3">
                  <w:pPr>
                    <w:widowControl/>
                    <w:adjustRightInd/>
                    <w:snapToGrid/>
                    <w:jc w:val="center"/>
                    <w:textAlignment w:val="center"/>
                    <w:rPr>
                      <w:color w:val="auto"/>
                      <w:szCs w:val="21"/>
                    </w:rPr>
                  </w:pPr>
                  <w:r>
                    <w:rPr>
                      <w:color w:val="auto"/>
                      <w:kern w:val="0"/>
                      <w:szCs w:val="21"/>
                    </w:rPr>
                    <w:t>声压级</w:t>
                  </w:r>
                  <w:r>
                    <w:rPr>
                      <w:color w:val="auto"/>
                      <w:szCs w:val="21"/>
                    </w:rPr>
                    <w:t>/dB(A)</w:t>
                  </w:r>
                </w:p>
              </w:tc>
              <w:tc>
                <w:tcPr>
                  <w:tcW w:w="599" w:type="dxa"/>
                  <w:vAlign w:val="center"/>
                </w:tcPr>
                <w:p w14:paraId="22426EB3">
                  <w:pPr>
                    <w:widowControl/>
                    <w:adjustRightInd/>
                    <w:snapToGrid/>
                    <w:jc w:val="center"/>
                    <w:textAlignment w:val="center"/>
                    <w:rPr>
                      <w:color w:val="auto"/>
                      <w:szCs w:val="21"/>
                    </w:rPr>
                  </w:pPr>
                  <w:r>
                    <w:rPr>
                      <w:color w:val="auto"/>
                      <w:kern w:val="0"/>
                      <w:szCs w:val="21"/>
                    </w:rPr>
                    <w:t>建筑物外距离</w:t>
                  </w:r>
                  <w:r>
                    <w:rPr>
                      <w:color w:val="auto"/>
                      <w:szCs w:val="21"/>
                    </w:rPr>
                    <w:t>/m</w:t>
                  </w:r>
                </w:p>
              </w:tc>
            </w:tr>
            <w:tr w14:paraId="4FA2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restart"/>
                  <w:vAlign w:val="center"/>
                </w:tcPr>
                <w:p w14:paraId="12D758E1">
                  <w:pPr>
                    <w:widowControl/>
                    <w:adjustRightInd/>
                    <w:snapToGrid/>
                    <w:jc w:val="center"/>
                    <w:textAlignment w:val="center"/>
                    <w:rPr>
                      <w:color w:val="auto"/>
                      <w:szCs w:val="21"/>
                    </w:rPr>
                  </w:pPr>
                  <w:r>
                    <w:rPr>
                      <w:rFonts w:hint="eastAsia"/>
                      <w:color w:val="auto"/>
                      <w:szCs w:val="21"/>
                    </w:rPr>
                    <w:t>生车车间</w:t>
                  </w:r>
                </w:p>
              </w:tc>
              <w:tc>
                <w:tcPr>
                  <w:tcW w:w="1305" w:type="dxa"/>
                  <w:vAlign w:val="center"/>
                </w:tcPr>
                <w:p w14:paraId="353223DA">
                  <w:pPr>
                    <w:widowControl/>
                    <w:adjustRightInd/>
                    <w:snapToGrid/>
                    <w:jc w:val="center"/>
                    <w:rPr>
                      <w:color w:val="auto"/>
                      <w:kern w:val="0"/>
                      <w:szCs w:val="21"/>
                    </w:rPr>
                  </w:pPr>
                  <w:r>
                    <w:rPr>
                      <w:rFonts w:hint="eastAsia"/>
                      <w:snapToGrid w:val="0"/>
                      <w:color w:val="auto"/>
                      <w:szCs w:val="21"/>
                    </w:rPr>
                    <w:t>滚焊机</w:t>
                  </w:r>
                </w:p>
              </w:tc>
              <w:tc>
                <w:tcPr>
                  <w:tcW w:w="645" w:type="dxa"/>
                  <w:vAlign w:val="center"/>
                </w:tcPr>
                <w:p w14:paraId="2A6EB1D8">
                  <w:pPr>
                    <w:pStyle w:val="15"/>
                    <w:spacing w:before="120"/>
                    <w:rPr>
                      <w:rFonts w:hint="eastAsia" w:eastAsia="黑体"/>
                      <w:color w:val="auto"/>
                      <w:kern w:val="0"/>
                      <w:szCs w:val="21"/>
                      <w:lang w:eastAsia="zh-CN"/>
                    </w:rPr>
                  </w:pPr>
                  <w:r>
                    <w:rPr>
                      <w:rFonts w:hint="eastAsia" w:ascii="Times New Roman" w:eastAsia="宋体"/>
                      <w:color w:val="auto"/>
                      <w:sz w:val="21"/>
                      <w:szCs w:val="21"/>
                      <w:lang w:val="en-US" w:eastAsia="zh-CN"/>
                    </w:rPr>
                    <w:t>3</w:t>
                  </w:r>
                </w:p>
              </w:tc>
              <w:tc>
                <w:tcPr>
                  <w:tcW w:w="1369" w:type="dxa"/>
                  <w:vAlign w:val="center"/>
                </w:tcPr>
                <w:p w14:paraId="370E2D57">
                  <w:pPr>
                    <w:widowControl/>
                    <w:adjustRightInd/>
                    <w:snapToGrid/>
                    <w:jc w:val="center"/>
                    <w:textAlignment w:val="center"/>
                    <w:rPr>
                      <w:color w:val="auto"/>
                      <w:szCs w:val="21"/>
                    </w:rPr>
                  </w:pPr>
                  <w:r>
                    <w:rPr>
                      <w:color w:val="auto"/>
                      <w:kern w:val="0"/>
                      <w:szCs w:val="21"/>
                    </w:rPr>
                    <w:t>/</w:t>
                  </w:r>
                </w:p>
              </w:tc>
              <w:tc>
                <w:tcPr>
                  <w:tcW w:w="965" w:type="dxa"/>
                  <w:vAlign w:val="center"/>
                </w:tcPr>
                <w:p w14:paraId="257C87F8">
                  <w:pPr>
                    <w:widowControl/>
                    <w:adjustRightInd/>
                    <w:snapToGrid/>
                    <w:jc w:val="center"/>
                    <w:textAlignment w:val="center"/>
                    <w:rPr>
                      <w:color w:val="auto"/>
                      <w:szCs w:val="21"/>
                    </w:rPr>
                  </w:pPr>
                  <w:r>
                    <w:rPr>
                      <w:color w:val="auto"/>
                      <w:szCs w:val="21"/>
                    </w:rPr>
                    <w:t>80</w:t>
                  </w:r>
                </w:p>
              </w:tc>
              <w:tc>
                <w:tcPr>
                  <w:tcW w:w="804" w:type="dxa"/>
                  <w:vMerge w:val="restart"/>
                  <w:vAlign w:val="center"/>
                </w:tcPr>
                <w:p w14:paraId="2BB70460">
                  <w:pPr>
                    <w:widowControl/>
                    <w:adjustRightInd/>
                    <w:snapToGrid/>
                    <w:jc w:val="center"/>
                    <w:textAlignment w:val="center"/>
                    <w:rPr>
                      <w:color w:val="auto"/>
                      <w:szCs w:val="21"/>
                    </w:rPr>
                  </w:pPr>
                  <w:r>
                    <w:rPr>
                      <w:rFonts w:hint="eastAsia" w:ascii="宋体" w:hAnsi="宋体" w:cs="宋体"/>
                      <w:color w:val="auto"/>
                      <w:kern w:val="0"/>
                      <w:szCs w:val="21"/>
                    </w:rPr>
                    <w:t>厂房隔声、基础减振、低噪声设备</w:t>
                  </w:r>
                </w:p>
              </w:tc>
              <w:tc>
                <w:tcPr>
                  <w:tcW w:w="878" w:type="dxa"/>
                  <w:vAlign w:val="center"/>
                </w:tcPr>
                <w:p w14:paraId="7680A3C2">
                  <w:pPr>
                    <w:widowControl/>
                    <w:adjustRightInd/>
                    <w:snapToGrid/>
                    <w:jc w:val="center"/>
                    <w:textAlignment w:val="center"/>
                    <w:rPr>
                      <w:color w:val="auto"/>
                      <w:szCs w:val="21"/>
                    </w:rPr>
                  </w:pPr>
                  <w:r>
                    <w:rPr>
                      <w:rFonts w:hint="eastAsia"/>
                      <w:color w:val="auto"/>
                      <w:szCs w:val="21"/>
                    </w:rPr>
                    <w:t>27</w:t>
                  </w:r>
                </w:p>
              </w:tc>
              <w:tc>
                <w:tcPr>
                  <w:tcW w:w="1007" w:type="dxa"/>
                  <w:vAlign w:val="center"/>
                </w:tcPr>
                <w:p w14:paraId="16901CD9">
                  <w:pPr>
                    <w:widowControl/>
                    <w:adjustRightInd/>
                    <w:snapToGrid/>
                    <w:jc w:val="center"/>
                    <w:textAlignment w:val="center"/>
                    <w:rPr>
                      <w:color w:val="auto"/>
                      <w:szCs w:val="21"/>
                    </w:rPr>
                  </w:pPr>
                  <w:r>
                    <w:rPr>
                      <w:rFonts w:hint="eastAsia"/>
                      <w:color w:val="auto"/>
                      <w:szCs w:val="21"/>
                    </w:rPr>
                    <w:t>-10</w:t>
                  </w:r>
                </w:p>
              </w:tc>
              <w:tc>
                <w:tcPr>
                  <w:tcW w:w="606" w:type="dxa"/>
                  <w:vAlign w:val="center"/>
                </w:tcPr>
                <w:p w14:paraId="76E24A81">
                  <w:pPr>
                    <w:widowControl/>
                    <w:adjustRightInd/>
                    <w:snapToGrid/>
                    <w:jc w:val="center"/>
                    <w:textAlignment w:val="center"/>
                    <w:rPr>
                      <w:color w:val="auto"/>
                      <w:szCs w:val="21"/>
                    </w:rPr>
                  </w:pPr>
                  <w:r>
                    <w:rPr>
                      <w:rFonts w:hint="eastAsia"/>
                      <w:color w:val="auto"/>
                      <w:szCs w:val="21"/>
                    </w:rPr>
                    <w:t>2</w:t>
                  </w:r>
                </w:p>
              </w:tc>
              <w:tc>
                <w:tcPr>
                  <w:tcW w:w="594" w:type="dxa"/>
                  <w:vAlign w:val="center"/>
                </w:tcPr>
                <w:p w14:paraId="65CDF912">
                  <w:pPr>
                    <w:widowControl/>
                    <w:adjustRightInd/>
                    <w:snapToGrid/>
                    <w:jc w:val="center"/>
                    <w:textAlignment w:val="center"/>
                    <w:rPr>
                      <w:color w:val="auto"/>
                      <w:szCs w:val="21"/>
                    </w:rPr>
                  </w:pPr>
                  <w:r>
                    <w:rPr>
                      <w:rFonts w:hint="eastAsia"/>
                      <w:color w:val="auto"/>
                      <w:szCs w:val="21"/>
                    </w:rPr>
                    <w:t>3</w:t>
                  </w:r>
                </w:p>
              </w:tc>
              <w:tc>
                <w:tcPr>
                  <w:tcW w:w="712" w:type="dxa"/>
                  <w:vAlign w:val="center"/>
                </w:tcPr>
                <w:p w14:paraId="36C21B88">
                  <w:pPr>
                    <w:widowControl/>
                    <w:adjustRightInd/>
                    <w:snapToGrid/>
                    <w:jc w:val="center"/>
                    <w:textAlignment w:val="center"/>
                    <w:rPr>
                      <w:color w:val="auto"/>
                      <w:szCs w:val="21"/>
                    </w:rPr>
                  </w:pPr>
                  <w:r>
                    <w:rPr>
                      <w:rFonts w:hint="eastAsia"/>
                      <w:color w:val="auto"/>
                      <w:szCs w:val="21"/>
                    </w:rPr>
                    <w:t>70.46</w:t>
                  </w:r>
                </w:p>
              </w:tc>
              <w:tc>
                <w:tcPr>
                  <w:tcW w:w="591" w:type="dxa"/>
                  <w:vAlign w:val="center"/>
                </w:tcPr>
                <w:p w14:paraId="28C18643">
                  <w:pPr>
                    <w:widowControl/>
                    <w:adjustRightInd/>
                    <w:snapToGrid/>
                    <w:jc w:val="center"/>
                    <w:textAlignment w:val="center"/>
                    <w:rPr>
                      <w:color w:val="auto"/>
                      <w:szCs w:val="21"/>
                    </w:rPr>
                  </w:pPr>
                  <w:r>
                    <w:rPr>
                      <w:rFonts w:hint="eastAsia"/>
                      <w:color w:val="auto"/>
                      <w:kern w:val="0"/>
                      <w:szCs w:val="21"/>
                    </w:rPr>
                    <w:t>8</w:t>
                  </w:r>
                  <w:r>
                    <w:rPr>
                      <w:color w:val="auto"/>
                      <w:kern w:val="0"/>
                      <w:szCs w:val="21"/>
                    </w:rPr>
                    <w:t>h</w:t>
                  </w:r>
                </w:p>
              </w:tc>
              <w:tc>
                <w:tcPr>
                  <w:tcW w:w="715" w:type="dxa"/>
                  <w:vMerge w:val="restart"/>
                  <w:vAlign w:val="center"/>
                </w:tcPr>
                <w:p w14:paraId="03E98188">
                  <w:pPr>
                    <w:widowControl/>
                    <w:adjustRightInd/>
                    <w:snapToGrid/>
                    <w:jc w:val="center"/>
                    <w:textAlignment w:val="center"/>
                    <w:rPr>
                      <w:color w:val="auto"/>
                      <w:szCs w:val="21"/>
                    </w:rPr>
                  </w:pPr>
                  <w:r>
                    <w:rPr>
                      <w:rFonts w:hint="eastAsia"/>
                      <w:color w:val="auto"/>
                      <w:kern w:val="0"/>
                      <w:szCs w:val="21"/>
                    </w:rPr>
                    <w:t>20</w:t>
                  </w:r>
                </w:p>
              </w:tc>
              <w:tc>
                <w:tcPr>
                  <w:tcW w:w="883" w:type="dxa"/>
                  <w:vAlign w:val="center"/>
                </w:tcPr>
                <w:p w14:paraId="68C2762C">
                  <w:pPr>
                    <w:widowControl/>
                    <w:adjustRightInd/>
                    <w:snapToGrid/>
                    <w:jc w:val="center"/>
                    <w:textAlignment w:val="bottom"/>
                    <w:rPr>
                      <w:color w:val="auto"/>
                      <w:szCs w:val="21"/>
                    </w:rPr>
                  </w:pPr>
                  <w:r>
                    <w:rPr>
                      <w:rFonts w:hint="eastAsia"/>
                      <w:color w:val="auto"/>
                      <w:szCs w:val="21"/>
                    </w:rPr>
                    <w:t>50.46</w:t>
                  </w:r>
                </w:p>
              </w:tc>
              <w:tc>
                <w:tcPr>
                  <w:tcW w:w="599" w:type="dxa"/>
                  <w:vMerge w:val="restart"/>
                  <w:vAlign w:val="center"/>
                </w:tcPr>
                <w:p w14:paraId="32AE2072">
                  <w:pPr>
                    <w:widowControl/>
                    <w:adjustRightInd/>
                    <w:snapToGrid/>
                    <w:jc w:val="center"/>
                    <w:textAlignment w:val="center"/>
                    <w:rPr>
                      <w:color w:val="auto"/>
                      <w:szCs w:val="21"/>
                    </w:rPr>
                  </w:pPr>
                  <w:r>
                    <w:rPr>
                      <w:rFonts w:hint="eastAsia"/>
                      <w:color w:val="auto"/>
                      <w:kern w:val="0"/>
                      <w:szCs w:val="21"/>
                    </w:rPr>
                    <w:t>1</w:t>
                  </w:r>
                </w:p>
              </w:tc>
            </w:tr>
            <w:tr w14:paraId="328F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283629B5">
                  <w:pPr>
                    <w:widowControl/>
                    <w:adjustRightInd/>
                    <w:snapToGrid/>
                    <w:jc w:val="center"/>
                    <w:rPr>
                      <w:color w:val="auto"/>
                      <w:szCs w:val="21"/>
                    </w:rPr>
                  </w:pPr>
                </w:p>
              </w:tc>
              <w:tc>
                <w:tcPr>
                  <w:tcW w:w="1305" w:type="dxa"/>
                  <w:vAlign w:val="center"/>
                </w:tcPr>
                <w:p w14:paraId="21FE32FE">
                  <w:pPr>
                    <w:widowControl/>
                    <w:adjustRightInd/>
                    <w:snapToGrid/>
                    <w:jc w:val="center"/>
                    <w:rPr>
                      <w:color w:val="auto"/>
                      <w:kern w:val="0"/>
                      <w:szCs w:val="21"/>
                    </w:rPr>
                  </w:pPr>
                  <w:r>
                    <w:rPr>
                      <w:rFonts w:hint="eastAsia"/>
                      <w:bCs/>
                      <w:color w:val="auto"/>
                      <w:szCs w:val="21"/>
                    </w:rPr>
                    <w:t>点焊机</w:t>
                  </w:r>
                </w:p>
              </w:tc>
              <w:tc>
                <w:tcPr>
                  <w:tcW w:w="645" w:type="dxa"/>
                  <w:vAlign w:val="center"/>
                </w:tcPr>
                <w:p w14:paraId="6CCF6D72">
                  <w:pPr>
                    <w:pStyle w:val="15"/>
                    <w:spacing w:before="120"/>
                    <w:rPr>
                      <w:color w:val="auto"/>
                      <w:kern w:val="0"/>
                      <w:szCs w:val="21"/>
                    </w:rPr>
                  </w:pPr>
                  <w:r>
                    <w:rPr>
                      <w:rFonts w:hint="eastAsia" w:ascii="Times New Roman" w:eastAsia="宋体"/>
                      <w:color w:val="auto"/>
                      <w:szCs w:val="24"/>
                    </w:rPr>
                    <w:t>1</w:t>
                  </w:r>
                </w:p>
              </w:tc>
              <w:tc>
                <w:tcPr>
                  <w:tcW w:w="1369" w:type="dxa"/>
                  <w:vAlign w:val="center"/>
                </w:tcPr>
                <w:p w14:paraId="75EDB5B9">
                  <w:pPr>
                    <w:widowControl/>
                    <w:adjustRightInd/>
                    <w:snapToGrid/>
                    <w:jc w:val="center"/>
                    <w:rPr>
                      <w:color w:val="auto"/>
                    </w:rPr>
                  </w:pPr>
                  <w:r>
                    <w:rPr>
                      <w:color w:val="auto"/>
                      <w:kern w:val="0"/>
                      <w:szCs w:val="21"/>
                    </w:rPr>
                    <w:t>/</w:t>
                  </w:r>
                </w:p>
              </w:tc>
              <w:tc>
                <w:tcPr>
                  <w:tcW w:w="965" w:type="dxa"/>
                  <w:vAlign w:val="center"/>
                </w:tcPr>
                <w:p w14:paraId="7DE4AF1D">
                  <w:pPr>
                    <w:widowControl/>
                    <w:adjustRightInd/>
                    <w:snapToGrid/>
                    <w:jc w:val="center"/>
                    <w:textAlignment w:val="center"/>
                    <w:rPr>
                      <w:color w:val="auto"/>
                      <w:szCs w:val="21"/>
                    </w:rPr>
                  </w:pPr>
                  <w:r>
                    <w:rPr>
                      <w:rFonts w:hint="eastAsia"/>
                      <w:color w:val="auto"/>
                      <w:szCs w:val="21"/>
                    </w:rPr>
                    <w:t>80</w:t>
                  </w:r>
                </w:p>
              </w:tc>
              <w:tc>
                <w:tcPr>
                  <w:tcW w:w="804" w:type="dxa"/>
                  <w:vMerge w:val="continue"/>
                  <w:vAlign w:val="center"/>
                </w:tcPr>
                <w:p w14:paraId="18E0FAB3">
                  <w:pPr>
                    <w:widowControl/>
                    <w:adjustRightInd/>
                    <w:snapToGrid/>
                    <w:jc w:val="center"/>
                    <w:textAlignment w:val="center"/>
                    <w:rPr>
                      <w:color w:val="auto"/>
                      <w:kern w:val="0"/>
                      <w:szCs w:val="21"/>
                    </w:rPr>
                  </w:pPr>
                </w:p>
              </w:tc>
              <w:tc>
                <w:tcPr>
                  <w:tcW w:w="878" w:type="dxa"/>
                  <w:vAlign w:val="center"/>
                </w:tcPr>
                <w:p w14:paraId="7DF7555C">
                  <w:pPr>
                    <w:widowControl/>
                    <w:adjustRightInd/>
                    <w:snapToGrid/>
                    <w:jc w:val="center"/>
                    <w:textAlignment w:val="center"/>
                    <w:rPr>
                      <w:color w:val="auto"/>
                      <w:szCs w:val="21"/>
                    </w:rPr>
                  </w:pPr>
                  <w:r>
                    <w:rPr>
                      <w:rFonts w:hint="eastAsia"/>
                      <w:color w:val="auto"/>
                      <w:szCs w:val="21"/>
                    </w:rPr>
                    <w:t>26</w:t>
                  </w:r>
                </w:p>
              </w:tc>
              <w:tc>
                <w:tcPr>
                  <w:tcW w:w="1007" w:type="dxa"/>
                  <w:vAlign w:val="center"/>
                </w:tcPr>
                <w:p w14:paraId="1EB3F687">
                  <w:pPr>
                    <w:widowControl/>
                    <w:adjustRightInd/>
                    <w:snapToGrid/>
                    <w:jc w:val="center"/>
                    <w:textAlignment w:val="center"/>
                    <w:rPr>
                      <w:color w:val="auto"/>
                      <w:szCs w:val="21"/>
                    </w:rPr>
                  </w:pPr>
                  <w:r>
                    <w:rPr>
                      <w:rFonts w:hint="eastAsia"/>
                      <w:color w:val="auto"/>
                      <w:szCs w:val="21"/>
                    </w:rPr>
                    <w:t>-18</w:t>
                  </w:r>
                </w:p>
              </w:tc>
              <w:tc>
                <w:tcPr>
                  <w:tcW w:w="606" w:type="dxa"/>
                  <w:vAlign w:val="center"/>
                </w:tcPr>
                <w:p w14:paraId="6644C797">
                  <w:pPr>
                    <w:widowControl/>
                    <w:adjustRightInd/>
                    <w:snapToGrid/>
                    <w:jc w:val="center"/>
                    <w:textAlignment w:val="center"/>
                    <w:rPr>
                      <w:color w:val="auto"/>
                      <w:szCs w:val="21"/>
                    </w:rPr>
                  </w:pPr>
                  <w:r>
                    <w:rPr>
                      <w:rFonts w:hint="eastAsia"/>
                      <w:color w:val="auto"/>
                      <w:szCs w:val="21"/>
                    </w:rPr>
                    <w:t>0.5</w:t>
                  </w:r>
                </w:p>
              </w:tc>
              <w:tc>
                <w:tcPr>
                  <w:tcW w:w="594" w:type="dxa"/>
                  <w:vAlign w:val="center"/>
                </w:tcPr>
                <w:p w14:paraId="290ECBB9">
                  <w:pPr>
                    <w:widowControl/>
                    <w:adjustRightInd/>
                    <w:snapToGrid/>
                    <w:jc w:val="center"/>
                    <w:textAlignment w:val="center"/>
                    <w:rPr>
                      <w:color w:val="auto"/>
                      <w:szCs w:val="21"/>
                    </w:rPr>
                  </w:pPr>
                  <w:r>
                    <w:rPr>
                      <w:rFonts w:hint="eastAsia"/>
                      <w:color w:val="auto"/>
                      <w:szCs w:val="21"/>
                    </w:rPr>
                    <w:t>3</w:t>
                  </w:r>
                </w:p>
              </w:tc>
              <w:tc>
                <w:tcPr>
                  <w:tcW w:w="712" w:type="dxa"/>
                  <w:vAlign w:val="center"/>
                </w:tcPr>
                <w:p w14:paraId="42F1ADCD">
                  <w:pPr>
                    <w:widowControl/>
                    <w:adjustRightInd/>
                    <w:snapToGrid/>
                    <w:jc w:val="center"/>
                    <w:textAlignment w:val="center"/>
                    <w:rPr>
                      <w:color w:val="auto"/>
                      <w:szCs w:val="21"/>
                    </w:rPr>
                  </w:pPr>
                  <w:r>
                    <w:rPr>
                      <w:rFonts w:hint="eastAsia"/>
                      <w:color w:val="auto"/>
                      <w:szCs w:val="21"/>
                    </w:rPr>
                    <w:t>67.96</w:t>
                  </w:r>
                </w:p>
              </w:tc>
              <w:tc>
                <w:tcPr>
                  <w:tcW w:w="591" w:type="dxa"/>
                  <w:vAlign w:val="center"/>
                </w:tcPr>
                <w:p w14:paraId="0412E989">
                  <w:pPr>
                    <w:widowControl/>
                    <w:adjustRightInd/>
                    <w:snapToGrid/>
                    <w:jc w:val="center"/>
                    <w:textAlignment w:val="center"/>
                    <w:rPr>
                      <w:color w:val="auto"/>
                      <w:szCs w:val="21"/>
                    </w:rPr>
                  </w:pPr>
                  <w:r>
                    <w:rPr>
                      <w:rFonts w:hint="eastAsia"/>
                      <w:color w:val="auto"/>
                      <w:kern w:val="0"/>
                      <w:szCs w:val="21"/>
                    </w:rPr>
                    <w:t>8</w:t>
                  </w:r>
                  <w:r>
                    <w:rPr>
                      <w:color w:val="auto"/>
                      <w:kern w:val="0"/>
                      <w:szCs w:val="21"/>
                    </w:rPr>
                    <w:t>h</w:t>
                  </w:r>
                </w:p>
              </w:tc>
              <w:tc>
                <w:tcPr>
                  <w:tcW w:w="715" w:type="dxa"/>
                  <w:vMerge w:val="continue"/>
                  <w:vAlign w:val="center"/>
                </w:tcPr>
                <w:p w14:paraId="6FE24036">
                  <w:pPr>
                    <w:widowControl/>
                    <w:adjustRightInd/>
                    <w:snapToGrid/>
                    <w:jc w:val="center"/>
                    <w:rPr>
                      <w:color w:val="auto"/>
                      <w:szCs w:val="21"/>
                    </w:rPr>
                  </w:pPr>
                </w:p>
              </w:tc>
              <w:tc>
                <w:tcPr>
                  <w:tcW w:w="883" w:type="dxa"/>
                  <w:vAlign w:val="center"/>
                </w:tcPr>
                <w:p w14:paraId="25DA8184">
                  <w:pPr>
                    <w:widowControl/>
                    <w:adjustRightInd/>
                    <w:snapToGrid/>
                    <w:jc w:val="center"/>
                    <w:rPr>
                      <w:color w:val="auto"/>
                      <w:szCs w:val="21"/>
                    </w:rPr>
                  </w:pPr>
                  <w:r>
                    <w:rPr>
                      <w:rFonts w:hint="eastAsia"/>
                      <w:color w:val="auto"/>
                      <w:szCs w:val="21"/>
                    </w:rPr>
                    <w:t>47.96</w:t>
                  </w:r>
                </w:p>
              </w:tc>
              <w:tc>
                <w:tcPr>
                  <w:tcW w:w="599" w:type="dxa"/>
                  <w:vMerge w:val="continue"/>
                  <w:vAlign w:val="center"/>
                </w:tcPr>
                <w:p w14:paraId="2306A883">
                  <w:pPr>
                    <w:widowControl/>
                    <w:adjustRightInd/>
                    <w:snapToGrid/>
                    <w:jc w:val="center"/>
                    <w:rPr>
                      <w:color w:val="auto"/>
                      <w:szCs w:val="21"/>
                    </w:rPr>
                  </w:pPr>
                </w:p>
              </w:tc>
            </w:tr>
            <w:tr w14:paraId="3D63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4C1BC10C">
                  <w:pPr>
                    <w:widowControl/>
                    <w:adjustRightInd/>
                    <w:snapToGrid/>
                    <w:jc w:val="center"/>
                    <w:rPr>
                      <w:color w:val="auto"/>
                      <w:szCs w:val="21"/>
                    </w:rPr>
                  </w:pPr>
                </w:p>
              </w:tc>
              <w:tc>
                <w:tcPr>
                  <w:tcW w:w="1305" w:type="dxa"/>
                  <w:vAlign w:val="center"/>
                </w:tcPr>
                <w:p w14:paraId="75EDD570">
                  <w:pPr>
                    <w:widowControl/>
                    <w:adjustRightInd/>
                    <w:snapToGrid/>
                    <w:jc w:val="center"/>
                    <w:rPr>
                      <w:color w:val="auto"/>
                      <w:kern w:val="0"/>
                      <w:szCs w:val="21"/>
                    </w:rPr>
                  </w:pPr>
                  <w:r>
                    <w:rPr>
                      <w:rFonts w:hint="eastAsia"/>
                      <w:snapToGrid w:val="0"/>
                      <w:color w:val="auto"/>
                      <w:szCs w:val="21"/>
                    </w:rPr>
                    <w:t>拉丝机</w:t>
                  </w:r>
                </w:p>
              </w:tc>
              <w:tc>
                <w:tcPr>
                  <w:tcW w:w="645" w:type="dxa"/>
                  <w:vAlign w:val="center"/>
                </w:tcPr>
                <w:p w14:paraId="1BAF0A5F">
                  <w:pPr>
                    <w:pStyle w:val="15"/>
                    <w:spacing w:before="120"/>
                    <w:rPr>
                      <w:color w:val="auto"/>
                      <w:kern w:val="0"/>
                      <w:szCs w:val="21"/>
                    </w:rPr>
                  </w:pPr>
                  <w:r>
                    <w:rPr>
                      <w:rFonts w:hint="eastAsia" w:ascii="Times New Roman" w:eastAsia="宋体"/>
                      <w:color w:val="auto"/>
                      <w:szCs w:val="24"/>
                    </w:rPr>
                    <w:t>1</w:t>
                  </w:r>
                </w:p>
              </w:tc>
              <w:tc>
                <w:tcPr>
                  <w:tcW w:w="1369" w:type="dxa"/>
                  <w:vAlign w:val="center"/>
                </w:tcPr>
                <w:p w14:paraId="689BBC66">
                  <w:pPr>
                    <w:widowControl/>
                    <w:adjustRightInd/>
                    <w:snapToGrid/>
                    <w:jc w:val="center"/>
                    <w:rPr>
                      <w:color w:val="auto"/>
                    </w:rPr>
                  </w:pPr>
                  <w:r>
                    <w:rPr>
                      <w:color w:val="auto"/>
                      <w:kern w:val="0"/>
                      <w:szCs w:val="21"/>
                    </w:rPr>
                    <w:t>/</w:t>
                  </w:r>
                </w:p>
              </w:tc>
              <w:tc>
                <w:tcPr>
                  <w:tcW w:w="965" w:type="dxa"/>
                  <w:vAlign w:val="center"/>
                </w:tcPr>
                <w:p w14:paraId="379C3862">
                  <w:pPr>
                    <w:widowControl/>
                    <w:adjustRightInd/>
                    <w:snapToGrid/>
                    <w:jc w:val="center"/>
                    <w:textAlignment w:val="center"/>
                    <w:rPr>
                      <w:color w:val="auto"/>
                      <w:szCs w:val="21"/>
                    </w:rPr>
                  </w:pPr>
                  <w:r>
                    <w:rPr>
                      <w:color w:val="auto"/>
                      <w:szCs w:val="21"/>
                    </w:rPr>
                    <w:t>75</w:t>
                  </w:r>
                </w:p>
              </w:tc>
              <w:tc>
                <w:tcPr>
                  <w:tcW w:w="804" w:type="dxa"/>
                  <w:vMerge w:val="continue"/>
                  <w:vAlign w:val="center"/>
                </w:tcPr>
                <w:p w14:paraId="188F9CA6">
                  <w:pPr>
                    <w:widowControl/>
                    <w:adjustRightInd/>
                    <w:snapToGrid/>
                    <w:jc w:val="center"/>
                    <w:textAlignment w:val="center"/>
                    <w:rPr>
                      <w:color w:val="auto"/>
                      <w:kern w:val="0"/>
                      <w:szCs w:val="21"/>
                    </w:rPr>
                  </w:pPr>
                </w:p>
              </w:tc>
              <w:tc>
                <w:tcPr>
                  <w:tcW w:w="878" w:type="dxa"/>
                  <w:vAlign w:val="center"/>
                </w:tcPr>
                <w:p w14:paraId="676E42CA">
                  <w:pPr>
                    <w:widowControl/>
                    <w:adjustRightInd/>
                    <w:snapToGrid/>
                    <w:jc w:val="center"/>
                    <w:textAlignment w:val="center"/>
                    <w:rPr>
                      <w:color w:val="auto"/>
                      <w:szCs w:val="21"/>
                    </w:rPr>
                  </w:pPr>
                  <w:r>
                    <w:rPr>
                      <w:rFonts w:hint="eastAsia"/>
                      <w:color w:val="auto"/>
                      <w:szCs w:val="21"/>
                    </w:rPr>
                    <w:t>22</w:t>
                  </w:r>
                </w:p>
              </w:tc>
              <w:tc>
                <w:tcPr>
                  <w:tcW w:w="1007" w:type="dxa"/>
                  <w:vAlign w:val="center"/>
                </w:tcPr>
                <w:p w14:paraId="7736DF05">
                  <w:pPr>
                    <w:widowControl/>
                    <w:adjustRightInd/>
                    <w:snapToGrid/>
                    <w:jc w:val="center"/>
                    <w:textAlignment w:val="center"/>
                    <w:rPr>
                      <w:color w:val="auto"/>
                      <w:szCs w:val="21"/>
                    </w:rPr>
                  </w:pPr>
                  <w:r>
                    <w:rPr>
                      <w:rFonts w:hint="eastAsia"/>
                      <w:color w:val="auto"/>
                      <w:szCs w:val="21"/>
                    </w:rPr>
                    <w:t>-16</w:t>
                  </w:r>
                </w:p>
              </w:tc>
              <w:tc>
                <w:tcPr>
                  <w:tcW w:w="606" w:type="dxa"/>
                  <w:vAlign w:val="center"/>
                </w:tcPr>
                <w:p w14:paraId="12675084">
                  <w:pPr>
                    <w:widowControl/>
                    <w:adjustRightInd/>
                    <w:snapToGrid/>
                    <w:jc w:val="center"/>
                    <w:textAlignment w:val="center"/>
                    <w:rPr>
                      <w:color w:val="auto"/>
                      <w:szCs w:val="21"/>
                    </w:rPr>
                  </w:pPr>
                  <w:r>
                    <w:rPr>
                      <w:rFonts w:hint="eastAsia"/>
                      <w:color w:val="auto"/>
                      <w:szCs w:val="21"/>
                    </w:rPr>
                    <w:t>1</w:t>
                  </w:r>
                </w:p>
              </w:tc>
              <w:tc>
                <w:tcPr>
                  <w:tcW w:w="594" w:type="dxa"/>
                  <w:vAlign w:val="center"/>
                </w:tcPr>
                <w:p w14:paraId="55D4BDB6">
                  <w:pPr>
                    <w:widowControl/>
                    <w:adjustRightInd/>
                    <w:snapToGrid/>
                    <w:jc w:val="center"/>
                    <w:textAlignment w:val="center"/>
                    <w:rPr>
                      <w:color w:val="auto"/>
                      <w:szCs w:val="21"/>
                    </w:rPr>
                  </w:pPr>
                  <w:r>
                    <w:rPr>
                      <w:rFonts w:hint="eastAsia"/>
                      <w:color w:val="auto"/>
                      <w:szCs w:val="21"/>
                    </w:rPr>
                    <w:t>2</w:t>
                  </w:r>
                </w:p>
              </w:tc>
              <w:tc>
                <w:tcPr>
                  <w:tcW w:w="712" w:type="dxa"/>
                  <w:vAlign w:val="center"/>
                </w:tcPr>
                <w:p w14:paraId="03B95B3A">
                  <w:pPr>
                    <w:widowControl/>
                    <w:adjustRightInd/>
                    <w:snapToGrid/>
                    <w:jc w:val="center"/>
                    <w:textAlignment w:val="center"/>
                    <w:rPr>
                      <w:color w:val="auto"/>
                      <w:szCs w:val="21"/>
                    </w:rPr>
                  </w:pPr>
                  <w:r>
                    <w:rPr>
                      <w:rFonts w:hint="eastAsia"/>
                      <w:color w:val="auto"/>
                      <w:szCs w:val="21"/>
                    </w:rPr>
                    <w:t>70.46</w:t>
                  </w:r>
                </w:p>
              </w:tc>
              <w:tc>
                <w:tcPr>
                  <w:tcW w:w="591" w:type="dxa"/>
                  <w:vAlign w:val="center"/>
                </w:tcPr>
                <w:p w14:paraId="5275E72E">
                  <w:pPr>
                    <w:widowControl/>
                    <w:adjustRightInd/>
                    <w:snapToGrid/>
                    <w:jc w:val="center"/>
                    <w:textAlignment w:val="center"/>
                    <w:rPr>
                      <w:color w:val="auto"/>
                      <w:szCs w:val="21"/>
                    </w:rPr>
                  </w:pPr>
                  <w:r>
                    <w:rPr>
                      <w:rFonts w:hint="eastAsia"/>
                      <w:color w:val="auto"/>
                      <w:kern w:val="0"/>
                      <w:szCs w:val="21"/>
                    </w:rPr>
                    <w:t>8</w:t>
                  </w:r>
                  <w:r>
                    <w:rPr>
                      <w:color w:val="auto"/>
                      <w:kern w:val="0"/>
                      <w:szCs w:val="21"/>
                    </w:rPr>
                    <w:t>h</w:t>
                  </w:r>
                </w:p>
              </w:tc>
              <w:tc>
                <w:tcPr>
                  <w:tcW w:w="715" w:type="dxa"/>
                  <w:vMerge w:val="continue"/>
                  <w:vAlign w:val="center"/>
                </w:tcPr>
                <w:p w14:paraId="2258575A">
                  <w:pPr>
                    <w:widowControl/>
                    <w:adjustRightInd/>
                    <w:snapToGrid/>
                    <w:jc w:val="center"/>
                    <w:rPr>
                      <w:color w:val="auto"/>
                      <w:szCs w:val="21"/>
                    </w:rPr>
                  </w:pPr>
                </w:p>
              </w:tc>
              <w:tc>
                <w:tcPr>
                  <w:tcW w:w="883" w:type="dxa"/>
                  <w:vAlign w:val="center"/>
                </w:tcPr>
                <w:p w14:paraId="0DDDE4CE">
                  <w:pPr>
                    <w:widowControl/>
                    <w:adjustRightInd/>
                    <w:snapToGrid/>
                    <w:jc w:val="center"/>
                    <w:rPr>
                      <w:color w:val="auto"/>
                      <w:szCs w:val="21"/>
                    </w:rPr>
                  </w:pPr>
                  <w:r>
                    <w:rPr>
                      <w:rFonts w:hint="eastAsia"/>
                      <w:color w:val="auto"/>
                      <w:szCs w:val="21"/>
                    </w:rPr>
                    <w:t>50.46</w:t>
                  </w:r>
                </w:p>
              </w:tc>
              <w:tc>
                <w:tcPr>
                  <w:tcW w:w="599" w:type="dxa"/>
                  <w:vMerge w:val="continue"/>
                  <w:vAlign w:val="center"/>
                </w:tcPr>
                <w:p w14:paraId="14E32D35">
                  <w:pPr>
                    <w:widowControl/>
                    <w:adjustRightInd/>
                    <w:snapToGrid/>
                    <w:jc w:val="center"/>
                    <w:rPr>
                      <w:color w:val="auto"/>
                      <w:szCs w:val="21"/>
                    </w:rPr>
                  </w:pPr>
                </w:p>
              </w:tc>
            </w:tr>
            <w:tr w14:paraId="44DB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034431FB">
                  <w:pPr>
                    <w:widowControl/>
                    <w:adjustRightInd/>
                    <w:snapToGrid/>
                    <w:jc w:val="center"/>
                    <w:rPr>
                      <w:color w:val="auto"/>
                      <w:szCs w:val="21"/>
                    </w:rPr>
                  </w:pPr>
                </w:p>
              </w:tc>
              <w:tc>
                <w:tcPr>
                  <w:tcW w:w="1305" w:type="dxa"/>
                  <w:vAlign w:val="center"/>
                </w:tcPr>
                <w:p w14:paraId="7CE1E84F">
                  <w:pPr>
                    <w:widowControl/>
                    <w:adjustRightInd/>
                    <w:snapToGrid/>
                    <w:jc w:val="center"/>
                    <w:rPr>
                      <w:color w:val="auto"/>
                      <w:kern w:val="0"/>
                      <w:szCs w:val="21"/>
                    </w:rPr>
                  </w:pPr>
                  <w:r>
                    <w:rPr>
                      <w:rFonts w:hint="eastAsia"/>
                      <w:bCs/>
                      <w:color w:val="auto"/>
                      <w:szCs w:val="21"/>
                    </w:rPr>
                    <w:t>圈板机</w:t>
                  </w:r>
                </w:p>
              </w:tc>
              <w:tc>
                <w:tcPr>
                  <w:tcW w:w="645" w:type="dxa"/>
                  <w:vAlign w:val="center"/>
                </w:tcPr>
                <w:p w14:paraId="6851B22D">
                  <w:pPr>
                    <w:pStyle w:val="15"/>
                    <w:spacing w:before="120"/>
                    <w:rPr>
                      <w:color w:val="auto"/>
                      <w:kern w:val="0"/>
                      <w:szCs w:val="21"/>
                    </w:rPr>
                  </w:pPr>
                  <w:r>
                    <w:rPr>
                      <w:rFonts w:hint="eastAsia" w:ascii="Times New Roman" w:eastAsia="宋体"/>
                      <w:color w:val="auto"/>
                      <w:szCs w:val="24"/>
                    </w:rPr>
                    <w:t>1</w:t>
                  </w:r>
                </w:p>
              </w:tc>
              <w:tc>
                <w:tcPr>
                  <w:tcW w:w="1369" w:type="dxa"/>
                  <w:vAlign w:val="center"/>
                </w:tcPr>
                <w:p w14:paraId="207B237B">
                  <w:pPr>
                    <w:widowControl/>
                    <w:adjustRightInd/>
                    <w:snapToGrid/>
                    <w:jc w:val="center"/>
                    <w:rPr>
                      <w:color w:val="auto"/>
                      <w:kern w:val="0"/>
                      <w:szCs w:val="21"/>
                    </w:rPr>
                  </w:pPr>
                  <w:r>
                    <w:rPr>
                      <w:rFonts w:hint="eastAsia"/>
                      <w:color w:val="auto"/>
                      <w:kern w:val="0"/>
                      <w:szCs w:val="21"/>
                    </w:rPr>
                    <w:t>/</w:t>
                  </w:r>
                </w:p>
              </w:tc>
              <w:tc>
                <w:tcPr>
                  <w:tcW w:w="965" w:type="dxa"/>
                  <w:vAlign w:val="center"/>
                </w:tcPr>
                <w:p w14:paraId="2BDBE0C9">
                  <w:pPr>
                    <w:widowControl/>
                    <w:adjustRightInd/>
                    <w:snapToGrid/>
                    <w:jc w:val="center"/>
                    <w:textAlignment w:val="center"/>
                    <w:rPr>
                      <w:color w:val="auto"/>
                      <w:szCs w:val="21"/>
                    </w:rPr>
                  </w:pPr>
                  <w:r>
                    <w:rPr>
                      <w:rFonts w:hint="eastAsia"/>
                      <w:color w:val="auto"/>
                      <w:szCs w:val="21"/>
                    </w:rPr>
                    <w:t>80</w:t>
                  </w:r>
                </w:p>
              </w:tc>
              <w:tc>
                <w:tcPr>
                  <w:tcW w:w="804" w:type="dxa"/>
                  <w:vMerge w:val="continue"/>
                  <w:vAlign w:val="center"/>
                </w:tcPr>
                <w:p w14:paraId="1FE96FAE">
                  <w:pPr>
                    <w:widowControl/>
                    <w:adjustRightInd/>
                    <w:snapToGrid/>
                    <w:jc w:val="center"/>
                    <w:textAlignment w:val="center"/>
                    <w:rPr>
                      <w:color w:val="auto"/>
                      <w:kern w:val="0"/>
                      <w:szCs w:val="21"/>
                    </w:rPr>
                  </w:pPr>
                </w:p>
              </w:tc>
              <w:tc>
                <w:tcPr>
                  <w:tcW w:w="878" w:type="dxa"/>
                  <w:vAlign w:val="center"/>
                </w:tcPr>
                <w:p w14:paraId="7D3D8D19">
                  <w:pPr>
                    <w:widowControl/>
                    <w:adjustRightInd/>
                    <w:snapToGrid/>
                    <w:jc w:val="center"/>
                    <w:textAlignment w:val="center"/>
                    <w:rPr>
                      <w:color w:val="auto"/>
                      <w:szCs w:val="21"/>
                    </w:rPr>
                  </w:pPr>
                  <w:r>
                    <w:rPr>
                      <w:rFonts w:hint="eastAsia"/>
                      <w:color w:val="auto"/>
                      <w:szCs w:val="21"/>
                    </w:rPr>
                    <w:t>20</w:t>
                  </w:r>
                </w:p>
              </w:tc>
              <w:tc>
                <w:tcPr>
                  <w:tcW w:w="1007" w:type="dxa"/>
                  <w:vAlign w:val="center"/>
                </w:tcPr>
                <w:p w14:paraId="4A615E3B">
                  <w:pPr>
                    <w:widowControl/>
                    <w:adjustRightInd/>
                    <w:snapToGrid/>
                    <w:jc w:val="center"/>
                    <w:textAlignment w:val="center"/>
                    <w:rPr>
                      <w:color w:val="auto"/>
                      <w:szCs w:val="21"/>
                    </w:rPr>
                  </w:pPr>
                  <w:r>
                    <w:rPr>
                      <w:rFonts w:hint="eastAsia"/>
                      <w:color w:val="auto"/>
                      <w:szCs w:val="21"/>
                    </w:rPr>
                    <w:t>-20</w:t>
                  </w:r>
                </w:p>
              </w:tc>
              <w:tc>
                <w:tcPr>
                  <w:tcW w:w="606" w:type="dxa"/>
                  <w:vAlign w:val="center"/>
                </w:tcPr>
                <w:p w14:paraId="3BE5F99F">
                  <w:pPr>
                    <w:widowControl/>
                    <w:adjustRightInd/>
                    <w:snapToGrid/>
                    <w:jc w:val="center"/>
                    <w:textAlignment w:val="center"/>
                    <w:rPr>
                      <w:color w:val="auto"/>
                      <w:szCs w:val="21"/>
                    </w:rPr>
                  </w:pPr>
                  <w:r>
                    <w:rPr>
                      <w:rFonts w:hint="eastAsia"/>
                      <w:color w:val="auto"/>
                      <w:szCs w:val="21"/>
                    </w:rPr>
                    <w:t>1</w:t>
                  </w:r>
                </w:p>
              </w:tc>
              <w:tc>
                <w:tcPr>
                  <w:tcW w:w="594" w:type="dxa"/>
                  <w:vAlign w:val="center"/>
                </w:tcPr>
                <w:p w14:paraId="345021AE">
                  <w:pPr>
                    <w:widowControl/>
                    <w:adjustRightInd/>
                    <w:snapToGrid/>
                    <w:jc w:val="center"/>
                    <w:textAlignment w:val="center"/>
                    <w:rPr>
                      <w:color w:val="auto"/>
                      <w:szCs w:val="21"/>
                    </w:rPr>
                  </w:pPr>
                  <w:r>
                    <w:rPr>
                      <w:rFonts w:hint="eastAsia"/>
                      <w:color w:val="auto"/>
                      <w:szCs w:val="21"/>
                    </w:rPr>
                    <w:t>3</w:t>
                  </w:r>
                </w:p>
              </w:tc>
              <w:tc>
                <w:tcPr>
                  <w:tcW w:w="712" w:type="dxa"/>
                  <w:vAlign w:val="center"/>
                </w:tcPr>
                <w:p w14:paraId="42D1F8C4">
                  <w:pPr>
                    <w:widowControl/>
                    <w:adjustRightInd/>
                    <w:snapToGrid/>
                    <w:jc w:val="center"/>
                    <w:textAlignment w:val="center"/>
                    <w:rPr>
                      <w:color w:val="auto"/>
                      <w:szCs w:val="21"/>
                    </w:rPr>
                  </w:pPr>
                  <w:r>
                    <w:rPr>
                      <w:rFonts w:hint="eastAsia"/>
                      <w:color w:val="auto"/>
                      <w:szCs w:val="21"/>
                    </w:rPr>
                    <w:t>70.46</w:t>
                  </w:r>
                </w:p>
              </w:tc>
              <w:tc>
                <w:tcPr>
                  <w:tcW w:w="591" w:type="dxa"/>
                  <w:vAlign w:val="center"/>
                </w:tcPr>
                <w:p w14:paraId="15AA504E">
                  <w:pPr>
                    <w:widowControl/>
                    <w:adjustRightInd/>
                    <w:snapToGrid/>
                    <w:jc w:val="center"/>
                    <w:textAlignment w:val="center"/>
                    <w:rPr>
                      <w:color w:val="auto"/>
                      <w:kern w:val="0"/>
                      <w:szCs w:val="21"/>
                    </w:rPr>
                  </w:pPr>
                  <w:r>
                    <w:rPr>
                      <w:rFonts w:hint="eastAsia"/>
                      <w:color w:val="auto"/>
                      <w:kern w:val="0"/>
                      <w:szCs w:val="21"/>
                    </w:rPr>
                    <w:t>8</w:t>
                  </w:r>
                  <w:r>
                    <w:rPr>
                      <w:color w:val="auto"/>
                      <w:kern w:val="0"/>
                      <w:szCs w:val="21"/>
                    </w:rPr>
                    <w:t>h</w:t>
                  </w:r>
                </w:p>
              </w:tc>
              <w:tc>
                <w:tcPr>
                  <w:tcW w:w="715" w:type="dxa"/>
                  <w:vMerge w:val="continue"/>
                  <w:vAlign w:val="center"/>
                </w:tcPr>
                <w:p w14:paraId="1E5BA4FE">
                  <w:pPr>
                    <w:widowControl/>
                    <w:adjustRightInd/>
                    <w:snapToGrid/>
                    <w:jc w:val="center"/>
                    <w:rPr>
                      <w:color w:val="auto"/>
                      <w:szCs w:val="21"/>
                    </w:rPr>
                  </w:pPr>
                </w:p>
              </w:tc>
              <w:tc>
                <w:tcPr>
                  <w:tcW w:w="883" w:type="dxa"/>
                  <w:vAlign w:val="center"/>
                </w:tcPr>
                <w:p w14:paraId="4EADF5E1">
                  <w:pPr>
                    <w:widowControl/>
                    <w:adjustRightInd/>
                    <w:snapToGrid/>
                    <w:jc w:val="center"/>
                    <w:rPr>
                      <w:color w:val="auto"/>
                      <w:szCs w:val="21"/>
                    </w:rPr>
                  </w:pPr>
                  <w:r>
                    <w:rPr>
                      <w:rFonts w:hint="eastAsia"/>
                      <w:color w:val="auto"/>
                      <w:szCs w:val="21"/>
                    </w:rPr>
                    <w:t>50.46</w:t>
                  </w:r>
                </w:p>
              </w:tc>
              <w:tc>
                <w:tcPr>
                  <w:tcW w:w="599" w:type="dxa"/>
                  <w:vMerge w:val="continue"/>
                  <w:vAlign w:val="center"/>
                </w:tcPr>
                <w:p w14:paraId="66D13BC3">
                  <w:pPr>
                    <w:widowControl/>
                    <w:adjustRightInd/>
                    <w:snapToGrid/>
                    <w:jc w:val="center"/>
                    <w:rPr>
                      <w:color w:val="auto"/>
                      <w:szCs w:val="21"/>
                    </w:rPr>
                  </w:pPr>
                </w:p>
              </w:tc>
            </w:tr>
            <w:tr w14:paraId="0918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86" w:type="dxa"/>
                  <w:vMerge w:val="continue"/>
                  <w:vAlign w:val="center"/>
                </w:tcPr>
                <w:p w14:paraId="3E22A81F">
                  <w:pPr>
                    <w:widowControl/>
                    <w:adjustRightInd/>
                    <w:snapToGrid/>
                    <w:jc w:val="center"/>
                    <w:rPr>
                      <w:color w:val="auto"/>
                      <w:szCs w:val="21"/>
                    </w:rPr>
                  </w:pPr>
                </w:p>
              </w:tc>
              <w:tc>
                <w:tcPr>
                  <w:tcW w:w="1305" w:type="dxa"/>
                  <w:vAlign w:val="center"/>
                </w:tcPr>
                <w:p w14:paraId="5B96EE9B">
                  <w:pPr>
                    <w:widowControl/>
                    <w:adjustRightInd/>
                    <w:snapToGrid/>
                    <w:jc w:val="center"/>
                    <w:rPr>
                      <w:color w:val="auto"/>
                      <w:kern w:val="0"/>
                      <w:szCs w:val="21"/>
                    </w:rPr>
                  </w:pPr>
                  <w:r>
                    <w:rPr>
                      <w:rFonts w:hint="eastAsia"/>
                      <w:snapToGrid w:val="0"/>
                      <w:color w:val="auto"/>
                      <w:szCs w:val="21"/>
                    </w:rPr>
                    <w:t>搅拌机</w:t>
                  </w:r>
                </w:p>
              </w:tc>
              <w:tc>
                <w:tcPr>
                  <w:tcW w:w="645" w:type="dxa"/>
                  <w:vAlign w:val="center"/>
                </w:tcPr>
                <w:p w14:paraId="31767D24">
                  <w:pPr>
                    <w:pStyle w:val="15"/>
                    <w:spacing w:before="120"/>
                    <w:rPr>
                      <w:rFonts w:hint="eastAsia" w:eastAsia="黑体"/>
                      <w:color w:val="auto"/>
                      <w:kern w:val="0"/>
                      <w:szCs w:val="21"/>
                      <w:lang w:eastAsia="zh-CN"/>
                    </w:rPr>
                  </w:pPr>
                  <w:r>
                    <w:rPr>
                      <w:rFonts w:hint="eastAsia" w:ascii="Times New Roman" w:eastAsia="宋体"/>
                      <w:color w:val="auto"/>
                      <w:sz w:val="21"/>
                      <w:szCs w:val="21"/>
                      <w:lang w:val="en-US" w:eastAsia="zh-CN"/>
                    </w:rPr>
                    <w:t>5</w:t>
                  </w:r>
                </w:p>
              </w:tc>
              <w:tc>
                <w:tcPr>
                  <w:tcW w:w="1369" w:type="dxa"/>
                  <w:vAlign w:val="center"/>
                </w:tcPr>
                <w:p w14:paraId="5F6BB4B2">
                  <w:pPr>
                    <w:widowControl/>
                    <w:adjustRightInd/>
                    <w:snapToGrid/>
                    <w:jc w:val="center"/>
                    <w:rPr>
                      <w:color w:val="auto"/>
                      <w:kern w:val="0"/>
                      <w:szCs w:val="21"/>
                    </w:rPr>
                  </w:pPr>
                  <w:r>
                    <w:rPr>
                      <w:rFonts w:hint="eastAsia"/>
                      <w:color w:val="auto"/>
                      <w:kern w:val="0"/>
                      <w:szCs w:val="21"/>
                    </w:rPr>
                    <w:t>/</w:t>
                  </w:r>
                </w:p>
              </w:tc>
              <w:tc>
                <w:tcPr>
                  <w:tcW w:w="965" w:type="dxa"/>
                  <w:vAlign w:val="center"/>
                </w:tcPr>
                <w:p w14:paraId="307AB0FE">
                  <w:pPr>
                    <w:widowControl/>
                    <w:adjustRightInd/>
                    <w:snapToGrid/>
                    <w:jc w:val="center"/>
                    <w:textAlignment w:val="center"/>
                    <w:rPr>
                      <w:color w:val="auto"/>
                      <w:szCs w:val="21"/>
                    </w:rPr>
                  </w:pPr>
                  <w:r>
                    <w:rPr>
                      <w:rFonts w:hint="eastAsia"/>
                      <w:color w:val="auto"/>
                      <w:szCs w:val="21"/>
                    </w:rPr>
                    <w:t>75</w:t>
                  </w:r>
                </w:p>
              </w:tc>
              <w:tc>
                <w:tcPr>
                  <w:tcW w:w="804" w:type="dxa"/>
                  <w:vMerge w:val="continue"/>
                  <w:vAlign w:val="center"/>
                </w:tcPr>
                <w:p w14:paraId="58A306CA">
                  <w:pPr>
                    <w:widowControl/>
                    <w:adjustRightInd/>
                    <w:snapToGrid/>
                    <w:jc w:val="center"/>
                    <w:textAlignment w:val="center"/>
                    <w:rPr>
                      <w:color w:val="auto"/>
                      <w:kern w:val="0"/>
                      <w:szCs w:val="21"/>
                    </w:rPr>
                  </w:pPr>
                </w:p>
              </w:tc>
              <w:tc>
                <w:tcPr>
                  <w:tcW w:w="878" w:type="dxa"/>
                  <w:vAlign w:val="center"/>
                </w:tcPr>
                <w:p w14:paraId="78A57756">
                  <w:pPr>
                    <w:widowControl/>
                    <w:adjustRightInd/>
                    <w:snapToGrid/>
                    <w:jc w:val="center"/>
                    <w:textAlignment w:val="center"/>
                    <w:rPr>
                      <w:color w:val="auto"/>
                      <w:szCs w:val="21"/>
                    </w:rPr>
                  </w:pPr>
                  <w:r>
                    <w:rPr>
                      <w:rFonts w:hint="eastAsia"/>
                      <w:color w:val="auto"/>
                      <w:szCs w:val="21"/>
                    </w:rPr>
                    <w:t>-35</w:t>
                  </w:r>
                </w:p>
              </w:tc>
              <w:tc>
                <w:tcPr>
                  <w:tcW w:w="1007" w:type="dxa"/>
                  <w:vAlign w:val="center"/>
                </w:tcPr>
                <w:p w14:paraId="4BE8D16C">
                  <w:pPr>
                    <w:widowControl/>
                    <w:adjustRightInd/>
                    <w:snapToGrid/>
                    <w:jc w:val="center"/>
                    <w:textAlignment w:val="center"/>
                    <w:rPr>
                      <w:color w:val="auto"/>
                      <w:szCs w:val="21"/>
                    </w:rPr>
                  </w:pPr>
                  <w:r>
                    <w:rPr>
                      <w:rFonts w:hint="eastAsia"/>
                      <w:color w:val="auto"/>
                      <w:szCs w:val="21"/>
                    </w:rPr>
                    <w:t>20</w:t>
                  </w:r>
                </w:p>
              </w:tc>
              <w:tc>
                <w:tcPr>
                  <w:tcW w:w="606" w:type="dxa"/>
                  <w:vAlign w:val="center"/>
                </w:tcPr>
                <w:p w14:paraId="4630E59B">
                  <w:pPr>
                    <w:widowControl/>
                    <w:adjustRightInd/>
                    <w:snapToGrid/>
                    <w:jc w:val="center"/>
                    <w:textAlignment w:val="center"/>
                    <w:rPr>
                      <w:color w:val="auto"/>
                      <w:szCs w:val="21"/>
                    </w:rPr>
                  </w:pPr>
                  <w:r>
                    <w:rPr>
                      <w:rFonts w:hint="eastAsia"/>
                      <w:color w:val="auto"/>
                      <w:szCs w:val="21"/>
                    </w:rPr>
                    <w:t>3</w:t>
                  </w:r>
                </w:p>
              </w:tc>
              <w:tc>
                <w:tcPr>
                  <w:tcW w:w="594" w:type="dxa"/>
                  <w:vAlign w:val="center"/>
                </w:tcPr>
                <w:p w14:paraId="4CCC0F62">
                  <w:pPr>
                    <w:widowControl/>
                    <w:adjustRightInd/>
                    <w:snapToGrid/>
                    <w:jc w:val="center"/>
                    <w:textAlignment w:val="center"/>
                    <w:rPr>
                      <w:color w:val="auto"/>
                      <w:szCs w:val="21"/>
                    </w:rPr>
                  </w:pPr>
                  <w:r>
                    <w:rPr>
                      <w:rFonts w:hint="eastAsia"/>
                      <w:color w:val="auto"/>
                      <w:szCs w:val="21"/>
                    </w:rPr>
                    <w:t>12</w:t>
                  </w:r>
                </w:p>
              </w:tc>
              <w:tc>
                <w:tcPr>
                  <w:tcW w:w="712" w:type="dxa"/>
                  <w:vAlign w:val="center"/>
                </w:tcPr>
                <w:p w14:paraId="0E1A6BC8">
                  <w:pPr>
                    <w:widowControl/>
                    <w:adjustRightInd/>
                    <w:snapToGrid/>
                    <w:jc w:val="center"/>
                    <w:textAlignment w:val="center"/>
                    <w:rPr>
                      <w:color w:val="auto"/>
                      <w:szCs w:val="21"/>
                    </w:rPr>
                  </w:pPr>
                  <w:r>
                    <w:rPr>
                      <w:rFonts w:hint="eastAsia"/>
                      <w:color w:val="auto"/>
                      <w:szCs w:val="21"/>
                    </w:rPr>
                    <w:t>65.46</w:t>
                  </w:r>
                </w:p>
              </w:tc>
              <w:tc>
                <w:tcPr>
                  <w:tcW w:w="591" w:type="dxa"/>
                  <w:vAlign w:val="center"/>
                </w:tcPr>
                <w:p w14:paraId="46E01213">
                  <w:pPr>
                    <w:widowControl/>
                    <w:adjustRightInd/>
                    <w:snapToGrid/>
                    <w:jc w:val="center"/>
                    <w:textAlignment w:val="center"/>
                    <w:rPr>
                      <w:color w:val="auto"/>
                      <w:kern w:val="0"/>
                      <w:szCs w:val="21"/>
                    </w:rPr>
                  </w:pPr>
                  <w:r>
                    <w:rPr>
                      <w:rFonts w:hint="eastAsia"/>
                      <w:color w:val="auto"/>
                      <w:kern w:val="0"/>
                      <w:szCs w:val="21"/>
                    </w:rPr>
                    <w:t>8</w:t>
                  </w:r>
                  <w:r>
                    <w:rPr>
                      <w:color w:val="auto"/>
                      <w:kern w:val="0"/>
                      <w:szCs w:val="21"/>
                    </w:rPr>
                    <w:t>h</w:t>
                  </w:r>
                </w:p>
              </w:tc>
              <w:tc>
                <w:tcPr>
                  <w:tcW w:w="715" w:type="dxa"/>
                  <w:vMerge w:val="continue"/>
                  <w:vAlign w:val="center"/>
                </w:tcPr>
                <w:p w14:paraId="18A856A1">
                  <w:pPr>
                    <w:widowControl/>
                    <w:adjustRightInd/>
                    <w:snapToGrid/>
                    <w:jc w:val="center"/>
                    <w:rPr>
                      <w:color w:val="auto"/>
                      <w:szCs w:val="21"/>
                    </w:rPr>
                  </w:pPr>
                </w:p>
              </w:tc>
              <w:tc>
                <w:tcPr>
                  <w:tcW w:w="883" w:type="dxa"/>
                  <w:vAlign w:val="center"/>
                </w:tcPr>
                <w:p w14:paraId="68F6895C">
                  <w:pPr>
                    <w:widowControl/>
                    <w:adjustRightInd/>
                    <w:snapToGrid/>
                    <w:jc w:val="center"/>
                    <w:rPr>
                      <w:color w:val="auto"/>
                      <w:szCs w:val="21"/>
                    </w:rPr>
                  </w:pPr>
                  <w:r>
                    <w:rPr>
                      <w:rFonts w:hint="eastAsia"/>
                      <w:color w:val="auto"/>
                      <w:szCs w:val="21"/>
                    </w:rPr>
                    <w:t>45.46</w:t>
                  </w:r>
                </w:p>
              </w:tc>
              <w:tc>
                <w:tcPr>
                  <w:tcW w:w="599" w:type="dxa"/>
                  <w:vMerge w:val="continue"/>
                  <w:vAlign w:val="center"/>
                </w:tcPr>
                <w:p w14:paraId="54FE9E31">
                  <w:pPr>
                    <w:widowControl/>
                    <w:adjustRightInd/>
                    <w:snapToGrid/>
                    <w:jc w:val="center"/>
                    <w:rPr>
                      <w:color w:val="auto"/>
                      <w:szCs w:val="21"/>
                    </w:rPr>
                  </w:pPr>
                </w:p>
              </w:tc>
            </w:tr>
            <w:tr w14:paraId="6AAA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365D888B">
                  <w:pPr>
                    <w:widowControl/>
                    <w:adjustRightInd/>
                    <w:snapToGrid/>
                    <w:jc w:val="center"/>
                    <w:rPr>
                      <w:color w:val="auto"/>
                      <w:szCs w:val="21"/>
                    </w:rPr>
                  </w:pPr>
                </w:p>
              </w:tc>
              <w:tc>
                <w:tcPr>
                  <w:tcW w:w="1305" w:type="dxa"/>
                  <w:vAlign w:val="center"/>
                </w:tcPr>
                <w:p w14:paraId="5CEFA920">
                  <w:pPr>
                    <w:widowControl/>
                    <w:adjustRightInd/>
                    <w:snapToGrid/>
                    <w:jc w:val="center"/>
                    <w:rPr>
                      <w:snapToGrid w:val="0"/>
                      <w:color w:val="auto"/>
                      <w:szCs w:val="21"/>
                    </w:rPr>
                  </w:pPr>
                  <w:r>
                    <w:rPr>
                      <w:rFonts w:hint="eastAsia"/>
                      <w:snapToGrid w:val="0"/>
                      <w:color w:val="auto"/>
                      <w:szCs w:val="21"/>
                    </w:rPr>
                    <w:t>芯模振动机</w:t>
                  </w:r>
                </w:p>
              </w:tc>
              <w:tc>
                <w:tcPr>
                  <w:tcW w:w="645" w:type="dxa"/>
                  <w:vAlign w:val="center"/>
                </w:tcPr>
                <w:p w14:paraId="6F1780B1">
                  <w:pPr>
                    <w:pStyle w:val="15"/>
                    <w:spacing w:before="120"/>
                    <w:rPr>
                      <w:color w:val="auto"/>
                      <w:kern w:val="0"/>
                      <w:szCs w:val="21"/>
                    </w:rPr>
                  </w:pPr>
                  <w:r>
                    <w:rPr>
                      <w:rFonts w:hint="eastAsia" w:ascii="Times New Roman" w:eastAsia="宋体"/>
                      <w:color w:val="auto"/>
                      <w:sz w:val="21"/>
                      <w:szCs w:val="21"/>
                    </w:rPr>
                    <w:t>2</w:t>
                  </w:r>
                </w:p>
              </w:tc>
              <w:tc>
                <w:tcPr>
                  <w:tcW w:w="1369" w:type="dxa"/>
                  <w:vAlign w:val="center"/>
                </w:tcPr>
                <w:p w14:paraId="403EEE23">
                  <w:pPr>
                    <w:widowControl/>
                    <w:adjustRightInd/>
                    <w:snapToGrid/>
                    <w:jc w:val="center"/>
                    <w:rPr>
                      <w:color w:val="auto"/>
                      <w:kern w:val="0"/>
                      <w:szCs w:val="21"/>
                    </w:rPr>
                  </w:pPr>
                  <w:r>
                    <w:rPr>
                      <w:rFonts w:hint="eastAsia"/>
                      <w:color w:val="auto"/>
                      <w:kern w:val="0"/>
                      <w:szCs w:val="21"/>
                    </w:rPr>
                    <w:t>/</w:t>
                  </w:r>
                </w:p>
              </w:tc>
              <w:tc>
                <w:tcPr>
                  <w:tcW w:w="965" w:type="dxa"/>
                  <w:vAlign w:val="center"/>
                </w:tcPr>
                <w:p w14:paraId="1A227517">
                  <w:pPr>
                    <w:widowControl/>
                    <w:adjustRightInd/>
                    <w:snapToGrid/>
                    <w:jc w:val="center"/>
                    <w:textAlignment w:val="center"/>
                    <w:rPr>
                      <w:color w:val="auto"/>
                      <w:szCs w:val="21"/>
                    </w:rPr>
                  </w:pPr>
                  <w:r>
                    <w:rPr>
                      <w:rFonts w:hint="eastAsia"/>
                      <w:color w:val="auto"/>
                      <w:szCs w:val="21"/>
                    </w:rPr>
                    <w:t>75</w:t>
                  </w:r>
                </w:p>
              </w:tc>
              <w:tc>
                <w:tcPr>
                  <w:tcW w:w="804" w:type="dxa"/>
                  <w:vMerge w:val="continue"/>
                  <w:vAlign w:val="center"/>
                </w:tcPr>
                <w:p w14:paraId="63B3A222">
                  <w:pPr>
                    <w:widowControl/>
                    <w:adjustRightInd/>
                    <w:snapToGrid/>
                    <w:jc w:val="center"/>
                    <w:textAlignment w:val="center"/>
                    <w:rPr>
                      <w:color w:val="auto"/>
                      <w:kern w:val="0"/>
                      <w:szCs w:val="21"/>
                    </w:rPr>
                  </w:pPr>
                </w:p>
              </w:tc>
              <w:tc>
                <w:tcPr>
                  <w:tcW w:w="878" w:type="dxa"/>
                  <w:vAlign w:val="center"/>
                </w:tcPr>
                <w:p w14:paraId="25AAE469">
                  <w:pPr>
                    <w:widowControl/>
                    <w:adjustRightInd/>
                    <w:snapToGrid/>
                    <w:jc w:val="center"/>
                    <w:textAlignment w:val="center"/>
                    <w:rPr>
                      <w:color w:val="auto"/>
                      <w:szCs w:val="21"/>
                    </w:rPr>
                  </w:pPr>
                  <w:r>
                    <w:rPr>
                      <w:rFonts w:hint="eastAsia"/>
                      <w:color w:val="auto"/>
                      <w:szCs w:val="21"/>
                    </w:rPr>
                    <w:t>17</w:t>
                  </w:r>
                </w:p>
              </w:tc>
              <w:tc>
                <w:tcPr>
                  <w:tcW w:w="1007" w:type="dxa"/>
                  <w:vAlign w:val="center"/>
                </w:tcPr>
                <w:p w14:paraId="5C8CCAAC">
                  <w:pPr>
                    <w:widowControl/>
                    <w:adjustRightInd/>
                    <w:snapToGrid/>
                    <w:jc w:val="center"/>
                    <w:textAlignment w:val="center"/>
                    <w:rPr>
                      <w:color w:val="auto"/>
                      <w:szCs w:val="21"/>
                    </w:rPr>
                  </w:pPr>
                  <w:r>
                    <w:rPr>
                      <w:rFonts w:hint="eastAsia"/>
                      <w:color w:val="auto"/>
                      <w:szCs w:val="21"/>
                    </w:rPr>
                    <w:t>5</w:t>
                  </w:r>
                </w:p>
              </w:tc>
              <w:tc>
                <w:tcPr>
                  <w:tcW w:w="606" w:type="dxa"/>
                  <w:vAlign w:val="center"/>
                </w:tcPr>
                <w:p w14:paraId="120BEDEE">
                  <w:pPr>
                    <w:widowControl/>
                    <w:adjustRightInd/>
                    <w:snapToGrid/>
                    <w:jc w:val="center"/>
                    <w:textAlignment w:val="center"/>
                    <w:rPr>
                      <w:color w:val="auto"/>
                      <w:szCs w:val="21"/>
                    </w:rPr>
                  </w:pPr>
                  <w:r>
                    <w:rPr>
                      <w:rFonts w:hint="eastAsia"/>
                      <w:color w:val="auto"/>
                      <w:szCs w:val="21"/>
                    </w:rPr>
                    <w:t>3</w:t>
                  </w:r>
                </w:p>
              </w:tc>
              <w:tc>
                <w:tcPr>
                  <w:tcW w:w="594" w:type="dxa"/>
                  <w:vAlign w:val="center"/>
                </w:tcPr>
                <w:p w14:paraId="4122E2A1">
                  <w:pPr>
                    <w:widowControl/>
                    <w:adjustRightInd/>
                    <w:snapToGrid/>
                    <w:jc w:val="center"/>
                    <w:textAlignment w:val="center"/>
                    <w:rPr>
                      <w:color w:val="auto"/>
                      <w:szCs w:val="21"/>
                    </w:rPr>
                  </w:pPr>
                  <w:r>
                    <w:rPr>
                      <w:rFonts w:hint="eastAsia"/>
                      <w:color w:val="auto"/>
                      <w:szCs w:val="21"/>
                    </w:rPr>
                    <w:t>8</w:t>
                  </w:r>
                </w:p>
              </w:tc>
              <w:tc>
                <w:tcPr>
                  <w:tcW w:w="712" w:type="dxa"/>
                  <w:vAlign w:val="center"/>
                </w:tcPr>
                <w:p w14:paraId="70A70260">
                  <w:pPr>
                    <w:widowControl/>
                    <w:adjustRightInd/>
                    <w:snapToGrid/>
                    <w:jc w:val="center"/>
                    <w:textAlignment w:val="center"/>
                    <w:rPr>
                      <w:color w:val="auto"/>
                      <w:szCs w:val="21"/>
                    </w:rPr>
                  </w:pPr>
                  <w:r>
                    <w:rPr>
                      <w:rFonts w:hint="eastAsia"/>
                      <w:color w:val="auto"/>
                      <w:szCs w:val="21"/>
                    </w:rPr>
                    <w:t>65.46</w:t>
                  </w:r>
                </w:p>
              </w:tc>
              <w:tc>
                <w:tcPr>
                  <w:tcW w:w="591" w:type="dxa"/>
                  <w:vAlign w:val="center"/>
                </w:tcPr>
                <w:p w14:paraId="6932887C">
                  <w:pPr>
                    <w:widowControl/>
                    <w:adjustRightInd/>
                    <w:snapToGrid/>
                    <w:jc w:val="center"/>
                    <w:textAlignment w:val="center"/>
                    <w:rPr>
                      <w:color w:val="auto"/>
                      <w:kern w:val="0"/>
                      <w:szCs w:val="21"/>
                    </w:rPr>
                  </w:pPr>
                  <w:r>
                    <w:rPr>
                      <w:rFonts w:hint="eastAsia"/>
                      <w:color w:val="auto"/>
                      <w:kern w:val="0"/>
                      <w:szCs w:val="21"/>
                    </w:rPr>
                    <w:t>8</w:t>
                  </w:r>
                  <w:r>
                    <w:rPr>
                      <w:color w:val="auto"/>
                      <w:kern w:val="0"/>
                      <w:szCs w:val="21"/>
                    </w:rPr>
                    <w:t>h</w:t>
                  </w:r>
                </w:p>
              </w:tc>
              <w:tc>
                <w:tcPr>
                  <w:tcW w:w="715" w:type="dxa"/>
                  <w:vMerge w:val="continue"/>
                  <w:vAlign w:val="center"/>
                </w:tcPr>
                <w:p w14:paraId="13B13779">
                  <w:pPr>
                    <w:widowControl/>
                    <w:adjustRightInd/>
                    <w:snapToGrid/>
                    <w:jc w:val="center"/>
                    <w:rPr>
                      <w:color w:val="auto"/>
                      <w:szCs w:val="21"/>
                    </w:rPr>
                  </w:pPr>
                </w:p>
              </w:tc>
              <w:tc>
                <w:tcPr>
                  <w:tcW w:w="883" w:type="dxa"/>
                  <w:vAlign w:val="center"/>
                </w:tcPr>
                <w:p w14:paraId="0A5812F5">
                  <w:pPr>
                    <w:widowControl/>
                    <w:adjustRightInd/>
                    <w:snapToGrid/>
                    <w:jc w:val="center"/>
                    <w:rPr>
                      <w:color w:val="auto"/>
                      <w:szCs w:val="21"/>
                    </w:rPr>
                  </w:pPr>
                  <w:r>
                    <w:rPr>
                      <w:rFonts w:hint="eastAsia"/>
                      <w:color w:val="auto"/>
                      <w:szCs w:val="21"/>
                    </w:rPr>
                    <w:t>45.46</w:t>
                  </w:r>
                </w:p>
              </w:tc>
              <w:tc>
                <w:tcPr>
                  <w:tcW w:w="599" w:type="dxa"/>
                  <w:vMerge w:val="continue"/>
                  <w:vAlign w:val="center"/>
                </w:tcPr>
                <w:p w14:paraId="7B62B9CE">
                  <w:pPr>
                    <w:widowControl/>
                    <w:adjustRightInd/>
                    <w:snapToGrid/>
                    <w:jc w:val="center"/>
                    <w:rPr>
                      <w:color w:val="auto"/>
                      <w:szCs w:val="21"/>
                    </w:rPr>
                  </w:pPr>
                </w:p>
              </w:tc>
            </w:tr>
            <w:tr w14:paraId="0CAD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08C1CD9A">
                  <w:pPr>
                    <w:widowControl/>
                    <w:adjustRightInd/>
                    <w:snapToGrid/>
                    <w:jc w:val="center"/>
                    <w:rPr>
                      <w:color w:val="auto"/>
                      <w:szCs w:val="21"/>
                    </w:rPr>
                  </w:pPr>
                </w:p>
              </w:tc>
              <w:tc>
                <w:tcPr>
                  <w:tcW w:w="1305" w:type="dxa"/>
                  <w:vAlign w:val="center"/>
                </w:tcPr>
                <w:p w14:paraId="21FA6B2D">
                  <w:pPr>
                    <w:widowControl/>
                    <w:adjustRightInd/>
                    <w:snapToGrid/>
                    <w:jc w:val="center"/>
                    <w:rPr>
                      <w:snapToGrid w:val="0"/>
                      <w:color w:val="auto"/>
                      <w:szCs w:val="21"/>
                    </w:rPr>
                  </w:pPr>
                  <w:r>
                    <w:rPr>
                      <w:rFonts w:hint="eastAsia"/>
                      <w:snapToGrid w:val="0"/>
                      <w:color w:val="auto"/>
                      <w:szCs w:val="21"/>
                    </w:rPr>
                    <w:t>升芯振动机</w:t>
                  </w:r>
                </w:p>
              </w:tc>
              <w:tc>
                <w:tcPr>
                  <w:tcW w:w="645" w:type="dxa"/>
                  <w:vAlign w:val="center"/>
                </w:tcPr>
                <w:p w14:paraId="17329155">
                  <w:pPr>
                    <w:pStyle w:val="15"/>
                    <w:spacing w:before="120"/>
                    <w:rPr>
                      <w:color w:val="auto"/>
                      <w:kern w:val="0"/>
                      <w:szCs w:val="21"/>
                    </w:rPr>
                  </w:pPr>
                  <w:r>
                    <w:rPr>
                      <w:rFonts w:hint="eastAsia" w:ascii="Times New Roman" w:eastAsia="宋体"/>
                      <w:color w:val="auto"/>
                      <w:sz w:val="21"/>
                      <w:szCs w:val="21"/>
                    </w:rPr>
                    <w:t>2</w:t>
                  </w:r>
                </w:p>
              </w:tc>
              <w:tc>
                <w:tcPr>
                  <w:tcW w:w="1369" w:type="dxa"/>
                  <w:vAlign w:val="center"/>
                </w:tcPr>
                <w:p w14:paraId="4D3BF5E9">
                  <w:pPr>
                    <w:widowControl/>
                    <w:adjustRightInd/>
                    <w:snapToGrid/>
                    <w:jc w:val="center"/>
                    <w:rPr>
                      <w:color w:val="auto"/>
                    </w:rPr>
                  </w:pPr>
                  <w:r>
                    <w:rPr>
                      <w:color w:val="auto"/>
                      <w:kern w:val="0"/>
                      <w:szCs w:val="21"/>
                    </w:rPr>
                    <w:t>/</w:t>
                  </w:r>
                </w:p>
              </w:tc>
              <w:tc>
                <w:tcPr>
                  <w:tcW w:w="965" w:type="dxa"/>
                  <w:vAlign w:val="center"/>
                </w:tcPr>
                <w:p w14:paraId="650E6D76">
                  <w:pPr>
                    <w:widowControl/>
                    <w:adjustRightInd/>
                    <w:snapToGrid/>
                    <w:jc w:val="center"/>
                    <w:textAlignment w:val="center"/>
                    <w:rPr>
                      <w:color w:val="auto"/>
                      <w:szCs w:val="21"/>
                    </w:rPr>
                  </w:pPr>
                  <w:r>
                    <w:rPr>
                      <w:rFonts w:hint="eastAsia"/>
                      <w:color w:val="auto"/>
                      <w:szCs w:val="21"/>
                    </w:rPr>
                    <w:t>75</w:t>
                  </w:r>
                </w:p>
              </w:tc>
              <w:tc>
                <w:tcPr>
                  <w:tcW w:w="804" w:type="dxa"/>
                  <w:vMerge w:val="continue"/>
                  <w:vAlign w:val="center"/>
                </w:tcPr>
                <w:p w14:paraId="0A1EEBEB">
                  <w:pPr>
                    <w:widowControl/>
                    <w:adjustRightInd/>
                    <w:snapToGrid/>
                    <w:jc w:val="center"/>
                    <w:textAlignment w:val="center"/>
                    <w:rPr>
                      <w:color w:val="auto"/>
                      <w:kern w:val="0"/>
                      <w:szCs w:val="21"/>
                    </w:rPr>
                  </w:pPr>
                </w:p>
              </w:tc>
              <w:tc>
                <w:tcPr>
                  <w:tcW w:w="878" w:type="dxa"/>
                  <w:vAlign w:val="center"/>
                </w:tcPr>
                <w:p w14:paraId="4365D756">
                  <w:pPr>
                    <w:widowControl/>
                    <w:adjustRightInd/>
                    <w:snapToGrid/>
                    <w:jc w:val="center"/>
                    <w:textAlignment w:val="center"/>
                    <w:rPr>
                      <w:color w:val="auto"/>
                      <w:szCs w:val="21"/>
                    </w:rPr>
                  </w:pPr>
                  <w:r>
                    <w:rPr>
                      <w:rFonts w:hint="eastAsia"/>
                      <w:color w:val="auto"/>
                      <w:szCs w:val="21"/>
                    </w:rPr>
                    <w:t>-7</w:t>
                  </w:r>
                </w:p>
              </w:tc>
              <w:tc>
                <w:tcPr>
                  <w:tcW w:w="1007" w:type="dxa"/>
                  <w:vAlign w:val="center"/>
                </w:tcPr>
                <w:p w14:paraId="537CC207">
                  <w:pPr>
                    <w:widowControl/>
                    <w:adjustRightInd/>
                    <w:snapToGrid/>
                    <w:jc w:val="center"/>
                    <w:textAlignment w:val="center"/>
                    <w:rPr>
                      <w:color w:val="auto"/>
                      <w:szCs w:val="21"/>
                    </w:rPr>
                  </w:pPr>
                  <w:r>
                    <w:rPr>
                      <w:rFonts w:hint="eastAsia"/>
                      <w:color w:val="auto"/>
                      <w:szCs w:val="21"/>
                    </w:rPr>
                    <w:t>10</w:t>
                  </w:r>
                </w:p>
              </w:tc>
              <w:tc>
                <w:tcPr>
                  <w:tcW w:w="606" w:type="dxa"/>
                  <w:vAlign w:val="center"/>
                </w:tcPr>
                <w:p w14:paraId="1BB15DCE">
                  <w:pPr>
                    <w:widowControl/>
                    <w:adjustRightInd/>
                    <w:snapToGrid/>
                    <w:jc w:val="center"/>
                    <w:textAlignment w:val="center"/>
                    <w:rPr>
                      <w:color w:val="auto"/>
                      <w:szCs w:val="21"/>
                    </w:rPr>
                  </w:pPr>
                  <w:r>
                    <w:rPr>
                      <w:rFonts w:hint="eastAsia"/>
                      <w:color w:val="auto"/>
                      <w:szCs w:val="21"/>
                    </w:rPr>
                    <w:t>3</w:t>
                  </w:r>
                </w:p>
              </w:tc>
              <w:tc>
                <w:tcPr>
                  <w:tcW w:w="594" w:type="dxa"/>
                  <w:vAlign w:val="center"/>
                </w:tcPr>
                <w:p w14:paraId="32B9F11B">
                  <w:pPr>
                    <w:widowControl/>
                    <w:adjustRightInd/>
                    <w:snapToGrid/>
                    <w:jc w:val="center"/>
                    <w:textAlignment w:val="center"/>
                    <w:rPr>
                      <w:color w:val="auto"/>
                      <w:szCs w:val="21"/>
                    </w:rPr>
                  </w:pPr>
                  <w:r>
                    <w:rPr>
                      <w:rFonts w:hint="eastAsia"/>
                      <w:color w:val="auto"/>
                      <w:szCs w:val="21"/>
                    </w:rPr>
                    <w:t>33</w:t>
                  </w:r>
                </w:p>
              </w:tc>
              <w:tc>
                <w:tcPr>
                  <w:tcW w:w="712" w:type="dxa"/>
                  <w:vAlign w:val="center"/>
                </w:tcPr>
                <w:p w14:paraId="5657B591">
                  <w:pPr>
                    <w:widowControl/>
                    <w:adjustRightInd/>
                    <w:snapToGrid/>
                    <w:jc w:val="center"/>
                    <w:textAlignment w:val="center"/>
                    <w:rPr>
                      <w:color w:val="auto"/>
                      <w:szCs w:val="21"/>
                    </w:rPr>
                  </w:pPr>
                  <w:r>
                    <w:rPr>
                      <w:rFonts w:hint="eastAsia"/>
                      <w:color w:val="auto"/>
                      <w:szCs w:val="21"/>
                    </w:rPr>
                    <w:t>65.46</w:t>
                  </w:r>
                </w:p>
              </w:tc>
              <w:tc>
                <w:tcPr>
                  <w:tcW w:w="591" w:type="dxa"/>
                  <w:vAlign w:val="center"/>
                </w:tcPr>
                <w:p w14:paraId="0D0C5B19">
                  <w:pPr>
                    <w:widowControl/>
                    <w:adjustRightInd/>
                    <w:snapToGrid/>
                    <w:jc w:val="center"/>
                    <w:textAlignment w:val="center"/>
                    <w:rPr>
                      <w:color w:val="auto"/>
                      <w:szCs w:val="21"/>
                    </w:rPr>
                  </w:pPr>
                  <w:r>
                    <w:rPr>
                      <w:rFonts w:hint="eastAsia"/>
                      <w:color w:val="auto"/>
                      <w:kern w:val="0"/>
                      <w:szCs w:val="21"/>
                    </w:rPr>
                    <w:t>8</w:t>
                  </w:r>
                  <w:r>
                    <w:rPr>
                      <w:color w:val="auto"/>
                      <w:kern w:val="0"/>
                      <w:szCs w:val="21"/>
                    </w:rPr>
                    <w:t>h</w:t>
                  </w:r>
                </w:p>
              </w:tc>
              <w:tc>
                <w:tcPr>
                  <w:tcW w:w="715" w:type="dxa"/>
                  <w:vMerge w:val="continue"/>
                  <w:vAlign w:val="center"/>
                </w:tcPr>
                <w:p w14:paraId="0651CB5D">
                  <w:pPr>
                    <w:widowControl/>
                    <w:adjustRightInd/>
                    <w:snapToGrid/>
                    <w:jc w:val="center"/>
                    <w:rPr>
                      <w:color w:val="auto"/>
                      <w:szCs w:val="21"/>
                    </w:rPr>
                  </w:pPr>
                </w:p>
              </w:tc>
              <w:tc>
                <w:tcPr>
                  <w:tcW w:w="883" w:type="dxa"/>
                  <w:vAlign w:val="center"/>
                </w:tcPr>
                <w:p w14:paraId="677DCBC0">
                  <w:pPr>
                    <w:widowControl/>
                    <w:adjustRightInd/>
                    <w:snapToGrid/>
                    <w:jc w:val="center"/>
                    <w:rPr>
                      <w:color w:val="auto"/>
                      <w:szCs w:val="21"/>
                    </w:rPr>
                  </w:pPr>
                  <w:r>
                    <w:rPr>
                      <w:rFonts w:hint="eastAsia"/>
                      <w:color w:val="auto"/>
                      <w:szCs w:val="21"/>
                    </w:rPr>
                    <w:t>45.46</w:t>
                  </w:r>
                </w:p>
              </w:tc>
              <w:tc>
                <w:tcPr>
                  <w:tcW w:w="599" w:type="dxa"/>
                  <w:vMerge w:val="continue"/>
                  <w:vAlign w:val="center"/>
                </w:tcPr>
                <w:p w14:paraId="09379E59">
                  <w:pPr>
                    <w:widowControl/>
                    <w:adjustRightInd/>
                    <w:snapToGrid/>
                    <w:jc w:val="center"/>
                    <w:rPr>
                      <w:color w:val="auto"/>
                      <w:szCs w:val="21"/>
                    </w:rPr>
                  </w:pPr>
                </w:p>
              </w:tc>
            </w:tr>
            <w:tr w14:paraId="3E13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2CE8032F">
                  <w:pPr>
                    <w:widowControl/>
                    <w:adjustRightInd/>
                    <w:snapToGrid/>
                    <w:jc w:val="center"/>
                    <w:rPr>
                      <w:color w:val="auto"/>
                      <w:szCs w:val="21"/>
                    </w:rPr>
                  </w:pPr>
                </w:p>
              </w:tc>
              <w:tc>
                <w:tcPr>
                  <w:tcW w:w="1305" w:type="dxa"/>
                  <w:vAlign w:val="center"/>
                </w:tcPr>
                <w:p w14:paraId="76CF5300">
                  <w:pPr>
                    <w:widowControl/>
                    <w:adjustRightInd/>
                    <w:snapToGrid/>
                    <w:jc w:val="center"/>
                    <w:rPr>
                      <w:snapToGrid w:val="0"/>
                      <w:color w:val="auto"/>
                      <w:szCs w:val="21"/>
                    </w:rPr>
                  </w:pPr>
                  <w:r>
                    <w:rPr>
                      <w:rFonts w:hint="eastAsia"/>
                      <w:snapToGrid w:val="0"/>
                      <w:color w:val="auto"/>
                      <w:szCs w:val="21"/>
                    </w:rPr>
                    <w:t>立式振捣机</w:t>
                  </w:r>
                </w:p>
              </w:tc>
              <w:tc>
                <w:tcPr>
                  <w:tcW w:w="645" w:type="dxa"/>
                  <w:vAlign w:val="center"/>
                </w:tcPr>
                <w:p w14:paraId="22F8A3DA">
                  <w:pPr>
                    <w:pStyle w:val="15"/>
                    <w:spacing w:before="120"/>
                    <w:rPr>
                      <w:color w:val="auto"/>
                      <w:kern w:val="0"/>
                      <w:szCs w:val="21"/>
                    </w:rPr>
                  </w:pPr>
                  <w:r>
                    <w:rPr>
                      <w:rFonts w:hint="eastAsia" w:ascii="Times New Roman" w:eastAsia="宋体"/>
                      <w:color w:val="auto"/>
                      <w:sz w:val="21"/>
                      <w:szCs w:val="21"/>
                    </w:rPr>
                    <w:t>1</w:t>
                  </w:r>
                </w:p>
              </w:tc>
              <w:tc>
                <w:tcPr>
                  <w:tcW w:w="1369" w:type="dxa"/>
                  <w:vAlign w:val="center"/>
                </w:tcPr>
                <w:p w14:paraId="639DFA36">
                  <w:pPr>
                    <w:widowControl/>
                    <w:adjustRightInd/>
                    <w:snapToGrid/>
                    <w:jc w:val="center"/>
                    <w:rPr>
                      <w:color w:val="auto"/>
                    </w:rPr>
                  </w:pPr>
                  <w:r>
                    <w:rPr>
                      <w:color w:val="auto"/>
                      <w:kern w:val="0"/>
                      <w:szCs w:val="21"/>
                    </w:rPr>
                    <w:t>/</w:t>
                  </w:r>
                </w:p>
              </w:tc>
              <w:tc>
                <w:tcPr>
                  <w:tcW w:w="965" w:type="dxa"/>
                  <w:vAlign w:val="center"/>
                </w:tcPr>
                <w:p w14:paraId="0A77B349">
                  <w:pPr>
                    <w:widowControl/>
                    <w:adjustRightInd/>
                    <w:snapToGrid/>
                    <w:jc w:val="center"/>
                    <w:textAlignment w:val="center"/>
                    <w:rPr>
                      <w:color w:val="auto"/>
                      <w:szCs w:val="21"/>
                    </w:rPr>
                  </w:pPr>
                  <w:r>
                    <w:rPr>
                      <w:rFonts w:hint="eastAsia"/>
                      <w:color w:val="auto"/>
                      <w:szCs w:val="21"/>
                    </w:rPr>
                    <w:t>75</w:t>
                  </w:r>
                </w:p>
              </w:tc>
              <w:tc>
                <w:tcPr>
                  <w:tcW w:w="804" w:type="dxa"/>
                  <w:vMerge w:val="continue"/>
                  <w:vAlign w:val="center"/>
                </w:tcPr>
                <w:p w14:paraId="60BE3B1A">
                  <w:pPr>
                    <w:widowControl/>
                    <w:adjustRightInd/>
                    <w:snapToGrid/>
                    <w:jc w:val="center"/>
                    <w:textAlignment w:val="center"/>
                    <w:rPr>
                      <w:color w:val="auto"/>
                      <w:kern w:val="0"/>
                      <w:szCs w:val="21"/>
                    </w:rPr>
                  </w:pPr>
                </w:p>
              </w:tc>
              <w:tc>
                <w:tcPr>
                  <w:tcW w:w="878" w:type="dxa"/>
                  <w:vAlign w:val="center"/>
                </w:tcPr>
                <w:p w14:paraId="41D7825A">
                  <w:pPr>
                    <w:widowControl/>
                    <w:adjustRightInd/>
                    <w:snapToGrid/>
                    <w:jc w:val="center"/>
                    <w:textAlignment w:val="center"/>
                    <w:rPr>
                      <w:color w:val="auto"/>
                      <w:szCs w:val="21"/>
                    </w:rPr>
                  </w:pPr>
                  <w:r>
                    <w:rPr>
                      <w:rFonts w:hint="eastAsia"/>
                      <w:color w:val="auto"/>
                      <w:szCs w:val="21"/>
                    </w:rPr>
                    <w:t>26</w:t>
                  </w:r>
                </w:p>
              </w:tc>
              <w:tc>
                <w:tcPr>
                  <w:tcW w:w="1007" w:type="dxa"/>
                  <w:vAlign w:val="center"/>
                </w:tcPr>
                <w:p w14:paraId="533416D4">
                  <w:pPr>
                    <w:widowControl/>
                    <w:adjustRightInd/>
                    <w:snapToGrid/>
                    <w:jc w:val="center"/>
                    <w:textAlignment w:val="center"/>
                    <w:rPr>
                      <w:color w:val="auto"/>
                      <w:szCs w:val="21"/>
                    </w:rPr>
                  </w:pPr>
                  <w:r>
                    <w:rPr>
                      <w:rFonts w:hint="eastAsia"/>
                      <w:color w:val="auto"/>
                      <w:szCs w:val="21"/>
                    </w:rPr>
                    <w:t>15</w:t>
                  </w:r>
                </w:p>
              </w:tc>
              <w:tc>
                <w:tcPr>
                  <w:tcW w:w="606" w:type="dxa"/>
                  <w:vAlign w:val="center"/>
                </w:tcPr>
                <w:p w14:paraId="3CC96468">
                  <w:pPr>
                    <w:widowControl/>
                    <w:adjustRightInd/>
                    <w:snapToGrid/>
                    <w:jc w:val="center"/>
                    <w:textAlignment w:val="center"/>
                    <w:rPr>
                      <w:color w:val="auto"/>
                      <w:szCs w:val="21"/>
                    </w:rPr>
                  </w:pPr>
                  <w:r>
                    <w:rPr>
                      <w:rFonts w:hint="eastAsia"/>
                      <w:color w:val="auto"/>
                      <w:szCs w:val="21"/>
                    </w:rPr>
                    <w:t>2</w:t>
                  </w:r>
                </w:p>
              </w:tc>
              <w:tc>
                <w:tcPr>
                  <w:tcW w:w="594" w:type="dxa"/>
                  <w:vAlign w:val="center"/>
                </w:tcPr>
                <w:p w14:paraId="6B4D085A">
                  <w:pPr>
                    <w:widowControl/>
                    <w:adjustRightInd/>
                    <w:snapToGrid/>
                    <w:jc w:val="center"/>
                    <w:textAlignment w:val="center"/>
                    <w:rPr>
                      <w:color w:val="auto"/>
                      <w:szCs w:val="21"/>
                    </w:rPr>
                  </w:pPr>
                  <w:r>
                    <w:rPr>
                      <w:rFonts w:hint="eastAsia"/>
                      <w:color w:val="auto"/>
                      <w:szCs w:val="21"/>
                    </w:rPr>
                    <w:t>18</w:t>
                  </w:r>
                </w:p>
              </w:tc>
              <w:tc>
                <w:tcPr>
                  <w:tcW w:w="712" w:type="dxa"/>
                  <w:vAlign w:val="center"/>
                </w:tcPr>
                <w:p w14:paraId="2AD949E9">
                  <w:pPr>
                    <w:widowControl/>
                    <w:adjustRightInd/>
                    <w:snapToGrid/>
                    <w:jc w:val="center"/>
                    <w:textAlignment w:val="center"/>
                    <w:rPr>
                      <w:color w:val="auto"/>
                      <w:szCs w:val="21"/>
                    </w:rPr>
                  </w:pPr>
                  <w:r>
                    <w:rPr>
                      <w:rFonts w:hint="eastAsia"/>
                      <w:color w:val="auto"/>
                      <w:szCs w:val="21"/>
                    </w:rPr>
                    <w:t>65.46</w:t>
                  </w:r>
                </w:p>
              </w:tc>
              <w:tc>
                <w:tcPr>
                  <w:tcW w:w="591" w:type="dxa"/>
                  <w:vAlign w:val="center"/>
                </w:tcPr>
                <w:p w14:paraId="190397CB">
                  <w:pPr>
                    <w:widowControl/>
                    <w:adjustRightInd/>
                    <w:snapToGrid/>
                    <w:jc w:val="center"/>
                    <w:textAlignment w:val="center"/>
                    <w:rPr>
                      <w:color w:val="auto"/>
                      <w:kern w:val="0"/>
                      <w:szCs w:val="21"/>
                    </w:rPr>
                  </w:pPr>
                  <w:r>
                    <w:rPr>
                      <w:rFonts w:hint="eastAsia"/>
                      <w:color w:val="auto"/>
                      <w:kern w:val="0"/>
                      <w:szCs w:val="21"/>
                    </w:rPr>
                    <w:t>8</w:t>
                  </w:r>
                  <w:r>
                    <w:rPr>
                      <w:color w:val="auto"/>
                      <w:kern w:val="0"/>
                      <w:szCs w:val="21"/>
                    </w:rPr>
                    <w:t>h</w:t>
                  </w:r>
                </w:p>
              </w:tc>
              <w:tc>
                <w:tcPr>
                  <w:tcW w:w="715" w:type="dxa"/>
                  <w:vMerge w:val="continue"/>
                  <w:vAlign w:val="center"/>
                </w:tcPr>
                <w:p w14:paraId="669DC49B">
                  <w:pPr>
                    <w:widowControl/>
                    <w:adjustRightInd/>
                    <w:snapToGrid/>
                    <w:jc w:val="center"/>
                    <w:rPr>
                      <w:color w:val="auto"/>
                      <w:szCs w:val="21"/>
                    </w:rPr>
                  </w:pPr>
                </w:p>
              </w:tc>
              <w:tc>
                <w:tcPr>
                  <w:tcW w:w="883" w:type="dxa"/>
                  <w:vAlign w:val="center"/>
                </w:tcPr>
                <w:p w14:paraId="76D335B2">
                  <w:pPr>
                    <w:widowControl/>
                    <w:adjustRightInd/>
                    <w:snapToGrid/>
                    <w:jc w:val="center"/>
                    <w:rPr>
                      <w:color w:val="auto"/>
                      <w:szCs w:val="21"/>
                    </w:rPr>
                  </w:pPr>
                  <w:r>
                    <w:rPr>
                      <w:rFonts w:hint="eastAsia"/>
                      <w:color w:val="auto"/>
                      <w:szCs w:val="21"/>
                    </w:rPr>
                    <w:t>45.46</w:t>
                  </w:r>
                </w:p>
              </w:tc>
              <w:tc>
                <w:tcPr>
                  <w:tcW w:w="599" w:type="dxa"/>
                  <w:vMerge w:val="continue"/>
                  <w:vAlign w:val="center"/>
                </w:tcPr>
                <w:p w14:paraId="7FB368CB">
                  <w:pPr>
                    <w:widowControl/>
                    <w:adjustRightInd/>
                    <w:snapToGrid/>
                    <w:jc w:val="center"/>
                    <w:rPr>
                      <w:color w:val="auto"/>
                      <w:szCs w:val="21"/>
                    </w:rPr>
                  </w:pPr>
                </w:p>
              </w:tc>
            </w:tr>
          </w:tbl>
          <w:p w14:paraId="40BF4178">
            <w:pPr>
              <w:pStyle w:val="22"/>
              <w:spacing w:line="360" w:lineRule="auto"/>
              <w:ind w:left="0" w:right="0" w:firstLine="480"/>
              <w:jc w:val="left"/>
              <w:rPr>
                <w:color w:val="auto"/>
              </w:rPr>
            </w:pPr>
          </w:p>
        </w:tc>
      </w:tr>
    </w:tbl>
    <w:p w14:paraId="7F8CE3DF">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14:paraId="27456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7" w:hRule="atLeast"/>
          <w:jc w:val="center"/>
        </w:trPr>
        <w:tc>
          <w:tcPr>
            <w:tcW w:w="375" w:type="dxa"/>
            <w:tcMar>
              <w:left w:w="28" w:type="dxa"/>
              <w:right w:w="28" w:type="dxa"/>
            </w:tcMar>
            <w:vAlign w:val="center"/>
          </w:tcPr>
          <w:p w14:paraId="4202228B">
            <w:pPr>
              <w:pStyle w:val="31"/>
              <w:spacing w:before="0" w:beforeAutospacing="0" w:after="0" w:afterAutospacing="0"/>
              <w:jc w:val="center"/>
              <w:rPr>
                <w:rFonts w:ascii="Times New Roman" w:hAnsi="Times New Roman"/>
                <w:color w:val="auto"/>
                <w:kern w:val="21"/>
                <w:szCs w:val="24"/>
              </w:rPr>
            </w:pPr>
            <w:r>
              <w:rPr>
                <w:rFonts w:hint="eastAsia" w:ascii="Times New Roman" w:hAnsi="Times New Roman"/>
                <w:color w:val="auto"/>
                <w:kern w:val="21"/>
                <w:szCs w:val="24"/>
              </w:rPr>
              <w:t>运营期</w:t>
            </w:r>
            <w:r>
              <w:rPr>
                <w:rFonts w:ascii="Times New Roman" w:hAnsi="Times New Roman"/>
                <w:color w:val="auto"/>
                <w:kern w:val="21"/>
                <w:szCs w:val="24"/>
              </w:rPr>
              <w:t>环</w:t>
            </w:r>
          </w:p>
          <w:p w14:paraId="4EDCB059">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境保</w:t>
            </w:r>
          </w:p>
          <w:p w14:paraId="548AB593">
            <w:pPr>
              <w:pStyle w:val="31"/>
              <w:spacing w:before="0" w:beforeAutospacing="0" w:after="0" w:afterAutospacing="0"/>
              <w:jc w:val="center"/>
              <w:rPr>
                <w:rFonts w:ascii="Times New Roman" w:hAnsi="Times New Roman"/>
                <w:color w:val="auto"/>
                <w:kern w:val="21"/>
                <w:szCs w:val="24"/>
              </w:rPr>
            </w:pPr>
            <w:r>
              <w:rPr>
                <w:rFonts w:ascii="Times New Roman" w:hAnsi="Times New Roman"/>
                <w:color w:val="auto"/>
                <w:kern w:val="21"/>
                <w:szCs w:val="24"/>
              </w:rPr>
              <w:t>护措</w:t>
            </w:r>
          </w:p>
          <w:p w14:paraId="5DC25D33">
            <w:pPr>
              <w:jc w:val="center"/>
              <w:rPr>
                <w:color w:val="auto"/>
                <w:kern w:val="21"/>
                <w:sz w:val="24"/>
              </w:rPr>
            </w:pPr>
            <w:r>
              <w:rPr>
                <w:color w:val="auto"/>
                <w:kern w:val="21"/>
                <w:sz w:val="24"/>
              </w:rPr>
              <w:t>施</w:t>
            </w:r>
          </w:p>
        </w:tc>
        <w:tc>
          <w:tcPr>
            <w:tcW w:w="8606" w:type="dxa"/>
            <w:vAlign w:val="center"/>
          </w:tcPr>
          <w:p w14:paraId="68589007">
            <w:pPr>
              <w:pStyle w:val="68"/>
              <w:ind w:firstLine="482"/>
              <w:rPr>
                <w:b/>
                <w:bCs/>
                <w:color w:val="auto"/>
                <w:kern w:val="2"/>
                <w:sz w:val="24"/>
                <w:szCs w:val="24"/>
              </w:rPr>
            </w:pPr>
            <w:bookmarkStart w:id="116" w:name="_Toc13888_WPSOffice_Level3"/>
            <w:bookmarkStart w:id="117" w:name="_Toc2883_WPSOffice_Level2"/>
            <w:r>
              <w:rPr>
                <w:b/>
                <w:bCs/>
                <w:color w:val="auto"/>
                <w:kern w:val="2"/>
                <w:sz w:val="24"/>
                <w:szCs w:val="24"/>
              </w:rPr>
              <w:t>2、声环境的影响预测与分析</w:t>
            </w:r>
            <w:bookmarkEnd w:id="116"/>
            <w:bookmarkEnd w:id="117"/>
          </w:p>
          <w:p w14:paraId="09894908">
            <w:pPr>
              <w:spacing w:line="360" w:lineRule="auto"/>
              <w:ind w:firstLine="480" w:firstLineChars="200"/>
              <w:rPr>
                <w:color w:val="auto"/>
                <w:sz w:val="24"/>
              </w:rPr>
            </w:pPr>
            <w:r>
              <w:rPr>
                <w:rFonts w:hint="eastAsia"/>
                <w:color w:val="auto"/>
                <w:sz w:val="24"/>
                <w:shd w:val="clear" w:fill="FFFFFF"/>
              </w:rPr>
              <w:t>(</w:t>
            </w:r>
            <w:r>
              <w:rPr>
                <w:rFonts w:hint="eastAsia"/>
                <w:color w:val="auto"/>
                <w:sz w:val="24"/>
              </w:rPr>
              <w:t>1</w:t>
            </w:r>
            <w:r>
              <w:rPr>
                <w:rFonts w:hint="eastAsia"/>
                <w:color w:val="auto"/>
                <w:sz w:val="24"/>
                <w:shd w:val="clear" w:fill="FFFFFF"/>
              </w:rPr>
              <w:t>)</w:t>
            </w:r>
            <w:r>
              <w:rPr>
                <w:color w:val="auto"/>
                <w:sz w:val="24"/>
              </w:rPr>
              <w:t>预测范围、点位与评价因子</w:t>
            </w:r>
          </w:p>
          <w:p w14:paraId="66939A5A">
            <w:pPr>
              <w:spacing w:line="360" w:lineRule="auto"/>
              <w:ind w:firstLine="480" w:firstLineChars="200"/>
              <w:rPr>
                <w:color w:val="auto"/>
                <w:sz w:val="24"/>
              </w:rPr>
            </w:pPr>
            <w:r>
              <w:rPr>
                <w:color w:val="auto"/>
                <w:sz w:val="24"/>
              </w:rPr>
              <w:t>噪声预测范围：厂界噪声；</w:t>
            </w:r>
          </w:p>
          <w:p w14:paraId="75103288">
            <w:pPr>
              <w:spacing w:line="360" w:lineRule="auto"/>
              <w:ind w:firstLine="480" w:firstLineChars="200"/>
              <w:rPr>
                <w:color w:val="auto"/>
                <w:sz w:val="24"/>
              </w:rPr>
            </w:pPr>
            <w:r>
              <w:rPr>
                <w:color w:val="auto"/>
                <w:sz w:val="24"/>
              </w:rPr>
              <w:t>预测内容：</w:t>
            </w:r>
            <w:r>
              <w:rPr>
                <w:rFonts w:hint="eastAsia"/>
                <w:color w:val="auto"/>
                <w:sz w:val="24"/>
                <w:lang w:eastAsia="zh-CN"/>
              </w:rPr>
              <w:t>迁建项目</w:t>
            </w:r>
            <w:r>
              <w:rPr>
                <w:color w:val="auto"/>
                <w:sz w:val="24"/>
              </w:rPr>
              <w:t>夜间不生产，因此不做夜间噪声预测</w:t>
            </w:r>
            <w:r>
              <w:rPr>
                <w:rFonts w:hint="eastAsia"/>
                <w:color w:val="auto"/>
                <w:sz w:val="24"/>
              </w:rPr>
              <w:t>，</w:t>
            </w:r>
            <w:r>
              <w:rPr>
                <w:color w:val="auto"/>
                <w:sz w:val="24"/>
              </w:rPr>
              <w:t>预测厂界</w:t>
            </w:r>
            <w:r>
              <w:rPr>
                <w:rFonts w:hint="eastAsia"/>
                <w:color w:val="auto"/>
                <w:sz w:val="24"/>
              </w:rPr>
              <w:t>昼间</w:t>
            </w:r>
            <w:r>
              <w:rPr>
                <w:color w:val="auto"/>
                <w:sz w:val="24"/>
              </w:rPr>
              <w:t>等效连续A声级。</w:t>
            </w:r>
          </w:p>
          <w:p w14:paraId="6CD077FC">
            <w:pPr>
              <w:spacing w:line="360" w:lineRule="auto"/>
              <w:ind w:firstLine="480" w:firstLineChars="200"/>
              <w:rPr>
                <w:color w:val="auto"/>
                <w:sz w:val="24"/>
              </w:rPr>
            </w:pPr>
            <w:r>
              <w:rPr>
                <w:rFonts w:hint="eastAsia"/>
                <w:color w:val="auto"/>
                <w:sz w:val="24"/>
                <w:shd w:val="clear" w:fill="FFFFFF"/>
              </w:rPr>
              <w:t>(</w:t>
            </w:r>
            <w:r>
              <w:rPr>
                <w:rFonts w:hint="eastAsia"/>
                <w:color w:val="auto"/>
                <w:sz w:val="24"/>
              </w:rPr>
              <w:t>2</w:t>
            </w:r>
            <w:r>
              <w:rPr>
                <w:rFonts w:hint="eastAsia"/>
                <w:color w:val="auto"/>
                <w:sz w:val="24"/>
                <w:shd w:val="clear" w:fill="FFFFFF"/>
              </w:rPr>
              <w:t>)</w:t>
            </w:r>
            <w:r>
              <w:rPr>
                <w:color w:val="auto"/>
                <w:sz w:val="24"/>
              </w:rPr>
              <w:t>预测模式的选取</w:t>
            </w:r>
          </w:p>
          <w:p w14:paraId="77E657A3">
            <w:pPr>
              <w:adjustRightInd w:val="0"/>
              <w:spacing w:before="120" w:beforeLines="50"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项目噪声环境影响预测采用《环境影响评价技术导则声环境》</w:t>
            </w:r>
            <w:r>
              <w:rPr>
                <w:rFonts w:hint="eastAsia" w:cs="Times New Roman"/>
                <w:color w:val="auto"/>
                <w:sz w:val="24"/>
                <w:lang w:eastAsia="zh-CN"/>
              </w:rPr>
              <w:t>(</w:t>
            </w:r>
            <w:r>
              <w:rPr>
                <w:rFonts w:hint="default" w:ascii="Times New Roman" w:hAnsi="Times New Roman" w:cs="Times New Roman"/>
                <w:color w:val="auto"/>
                <w:sz w:val="24"/>
              </w:rPr>
              <w:t>HJ/T2.4-2021</w:t>
            </w:r>
            <w:r>
              <w:rPr>
                <w:rFonts w:hint="eastAsia" w:cs="Times New Roman"/>
                <w:color w:val="auto"/>
                <w:sz w:val="24"/>
                <w:shd w:val="clear" w:fill="FFFFFF"/>
                <w:lang w:eastAsia="zh-CN"/>
              </w:rPr>
              <w:t>)</w:t>
            </w:r>
            <w:r>
              <w:rPr>
                <w:rFonts w:hint="default" w:ascii="Times New Roman" w:hAnsi="Times New Roman" w:cs="Times New Roman"/>
                <w:color w:val="auto"/>
                <w:sz w:val="24"/>
              </w:rPr>
              <w:t>推荐的预测模式：</w:t>
            </w:r>
          </w:p>
          <w:p w14:paraId="179DD75E">
            <w:pPr>
              <w:adjustRightInd w:val="0"/>
              <w:spacing w:line="360" w:lineRule="auto"/>
              <w:ind w:firstLine="480" w:firstLineChars="200"/>
              <w:contextualSpacing/>
              <w:rPr>
                <w:rFonts w:hint="default" w:ascii="Times New Roman" w:hAnsi="Times New Roman" w:cs="Times New Roman"/>
                <w:color w:val="auto"/>
                <w:sz w:val="24"/>
              </w:rPr>
            </w:pPr>
            <w:r>
              <w:rPr>
                <w:rFonts w:hint="eastAsia" w:cs="Times New Roman"/>
                <w:color w:val="auto"/>
                <w:sz w:val="24"/>
                <w:shd w:val="clear" w:fill="FFFFFF"/>
                <w:lang w:eastAsia="zh-CN"/>
              </w:rPr>
              <w:t>(</w:t>
            </w:r>
            <w:r>
              <w:rPr>
                <w:rFonts w:hint="default" w:ascii="Times New Roman" w:hAnsi="Times New Roman" w:cs="Times New Roman"/>
                <w:color w:val="auto"/>
                <w:sz w:val="24"/>
              </w:rPr>
              <w:t>1</w:t>
            </w:r>
            <w:r>
              <w:rPr>
                <w:rFonts w:hint="eastAsia" w:cs="Times New Roman"/>
                <w:color w:val="auto"/>
                <w:sz w:val="24"/>
                <w:shd w:val="clear" w:fill="FFFFFF"/>
                <w:lang w:eastAsia="zh-CN"/>
              </w:rPr>
              <w:t>)</w:t>
            </w:r>
            <w:r>
              <w:rPr>
                <w:rFonts w:hint="default" w:ascii="Times New Roman" w:hAnsi="Times New Roman" w:cs="Times New Roman"/>
                <w:color w:val="auto"/>
                <w:sz w:val="24"/>
              </w:rPr>
              <w:t>对在预测点产生的等效声级贡献值，计算公式如下</w:t>
            </w:r>
          </w:p>
          <w:p w14:paraId="72D3EC27">
            <w:pPr>
              <w:adjustRightInd w:val="0"/>
              <w:spacing w:line="360" w:lineRule="auto"/>
              <w:contextualSpacing/>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1857375" cy="428625"/>
                  <wp:effectExtent l="0" t="0" r="9525"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1857375" cy="428625"/>
                          </a:xfrm>
                          <a:prstGeom prst="rect">
                            <a:avLst/>
                          </a:prstGeom>
                          <a:noFill/>
                          <a:ln>
                            <a:noFill/>
                          </a:ln>
                        </pic:spPr>
                      </pic:pic>
                    </a:graphicData>
                  </a:graphic>
                </wp:inline>
              </w:drawing>
            </w:r>
          </w:p>
          <w:p w14:paraId="291193E8">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2B0B722C">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L</w:t>
            </w:r>
            <w:r>
              <w:rPr>
                <w:rFonts w:hint="default" w:ascii="Times New Roman" w:hAnsi="Times New Roman" w:cs="Times New Roman"/>
                <w:color w:val="auto"/>
                <w:sz w:val="24"/>
                <w:shd w:val="clear" w:fill="FFFFFF"/>
                <w:vertAlign w:val="subscript"/>
              </w:rPr>
              <w:t>eqg</w:t>
            </w:r>
            <w:r>
              <w:rPr>
                <w:rFonts w:hint="default" w:ascii="Times New Roman" w:hAnsi="Times New Roman" w:cs="Times New Roman"/>
                <w:color w:val="auto"/>
                <w:sz w:val="24"/>
              </w:rPr>
              <w:t>为建设项目声源在预测点的等效声级贡献值，dB</w:t>
            </w:r>
            <w:r>
              <w:rPr>
                <w:rFonts w:hint="eastAsia" w:cs="Times New Roman"/>
                <w:color w:val="auto"/>
                <w:sz w:val="24"/>
                <w:lang w:eastAsia="zh-CN"/>
              </w:rPr>
              <w:t>(</w:t>
            </w:r>
            <w:r>
              <w:rPr>
                <w:rFonts w:hint="default" w:ascii="Times New Roman" w:hAnsi="Times New Roman" w:cs="Times New Roman"/>
                <w:color w:val="auto"/>
                <w:sz w:val="24"/>
              </w:rPr>
              <w:t>A</w:t>
            </w:r>
            <w:r>
              <w:rPr>
                <w:rFonts w:hint="eastAsia" w:cs="Times New Roman"/>
                <w:color w:val="auto"/>
                <w:sz w:val="24"/>
                <w:lang w:eastAsia="zh-CN"/>
              </w:rPr>
              <w:t>)</w:t>
            </w:r>
            <w:r>
              <w:rPr>
                <w:rFonts w:hint="default" w:ascii="Times New Roman" w:hAnsi="Times New Roman" w:cs="Times New Roman"/>
                <w:color w:val="auto"/>
                <w:sz w:val="24"/>
              </w:rPr>
              <w:t>；</w:t>
            </w:r>
          </w:p>
          <w:p w14:paraId="7DBA4D95">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为声源在预测点产生的A声级，dB</w:t>
            </w:r>
            <w:r>
              <w:rPr>
                <w:rFonts w:hint="eastAsia" w:cs="Times New Roman"/>
                <w:color w:val="auto"/>
                <w:sz w:val="24"/>
                <w:lang w:eastAsia="zh-CN"/>
              </w:rPr>
              <w:t>(</w:t>
            </w:r>
            <w:r>
              <w:rPr>
                <w:rFonts w:hint="default" w:ascii="Times New Roman" w:hAnsi="Times New Roman" w:cs="Times New Roman"/>
                <w:color w:val="auto"/>
                <w:sz w:val="24"/>
              </w:rPr>
              <w:t>A</w:t>
            </w:r>
            <w:r>
              <w:rPr>
                <w:rFonts w:hint="eastAsia" w:cs="Times New Roman"/>
                <w:color w:val="auto"/>
                <w:sz w:val="24"/>
                <w:lang w:eastAsia="zh-CN"/>
              </w:rPr>
              <w:t>)</w:t>
            </w:r>
            <w:r>
              <w:rPr>
                <w:rFonts w:hint="default" w:ascii="Times New Roman" w:hAnsi="Times New Roman" w:cs="Times New Roman"/>
                <w:color w:val="auto"/>
                <w:sz w:val="24"/>
              </w:rPr>
              <w:t>；i</w:t>
            </w:r>
          </w:p>
          <w:p w14:paraId="23BD4F53">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T为预测计算的时间段，s；</w:t>
            </w:r>
          </w:p>
          <w:p w14:paraId="6598F40A">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为i声源在T时段内的运行时间，s。</w:t>
            </w:r>
          </w:p>
          <w:p w14:paraId="47D3F6DE">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②预测点的预测等效声级</w:t>
            </w:r>
            <w:r>
              <w:rPr>
                <w:rFonts w:hint="eastAsia" w:cs="Times New Roman"/>
                <w:color w:val="auto"/>
                <w:sz w:val="24"/>
                <w:shd w:val="clear" w:fill="FFFFFF"/>
                <w:lang w:eastAsia="zh-CN"/>
              </w:rPr>
              <w:t>(</w:t>
            </w:r>
            <w:r>
              <w:rPr>
                <w:rFonts w:hint="default" w:ascii="Times New Roman" w:hAnsi="Times New Roman" w:cs="Times New Roman"/>
                <w:color w:val="auto"/>
                <w:sz w:val="24"/>
                <w:shd w:val="clear" w:fill="FFFFFF"/>
              </w:rPr>
              <w:t>Leq</w:t>
            </w:r>
            <w:r>
              <w:rPr>
                <w:rFonts w:hint="eastAsia" w:cs="Times New Roman"/>
                <w:color w:val="auto"/>
                <w:sz w:val="24"/>
                <w:shd w:val="clear" w:fill="FFFFFF"/>
                <w:lang w:eastAsia="zh-CN"/>
              </w:rPr>
              <w:t>)</w:t>
            </w:r>
            <w:r>
              <w:rPr>
                <w:rFonts w:hint="default" w:ascii="Times New Roman" w:hAnsi="Times New Roman" w:cs="Times New Roman"/>
                <w:color w:val="auto"/>
                <w:sz w:val="24"/>
              </w:rPr>
              <w:t>计算公式。</w:t>
            </w:r>
          </w:p>
          <w:p w14:paraId="303638BF">
            <w:pPr>
              <w:adjustRightInd w:val="0"/>
              <w:spacing w:line="360" w:lineRule="auto"/>
              <w:contextualSpacing/>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057400" cy="219075"/>
                  <wp:effectExtent l="0" t="0" r="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0"/>
                          <a:stretch>
                            <a:fillRect/>
                          </a:stretch>
                        </pic:blipFill>
                        <pic:spPr>
                          <a:xfrm>
                            <a:off x="0" y="0"/>
                            <a:ext cx="2057400" cy="219075"/>
                          </a:xfrm>
                          <a:prstGeom prst="rect">
                            <a:avLst/>
                          </a:prstGeom>
                          <a:noFill/>
                          <a:ln>
                            <a:noFill/>
                          </a:ln>
                        </pic:spPr>
                      </pic:pic>
                    </a:graphicData>
                  </a:graphic>
                </wp:inline>
              </w:drawing>
            </w:r>
          </w:p>
          <w:p w14:paraId="208A2D1C">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444789B3">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L</w:t>
            </w:r>
            <w:r>
              <w:rPr>
                <w:rFonts w:hint="default" w:ascii="Times New Roman" w:hAnsi="Times New Roman" w:cs="Times New Roman"/>
                <w:color w:val="auto"/>
                <w:sz w:val="24"/>
                <w:shd w:val="clear" w:fill="FFFFFF"/>
                <w:vertAlign w:val="subscript"/>
              </w:rPr>
              <w:t>eqg</w:t>
            </w:r>
            <w:r>
              <w:rPr>
                <w:rFonts w:hint="default" w:ascii="Times New Roman" w:hAnsi="Times New Roman" w:cs="Times New Roman"/>
                <w:color w:val="auto"/>
                <w:sz w:val="24"/>
              </w:rPr>
              <w:t>为建设项目声源在预测点的等效声级贡献值，dB</w:t>
            </w:r>
            <w:r>
              <w:rPr>
                <w:rFonts w:hint="eastAsia" w:cs="Times New Roman"/>
                <w:color w:val="auto"/>
                <w:sz w:val="24"/>
                <w:lang w:eastAsia="zh-CN"/>
              </w:rPr>
              <w:t>(</w:t>
            </w:r>
            <w:r>
              <w:rPr>
                <w:rFonts w:hint="default" w:ascii="Times New Roman" w:hAnsi="Times New Roman" w:cs="Times New Roman"/>
                <w:color w:val="auto"/>
                <w:sz w:val="24"/>
              </w:rPr>
              <w:t>A</w:t>
            </w:r>
            <w:r>
              <w:rPr>
                <w:rFonts w:hint="eastAsia" w:cs="Times New Roman"/>
                <w:color w:val="auto"/>
                <w:sz w:val="24"/>
                <w:lang w:eastAsia="zh-CN"/>
              </w:rPr>
              <w:t>)</w:t>
            </w:r>
            <w:r>
              <w:rPr>
                <w:rFonts w:hint="default" w:ascii="Times New Roman" w:hAnsi="Times New Roman" w:cs="Times New Roman"/>
                <w:color w:val="auto"/>
                <w:sz w:val="24"/>
              </w:rPr>
              <w:t>；</w:t>
            </w:r>
          </w:p>
          <w:p w14:paraId="4B1B7F33">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L</w:t>
            </w:r>
            <w:r>
              <w:rPr>
                <w:rFonts w:hint="default" w:ascii="Times New Roman" w:hAnsi="Times New Roman" w:cs="Times New Roman"/>
                <w:color w:val="auto"/>
                <w:sz w:val="24"/>
                <w:shd w:val="clear" w:fill="FFFFFF"/>
                <w:vertAlign w:val="subscript"/>
              </w:rPr>
              <w:t>eqb</w:t>
            </w:r>
            <w:r>
              <w:rPr>
                <w:rFonts w:hint="default" w:ascii="Times New Roman" w:hAnsi="Times New Roman" w:cs="Times New Roman"/>
                <w:color w:val="auto"/>
                <w:sz w:val="24"/>
              </w:rPr>
              <w:t>为预测点的背景值，dB</w:t>
            </w:r>
            <w:r>
              <w:rPr>
                <w:rFonts w:hint="eastAsia" w:cs="Times New Roman"/>
                <w:color w:val="auto"/>
                <w:sz w:val="24"/>
                <w:lang w:eastAsia="zh-CN"/>
              </w:rPr>
              <w:t>(</w:t>
            </w:r>
            <w:r>
              <w:rPr>
                <w:rFonts w:hint="default" w:ascii="Times New Roman" w:hAnsi="Times New Roman" w:cs="Times New Roman"/>
                <w:color w:val="auto"/>
                <w:sz w:val="24"/>
              </w:rPr>
              <w:t>A</w:t>
            </w:r>
            <w:r>
              <w:rPr>
                <w:rFonts w:hint="eastAsia" w:cs="Times New Roman"/>
                <w:color w:val="auto"/>
                <w:sz w:val="24"/>
                <w:lang w:eastAsia="zh-CN"/>
              </w:rPr>
              <w:t>)</w:t>
            </w:r>
            <w:r>
              <w:rPr>
                <w:rFonts w:hint="default" w:ascii="Times New Roman" w:hAnsi="Times New Roman" w:cs="Times New Roman"/>
                <w:color w:val="auto"/>
                <w:sz w:val="24"/>
              </w:rPr>
              <w:t>；</w:t>
            </w:r>
          </w:p>
          <w:p w14:paraId="2549643C">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③户外声传播衰减计算</w:t>
            </w:r>
          </w:p>
          <w:p w14:paraId="74DD4DDC">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户外声传播衰减包括几何发散</w:t>
            </w:r>
            <w:r>
              <w:rPr>
                <w:rFonts w:hint="eastAsia" w:cs="Times New Roman"/>
                <w:color w:val="auto"/>
                <w:sz w:val="24"/>
                <w:shd w:val="clear" w:fill="FFFFFF"/>
                <w:lang w:eastAsia="zh-CN"/>
              </w:rPr>
              <w:t>(</w:t>
            </w: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div</w:t>
            </w:r>
            <w:r>
              <w:rPr>
                <w:rFonts w:hint="eastAsia" w:cs="Times New Roman"/>
                <w:color w:val="auto"/>
                <w:sz w:val="24"/>
                <w:shd w:val="clear" w:fill="FFFFFF"/>
                <w:lang w:eastAsia="zh-CN"/>
              </w:rPr>
              <w:t>)</w:t>
            </w:r>
            <w:r>
              <w:rPr>
                <w:rFonts w:hint="default" w:ascii="Times New Roman" w:hAnsi="Times New Roman" w:cs="Times New Roman"/>
                <w:color w:val="auto"/>
                <w:sz w:val="24"/>
              </w:rPr>
              <w:t>、大气吸收</w:t>
            </w:r>
            <w:r>
              <w:rPr>
                <w:rFonts w:hint="eastAsia" w:cs="Times New Roman"/>
                <w:color w:val="auto"/>
                <w:sz w:val="24"/>
                <w:shd w:val="clear" w:fill="FFFFFF"/>
                <w:lang w:eastAsia="zh-CN"/>
              </w:rPr>
              <w:t>(</w:t>
            </w: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atm</w:t>
            </w:r>
            <w:r>
              <w:rPr>
                <w:rFonts w:hint="eastAsia" w:cs="Times New Roman"/>
                <w:color w:val="auto"/>
                <w:sz w:val="24"/>
                <w:shd w:val="clear" w:fill="FFFFFF"/>
                <w:lang w:eastAsia="zh-CN"/>
              </w:rPr>
              <w:t>)</w:t>
            </w:r>
            <w:r>
              <w:rPr>
                <w:rFonts w:hint="default" w:ascii="Times New Roman" w:hAnsi="Times New Roman" w:cs="Times New Roman"/>
                <w:color w:val="auto"/>
                <w:sz w:val="24"/>
              </w:rPr>
              <w:t>、地面效应</w:t>
            </w:r>
            <w:r>
              <w:rPr>
                <w:rFonts w:hint="eastAsia" w:cs="Times New Roman"/>
                <w:color w:val="auto"/>
                <w:sz w:val="24"/>
                <w:shd w:val="clear" w:fill="FFFFFF"/>
                <w:lang w:eastAsia="zh-CN"/>
              </w:rPr>
              <w:t>(</w:t>
            </w: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eastAsia" w:cs="Times New Roman"/>
                <w:color w:val="auto"/>
                <w:sz w:val="24"/>
                <w:shd w:val="clear" w:fill="FFFFFF"/>
                <w:lang w:eastAsia="zh-CN"/>
              </w:rPr>
              <w:t>)</w:t>
            </w:r>
            <w:r>
              <w:rPr>
                <w:rFonts w:hint="default" w:ascii="Times New Roman" w:hAnsi="Times New Roman" w:cs="Times New Roman"/>
                <w:color w:val="auto"/>
                <w:sz w:val="24"/>
              </w:rPr>
              <w:t>、屏障屏蔽</w:t>
            </w:r>
            <w:r>
              <w:rPr>
                <w:rFonts w:hint="eastAsia" w:cs="Times New Roman"/>
                <w:color w:val="auto"/>
                <w:sz w:val="24"/>
                <w:shd w:val="clear" w:fill="FFFFFF"/>
                <w:lang w:eastAsia="zh-CN"/>
              </w:rPr>
              <w:t>(</w:t>
            </w: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bar</w:t>
            </w:r>
            <w:r>
              <w:rPr>
                <w:rFonts w:hint="eastAsia" w:cs="Times New Roman"/>
                <w:color w:val="auto"/>
                <w:sz w:val="24"/>
                <w:shd w:val="clear" w:fill="FFFFFF"/>
                <w:lang w:eastAsia="zh-CN"/>
              </w:rPr>
              <w:t>)</w:t>
            </w:r>
            <w:r>
              <w:rPr>
                <w:rFonts w:hint="default" w:ascii="Times New Roman" w:hAnsi="Times New Roman" w:cs="Times New Roman"/>
                <w:color w:val="auto"/>
                <w:sz w:val="24"/>
              </w:rPr>
              <w:t>、其他多方面效应</w:t>
            </w:r>
            <w:r>
              <w:rPr>
                <w:rFonts w:hint="eastAsia" w:cs="Times New Roman"/>
                <w:color w:val="auto"/>
                <w:sz w:val="24"/>
                <w:shd w:val="clear" w:fill="FFFFFF"/>
                <w:lang w:eastAsia="zh-CN"/>
              </w:rPr>
              <w:t>(</w:t>
            </w: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misc</w:t>
            </w:r>
            <w:r>
              <w:rPr>
                <w:rFonts w:hint="eastAsia" w:cs="Times New Roman"/>
                <w:color w:val="auto"/>
                <w:sz w:val="24"/>
                <w:shd w:val="clear" w:fill="FFFFFF"/>
                <w:lang w:eastAsia="zh-CN"/>
              </w:rPr>
              <w:t>)</w:t>
            </w:r>
            <w:r>
              <w:rPr>
                <w:rFonts w:hint="default" w:ascii="Times New Roman" w:hAnsi="Times New Roman" w:cs="Times New Roman"/>
                <w:color w:val="auto"/>
                <w:sz w:val="24"/>
              </w:rPr>
              <w:t>引起的衰减。</w:t>
            </w:r>
          </w:p>
          <w:p w14:paraId="34BB0FAC">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距声源点r处的A声级按下式计算：</w:t>
            </w:r>
          </w:p>
          <w:p w14:paraId="3B48E641">
            <w:pPr>
              <w:keepNext w:val="0"/>
              <w:keepLines w:val="0"/>
              <w:pageBreakBefore w:val="0"/>
              <w:widowControl/>
              <w:suppressLineNumbers w:val="0"/>
              <w:kinsoku/>
              <w:wordWrap/>
              <w:overflowPunct/>
              <w:topLinePunct w:val="0"/>
              <w:autoSpaceDE/>
              <w:autoSpaceDN/>
              <w:bidi w:val="0"/>
              <w:snapToGrid/>
              <w:spacing w:line="360" w:lineRule="auto"/>
              <w:jc w:val="center"/>
              <w:textAlignment w:val="auto"/>
              <w:rPr>
                <w:rFonts w:hint="default" w:ascii="Times New Roman" w:hAnsi="Times New Roman" w:cs="Times New Roman"/>
                <w:color w:val="auto"/>
                <w:sz w:val="28"/>
                <w:szCs w:val="28"/>
              </w:rPr>
            </w:pPr>
            <w:r>
              <w:rPr>
                <w:rFonts w:hint="default" w:ascii="Times New Roman" w:hAnsi="Times New Roman" w:eastAsia="宋体" w:cs="Times New Roman"/>
                <w:i/>
                <w:iCs/>
                <w:color w:val="auto"/>
                <w:kern w:val="0"/>
                <w:sz w:val="28"/>
                <w:szCs w:val="28"/>
                <w:lang w:val="en-US" w:eastAsia="zh-CN" w:bidi="ar"/>
              </w:rPr>
              <w:t>L</w:t>
            </w:r>
            <w:r>
              <w:rPr>
                <w:rFonts w:hint="default" w:ascii="Times New Roman" w:hAnsi="Times New Roman" w:eastAsia="宋体" w:cs="Times New Roman"/>
                <w:i/>
                <w:iCs/>
                <w:color w:val="auto"/>
                <w:kern w:val="0"/>
                <w:sz w:val="18"/>
                <w:szCs w:val="18"/>
                <w:lang w:val="en-US" w:eastAsia="zh-CN" w:bidi="ar"/>
              </w:rPr>
              <w:t>p</w:t>
            </w:r>
            <w:r>
              <w:rPr>
                <w:rFonts w:hint="eastAsia" w:eastAsia="宋体" w:cs="Times New Roman"/>
                <w:color w:val="auto"/>
                <w:kern w:val="0"/>
                <w:sz w:val="28"/>
                <w:szCs w:val="28"/>
                <w:lang w:val="en-US" w:eastAsia="zh-CN" w:bidi="ar"/>
              </w:rPr>
              <w:t>(</w:t>
            </w:r>
            <w:r>
              <w:rPr>
                <w:rFonts w:hint="default" w:ascii="Times New Roman" w:hAnsi="Times New Roman" w:eastAsia="宋体" w:cs="Times New Roman"/>
                <w:i/>
                <w:iCs/>
                <w:color w:val="auto"/>
                <w:kern w:val="0"/>
                <w:sz w:val="28"/>
                <w:szCs w:val="28"/>
                <w:lang w:val="en-US" w:eastAsia="zh-CN" w:bidi="ar"/>
              </w:rPr>
              <w:t>r</w:t>
            </w:r>
            <w:r>
              <w:rPr>
                <w:rFonts w:hint="eastAsia" w:eastAsia="宋体" w:cs="Times New Roman"/>
                <w:color w:val="auto"/>
                <w:kern w:val="0"/>
                <w:sz w:val="28"/>
                <w:szCs w:val="28"/>
                <w:lang w:val="en-US" w:eastAsia="zh-CN" w:bidi="ar"/>
              </w:rPr>
              <w:t>)</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lang w:val="en-US" w:eastAsia="zh-CN" w:bidi="ar"/>
              </w:rPr>
              <w:t>L</w:t>
            </w:r>
            <w:r>
              <w:rPr>
                <w:rFonts w:hint="default" w:ascii="Times New Roman" w:hAnsi="Times New Roman" w:eastAsia="宋体" w:cs="Times New Roman"/>
                <w:i/>
                <w:iCs/>
                <w:color w:val="auto"/>
                <w:kern w:val="0"/>
                <w:sz w:val="18"/>
                <w:szCs w:val="18"/>
                <w:lang w:val="en-US" w:eastAsia="zh-CN" w:bidi="ar"/>
              </w:rPr>
              <w:t>w</w:t>
            </w:r>
            <w:r>
              <w:rPr>
                <w:rFonts w:hint="default" w:ascii="Times New Roman" w:hAnsi="Times New Roman" w:eastAsia="宋体" w:cs="Times New Roman"/>
                <w:color w:val="auto"/>
                <w:kern w:val="0"/>
                <w:sz w:val="28"/>
                <w:szCs w:val="28"/>
                <w:lang w:val="en-US" w:eastAsia="zh-CN" w:bidi="ar"/>
              </w:rPr>
              <w:t>+</w:t>
            </w:r>
            <w:r>
              <w:rPr>
                <w:rFonts w:hint="default" w:ascii="Times New Roman" w:hAnsi="Times New Roman" w:eastAsia="宋体" w:cs="Times New Roman"/>
                <w:i/>
                <w:iCs/>
                <w:color w:val="auto"/>
                <w:kern w:val="0"/>
                <w:sz w:val="28"/>
                <w:szCs w:val="28"/>
                <w:lang w:val="en-US" w:eastAsia="zh-CN" w:bidi="ar"/>
              </w:rPr>
              <w:t>D</w:t>
            </w:r>
            <w:r>
              <w:rPr>
                <w:rFonts w:hint="default" w:ascii="Times New Roman" w:hAnsi="Times New Roman" w:eastAsia="宋体" w:cs="Times New Roman"/>
                <w:color w:val="auto"/>
                <w:kern w:val="0"/>
                <w:sz w:val="18"/>
                <w:szCs w:val="18"/>
                <w:lang w:val="en-US" w:eastAsia="zh-CN" w:bidi="ar"/>
              </w:rPr>
              <w:t>C</w:t>
            </w:r>
            <w:r>
              <w:rPr>
                <w:rFonts w:hint="default" w:ascii="Times New Roman" w:hAnsi="Times New Roman" w:eastAsia="宋体" w:cs="Times New Roman"/>
                <w:color w:val="auto"/>
                <w:kern w:val="0"/>
                <w:sz w:val="28"/>
                <w:szCs w:val="28"/>
                <w:shd w:val="clear" w:fill="FFFFFF"/>
                <w:lang w:val="en-US" w:eastAsia="zh-CN" w:bidi="ar"/>
              </w:rPr>
              <w:t>－</w:t>
            </w:r>
            <w:r>
              <w:rPr>
                <w:rFonts w:hint="eastAsia"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div</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atm</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lang w:val="en-US" w:eastAsia="zh-CN" w:bidi="ar"/>
              </w:rPr>
              <w:t>A</w:t>
            </w:r>
            <w:r>
              <w:rPr>
                <w:rFonts w:hint="default" w:ascii="Times New Roman" w:hAnsi="Times New Roman" w:eastAsia="宋体" w:cs="Times New Roman"/>
                <w:color w:val="auto"/>
                <w:kern w:val="0"/>
                <w:sz w:val="18"/>
                <w:szCs w:val="18"/>
                <w:lang w:val="en-US" w:eastAsia="zh-CN" w:bidi="ar"/>
              </w:rPr>
              <w:t>gr</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bar</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misc</w:t>
            </w:r>
            <w:r>
              <w:rPr>
                <w:rFonts w:hint="eastAsia" w:eastAsia="宋体" w:cs="Times New Roman"/>
                <w:color w:val="auto"/>
                <w:kern w:val="0"/>
                <w:sz w:val="28"/>
                <w:szCs w:val="28"/>
                <w:shd w:val="clear" w:fill="FFFFFF"/>
                <w:lang w:val="en-US" w:eastAsia="zh-CN" w:bidi="ar"/>
              </w:rPr>
              <w:t>)</w:t>
            </w:r>
          </w:p>
          <w:p w14:paraId="50805AF4">
            <w:pPr>
              <w:keepNext w:val="0"/>
              <w:keepLines w:val="0"/>
              <w:pageBreakBefore w:val="0"/>
              <w:kinsoku/>
              <w:wordWrap/>
              <w:overflowPunct/>
              <w:topLinePunct w:val="0"/>
              <w:autoSpaceDE/>
              <w:autoSpaceDN/>
              <w:bidi w:val="0"/>
              <w:adjustRightInd w:val="0"/>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式中：Lp</w:t>
            </w:r>
            <w:r>
              <w:rPr>
                <w:rFonts w:hint="eastAsia" w:cs="Times New Roman"/>
                <w:color w:val="auto"/>
                <w:sz w:val="24"/>
                <w:lang w:eastAsia="zh-CN"/>
              </w:rPr>
              <w:t>(</w:t>
            </w:r>
            <w:r>
              <w:rPr>
                <w:rFonts w:hint="default" w:ascii="Times New Roman" w:hAnsi="Times New Roman" w:cs="Times New Roman"/>
                <w:color w:val="auto"/>
                <w:sz w:val="24"/>
              </w:rPr>
              <w:t>r</w:t>
            </w:r>
            <w:r>
              <w:rPr>
                <w:rFonts w:hint="eastAsia" w:cs="Times New Roman"/>
                <w:color w:val="auto"/>
                <w:sz w:val="24"/>
                <w:lang w:eastAsia="zh-CN"/>
              </w:rPr>
              <w:t>)</w:t>
            </w:r>
            <w:r>
              <w:rPr>
                <w:rFonts w:hint="default" w:ascii="Times New Roman" w:hAnsi="Times New Roman" w:cs="Times New Roman"/>
                <w:color w:val="auto"/>
                <w:sz w:val="24"/>
              </w:rPr>
              <w:t xml:space="preserve"> ——预测点处声压级，dB；</w:t>
            </w:r>
          </w:p>
          <w:p w14:paraId="5A39800F">
            <w:pPr>
              <w:keepNext w:val="0"/>
              <w:keepLines w:val="0"/>
              <w:pageBreakBefore w:val="0"/>
              <w:kinsoku/>
              <w:wordWrap/>
              <w:overflowPunct/>
              <w:topLinePunct w:val="0"/>
              <w:autoSpaceDE/>
              <w:autoSpaceDN/>
              <w:bidi w:val="0"/>
              <w:adjustRightInd w:val="0"/>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L——由点声源产生的声功率级</w:t>
            </w:r>
            <w:r>
              <w:rPr>
                <w:rFonts w:hint="eastAsia" w:cs="Times New Roman"/>
                <w:color w:val="auto"/>
                <w:sz w:val="24"/>
                <w:shd w:val="clear" w:fill="FFFFFF"/>
                <w:lang w:eastAsia="zh-CN"/>
              </w:rPr>
              <w:t>(</w:t>
            </w:r>
            <w:r>
              <w:rPr>
                <w:rFonts w:hint="default" w:ascii="Times New Roman" w:hAnsi="Times New Roman" w:cs="Times New Roman"/>
                <w:color w:val="auto"/>
                <w:sz w:val="24"/>
              </w:rPr>
              <w:t>A计权或倍频带</w:t>
            </w:r>
            <w:r>
              <w:rPr>
                <w:rFonts w:hint="eastAsia" w:cs="Times New Roman"/>
                <w:color w:val="auto"/>
                <w:sz w:val="24"/>
                <w:shd w:val="clear" w:fill="FFFFFF"/>
                <w:lang w:eastAsia="zh-CN"/>
              </w:rPr>
              <w:t>)</w:t>
            </w:r>
            <w:r>
              <w:rPr>
                <w:rFonts w:hint="default" w:ascii="Times New Roman" w:hAnsi="Times New Roman" w:cs="Times New Roman"/>
                <w:color w:val="auto"/>
                <w:sz w:val="24"/>
              </w:rPr>
              <w:t>，dB；</w:t>
            </w:r>
          </w:p>
          <w:p w14:paraId="557928B3">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DC ——指向性校正，它描述点声源的等效连续声压级与产生声功率级Lw的全向点声源在规定方向的声级的偏差程度，dB；</w:t>
            </w:r>
          </w:p>
          <w:p w14:paraId="0494D60E">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div</w:t>
            </w:r>
            <w:r>
              <w:rPr>
                <w:rFonts w:hint="default" w:ascii="Times New Roman" w:hAnsi="Times New Roman" w:cs="Times New Roman"/>
                <w:color w:val="auto"/>
                <w:sz w:val="24"/>
              </w:rPr>
              <w:t>——几何发散引起的衰减，dB；</w:t>
            </w:r>
          </w:p>
          <w:p w14:paraId="047A4B86">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atm</w:t>
            </w:r>
            <w:r>
              <w:rPr>
                <w:rFonts w:hint="default" w:ascii="Times New Roman" w:hAnsi="Times New Roman" w:cs="Times New Roman"/>
                <w:color w:val="auto"/>
                <w:sz w:val="24"/>
              </w:rPr>
              <w:t>——大气吸收引起的衰减，dB；</w:t>
            </w:r>
          </w:p>
          <w:p w14:paraId="1470D786">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——地面效应引起的衰减，dB；</w:t>
            </w:r>
          </w:p>
          <w:p w14:paraId="5894DCB9">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bar</w:t>
            </w:r>
            <w:r>
              <w:rPr>
                <w:rFonts w:hint="default" w:ascii="Times New Roman" w:hAnsi="Times New Roman" w:cs="Times New Roman"/>
                <w:color w:val="auto"/>
                <w:sz w:val="24"/>
              </w:rPr>
              <w:t>——障碍物屏蔽引起的衰减，dB；</w:t>
            </w:r>
          </w:p>
          <w:p w14:paraId="12729634">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misc</w:t>
            </w:r>
            <w:r>
              <w:rPr>
                <w:rFonts w:hint="default" w:ascii="Times New Roman" w:hAnsi="Times New Roman" w:cs="Times New Roman"/>
                <w:color w:val="auto"/>
                <w:sz w:val="24"/>
              </w:rPr>
              <w:t>——其他多方面效应引起的衰减，dB</w:t>
            </w:r>
          </w:p>
          <w:p w14:paraId="5E4C19FF">
            <w:pPr>
              <w:keepNext w:val="0"/>
              <w:keepLines w:val="0"/>
              <w:pageBreakBefore w:val="0"/>
              <w:widowControl/>
              <w:suppressLineNumbers w:val="0"/>
              <w:kinsoku/>
              <w:wordWrap/>
              <w:overflowPunct/>
              <w:topLinePunct w:val="0"/>
              <w:autoSpaceDE/>
              <w:autoSpaceDN/>
              <w:bidi w:val="0"/>
              <w:snapToGrid/>
              <w:spacing w:line="360" w:lineRule="auto"/>
              <w:jc w:val="center"/>
              <w:textAlignment w:val="auto"/>
              <w:rPr>
                <w:rFonts w:hint="default" w:ascii="Times New Roman" w:hAnsi="Times New Roman" w:cs="Times New Roman"/>
                <w:color w:val="auto"/>
                <w:sz w:val="28"/>
                <w:szCs w:val="28"/>
              </w:rPr>
            </w:pPr>
            <w:r>
              <w:rPr>
                <w:rFonts w:hint="default" w:ascii="Times New Roman" w:hAnsi="Times New Roman" w:eastAsia="宋体" w:cs="Times New Roman"/>
                <w:i/>
                <w:iCs/>
                <w:color w:val="auto"/>
                <w:kern w:val="0"/>
                <w:sz w:val="28"/>
                <w:szCs w:val="28"/>
                <w:lang w:val="en-US" w:eastAsia="zh-CN" w:bidi="ar"/>
              </w:rPr>
              <w:t>L</w:t>
            </w:r>
            <w:r>
              <w:rPr>
                <w:rFonts w:hint="default" w:ascii="Times New Roman" w:hAnsi="Times New Roman" w:eastAsia="宋体" w:cs="Times New Roman"/>
                <w:i/>
                <w:iCs/>
                <w:color w:val="auto"/>
                <w:kern w:val="0"/>
                <w:sz w:val="18"/>
                <w:szCs w:val="18"/>
                <w:lang w:val="en-US" w:eastAsia="zh-CN" w:bidi="ar"/>
              </w:rPr>
              <w:t>p</w:t>
            </w:r>
            <w:r>
              <w:rPr>
                <w:rFonts w:hint="eastAsia" w:eastAsia="宋体" w:cs="Times New Roman"/>
                <w:color w:val="auto"/>
                <w:kern w:val="0"/>
                <w:sz w:val="28"/>
                <w:szCs w:val="28"/>
                <w:lang w:val="en-US" w:eastAsia="zh-CN" w:bidi="ar"/>
              </w:rPr>
              <w:t>(</w:t>
            </w:r>
            <w:r>
              <w:rPr>
                <w:rFonts w:hint="default" w:ascii="Times New Roman" w:hAnsi="Times New Roman" w:eastAsia="宋体" w:cs="Times New Roman"/>
                <w:i/>
                <w:iCs/>
                <w:color w:val="auto"/>
                <w:kern w:val="0"/>
                <w:sz w:val="28"/>
                <w:szCs w:val="28"/>
                <w:lang w:val="en-US" w:eastAsia="zh-CN" w:bidi="ar"/>
              </w:rPr>
              <w:t>r</w:t>
            </w:r>
            <w:r>
              <w:rPr>
                <w:rFonts w:hint="eastAsia" w:eastAsia="宋体" w:cs="Times New Roman"/>
                <w:color w:val="auto"/>
                <w:kern w:val="0"/>
                <w:sz w:val="28"/>
                <w:szCs w:val="28"/>
                <w:lang w:val="en-US" w:eastAsia="zh-CN" w:bidi="ar"/>
              </w:rPr>
              <w:t>)</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lang w:val="en-US" w:eastAsia="zh-CN" w:bidi="ar"/>
              </w:rPr>
              <w:t>L</w:t>
            </w:r>
            <w:r>
              <w:rPr>
                <w:rFonts w:hint="default" w:ascii="Times New Roman" w:hAnsi="Times New Roman" w:eastAsia="宋体" w:cs="Times New Roman"/>
                <w:i/>
                <w:iCs/>
                <w:color w:val="auto"/>
                <w:kern w:val="0"/>
                <w:sz w:val="18"/>
                <w:szCs w:val="18"/>
                <w:lang w:val="en-US" w:eastAsia="zh-CN" w:bidi="ar"/>
              </w:rPr>
              <w:t>p</w:t>
            </w:r>
            <w:r>
              <w:rPr>
                <w:rFonts w:hint="eastAsia" w:eastAsia="宋体" w:cs="Times New Roman"/>
                <w:color w:val="auto"/>
                <w:kern w:val="0"/>
                <w:sz w:val="28"/>
                <w:szCs w:val="28"/>
                <w:lang w:val="en-US" w:eastAsia="zh-CN" w:bidi="ar"/>
              </w:rPr>
              <w:t>(</w:t>
            </w:r>
            <w:r>
              <w:rPr>
                <w:rFonts w:hint="default" w:ascii="Times New Roman" w:hAnsi="Times New Roman" w:eastAsia="宋体" w:cs="Times New Roman"/>
                <w:i/>
                <w:iCs/>
                <w:color w:val="auto"/>
                <w:kern w:val="0"/>
                <w:sz w:val="28"/>
                <w:szCs w:val="28"/>
                <w:lang w:val="en-US" w:eastAsia="zh-CN" w:bidi="ar"/>
              </w:rPr>
              <w:t>r</w:t>
            </w:r>
            <w:r>
              <w:rPr>
                <w:rFonts w:hint="default" w:ascii="Times New Roman" w:hAnsi="Times New Roman" w:eastAsia="宋体" w:cs="Times New Roman"/>
                <w:color w:val="auto"/>
                <w:kern w:val="0"/>
                <w:sz w:val="18"/>
                <w:szCs w:val="18"/>
                <w:lang w:val="en-US" w:eastAsia="zh-CN" w:bidi="ar"/>
              </w:rPr>
              <w:t>0</w:t>
            </w:r>
            <w:r>
              <w:rPr>
                <w:rFonts w:hint="eastAsia" w:eastAsia="宋体" w:cs="Times New Roman"/>
                <w:color w:val="auto"/>
                <w:kern w:val="0"/>
                <w:sz w:val="28"/>
                <w:szCs w:val="28"/>
                <w:lang w:val="en-US" w:eastAsia="zh-CN" w:bidi="ar"/>
              </w:rPr>
              <w:t>)</w:t>
            </w:r>
            <w:r>
              <w:rPr>
                <w:rFonts w:hint="default" w:ascii="Times New Roman" w:hAnsi="Times New Roman" w:eastAsia="宋体" w:cs="Times New Roman"/>
                <w:color w:val="auto"/>
                <w:kern w:val="0"/>
                <w:sz w:val="28"/>
                <w:szCs w:val="28"/>
                <w:lang w:val="en-US" w:eastAsia="zh-CN" w:bidi="ar"/>
              </w:rPr>
              <w:t>+</w:t>
            </w:r>
            <w:r>
              <w:rPr>
                <w:rFonts w:hint="default" w:ascii="Times New Roman" w:hAnsi="Times New Roman" w:eastAsia="宋体" w:cs="Times New Roman"/>
                <w:i/>
                <w:iCs/>
                <w:color w:val="auto"/>
                <w:kern w:val="0"/>
                <w:sz w:val="28"/>
                <w:szCs w:val="28"/>
                <w:lang w:val="en-US" w:eastAsia="zh-CN" w:bidi="ar"/>
              </w:rPr>
              <w:t>D</w:t>
            </w:r>
            <w:r>
              <w:rPr>
                <w:rFonts w:hint="default" w:ascii="Times New Roman" w:hAnsi="Times New Roman" w:eastAsia="宋体" w:cs="Times New Roman"/>
                <w:color w:val="auto"/>
                <w:kern w:val="0"/>
                <w:sz w:val="18"/>
                <w:szCs w:val="18"/>
                <w:lang w:val="en-US" w:eastAsia="zh-CN" w:bidi="ar"/>
              </w:rPr>
              <w:t>C</w:t>
            </w:r>
            <w:r>
              <w:rPr>
                <w:rFonts w:hint="default" w:ascii="Times New Roman" w:hAnsi="Times New Roman" w:eastAsia="宋体" w:cs="Times New Roman"/>
                <w:color w:val="auto"/>
                <w:kern w:val="0"/>
                <w:sz w:val="28"/>
                <w:szCs w:val="28"/>
                <w:shd w:val="clear" w:fill="FFFFFF"/>
                <w:lang w:val="en-US" w:eastAsia="zh-CN" w:bidi="ar"/>
              </w:rPr>
              <w:t>－</w:t>
            </w:r>
            <w:r>
              <w:rPr>
                <w:rFonts w:hint="eastAsia"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div</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atm</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lang w:val="en-US" w:eastAsia="zh-CN" w:bidi="ar"/>
              </w:rPr>
              <w:t>A</w:t>
            </w:r>
            <w:r>
              <w:rPr>
                <w:rFonts w:hint="default" w:ascii="Times New Roman" w:hAnsi="Times New Roman" w:eastAsia="宋体" w:cs="Times New Roman"/>
                <w:color w:val="auto"/>
                <w:kern w:val="0"/>
                <w:sz w:val="18"/>
                <w:szCs w:val="18"/>
                <w:lang w:val="en-US" w:eastAsia="zh-CN" w:bidi="ar"/>
              </w:rPr>
              <w:t>gr</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bar</w:t>
            </w:r>
            <w:r>
              <w:rPr>
                <w:rFonts w:hint="default" w:ascii="Times New Roman" w:hAnsi="Times New Roman" w:eastAsia="宋体" w:cs="Times New Roman"/>
                <w:color w:val="auto"/>
                <w:kern w:val="0"/>
                <w:sz w:val="28"/>
                <w:szCs w:val="28"/>
                <w:shd w:val="clear" w:fill="FFFFFF"/>
                <w:lang w:val="en-US" w:eastAsia="zh-CN" w:bidi="ar"/>
              </w:rPr>
              <w:t>＋</w:t>
            </w:r>
            <w:r>
              <w:rPr>
                <w:rFonts w:hint="default" w:ascii="Times New Roman" w:hAnsi="Times New Roman" w:eastAsia="宋体" w:cs="Times New Roman"/>
                <w:i/>
                <w:iCs/>
                <w:color w:val="auto"/>
                <w:kern w:val="0"/>
                <w:sz w:val="28"/>
                <w:szCs w:val="28"/>
                <w:shd w:val="clear" w:fill="FFFFFF"/>
                <w:lang w:val="en-US" w:eastAsia="zh-CN" w:bidi="ar"/>
              </w:rPr>
              <w:t>A</w:t>
            </w:r>
            <w:r>
              <w:rPr>
                <w:rFonts w:hint="default" w:ascii="Times New Roman" w:hAnsi="Times New Roman" w:eastAsia="宋体" w:cs="Times New Roman"/>
                <w:color w:val="auto"/>
                <w:kern w:val="0"/>
                <w:sz w:val="18"/>
                <w:szCs w:val="18"/>
                <w:shd w:val="clear" w:fill="FFFFFF"/>
                <w:lang w:val="en-US" w:eastAsia="zh-CN" w:bidi="ar"/>
              </w:rPr>
              <w:t>misc</w:t>
            </w:r>
            <w:r>
              <w:rPr>
                <w:rFonts w:hint="eastAsia" w:eastAsia="宋体" w:cs="Times New Roman"/>
                <w:color w:val="auto"/>
                <w:kern w:val="0"/>
                <w:sz w:val="28"/>
                <w:szCs w:val="28"/>
                <w:shd w:val="clear" w:fill="FFFFFF"/>
                <w:lang w:val="en-US" w:eastAsia="zh-CN" w:bidi="ar"/>
              </w:rPr>
              <w:t>)</w:t>
            </w:r>
          </w:p>
          <w:p w14:paraId="27790DAA">
            <w:pPr>
              <w:keepNext w:val="0"/>
              <w:keepLines w:val="0"/>
              <w:pageBreakBefore w:val="0"/>
              <w:kinsoku/>
              <w:wordWrap/>
              <w:overflowPunct/>
              <w:topLinePunct w:val="0"/>
              <w:autoSpaceDE/>
              <w:autoSpaceDN/>
              <w:bidi w:val="0"/>
              <w:adjustRightInd w:val="0"/>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式中：Lp</w:t>
            </w:r>
            <w:r>
              <w:rPr>
                <w:rFonts w:hint="eastAsia" w:cs="Times New Roman"/>
                <w:color w:val="auto"/>
                <w:sz w:val="24"/>
                <w:lang w:eastAsia="zh-CN"/>
              </w:rPr>
              <w:t>(</w:t>
            </w:r>
            <w:r>
              <w:rPr>
                <w:rFonts w:hint="default" w:ascii="Times New Roman" w:hAnsi="Times New Roman" w:cs="Times New Roman"/>
                <w:color w:val="auto"/>
                <w:sz w:val="24"/>
              </w:rPr>
              <w:t>r</w:t>
            </w:r>
            <w:r>
              <w:rPr>
                <w:rFonts w:hint="eastAsia" w:cs="Times New Roman"/>
                <w:color w:val="auto"/>
                <w:sz w:val="24"/>
                <w:lang w:eastAsia="zh-CN"/>
              </w:rPr>
              <w:t>)</w:t>
            </w:r>
            <w:r>
              <w:rPr>
                <w:rFonts w:hint="default" w:ascii="Times New Roman" w:hAnsi="Times New Roman" w:cs="Times New Roman"/>
                <w:color w:val="auto"/>
                <w:sz w:val="24"/>
              </w:rPr>
              <w:t>——预测点处声压级，dB；</w:t>
            </w:r>
          </w:p>
          <w:p w14:paraId="563426CA">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eastAsia" w:cs="Times New Roman"/>
                <w:color w:val="auto"/>
                <w:sz w:val="24"/>
                <w:lang w:eastAsia="zh-CN"/>
              </w:rPr>
              <w:t>(</w:t>
            </w:r>
            <w:r>
              <w:rPr>
                <w:rFonts w:hint="default" w:ascii="Times New Roman" w:hAnsi="Times New Roman" w:cs="Times New Roman"/>
                <w:color w:val="auto"/>
                <w:sz w:val="24"/>
              </w:rPr>
              <w:t>r0</w:t>
            </w:r>
            <w:r>
              <w:rPr>
                <w:rFonts w:hint="eastAsia" w:cs="Times New Roman"/>
                <w:color w:val="auto"/>
                <w:sz w:val="24"/>
                <w:lang w:eastAsia="zh-CN"/>
              </w:rPr>
              <w:t>)</w:t>
            </w:r>
            <w:r>
              <w:rPr>
                <w:rFonts w:hint="default" w:ascii="Times New Roman" w:hAnsi="Times New Roman" w:cs="Times New Roman"/>
                <w:color w:val="auto"/>
                <w:sz w:val="24"/>
              </w:rPr>
              <w:t>——参考位置r0处的声压级，dB；</w:t>
            </w:r>
          </w:p>
          <w:p w14:paraId="0B970689">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DC——指向性校正，它描述点声源的等效连续声压级与产生声功率级Lw的全向点声源在规定方向的声级的偏差程度，dB；</w:t>
            </w:r>
          </w:p>
          <w:p w14:paraId="7660DDEC">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div</w:t>
            </w:r>
            <w:r>
              <w:rPr>
                <w:rFonts w:hint="default" w:ascii="Times New Roman" w:hAnsi="Times New Roman" w:cs="Times New Roman"/>
                <w:color w:val="auto"/>
                <w:sz w:val="24"/>
              </w:rPr>
              <w:t>——几何发散引起的衰减，dB；</w:t>
            </w:r>
          </w:p>
          <w:p w14:paraId="550A2785">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atm</w:t>
            </w:r>
            <w:r>
              <w:rPr>
                <w:rFonts w:hint="default" w:ascii="Times New Roman" w:hAnsi="Times New Roman" w:cs="Times New Roman"/>
                <w:color w:val="auto"/>
                <w:sz w:val="24"/>
              </w:rPr>
              <w:t>——大气吸收引起的衰减，dB；</w:t>
            </w:r>
          </w:p>
          <w:p w14:paraId="4C29294D">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——地面效应引起的衰减，dB；</w:t>
            </w:r>
          </w:p>
          <w:p w14:paraId="1F7F0BCC">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bar</w:t>
            </w:r>
            <w:r>
              <w:rPr>
                <w:rFonts w:hint="default" w:ascii="Times New Roman" w:hAnsi="Times New Roman" w:cs="Times New Roman"/>
                <w:color w:val="auto"/>
                <w:sz w:val="24"/>
              </w:rPr>
              <w:t>——障碍物屏蔽引起的衰减，dB；</w:t>
            </w:r>
          </w:p>
          <w:p w14:paraId="0DCF82E0">
            <w:pPr>
              <w:keepNext w:val="0"/>
              <w:keepLines w:val="0"/>
              <w:pageBreakBefore w:val="0"/>
              <w:widowControl w:val="0"/>
              <w:kinsoku/>
              <w:wordWrap/>
              <w:overflowPunct/>
              <w:topLinePunct w:val="0"/>
              <w:autoSpaceDE/>
              <w:autoSpaceDN/>
              <w:bidi w:val="0"/>
              <w:adjustRightInd w:val="0"/>
              <w:snapToGrid/>
              <w:spacing w:line="360" w:lineRule="auto"/>
              <w:ind w:left="630" w:leftChars="300"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shd w:val="clear" w:fill="FFFFFF"/>
              </w:rPr>
              <w:t>A</w:t>
            </w:r>
            <w:r>
              <w:rPr>
                <w:rFonts w:hint="default" w:ascii="Times New Roman" w:hAnsi="Times New Roman" w:cs="Times New Roman"/>
                <w:color w:val="auto"/>
                <w:sz w:val="24"/>
                <w:shd w:val="clear" w:fill="FFFFFF"/>
                <w:vertAlign w:val="subscript"/>
              </w:rPr>
              <w:t>misc</w:t>
            </w:r>
            <w:r>
              <w:rPr>
                <w:rFonts w:hint="default" w:ascii="Times New Roman" w:hAnsi="Times New Roman" w:cs="Times New Roman"/>
                <w:color w:val="auto"/>
                <w:sz w:val="24"/>
              </w:rPr>
              <w:t>——其他多方面效应引起的衰减，dB</w:t>
            </w:r>
          </w:p>
          <w:p w14:paraId="2211D811">
            <w:pPr>
              <w:pStyle w:val="152"/>
              <w:ind w:firstLine="480"/>
              <w:rPr>
                <w:color w:val="auto"/>
                <w:kern w:val="28"/>
              </w:rPr>
            </w:pPr>
            <w:r>
              <w:rPr>
                <w:rFonts w:hint="default" w:ascii="Times New Roman" w:hAnsi="Times New Roman" w:cs="Times New Roman"/>
                <w:color w:val="auto"/>
                <w:sz w:val="24"/>
              </w:rPr>
              <w:t>在预测中考虑反射引起的修正、屏障引起的衰减、双绕射、室内声源等效室外声源等影响和计算方法</w:t>
            </w:r>
            <w:r>
              <w:rPr>
                <w:color w:val="auto"/>
                <w:kern w:val="28"/>
              </w:rPr>
              <w:t>。</w:t>
            </w:r>
          </w:p>
          <w:p w14:paraId="60B74151">
            <w:pPr>
              <w:pStyle w:val="152"/>
              <w:ind w:firstLine="480"/>
              <w:rPr>
                <w:color w:val="auto"/>
                <w:kern w:val="28"/>
              </w:rPr>
            </w:pPr>
            <w:r>
              <w:rPr>
                <w:rFonts w:hint="eastAsia"/>
                <w:color w:val="auto"/>
                <w:shd w:val="clear" w:fill="FFFFFF"/>
              </w:rPr>
              <w:t>(</w:t>
            </w:r>
            <w:r>
              <w:rPr>
                <w:rFonts w:hint="eastAsia"/>
                <w:color w:val="auto"/>
              </w:rPr>
              <w:t>3</w:t>
            </w:r>
            <w:r>
              <w:rPr>
                <w:rFonts w:hint="eastAsia"/>
                <w:color w:val="auto"/>
                <w:shd w:val="clear" w:fill="FFFFFF"/>
              </w:rPr>
              <w:t>)</w:t>
            </w:r>
            <w:r>
              <w:rPr>
                <w:color w:val="auto"/>
                <w:kern w:val="28"/>
              </w:rPr>
              <w:t>预测结果及分析</w:t>
            </w:r>
          </w:p>
          <w:p w14:paraId="6ACA2A4C">
            <w:pPr>
              <w:spacing w:line="360" w:lineRule="auto"/>
              <w:ind w:firstLine="480" w:firstLineChars="200"/>
              <w:rPr>
                <w:color w:val="auto"/>
                <w:sz w:val="24"/>
              </w:rPr>
            </w:pPr>
            <w:r>
              <w:rPr>
                <w:rFonts w:hint="eastAsia"/>
                <w:color w:val="auto"/>
                <w:sz w:val="24"/>
                <w:lang w:eastAsia="zh-CN"/>
              </w:rPr>
              <w:t>迁建项目</w:t>
            </w:r>
            <w:r>
              <w:rPr>
                <w:color w:val="auto"/>
                <w:sz w:val="24"/>
              </w:rPr>
              <w:t>运营后，项目对于厂界的噪声贡献值见表4.</w:t>
            </w:r>
            <w:r>
              <w:rPr>
                <w:rFonts w:hint="eastAsia"/>
                <w:color w:val="auto"/>
                <w:sz w:val="24"/>
              </w:rPr>
              <w:t>4-2</w:t>
            </w:r>
            <w:r>
              <w:rPr>
                <w:color w:val="auto"/>
                <w:sz w:val="24"/>
              </w:rPr>
              <w:t>。</w:t>
            </w:r>
          </w:p>
          <w:p w14:paraId="0E7137E4">
            <w:pPr>
              <w:ind w:firstLine="200"/>
              <w:jc w:val="center"/>
              <w:outlineLvl w:val="4"/>
              <w:rPr>
                <w:rFonts w:hint="eastAsia" w:eastAsia="宋体"/>
                <w:b/>
                <w:color w:val="auto"/>
                <w:sz w:val="24"/>
                <w:lang w:eastAsia="zh-CN"/>
              </w:rPr>
            </w:pPr>
            <w:r>
              <w:rPr>
                <w:b/>
                <w:color w:val="auto"/>
                <w:sz w:val="24"/>
              </w:rPr>
              <w:t>表4.</w:t>
            </w:r>
            <w:r>
              <w:rPr>
                <w:rFonts w:hint="eastAsia"/>
                <w:b/>
                <w:color w:val="auto"/>
                <w:sz w:val="24"/>
              </w:rPr>
              <w:t>4-2</w:t>
            </w:r>
            <w:r>
              <w:rPr>
                <w:b/>
                <w:color w:val="auto"/>
                <w:sz w:val="24"/>
              </w:rPr>
              <w:t xml:space="preserve">  厂界噪声预测结果  单位：dB</w:t>
            </w:r>
            <w:r>
              <w:rPr>
                <w:rFonts w:hint="eastAsia"/>
                <w:b/>
                <w:color w:val="auto"/>
                <w:sz w:val="24"/>
                <w:lang w:eastAsia="zh-CN"/>
              </w:rPr>
              <w:t>(</w:t>
            </w:r>
            <w:r>
              <w:rPr>
                <w:b/>
                <w:color w:val="auto"/>
                <w:sz w:val="24"/>
              </w:rPr>
              <w:t>A</w:t>
            </w:r>
            <w:r>
              <w:rPr>
                <w:rFonts w:hint="eastAsia"/>
                <w:b/>
                <w:color w:val="auto"/>
                <w:sz w:val="24"/>
                <w:lang w:eastAsia="zh-CN"/>
              </w:rPr>
              <w:t>)</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572"/>
              <w:gridCol w:w="2131"/>
              <w:gridCol w:w="1043"/>
              <w:gridCol w:w="881"/>
              <w:gridCol w:w="1126"/>
              <w:gridCol w:w="1027"/>
            </w:tblGrid>
            <w:tr w14:paraId="1DDEA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vMerge w:val="restart"/>
                  <w:tcBorders>
                    <w:tl2br w:val="nil"/>
                    <w:tr2bl w:val="nil"/>
                  </w:tcBorders>
                  <w:vAlign w:val="center"/>
                </w:tcPr>
                <w:p w14:paraId="6233C40A">
                  <w:pPr>
                    <w:jc w:val="center"/>
                    <w:rPr>
                      <w:snapToGrid w:val="0"/>
                      <w:color w:val="auto"/>
                      <w:szCs w:val="21"/>
                    </w:rPr>
                  </w:pPr>
                  <w:r>
                    <w:rPr>
                      <w:snapToGrid w:val="0"/>
                      <w:color w:val="auto"/>
                      <w:szCs w:val="21"/>
                    </w:rPr>
                    <w:t>编号</w:t>
                  </w:r>
                </w:p>
              </w:tc>
              <w:tc>
                <w:tcPr>
                  <w:tcW w:w="1572" w:type="dxa"/>
                  <w:vMerge w:val="restart"/>
                  <w:tcBorders>
                    <w:tl2br w:val="nil"/>
                    <w:tr2bl w:val="nil"/>
                  </w:tcBorders>
                  <w:vAlign w:val="center"/>
                </w:tcPr>
                <w:p w14:paraId="75EC4EB4">
                  <w:pPr>
                    <w:jc w:val="center"/>
                    <w:rPr>
                      <w:snapToGrid w:val="0"/>
                      <w:color w:val="auto"/>
                      <w:szCs w:val="21"/>
                    </w:rPr>
                  </w:pPr>
                  <w:r>
                    <w:rPr>
                      <w:snapToGrid w:val="0"/>
                      <w:color w:val="auto"/>
                      <w:szCs w:val="21"/>
                    </w:rPr>
                    <w:t>位置</w:t>
                  </w:r>
                </w:p>
              </w:tc>
              <w:tc>
                <w:tcPr>
                  <w:tcW w:w="2131" w:type="dxa"/>
                  <w:vMerge w:val="restart"/>
                  <w:tcBorders>
                    <w:tl2br w:val="nil"/>
                    <w:tr2bl w:val="nil"/>
                  </w:tcBorders>
                  <w:vAlign w:val="center"/>
                </w:tcPr>
                <w:p w14:paraId="05384FEC">
                  <w:pPr>
                    <w:jc w:val="center"/>
                    <w:rPr>
                      <w:snapToGrid w:val="0"/>
                      <w:color w:val="auto"/>
                      <w:szCs w:val="21"/>
                    </w:rPr>
                  </w:pPr>
                  <w:r>
                    <w:rPr>
                      <w:snapToGrid w:val="0"/>
                      <w:color w:val="auto"/>
                      <w:szCs w:val="21"/>
                    </w:rPr>
                    <w:t>项目最大噪声贡献值</w:t>
                  </w:r>
                </w:p>
              </w:tc>
              <w:tc>
                <w:tcPr>
                  <w:tcW w:w="1924" w:type="dxa"/>
                  <w:gridSpan w:val="2"/>
                  <w:tcBorders>
                    <w:tl2br w:val="nil"/>
                    <w:tr2bl w:val="nil"/>
                  </w:tcBorders>
                  <w:vAlign w:val="center"/>
                </w:tcPr>
                <w:p w14:paraId="0D618428">
                  <w:pPr>
                    <w:jc w:val="center"/>
                    <w:rPr>
                      <w:snapToGrid w:val="0"/>
                      <w:color w:val="auto"/>
                      <w:szCs w:val="21"/>
                    </w:rPr>
                  </w:pPr>
                  <w:r>
                    <w:rPr>
                      <w:snapToGrid w:val="0"/>
                      <w:color w:val="auto"/>
                      <w:szCs w:val="21"/>
                    </w:rPr>
                    <w:t>执行标准</w:t>
                  </w:r>
                </w:p>
              </w:tc>
              <w:tc>
                <w:tcPr>
                  <w:tcW w:w="2153" w:type="dxa"/>
                  <w:gridSpan w:val="2"/>
                  <w:tcBorders>
                    <w:tl2br w:val="nil"/>
                    <w:tr2bl w:val="nil"/>
                  </w:tcBorders>
                  <w:vAlign w:val="center"/>
                </w:tcPr>
                <w:p w14:paraId="1153EF85">
                  <w:pPr>
                    <w:jc w:val="center"/>
                    <w:rPr>
                      <w:snapToGrid w:val="0"/>
                      <w:color w:val="auto"/>
                      <w:szCs w:val="21"/>
                    </w:rPr>
                  </w:pPr>
                  <w:r>
                    <w:rPr>
                      <w:snapToGrid w:val="0"/>
                      <w:color w:val="auto"/>
                      <w:szCs w:val="21"/>
                    </w:rPr>
                    <w:t>达标情况</w:t>
                  </w:r>
                </w:p>
              </w:tc>
            </w:tr>
            <w:tr w14:paraId="65175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vMerge w:val="continue"/>
                  <w:tcBorders>
                    <w:tl2br w:val="nil"/>
                    <w:tr2bl w:val="nil"/>
                  </w:tcBorders>
                  <w:vAlign w:val="center"/>
                </w:tcPr>
                <w:p w14:paraId="22E0AB21">
                  <w:pPr>
                    <w:jc w:val="center"/>
                    <w:rPr>
                      <w:snapToGrid w:val="0"/>
                      <w:color w:val="auto"/>
                      <w:szCs w:val="21"/>
                    </w:rPr>
                  </w:pPr>
                </w:p>
              </w:tc>
              <w:tc>
                <w:tcPr>
                  <w:tcW w:w="1572" w:type="dxa"/>
                  <w:vMerge w:val="continue"/>
                  <w:tcBorders>
                    <w:tl2br w:val="nil"/>
                    <w:tr2bl w:val="nil"/>
                  </w:tcBorders>
                  <w:vAlign w:val="center"/>
                </w:tcPr>
                <w:p w14:paraId="7A7FF3D8">
                  <w:pPr>
                    <w:jc w:val="center"/>
                    <w:rPr>
                      <w:snapToGrid w:val="0"/>
                      <w:color w:val="auto"/>
                      <w:szCs w:val="21"/>
                    </w:rPr>
                  </w:pPr>
                </w:p>
              </w:tc>
              <w:tc>
                <w:tcPr>
                  <w:tcW w:w="2131" w:type="dxa"/>
                  <w:vMerge w:val="continue"/>
                  <w:tcBorders>
                    <w:tl2br w:val="nil"/>
                    <w:tr2bl w:val="nil"/>
                  </w:tcBorders>
                  <w:vAlign w:val="center"/>
                </w:tcPr>
                <w:p w14:paraId="49E3C2B7">
                  <w:pPr>
                    <w:jc w:val="center"/>
                    <w:rPr>
                      <w:snapToGrid w:val="0"/>
                      <w:color w:val="auto"/>
                      <w:szCs w:val="21"/>
                    </w:rPr>
                  </w:pPr>
                </w:p>
              </w:tc>
              <w:tc>
                <w:tcPr>
                  <w:tcW w:w="1043" w:type="dxa"/>
                  <w:tcBorders>
                    <w:tl2br w:val="nil"/>
                    <w:tr2bl w:val="nil"/>
                  </w:tcBorders>
                  <w:vAlign w:val="center"/>
                </w:tcPr>
                <w:p w14:paraId="3A90D5C9">
                  <w:pPr>
                    <w:jc w:val="center"/>
                    <w:rPr>
                      <w:snapToGrid w:val="0"/>
                      <w:color w:val="auto"/>
                      <w:szCs w:val="21"/>
                    </w:rPr>
                  </w:pPr>
                  <w:r>
                    <w:rPr>
                      <w:snapToGrid w:val="0"/>
                      <w:color w:val="auto"/>
                      <w:szCs w:val="21"/>
                    </w:rPr>
                    <w:t>昼间</w:t>
                  </w:r>
                </w:p>
              </w:tc>
              <w:tc>
                <w:tcPr>
                  <w:tcW w:w="881" w:type="dxa"/>
                  <w:tcBorders>
                    <w:tl2br w:val="nil"/>
                    <w:tr2bl w:val="nil"/>
                  </w:tcBorders>
                  <w:vAlign w:val="center"/>
                </w:tcPr>
                <w:p w14:paraId="6CF2935B">
                  <w:pPr>
                    <w:jc w:val="center"/>
                    <w:rPr>
                      <w:snapToGrid w:val="0"/>
                      <w:color w:val="auto"/>
                      <w:szCs w:val="21"/>
                    </w:rPr>
                  </w:pPr>
                  <w:r>
                    <w:rPr>
                      <w:snapToGrid w:val="0"/>
                      <w:color w:val="auto"/>
                      <w:szCs w:val="21"/>
                    </w:rPr>
                    <w:t>夜间</w:t>
                  </w:r>
                </w:p>
              </w:tc>
              <w:tc>
                <w:tcPr>
                  <w:tcW w:w="1126" w:type="dxa"/>
                  <w:tcBorders>
                    <w:tl2br w:val="nil"/>
                    <w:tr2bl w:val="nil"/>
                  </w:tcBorders>
                  <w:vAlign w:val="center"/>
                </w:tcPr>
                <w:p w14:paraId="19399F30">
                  <w:pPr>
                    <w:jc w:val="center"/>
                    <w:rPr>
                      <w:snapToGrid w:val="0"/>
                      <w:color w:val="auto"/>
                      <w:szCs w:val="21"/>
                    </w:rPr>
                  </w:pPr>
                  <w:r>
                    <w:rPr>
                      <w:snapToGrid w:val="0"/>
                      <w:color w:val="auto"/>
                      <w:szCs w:val="21"/>
                    </w:rPr>
                    <w:t>昼间</w:t>
                  </w:r>
                </w:p>
              </w:tc>
              <w:tc>
                <w:tcPr>
                  <w:tcW w:w="1027" w:type="dxa"/>
                  <w:tcBorders>
                    <w:tl2br w:val="nil"/>
                    <w:tr2bl w:val="nil"/>
                  </w:tcBorders>
                  <w:vAlign w:val="center"/>
                </w:tcPr>
                <w:p w14:paraId="17C1C316">
                  <w:pPr>
                    <w:jc w:val="center"/>
                    <w:rPr>
                      <w:snapToGrid w:val="0"/>
                      <w:color w:val="auto"/>
                      <w:szCs w:val="21"/>
                    </w:rPr>
                  </w:pPr>
                  <w:r>
                    <w:rPr>
                      <w:snapToGrid w:val="0"/>
                      <w:color w:val="auto"/>
                      <w:szCs w:val="21"/>
                    </w:rPr>
                    <w:t>夜间</w:t>
                  </w:r>
                </w:p>
              </w:tc>
            </w:tr>
            <w:tr w14:paraId="1AD74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7BE4B841">
                  <w:pPr>
                    <w:jc w:val="center"/>
                    <w:rPr>
                      <w:snapToGrid w:val="0"/>
                      <w:color w:val="auto"/>
                      <w:szCs w:val="21"/>
                    </w:rPr>
                  </w:pPr>
                  <w:r>
                    <w:rPr>
                      <w:snapToGrid w:val="0"/>
                      <w:color w:val="auto"/>
                      <w:szCs w:val="21"/>
                    </w:rPr>
                    <w:t>1</w:t>
                  </w:r>
                </w:p>
              </w:tc>
              <w:tc>
                <w:tcPr>
                  <w:tcW w:w="1572" w:type="dxa"/>
                  <w:tcBorders>
                    <w:tl2br w:val="nil"/>
                    <w:tr2bl w:val="nil"/>
                  </w:tcBorders>
                  <w:vAlign w:val="center"/>
                </w:tcPr>
                <w:p w14:paraId="293563AA">
                  <w:pPr>
                    <w:pStyle w:val="153"/>
                    <w:rPr>
                      <w:color w:val="auto"/>
                    </w:rPr>
                  </w:pPr>
                  <w:r>
                    <w:rPr>
                      <w:color w:val="auto"/>
                    </w:rPr>
                    <w:t>N1项目南侧</w:t>
                  </w:r>
                </w:p>
              </w:tc>
              <w:tc>
                <w:tcPr>
                  <w:tcW w:w="2131" w:type="dxa"/>
                  <w:tcBorders>
                    <w:tl2br w:val="nil"/>
                    <w:tr2bl w:val="nil"/>
                  </w:tcBorders>
                  <w:vAlign w:val="center"/>
                </w:tcPr>
                <w:p w14:paraId="40C4DA79">
                  <w:pPr>
                    <w:widowControl/>
                    <w:jc w:val="center"/>
                    <w:rPr>
                      <w:color w:val="auto"/>
                      <w:szCs w:val="21"/>
                    </w:rPr>
                  </w:pPr>
                  <w:r>
                    <w:rPr>
                      <w:color w:val="auto"/>
                      <w:szCs w:val="21"/>
                    </w:rPr>
                    <w:t>45.</w:t>
                  </w:r>
                  <w:r>
                    <w:rPr>
                      <w:rFonts w:hint="eastAsia"/>
                      <w:color w:val="auto"/>
                      <w:szCs w:val="21"/>
                    </w:rPr>
                    <w:t>7</w:t>
                  </w:r>
                </w:p>
              </w:tc>
              <w:tc>
                <w:tcPr>
                  <w:tcW w:w="1043" w:type="dxa"/>
                  <w:tcBorders>
                    <w:tl2br w:val="nil"/>
                    <w:tr2bl w:val="nil"/>
                  </w:tcBorders>
                  <w:vAlign w:val="center"/>
                </w:tcPr>
                <w:p w14:paraId="3F99D32F">
                  <w:pPr>
                    <w:jc w:val="center"/>
                    <w:rPr>
                      <w:snapToGrid w:val="0"/>
                      <w:color w:val="auto"/>
                      <w:szCs w:val="21"/>
                    </w:rPr>
                  </w:pPr>
                  <w:r>
                    <w:rPr>
                      <w:snapToGrid w:val="0"/>
                      <w:color w:val="auto"/>
                      <w:szCs w:val="21"/>
                    </w:rPr>
                    <w:t>65</w:t>
                  </w:r>
                </w:p>
              </w:tc>
              <w:tc>
                <w:tcPr>
                  <w:tcW w:w="881" w:type="dxa"/>
                  <w:tcBorders>
                    <w:tl2br w:val="nil"/>
                    <w:tr2bl w:val="nil"/>
                  </w:tcBorders>
                  <w:vAlign w:val="center"/>
                </w:tcPr>
                <w:p w14:paraId="7057CD51">
                  <w:pPr>
                    <w:jc w:val="center"/>
                    <w:rPr>
                      <w:snapToGrid w:val="0"/>
                      <w:color w:val="auto"/>
                      <w:szCs w:val="21"/>
                    </w:rPr>
                  </w:pPr>
                  <w:r>
                    <w:rPr>
                      <w:rFonts w:hint="eastAsia"/>
                      <w:snapToGrid w:val="0"/>
                      <w:color w:val="auto"/>
                      <w:szCs w:val="21"/>
                    </w:rPr>
                    <w:t>/</w:t>
                  </w:r>
                </w:p>
              </w:tc>
              <w:tc>
                <w:tcPr>
                  <w:tcW w:w="1126" w:type="dxa"/>
                  <w:tcBorders>
                    <w:tl2br w:val="nil"/>
                    <w:tr2bl w:val="nil"/>
                  </w:tcBorders>
                  <w:vAlign w:val="center"/>
                </w:tcPr>
                <w:p w14:paraId="1BF65BA8">
                  <w:pPr>
                    <w:jc w:val="center"/>
                    <w:rPr>
                      <w:snapToGrid w:val="0"/>
                      <w:color w:val="auto"/>
                      <w:szCs w:val="21"/>
                    </w:rPr>
                  </w:pPr>
                  <w:r>
                    <w:rPr>
                      <w:snapToGrid w:val="0"/>
                      <w:color w:val="auto"/>
                      <w:szCs w:val="21"/>
                    </w:rPr>
                    <w:t>达标</w:t>
                  </w:r>
                </w:p>
              </w:tc>
              <w:tc>
                <w:tcPr>
                  <w:tcW w:w="1027" w:type="dxa"/>
                  <w:tcBorders>
                    <w:tl2br w:val="nil"/>
                    <w:tr2bl w:val="nil"/>
                  </w:tcBorders>
                  <w:vAlign w:val="center"/>
                </w:tcPr>
                <w:p w14:paraId="2E020AF2">
                  <w:pPr>
                    <w:jc w:val="center"/>
                    <w:rPr>
                      <w:snapToGrid w:val="0"/>
                      <w:color w:val="auto"/>
                      <w:szCs w:val="21"/>
                    </w:rPr>
                  </w:pPr>
                  <w:r>
                    <w:rPr>
                      <w:rFonts w:hint="eastAsia"/>
                      <w:snapToGrid w:val="0"/>
                      <w:color w:val="auto"/>
                      <w:szCs w:val="21"/>
                    </w:rPr>
                    <w:t>/</w:t>
                  </w:r>
                </w:p>
              </w:tc>
            </w:tr>
            <w:tr w14:paraId="6992D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0A2937D0">
                  <w:pPr>
                    <w:jc w:val="center"/>
                    <w:rPr>
                      <w:snapToGrid w:val="0"/>
                      <w:color w:val="auto"/>
                      <w:szCs w:val="21"/>
                    </w:rPr>
                  </w:pPr>
                  <w:r>
                    <w:rPr>
                      <w:snapToGrid w:val="0"/>
                      <w:color w:val="auto"/>
                      <w:szCs w:val="21"/>
                    </w:rPr>
                    <w:t>2</w:t>
                  </w:r>
                </w:p>
              </w:tc>
              <w:tc>
                <w:tcPr>
                  <w:tcW w:w="1572" w:type="dxa"/>
                  <w:tcBorders>
                    <w:tl2br w:val="nil"/>
                    <w:tr2bl w:val="nil"/>
                  </w:tcBorders>
                  <w:vAlign w:val="center"/>
                </w:tcPr>
                <w:p w14:paraId="730CD9E9">
                  <w:pPr>
                    <w:pStyle w:val="153"/>
                    <w:rPr>
                      <w:color w:val="auto"/>
                    </w:rPr>
                  </w:pPr>
                  <w:r>
                    <w:rPr>
                      <w:color w:val="auto"/>
                    </w:rPr>
                    <w:t>N2项目东侧</w:t>
                  </w:r>
                </w:p>
              </w:tc>
              <w:tc>
                <w:tcPr>
                  <w:tcW w:w="2131" w:type="dxa"/>
                  <w:tcBorders>
                    <w:tl2br w:val="nil"/>
                    <w:tr2bl w:val="nil"/>
                  </w:tcBorders>
                  <w:vAlign w:val="center"/>
                </w:tcPr>
                <w:p w14:paraId="6FE27617">
                  <w:pPr>
                    <w:jc w:val="center"/>
                    <w:rPr>
                      <w:color w:val="auto"/>
                      <w:szCs w:val="21"/>
                    </w:rPr>
                  </w:pPr>
                  <w:r>
                    <w:rPr>
                      <w:color w:val="auto"/>
                      <w:szCs w:val="21"/>
                    </w:rPr>
                    <w:t>4</w:t>
                  </w:r>
                  <w:r>
                    <w:rPr>
                      <w:rFonts w:hint="eastAsia"/>
                      <w:color w:val="auto"/>
                      <w:szCs w:val="21"/>
                    </w:rPr>
                    <w:t>6.2</w:t>
                  </w:r>
                </w:p>
              </w:tc>
              <w:tc>
                <w:tcPr>
                  <w:tcW w:w="1043" w:type="dxa"/>
                  <w:tcBorders>
                    <w:tl2br w:val="nil"/>
                    <w:tr2bl w:val="nil"/>
                  </w:tcBorders>
                  <w:vAlign w:val="center"/>
                </w:tcPr>
                <w:p w14:paraId="1122E2F3">
                  <w:pPr>
                    <w:jc w:val="center"/>
                    <w:rPr>
                      <w:snapToGrid w:val="0"/>
                      <w:color w:val="auto"/>
                      <w:szCs w:val="21"/>
                    </w:rPr>
                  </w:pPr>
                  <w:r>
                    <w:rPr>
                      <w:snapToGrid w:val="0"/>
                      <w:color w:val="auto"/>
                      <w:szCs w:val="21"/>
                    </w:rPr>
                    <w:t>65</w:t>
                  </w:r>
                </w:p>
              </w:tc>
              <w:tc>
                <w:tcPr>
                  <w:tcW w:w="881" w:type="dxa"/>
                  <w:tcBorders>
                    <w:tl2br w:val="nil"/>
                    <w:tr2bl w:val="nil"/>
                  </w:tcBorders>
                  <w:vAlign w:val="center"/>
                </w:tcPr>
                <w:p w14:paraId="30F4C68A">
                  <w:pPr>
                    <w:jc w:val="center"/>
                    <w:rPr>
                      <w:snapToGrid w:val="0"/>
                      <w:color w:val="auto"/>
                      <w:szCs w:val="21"/>
                    </w:rPr>
                  </w:pPr>
                  <w:r>
                    <w:rPr>
                      <w:rFonts w:hint="eastAsia"/>
                      <w:snapToGrid w:val="0"/>
                      <w:color w:val="auto"/>
                      <w:szCs w:val="21"/>
                    </w:rPr>
                    <w:t>/</w:t>
                  </w:r>
                </w:p>
              </w:tc>
              <w:tc>
                <w:tcPr>
                  <w:tcW w:w="1126" w:type="dxa"/>
                  <w:tcBorders>
                    <w:tl2br w:val="nil"/>
                    <w:tr2bl w:val="nil"/>
                  </w:tcBorders>
                  <w:vAlign w:val="center"/>
                </w:tcPr>
                <w:p w14:paraId="31226EE8">
                  <w:pPr>
                    <w:jc w:val="center"/>
                    <w:rPr>
                      <w:snapToGrid w:val="0"/>
                      <w:color w:val="auto"/>
                      <w:szCs w:val="21"/>
                    </w:rPr>
                  </w:pPr>
                  <w:r>
                    <w:rPr>
                      <w:snapToGrid w:val="0"/>
                      <w:color w:val="auto"/>
                      <w:szCs w:val="21"/>
                    </w:rPr>
                    <w:t>达标</w:t>
                  </w:r>
                </w:p>
              </w:tc>
              <w:tc>
                <w:tcPr>
                  <w:tcW w:w="1027" w:type="dxa"/>
                  <w:tcBorders>
                    <w:tl2br w:val="nil"/>
                    <w:tr2bl w:val="nil"/>
                  </w:tcBorders>
                  <w:vAlign w:val="center"/>
                </w:tcPr>
                <w:p w14:paraId="78FC11C0">
                  <w:pPr>
                    <w:jc w:val="center"/>
                    <w:rPr>
                      <w:snapToGrid w:val="0"/>
                      <w:color w:val="auto"/>
                      <w:szCs w:val="21"/>
                    </w:rPr>
                  </w:pPr>
                  <w:r>
                    <w:rPr>
                      <w:rFonts w:hint="eastAsia"/>
                      <w:snapToGrid w:val="0"/>
                      <w:color w:val="auto"/>
                      <w:szCs w:val="21"/>
                    </w:rPr>
                    <w:t>/</w:t>
                  </w:r>
                </w:p>
              </w:tc>
            </w:tr>
            <w:tr w14:paraId="7E9B9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04ED76AF">
                  <w:pPr>
                    <w:jc w:val="center"/>
                    <w:rPr>
                      <w:snapToGrid w:val="0"/>
                      <w:color w:val="auto"/>
                      <w:szCs w:val="21"/>
                    </w:rPr>
                  </w:pPr>
                  <w:r>
                    <w:rPr>
                      <w:snapToGrid w:val="0"/>
                      <w:color w:val="auto"/>
                      <w:szCs w:val="21"/>
                    </w:rPr>
                    <w:t>3</w:t>
                  </w:r>
                </w:p>
              </w:tc>
              <w:tc>
                <w:tcPr>
                  <w:tcW w:w="1572" w:type="dxa"/>
                  <w:tcBorders>
                    <w:tl2br w:val="nil"/>
                    <w:tr2bl w:val="nil"/>
                  </w:tcBorders>
                  <w:vAlign w:val="center"/>
                </w:tcPr>
                <w:p w14:paraId="4D957535">
                  <w:pPr>
                    <w:pStyle w:val="153"/>
                    <w:rPr>
                      <w:color w:val="auto"/>
                    </w:rPr>
                  </w:pPr>
                  <w:r>
                    <w:rPr>
                      <w:color w:val="auto"/>
                    </w:rPr>
                    <w:t>N3项目北侧</w:t>
                  </w:r>
                </w:p>
              </w:tc>
              <w:tc>
                <w:tcPr>
                  <w:tcW w:w="2131" w:type="dxa"/>
                  <w:tcBorders>
                    <w:tl2br w:val="nil"/>
                    <w:tr2bl w:val="nil"/>
                  </w:tcBorders>
                  <w:vAlign w:val="center"/>
                </w:tcPr>
                <w:p w14:paraId="12DF1027">
                  <w:pPr>
                    <w:jc w:val="center"/>
                    <w:rPr>
                      <w:color w:val="auto"/>
                      <w:szCs w:val="21"/>
                    </w:rPr>
                  </w:pPr>
                  <w:r>
                    <w:rPr>
                      <w:rFonts w:hint="eastAsia"/>
                      <w:color w:val="auto"/>
                      <w:szCs w:val="21"/>
                    </w:rPr>
                    <w:t>45.3</w:t>
                  </w:r>
                </w:p>
              </w:tc>
              <w:tc>
                <w:tcPr>
                  <w:tcW w:w="1043" w:type="dxa"/>
                  <w:tcBorders>
                    <w:tl2br w:val="nil"/>
                    <w:tr2bl w:val="nil"/>
                  </w:tcBorders>
                  <w:vAlign w:val="center"/>
                </w:tcPr>
                <w:p w14:paraId="17C2B379">
                  <w:pPr>
                    <w:jc w:val="center"/>
                    <w:rPr>
                      <w:snapToGrid w:val="0"/>
                      <w:color w:val="auto"/>
                      <w:szCs w:val="21"/>
                    </w:rPr>
                  </w:pPr>
                  <w:r>
                    <w:rPr>
                      <w:snapToGrid w:val="0"/>
                      <w:color w:val="auto"/>
                      <w:szCs w:val="21"/>
                    </w:rPr>
                    <w:t>65</w:t>
                  </w:r>
                </w:p>
              </w:tc>
              <w:tc>
                <w:tcPr>
                  <w:tcW w:w="881" w:type="dxa"/>
                  <w:tcBorders>
                    <w:tl2br w:val="nil"/>
                    <w:tr2bl w:val="nil"/>
                  </w:tcBorders>
                  <w:vAlign w:val="center"/>
                </w:tcPr>
                <w:p w14:paraId="0BA98B27">
                  <w:pPr>
                    <w:jc w:val="center"/>
                    <w:rPr>
                      <w:snapToGrid w:val="0"/>
                      <w:color w:val="auto"/>
                      <w:szCs w:val="21"/>
                    </w:rPr>
                  </w:pPr>
                  <w:r>
                    <w:rPr>
                      <w:rFonts w:hint="eastAsia"/>
                      <w:snapToGrid w:val="0"/>
                      <w:color w:val="auto"/>
                      <w:szCs w:val="21"/>
                    </w:rPr>
                    <w:t>/</w:t>
                  </w:r>
                </w:p>
              </w:tc>
              <w:tc>
                <w:tcPr>
                  <w:tcW w:w="1126" w:type="dxa"/>
                  <w:tcBorders>
                    <w:tl2br w:val="nil"/>
                    <w:tr2bl w:val="nil"/>
                  </w:tcBorders>
                  <w:vAlign w:val="center"/>
                </w:tcPr>
                <w:p w14:paraId="13D5FFEE">
                  <w:pPr>
                    <w:jc w:val="center"/>
                    <w:rPr>
                      <w:snapToGrid w:val="0"/>
                      <w:color w:val="auto"/>
                      <w:szCs w:val="21"/>
                    </w:rPr>
                  </w:pPr>
                  <w:r>
                    <w:rPr>
                      <w:snapToGrid w:val="0"/>
                      <w:color w:val="auto"/>
                      <w:szCs w:val="21"/>
                    </w:rPr>
                    <w:t>达标</w:t>
                  </w:r>
                </w:p>
              </w:tc>
              <w:tc>
                <w:tcPr>
                  <w:tcW w:w="1027" w:type="dxa"/>
                  <w:tcBorders>
                    <w:tl2br w:val="nil"/>
                    <w:tr2bl w:val="nil"/>
                  </w:tcBorders>
                  <w:vAlign w:val="center"/>
                </w:tcPr>
                <w:p w14:paraId="7C40FFA2">
                  <w:pPr>
                    <w:jc w:val="center"/>
                    <w:rPr>
                      <w:snapToGrid w:val="0"/>
                      <w:color w:val="auto"/>
                      <w:szCs w:val="21"/>
                    </w:rPr>
                  </w:pPr>
                  <w:r>
                    <w:rPr>
                      <w:rFonts w:hint="eastAsia"/>
                      <w:snapToGrid w:val="0"/>
                      <w:color w:val="auto"/>
                      <w:szCs w:val="21"/>
                    </w:rPr>
                    <w:t>/</w:t>
                  </w:r>
                </w:p>
              </w:tc>
            </w:tr>
            <w:tr w14:paraId="57410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33CE78C7">
                  <w:pPr>
                    <w:jc w:val="center"/>
                    <w:rPr>
                      <w:snapToGrid w:val="0"/>
                      <w:color w:val="auto"/>
                      <w:szCs w:val="21"/>
                    </w:rPr>
                  </w:pPr>
                  <w:r>
                    <w:rPr>
                      <w:snapToGrid w:val="0"/>
                      <w:color w:val="auto"/>
                      <w:szCs w:val="21"/>
                    </w:rPr>
                    <w:t>4</w:t>
                  </w:r>
                </w:p>
              </w:tc>
              <w:tc>
                <w:tcPr>
                  <w:tcW w:w="1572" w:type="dxa"/>
                  <w:tcBorders>
                    <w:tl2br w:val="nil"/>
                    <w:tr2bl w:val="nil"/>
                  </w:tcBorders>
                  <w:vAlign w:val="center"/>
                </w:tcPr>
                <w:p w14:paraId="67A2FE9B">
                  <w:pPr>
                    <w:pStyle w:val="153"/>
                    <w:rPr>
                      <w:color w:val="auto"/>
                    </w:rPr>
                  </w:pPr>
                  <w:r>
                    <w:rPr>
                      <w:color w:val="auto"/>
                    </w:rPr>
                    <w:t>N4项目西侧</w:t>
                  </w:r>
                </w:p>
              </w:tc>
              <w:tc>
                <w:tcPr>
                  <w:tcW w:w="2131" w:type="dxa"/>
                  <w:tcBorders>
                    <w:tl2br w:val="nil"/>
                    <w:tr2bl w:val="nil"/>
                  </w:tcBorders>
                  <w:vAlign w:val="center"/>
                </w:tcPr>
                <w:p w14:paraId="6E9E7D19">
                  <w:pPr>
                    <w:jc w:val="center"/>
                    <w:rPr>
                      <w:color w:val="auto"/>
                      <w:szCs w:val="21"/>
                    </w:rPr>
                  </w:pPr>
                  <w:r>
                    <w:rPr>
                      <w:color w:val="auto"/>
                      <w:szCs w:val="21"/>
                    </w:rPr>
                    <w:t>29.2</w:t>
                  </w:r>
                </w:p>
              </w:tc>
              <w:tc>
                <w:tcPr>
                  <w:tcW w:w="1043" w:type="dxa"/>
                  <w:tcBorders>
                    <w:tl2br w:val="nil"/>
                    <w:tr2bl w:val="nil"/>
                  </w:tcBorders>
                  <w:vAlign w:val="center"/>
                </w:tcPr>
                <w:p w14:paraId="60BF10FA">
                  <w:pPr>
                    <w:jc w:val="center"/>
                    <w:rPr>
                      <w:snapToGrid w:val="0"/>
                      <w:color w:val="auto"/>
                      <w:szCs w:val="21"/>
                    </w:rPr>
                  </w:pPr>
                  <w:r>
                    <w:rPr>
                      <w:snapToGrid w:val="0"/>
                      <w:color w:val="auto"/>
                      <w:szCs w:val="21"/>
                    </w:rPr>
                    <w:t>65</w:t>
                  </w:r>
                </w:p>
              </w:tc>
              <w:tc>
                <w:tcPr>
                  <w:tcW w:w="881" w:type="dxa"/>
                  <w:tcBorders>
                    <w:tl2br w:val="nil"/>
                    <w:tr2bl w:val="nil"/>
                  </w:tcBorders>
                  <w:vAlign w:val="center"/>
                </w:tcPr>
                <w:p w14:paraId="7177FAC1">
                  <w:pPr>
                    <w:jc w:val="center"/>
                    <w:rPr>
                      <w:snapToGrid w:val="0"/>
                      <w:color w:val="auto"/>
                      <w:szCs w:val="21"/>
                    </w:rPr>
                  </w:pPr>
                  <w:r>
                    <w:rPr>
                      <w:rFonts w:hint="eastAsia"/>
                      <w:snapToGrid w:val="0"/>
                      <w:color w:val="auto"/>
                      <w:szCs w:val="21"/>
                    </w:rPr>
                    <w:t>/</w:t>
                  </w:r>
                </w:p>
              </w:tc>
              <w:tc>
                <w:tcPr>
                  <w:tcW w:w="1126" w:type="dxa"/>
                  <w:tcBorders>
                    <w:tl2br w:val="nil"/>
                    <w:tr2bl w:val="nil"/>
                  </w:tcBorders>
                  <w:vAlign w:val="center"/>
                </w:tcPr>
                <w:p w14:paraId="220A35C0">
                  <w:pPr>
                    <w:jc w:val="center"/>
                    <w:rPr>
                      <w:snapToGrid w:val="0"/>
                      <w:color w:val="auto"/>
                      <w:szCs w:val="21"/>
                    </w:rPr>
                  </w:pPr>
                  <w:r>
                    <w:rPr>
                      <w:snapToGrid w:val="0"/>
                      <w:color w:val="auto"/>
                      <w:szCs w:val="21"/>
                    </w:rPr>
                    <w:t>达标</w:t>
                  </w:r>
                </w:p>
              </w:tc>
              <w:tc>
                <w:tcPr>
                  <w:tcW w:w="1027" w:type="dxa"/>
                  <w:tcBorders>
                    <w:tl2br w:val="nil"/>
                    <w:tr2bl w:val="nil"/>
                  </w:tcBorders>
                  <w:vAlign w:val="center"/>
                </w:tcPr>
                <w:p w14:paraId="70585737">
                  <w:pPr>
                    <w:jc w:val="center"/>
                    <w:rPr>
                      <w:snapToGrid w:val="0"/>
                      <w:color w:val="auto"/>
                      <w:szCs w:val="21"/>
                    </w:rPr>
                  </w:pPr>
                  <w:r>
                    <w:rPr>
                      <w:rFonts w:hint="eastAsia"/>
                      <w:snapToGrid w:val="0"/>
                      <w:color w:val="auto"/>
                      <w:szCs w:val="21"/>
                    </w:rPr>
                    <w:t>/</w:t>
                  </w:r>
                </w:p>
              </w:tc>
            </w:tr>
          </w:tbl>
          <w:p w14:paraId="22860B8E">
            <w:pPr>
              <w:spacing w:line="360" w:lineRule="auto"/>
              <w:ind w:firstLine="480" w:firstLineChars="200"/>
              <w:rPr>
                <w:color w:val="auto"/>
                <w:sz w:val="24"/>
              </w:rPr>
            </w:pPr>
            <w:r>
              <w:rPr>
                <w:color w:val="auto"/>
                <w:sz w:val="24"/>
              </w:rPr>
              <w:t>根据上表可知，</w:t>
            </w:r>
            <w:r>
              <w:rPr>
                <w:rFonts w:hint="eastAsia"/>
                <w:color w:val="auto"/>
                <w:kern w:val="0"/>
                <w:sz w:val="24"/>
                <w:lang w:eastAsia="zh-CN"/>
              </w:rPr>
              <w:t>迁建项目</w:t>
            </w:r>
            <w:r>
              <w:rPr>
                <w:color w:val="auto"/>
                <w:kern w:val="0"/>
                <w:sz w:val="24"/>
              </w:rPr>
              <w:t>建成后</w:t>
            </w:r>
            <w:r>
              <w:rPr>
                <w:rFonts w:hint="eastAsia"/>
                <w:color w:val="auto"/>
                <w:kern w:val="0"/>
                <w:sz w:val="24"/>
                <w:lang w:val="en-US" w:eastAsia="zh-CN"/>
              </w:rPr>
              <w:t>单班制生产，夜间不生产</w:t>
            </w:r>
            <w:r>
              <w:rPr>
                <w:color w:val="auto"/>
                <w:kern w:val="0"/>
                <w:sz w:val="24"/>
              </w:rPr>
              <w:t>，厂界周围声级都有所上升。</w:t>
            </w:r>
            <w:r>
              <w:rPr>
                <w:rFonts w:hint="eastAsia"/>
                <w:color w:val="auto"/>
                <w:kern w:val="0"/>
                <w:sz w:val="24"/>
                <w:lang w:eastAsia="zh-CN"/>
              </w:rPr>
              <w:t>迁建项目</w:t>
            </w:r>
            <w:r>
              <w:rPr>
                <w:color w:val="auto"/>
                <w:kern w:val="0"/>
                <w:sz w:val="24"/>
              </w:rPr>
              <w:t>噪声源对厂界噪声贡献值介于29.2dB</w:t>
            </w:r>
            <w:r>
              <w:rPr>
                <w:rFonts w:hint="eastAsia"/>
                <w:color w:val="auto"/>
                <w:kern w:val="0"/>
                <w:sz w:val="24"/>
                <w:lang w:eastAsia="zh-CN"/>
              </w:rPr>
              <w:t>(</w:t>
            </w:r>
            <w:r>
              <w:rPr>
                <w:color w:val="auto"/>
                <w:kern w:val="0"/>
                <w:sz w:val="24"/>
              </w:rPr>
              <w:t>A</w:t>
            </w:r>
            <w:r>
              <w:rPr>
                <w:rFonts w:hint="eastAsia"/>
                <w:color w:val="auto"/>
                <w:kern w:val="0"/>
                <w:sz w:val="24"/>
                <w:lang w:eastAsia="zh-CN"/>
              </w:rPr>
              <w:t>)</w:t>
            </w:r>
            <w:r>
              <w:rPr>
                <w:color w:val="auto"/>
                <w:kern w:val="0"/>
                <w:sz w:val="24"/>
              </w:rPr>
              <w:t>~46.2dB</w:t>
            </w:r>
            <w:r>
              <w:rPr>
                <w:rFonts w:hint="eastAsia"/>
                <w:color w:val="auto"/>
                <w:kern w:val="0"/>
                <w:sz w:val="24"/>
                <w:lang w:eastAsia="zh-CN"/>
              </w:rPr>
              <w:t>(</w:t>
            </w:r>
            <w:r>
              <w:rPr>
                <w:color w:val="auto"/>
                <w:kern w:val="0"/>
                <w:sz w:val="24"/>
              </w:rPr>
              <w:t>A</w:t>
            </w:r>
            <w:r>
              <w:rPr>
                <w:rFonts w:hint="eastAsia"/>
                <w:color w:val="auto"/>
                <w:kern w:val="0"/>
                <w:sz w:val="24"/>
                <w:shd w:val="clear" w:fill="FFFFFF"/>
                <w:lang w:eastAsia="zh-CN"/>
              </w:rPr>
              <w:t>)</w:t>
            </w:r>
            <w:r>
              <w:rPr>
                <w:color w:val="auto"/>
                <w:kern w:val="0"/>
                <w:sz w:val="24"/>
              </w:rPr>
              <w:t>之间，运营期厂界昼间噪声贡献值不超过65dB，</w:t>
            </w:r>
            <w:r>
              <w:rPr>
                <w:color w:val="auto"/>
                <w:sz w:val="24"/>
              </w:rPr>
              <w:t>项目厂界噪声均可达《工业企业厂界环境噪声排放标准》</w:t>
            </w:r>
            <w:r>
              <w:rPr>
                <w:rFonts w:hint="eastAsia"/>
                <w:color w:val="auto"/>
                <w:sz w:val="24"/>
                <w:lang w:eastAsia="zh-CN"/>
              </w:rPr>
              <w:t>(</w:t>
            </w:r>
            <w:r>
              <w:rPr>
                <w:color w:val="auto"/>
                <w:sz w:val="24"/>
              </w:rPr>
              <w:t>GB12348-2008</w:t>
            </w:r>
            <w:r>
              <w:rPr>
                <w:rFonts w:hint="eastAsia"/>
                <w:color w:val="auto"/>
                <w:sz w:val="24"/>
                <w:shd w:val="clear" w:fill="FFFFFF"/>
                <w:lang w:eastAsia="zh-CN"/>
              </w:rPr>
              <w:t>)</w:t>
            </w:r>
            <w:r>
              <w:rPr>
                <w:color w:val="auto"/>
                <w:sz w:val="24"/>
              </w:rPr>
              <w:t>中3类标准</w:t>
            </w:r>
            <w:r>
              <w:rPr>
                <w:rFonts w:hint="eastAsia"/>
                <w:color w:val="auto"/>
                <w:sz w:val="24"/>
                <w:shd w:val="clear" w:fill="FFFFFF"/>
                <w:lang w:eastAsia="zh-CN"/>
              </w:rPr>
              <w:t>(</w:t>
            </w:r>
            <w:r>
              <w:rPr>
                <w:color w:val="auto"/>
                <w:sz w:val="24"/>
              </w:rPr>
              <w:t>昼间≤60dB</w:t>
            </w:r>
            <w:r>
              <w:rPr>
                <w:rFonts w:hint="eastAsia"/>
                <w:color w:val="auto"/>
                <w:sz w:val="24"/>
                <w:shd w:val="clear" w:fill="FFFFFF"/>
                <w:lang w:eastAsia="zh-CN"/>
              </w:rPr>
              <w:t>(</w:t>
            </w:r>
            <w:r>
              <w:rPr>
                <w:color w:val="auto"/>
                <w:sz w:val="24"/>
              </w:rPr>
              <w:t>A</w:t>
            </w:r>
            <w:r>
              <w:rPr>
                <w:rFonts w:hint="eastAsia"/>
                <w:color w:val="auto"/>
                <w:sz w:val="24"/>
                <w:shd w:val="clear" w:fill="FFFFFF"/>
                <w:lang w:eastAsia="zh-CN"/>
              </w:rPr>
              <w:t>))</w:t>
            </w:r>
            <w:r>
              <w:rPr>
                <w:color w:val="auto"/>
                <w:sz w:val="24"/>
              </w:rPr>
              <w:t>。</w:t>
            </w:r>
          </w:p>
          <w:p w14:paraId="4CD346BE">
            <w:pPr>
              <w:pStyle w:val="68"/>
              <w:ind w:firstLine="480"/>
              <w:rPr>
                <w:color w:val="auto"/>
                <w:kern w:val="2"/>
                <w:sz w:val="24"/>
                <w:szCs w:val="24"/>
              </w:rPr>
            </w:pPr>
            <w:r>
              <w:rPr>
                <w:color w:val="auto"/>
                <w:kern w:val="2"/>
                <w:sz w:val="24"/>
                <w:szCs w:val="24"/>
              </w:rPr>
              <w:t>综上，</w:t>
            </w:r>
            <w:r>
              <w:rPr>
                <w:rFonts w:hint="eastAsia"/>
                <w:color w:val="auto"/>
                <w:kern w:val="2"/>
                <w:sz w:val="24"/>
                <w:szCs w:val="24"/>
                <w:lang w:eastAsia="zh-CN"/>
              </w:rPr>
              <w:t>迁建项目</w:t>
            </w:r>
            <w:r>
              <w:rPr>
                <w:color w:val="auto"/>
                <w:kern w:val="2"/>
                <w:sz w:val="24"/>
                <w:szCs w:val="24"/>
              </w:rPr>
              <w:t>运营时产生的噪声对周边环境影响小。</w:t>
            </w:r>
          </w:p>
          <w:p w14:paraId="13E3D48E">
            <w:pPr>
              <w:spacing w:line="360" w:lineRule="auto"/>
              <w:ind w:firstLine="480" w:firstLineChars="200"/>
              <w:rPr>
                <w:color w:val="auto"/>
                <w:sz w:val="24"/>
              </w:rPr>
            </w:pPr>
            <w:r>
              <w:rPr>
                <w:color w:val="auto"/>
                <w:sz w:val="24"/>
              </w:rPr>
              <w:t>为确保项目厂界噪声排放达到《工业企业厂界环境噪声排放标准》</w:t>
            </w:r>
            <w:r>
              <w:rPr>
                <w:rFonts w:hint="eastAsia"/>
                <w:color w:val="auto"/>
                <w:sz w:val="24"/>
                <w:lang w:eastAsia="zh-CN"/>
              </w:rPr>
              <w:t>(</w:t>
            </w:r>
            <w:r>
              <w:rPr>
                <w:color w:val="auto"/>
                <w:sz w:val="24"/>
              </w:rPr>
              <w:t>GB12348-2008</w:t>
            </w:r>
            <w:r>
              <w:rPr>
                <w:rFonts w:hint="eastAsia"/>
                <w:color w:val="auto"/>
                <w:sz w:val="24"/>
                <w:lang w:eastAsia="zh-CN"/>
              </w:rPr>
              <w:t>)</w:t>
            </w:r>
            <w:r>
              <w:rPr>
                <w:color w:val="auto"/>
                <w:sz w:val="24"/>
              </w:rPr>
              <w:t>3类标准，</w:t>
            </w:r>
            <w:r>
              <w:rPr>
                <w:rFonts w:hint="eastAsia"/>
                <w:color w:val="auto"/>
                <w:sz w:val="24"/>
                <w:lang w:eastAsia="zh-CN"/>
              </w:rPr>
              <w:t>项目</w:t>
            </w:r>
            <w:r>
              <w:rPr>
                <w:color w:val="auto"/>
                <w:sz w:val="24"/>
              </w:rPr>
              <w:t>采取了以下治理措施：</w:t>
            </w:r>
          </w:p>
          <w:p w14:paraId="68AD1549">
            <w:pPr>
              <w:spacing w:line="360" w:lineRule="auto"/>
              <w:ind w:firstLine="480" w:firstLineChars="200"/>
              <w:rPr>
                <w:color w:val="auto"/>
                <w:sz w:val="24"/>
              </w:rPr>
            </w:pPr>
            <w:r>
              <w:rPr>
                <w:color w:val="auto"/>
                <w:sz w:val="24"/>
                <w:shd w:val="clear" w:fill="FFFFFF"/>
              </w:rPr>
              <w:t>(</w:t>
            </w:r>
            <w:r>
              <w:rPr>
                <w:color w:val="auto"/>
                <w:sz w:val="24"/>
              </w:rPr>
              <w:t>1</w:t>
            </w:r>
            <w:r>
              <w:rPr>
                <w:color w:val="auto"/>
                <w:sz w:val="24"/>
                <w:shd w:val="clear" w:fill="FFFFFF"/>
              </w:rPr>
              <w:t>)</w:t>
            </w:r>
            <w:r>
              <w:rPr>
                <w:color w:val="auto"/>
                <w:sz w:val="24"/>
              </w:rPr>
              <w:t>对于设备选型方面，应尽量选用低噪声设备。</w:t>
            </w:r>
          </w:p>
          <w:p w14:paraId="58290888">
            <w:pPr>
              <w:spacing w:line="360" w:lineRule="auto"/>
              <w:ind w:firstLine="480" w:firstLineChars="200"/>
              <w:rPr>
                <w:color w:val="auto"/>
                <w:sz w:val="24"/>
              </w:rPr>
            </w:pPr>
            <w:r>
              <w:rPr>
                <w:color w:val="auto"/>
                <w:sz w:val="24"/>
                <w:shd w:val="clear" w:fill="FFFFFF"/>
              </w:rPr>
              <w:t>(</w:t>
            </w:r>
            <w:r>
              <w:rPr>
                <w:color w:val="auto"/>
                <w:sz w:val="24"/>
              </w:rPr>
              <w:t>2</w:t>
            </w:r>
            <w:r>
              <w:rPr>
                <w:color w:val="auto"/>
                <w:sz w:val="24"/>
                <w:shd w:val="clear" w:fill="FFFFFF"/>
              </w:rPr>
              <w:t>)</w:t>
            </w:r>
            <w:r>
              <w:rPr>
                <w:color w:val="auto"/>
                <w:sz w:val="24"/>
              </w:rPr>
              <w:t>对设备进行合理布局，项目应将高噪声设备放置在远离厂界的位置，通过墙体的阻隔作用减少噪声对周边环境的影响。</w:t>
            </w:r>
          </w:p>
          <w:p w14:paraId="4C268628">
            <w:pPr>
              <w:spacing w:line="360" w:lineRule="auto"/>
              <w:ind w:firstLine="480" w:firstLineChars="200"/>
              <w:rPr>
                <w:color w:val="auto"/>
                <w:sz w:val="24"/>
              </w:rPr>
            </w:pPr>
            <w:r>
              <w:rPr>
                <w:color w:val="auto"/>
                <w:sz w:val="24"/>
                <w:shd w:val="clear" w:fill="FFFFFF"/>
              </w:rPr>
              <w:t>(</w:t>
            </w:r>
            <w:r>
              <w:rPr>
                <w:color w:val="auto"/>
                <w:sz w:val="24"/>
              </w:rPr>
              <w:t>3</w:t>
            </w:r>
            <w:r>
              <w:rPr>
                <w:color w:val="auto"/>
                <w:sz w:val="24"/>
                <w:shd w:val="clear" w:fill="FFFFFF"/>
              </w:rPr>
              <w:t>)</w:t>
            </w:r>
            <w:r>
              <w:rPr>
                <w:color w:val="auto"/>
                <w:sz w:val="24"/>
              </w:rPr>
              <w:t>同时重视厂房的使用状况，尽量采用密闭形式。除必要的消防门、物流门之外，在生产时项目将车间门窗关闭。</w:t>
            </w:r>
          </w:p>
          <w:p w14:paraId="5386C730">
            <w:pPr>
              <w:spacing w:line="360" w:lineRule="auto"/>
              <w:ind w:firstLine="480" w:firstLineChars="200"/>
              <w:rPr>
                <w:color w:val="auto"/>
                <w:sz w:val="24"/>
              </w:rPr>
            </w:pPr>
            <w:r>
              <w:rPr>
                <w:color w:val="auto"/>
                <w:sz w:val="24"/>
                <w:shd w:val="clear" w:fill="FFFFFF"/>
              </w:rPr>
              <w:t>(</w:t>
            </w:r>
            <w:r>
              <w:rPr>
                <w:color w:val="auto"/>
                <w:sz w:val="24"/>
              </w:rPr>
              <w:t>4</w:t>
            </w:r>
            <w:r>
              <w:rPr>
                <w:color w:val="auto"/>
                <w:sz w:val="24"/>
                <w:shd w:val="clear" w:fill="FFFFFF"/>
              </w:rPr>
              <w:t>)</w:t>
            </w:r>
            <w:r>
              <w:rPr>
                <w:color w:val="auto"/>
                <w:sz w:val="24"/>
              </w:rPr>
              <w:t>使用中要加强维修保养，适时添加润滑剂防止设备老化，使设备处于良好的运行状态，避免因不正常运行所导致的噪声增大。</w:t>
            </w:r>
          </w:p>
          <w:p w14:paraId="508DCDEC">
            <w:pPr>
              <w:spacing w:line="360" w:lineRule="auto"/>
              <w:ind w:firstLine="480" w:firstLineChars="200"/>
              <w:rPr>
                <w:color w:val="auto"/>
                <w:sz w:val="24"/>
              </w:rPr>
            </w:pPr>
            <w:r>
              <w:rPr>
                <w:color w:val="auto"/>
                <w:sz w:val="24"/>
                <w:shd w:val="clear" w:fill="FFFFFF"/>
              </w:rPr>
              <w:t>(</w:t>
            </w:r>
            <w:r>
              <w:rPr>
                <w:color w:val="auto"/>
                <w:sz w:val="24"/>
              </w:rPr>
              <w:t>5</w:t>
            </w:r>
            <w:r>
              <w:rPr>
                <w:color w:val="auto"/>
                <w:sz w:val="24"/>
                <w:shd w:val="clear" w:fill="FFFFFF"/>
              </w:rPr>
              <w:t>)</w:t>
            </w:r>
            <w:r>
              <w:rPr>
                <w:color w:val="auto"/>
                <w:sz w:val="24"/>
              </w:rPr>
              <w:t>加强职工环保意识教育，提倡文明生产，防止人为噪声。</w:t>
            </w:r>
          </w:p>
          <w:p w14:paraId="1603DFDD">
            <w:pPr>
              <w:pStyle w:val="68"/>
              <w:ind w:firstLine="482"/>
              <w:rPr>
                <w:b/>
                <w:bCs/>
                <w:color w:val="auto"/>
                <w:kern w:val="2"/>
                <w:sz w:val="24"/>
                <w:szCs w:val="24"/>
              </w:rPr>
            </w:pPr>
            <w:r>
              <w:rPr>
                <w:rFonts w:hint="eastAsia"/>
                <w:b/>
                <w:bCs/>
                <w:color w:val="auto"/>
                <w:kern w:val="2"/>
                <w:sz w:val="24"/>
                <w:szCs w:val="24"/>
              </w:rPr>
              <w:t>3</w:t>
            </w:r>
            <w:r>
              <w:rPr>
                <w:b/>
                <w:bCs/>
                <w:color w:val="auto"/>
                <w:kern w:val="2"/>
                <w:sz w:val="24"/>
                <w:szCs w:val="24"/>
              </w:rPr>
              <w:t>、</w:t>
            </w:r>
            <w:r>
              <w:rPr>
                <w:rFonts w:hint="eastAsia"/>
                <w:b/>
                <w:bCs/>
                <w:color w:val="auto"/>
                <w:kern w:val="2"/>
                <w:sz w:val="24"/>
                <w:szCs w:val="24"/>
              </w:rPr>
              <w:t>噪声监测计划</w:t>
            </w:r>
          </w:p>
          <w:p w14:paraId="56BE7AD8">
            <w:pPr>
              <w:keepNext w:val="0"/>
              <w:keepLines w:val="0"/>
              <w:pageBreakBefore w:val="0"/>
              <w:kinsoku/>
              <w:wordWrap/>
              <w:overflowPunct/>
              <w:topLinePunct w:val="0"/>
              <w:autoSpaceDE/>
              <w:autoSpaceDN/>
              <w:bidi w:val="0"/>
              <w:adjustRightInd w:val="0"/>
              <w:snapToGrid/>
              <w:spacing w:line="360" w:lineRule="auto"/>
              <w:ind w:firstLine="480" w:firstLineChars="200"/>
              <w:contextualSpacing/>
              <w:textAlignment w:val="auto"/>
              <w:rPr>
                <w:rFonts w:hint="default" w:ascii="Times New Roman" w:hAnsi="Times New Roman" w:eastAsia="宋体" w:cs="Times New Roman"/>
                <w:color w:val="auto"/>
                <w:sz w:val="21"/>
                <w:szCs w:val="21"/>
                <w:lang w:val="en-US" w:eastAsia="zh-CN"/>
              </w:rPr>
            </w:pPr>
            <w:r>
              <w:rPr>
                <w:snapToGrid w:val="0"/>
                <w:color w:val="auto"/>
                <w:sz w:val="24"/>
                <w:szCs w:val="24"/>
              </w:rPr>
              <w:t>根据</w:t>
            </w:r>
            <w:r>
              <w:rPr>
                <w:rFonts w:hint="default" w:ascii="Times New Roman" w:hAnsi="Times New Roman" w:eastAsia="宋体" w:cs="Times New Roman"/>
                <w:color w:val="auto"/>
                <w:sz w:val="24"/>
                <w:szCs w:val="24"/>
                <w:lang w:val="en-US" w:eastAsia="zh-CN"/>
              </w:rPr>
              <w:t>本评价参照《排污许可证申请与核发技术规范 工业噪声》</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HJ 1301—2023</w:t>
            </w:r>
            <w:r>
              <w:rPr>
                <w:rFonts w:hint="eastAsia" w:eastAsia="宋体" w:cs="Times New Roman"/>
                <w:color w:val="auto"/>
                <w:sz w:val="24"/>
                <w:szCs w:val="24"/>
                <w:shd w:val="clear" w:fill="FFFFFF"/>
                <w:lang w:val="en-US" w:eastAsia="zh-CN"/>
              </w:rPr>
              <w:t>)</w:t>
            </w:r>
            <w:r>
              <w:rPr>
                <w:rFonts w:hint="default" w:ascii="Times New Roman" w:hAnsi="Times New Roman" w:eastAsia="宋体" w:cs="Times New Roman"/>
                <w:color w:val="auto"/>
                <w:sz w:val="24"/>
                <w:szCs w:val="24"/>
                <w:lang w:val="en-US" w:eastAsia="zh-CN"/>
              </w:rPr>
              <w:t>等要求，提出项目运营期噪声自行监测计划，具体详见表4.</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14:paraId="0CE01A8B">
            <w:pPr>
              <w:keepNext w:val="0"/>
              <w:keepLines w:val="0"/>
              <w:pageBreakBefore w:val="0"/>
              <w:widowControl/>
              <w:kinsoku/>
              <w:wordWrap/>
              <w:overflowPunct/>
              <w:topLinePunct w:val="0"/>
              <w:autoSpaceDE/>
              <w:autoSpaceDN/>
              <w:bidi w:val="0"/>
              <w:adjustRightInd w:val="0"/>
              <w:snapToGrid/>
              <w:spacing w:line="240" w:lineRule="auto"/>
              <w:contextualSpacing/>
              <w:jc w:val="center"/>
              <w:textAlignment w:val="auto"/>
              <w:rPr>
                <w:rFonts w:hint="default" w:ascii="Times New Roman" w:hAnsi="Times New Roman" w:eastAsia="宋体" w:cs="Times New Roman"/>
                <w:b/>
                <w:color w:val="auto"/>
                <w:spacing w:val="0"/>
                <w:w w:val="100"/>
                <w:kern w:val="2"/>
                <w:position w:val="0"/>
                <w:sz w:val="24"/>
                <w:szCs w:val="24"/>
                <w:lang w:val="en-US" w:eastAsia="zh-CN" w:bidi="ar-SA"/>
              </w:rPr>
            </w:pPr>
            <w:r>
              <w:rPr>
                <w:rFonts w:hint="default" w:ascii="Times New Roman" w:hAnsi="Times New Roman" w:eastAsia="宋体" w:cs="Times New Roman"/>
                <w:b/>
                <w:color w:val="auto"/>
                <w:spacing w:val="0"/>
                <w:w w:val="100"/>
                <w:kern w:val="2"/>
                <w:position w:val="0"/>
                <w:sz w:val="24"/>
                <w:szCs w:val="24"/>
                <w:lang w:val="en-US" w:eastAsia="zh-CN" w:bidi="ar-SA"/>
              </w:rPr>
              <w:t>表4.</w:t>
            </w:r>
            <w:r>
              <w:rPr>
                <w:rFonts w:hint="eastAsia" w:cs="Times New Roman"/>
                <w:b/>
                <w:color w:val="auto"/>
                <w:spacing w:val="0"/>
                <w:w w:val="100"/>
                <w:kern w:val="2"/>
                <w:position w:val="0"/>
                <w:sz w:val="24"/>
                <w:szCs w:val="24"/>
                <w:lang w:val="en-US" w:eastAsia="zh-CN" w:bidi="ar-SA"/>
              </w:rPr>
              <w:t>4</w:t>
            </w:r>
            <w:r>
              <w:rPr>
                <w:rFonts w:hint="default" w:ascii="Times New Roman" w:hAnsi="Times New Roman" w:eastAsia="宋体" w:cs="Times New Roman"/>
                <w:b/>
                <w:color w:val="auto"/>
                <w:spacing w:val="0"/>
                <w:w w:val="100"/>
                <w:kern w:val="2"/>
                <w:position w:val="0"/>
                <w:sz w:val="24"/>
                <w:szCs w:val="24"/>
                <w:lang w:val="en-US" w:eastAsia="zh-CN" w:bidi="ar-SA"/>
              </w:rPr>
              <w:t>-</w:t>
            </w:r>
            <w:r>
              <w:rPr>
                <w:rFonts w:hint="eastAsia" w:cs="Times New Roman"/>
                <w:b/>
                <w:color w:val="auto"/>
                <w:spacing w:val="0"/>
                <w:w w:val="100"/>
                <w:kern w:val="2"/>
                <w:position w:val="0"/>
                <w:sz w:val="24"/>
                <w:szCs w:val="24"/>
                <w:lang w:val="en-US" w:eastAsia="zh-CN" w:bidi="ar-SA"/>
              </w:rPr>
              <w:t>3</w:t>
            </w:r>
            <w:r>
              <w:rPr>
                <w:rFonts w:hint="default" w:ascii="Times New Roman" w:hAnsi="Times New Roman" w:eastAsia="宋体" w:cs="Times New Roman"/>
                <w:b/>
                <w:color w:val="auto"/>
                <w:spacing w:val="0"/>
                <w:w w:val="100"/>
                <w:kern w:val="2"/>
                <w:position w:val="0"/>
                <w:sz w:val="24"/>
                <w:szCs w:val="24"/>
                <w:lang w:val="en-US" w:eastAsia="zh-CN" w:bidi="ar-SA"/>
              </w:rPr>
              <w:t xml:space="preserve"> 噪声排放及监测要求</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866"/>
              <w:gridCol w:w="1034"/>
              <w:gridCol w:w="2229"/>
              <w:gridCol w:w="858"/>
              <w:gridCol w:w="858"/>
            </w:tblGrid>
            <w:tr w14:paraId="2FA9B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4" w:type="dxa"/>
                  <w:vMerge w:val="restart"/>
                  <w:tcBorders>
                    <w:tl2br w:val="nil"/>
                    <w:tr2bl w:val="nil"/>
                  </w:tcBorders>
                  <w:noWrap w:val="0"/>
                  <w:vAlign w:val="center"/>
                </w:tcPr>
                <w:p w14:paraId="47D47A77">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SA"/>
                    </w:rPr>
                    <w:t>厂界噪声点位名称</w:t>
                  </w:r>
                </w:p>
              </w:tc>
              <w:tc>
                <w:tcPr>
                  <w:tcW w:w="1866" w:type="dxa"/>
                  <w:vMerge w:val="restart"/>
                  <w:tcBorders>
                    <w:tl2br w:val="nil"/>
                    <w:tr2bl w:val="nil"/>
                  </w:tcBorders>
                  <w:noWrap w:val="0"/>
                  <w:vAlign w:val="center"/>
                </w:tcPr>
                <w:p w14:paraId="69BE30B6">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SA"/>
                    </w:rPr>
                    <w:t>厂界外声环境功能区类别</w:t>
                  </w:r>
                </w:p>
              </w:tc>
              <w:tc>
                <w:tcPr>
                  <w:tcW w:w="1034" w:type="dxa"/>
                  <w:vMerge w:val="restart"/>
                  <w:tcBorders>
                    <w:tl2br w:val="nil"/>
                    <w:tr2bl w:val="nil"/>
                  </w:tcBorders>
                  <w:noWrap w:val="0"/>
                  <w:vAlign w:val="center"/>
                </w:tcPr>
                <w:p w14:paraId="19D72D5C">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SA"/>
                    </w:rPr>
                    <w:t>监测指标</w:t>
                  </w:r>
                </w:p>
              </w:tc>
              <w:tc>
                <w:tcPr>
                  <w:tcW w:w="2229" w:type="dxa"/>
                  <w:tcBorders>
                    <w:tl2br w:val="nil"/>
                    <w:tr2bl w:val="nil"/>
                  </w:tcBorders>
                  <w:noWrap w:val="0"/>
                  <w:vAlign w:val="center"/>
                </w:tcPr>
                <w:p w14:paraId="1FC83F6B">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SA"/>
                    </w:rPr>
                    <w:t>工业噪声许可排放限值dB</w:t>
                  </w:r>
                  <w:r>
                    <w:rPr>
                      <w:rFonts w:hint="eastAsia"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A</w:t>
                  </w:r>
                  <w:r>
                    <w:rPr>
                      <w:rFonts w:hint="eastAsia" w:eastAsia="宋体" w:cs="Times New Roman"/>
                      <w:color w:val="auto"/>
                      <w:sz w:val="21"/>
                      <w:szCs w:val="21"/>
                      <w:lang w:val="en-US" w:eastAsia="zh-CN" w:bidi="ar-SA"/>
                    </w:rPr>
                    <w:t>)</w:t>
                  </w:r>
                </w:p>
              </w:tc>
              <w:tc>
                <w:tcPr>
                  <w:tcW w:w="858" w:type="dxa"/>
                  <w:vMerge w:val="restart"/>
                  <w:tcBorders>
                    <w:tl2br w:val="nil"/>
                    <w:tr2bl w:val="nil"/>
                  </w:tcBorders>
                  <w:noWrap w:val="0"/>
                  <w:vAlign w:val="center"/>
                </w:tcPr>
                <w:p w14:paraId="6F87E9CC">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SA"/>
                    </w:rPr>
                    <w:t>监测技术</w:t>
                  </w:r>
                </w:p>
              </w:tc>
              <w:tc>
                <w:tcPr>
                  <w:tcW w:w="858" w:type="dxa"/>
                  <w:vMerge w:val="restart"/>
                  <w:tcBorders>
                    <w:tl2br w:val="nil"/>
                    <w:tr2bl w:val="nil"/>
                  </w:tcBorders>
                  <w:noWrap w:val="0"/>
                  <w:vAlign w:val="center"/>
                </w:tcPr>
                <w:p w14:paraId="3188129A">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监测频次</w:t>
                  </w:r>
                </w:p>
              </w:tc>
            </w:tr>
            <w:tr w14:paraId="07813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4" w:type="dxa"/>
                  <w:vMerge w:val="continue"/>
                  <w:tcBorders>
                    <w:tl2br w:val="nil"/>
                    <w:tr2bl w:val="nil"/>
                  </w:tcBorders>
                  <w:noWrap w:val="0"/>
                  <w:vAlign w:val="center"/>
                </w:tcPr>
                <w:p w14:paraId="198B3082">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1866" w:type="dxa"/>
                  <w:vMerge w:val="continue"/>
                  <w:tcBorders>
                    <w:tl2br w:val="nil"/>
                    <w:tr2bl w:val="nil"/>
                  </w:tcBorders>
                  <w:noWrap w:val="0"/>
                  <w:vAlign w:val="center"/>
                </w:tcPr>
                <w:p w14:paraId="78E2E1E3">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1034" w:type="dxa"/>
                  <w:vMerge w:val="continue"/>
                  <w:tcBorders>
                    <w:tl2br w:val="nil"/>
                    <w:tr2bl w:val="nil"/>
                  </w:tcBorders>
                  <w:noWrap w:val="0"/>
                  <w:vAlign w:val="center"/>
                </w:tcPr>
                <w:p w14:paraId="51B1EF1B">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2229" w:type="dxa"/>
                  <w:tcBorders>
                    <w:tl2br w:val="nil"/>
                    <w:tr2bl w:val="nil"/>
                  </w:tcBorders>
                  <w:noWrap w:val="0"/>
                  <w:vAlign w:val="center"/>
                </w:tcPr>
                <w:p w14:paraId="6FF7DC5B">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昼间</w:t>
                  </w:r>
                </w:p>
              </w:tc>
              <w:tc>
                <w:tcPr>
                  <w:tcW w:w="858" w:type="dxa"/>
                  <w:vMerge w:val="continue"/>
                  <w:tcBorders>
                    <w:tl2br w:val="nil"/>
                    <w:tr2bl w:val="nil"/>
                  </w:tcBorders>
                  <w:noWrap w:val="0"/>
                  <w:vAlign w:val="center"/>
                </w:tcPr>
                <w:p w14:paraId="607DF152">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p>
              </w:tc>
              <w:tc>
                <w:tcPr>
                  <w:tcW w:w="858" w:type="dxa"/>
                  <w:vMerge w:val="continue"/>
                  <w:tcBorders>
                    <w:tl2br w:val="nil"/>
                    <w:tr2bl w:val="nil"/>
                  </w:tcBorders>
                  <w:noWrap w:val="0"/>
                  <w:vAlign w:val="center"/>
                </w:tcPr>
                <w:p w14:paraId="003F0BA8">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p>
              </w:tc>
            </w:tr>
            <w:tr w14:paraId="6D31D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4" w:type="dxa"/>
                  <w:vMerge w:val="continue"/>
                  <w:tcBorders>
                    <w:tl2br w:val="nil"/>
                    <w:tr2bl w:val="nil"/>
                  </w:tcBorders>
                  <w:noWrap w:val="0"/>
                  <w:vAlign w:val="center"/>
                </w:tcPr>
                <w:p w14:paraId="3752959E">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1866" w:type="dxa"/>
                  <w:vMerge w:val="continue"/>
                  <w:tcBorders>
                    <w:tl2br w:val="nil"/>
                    <w:tr2bl w:val="nil"/>
                  </w:tcBorders>
                  <w:noWrap w:val="0"/>
                  <w:vAlign w:val="center"/>
                </w:tcPr>
                <w:p w14:paraId="0B92AADC">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1034" w:type="dxa"/>
                  <w:vMerge w:val="continue"/>
                  <w:tcBorders>
                    <w:tl2br w:val="nil"/>
                    <w:tr2bl w:val="nil"/>
                  </w:tcBorders>
                  <w:noWrap w:val="0"/>
                  <w:vAlign w:val="center"/>
                </w:tcPr>
                <w:p w14:paraId="6B168921">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2229" w:type="dxa"/>
                  <w:tcBorders>
                    <w:tl2br w:val="nil"/>
                    <w:tr2bl w:val="nil"/>
                  </w:tcBorders>
                  <w:noWrap w:val="0"/>
                  <w:vAlign w:val="center"/>
                </w:tcPr>
                <w:p w14:paraId="144921F6">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bidi="ar-SA"/>
                    </w:rPr>
                    <w:t>等效声级</w:t>
                  </w:r>
                </w:p>
              </w:tc>
              <w:tc>
                <w:tcPr>
                  <w:tcW w:w="858" w:type="dxa"/>
                  <w:vMerge w:val="continue"/>
                  <w:tcBorders>
                    <w:tl2br w:val="nil"/>
                    <w:tr2bl w:val="nil"/>
                  </w:tcBorders>
                  <w:noWrap w:val="0"/>
                  <w:vAlign w:val="center"/>
                </w:tcPr>
                <w:p w14:paraId="06937331">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p>
              </w:tc>
              <w:tc>
                <w:tcPr>
                  <w:tcW w:w="858" w:type="dxa"/>
                  <w:vMerge w:val="continue"/>
                  <w:tcBorders>
                    <w:tl2br w:val="nil"/>
                    <w:tr2bl w:val="nil"/>
                  </w:tcBorders>
                  <w:noWrap w:val="0"/>
                  <w:vAlign w:val="center"/>
                </w:tcPr>
                <w:p w14:paraId="5BD70603">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p>
              </w:tc>
            </w:tr>
            <w:tr w14:paraId="21443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4" w:type="dxa"/>
                  <w:tcBorders>
                    <w:tl2br w:val="nil"/>
                    <w:tr2bl w:val="nil"/>
                  </w:tcBorders>
                  <w:noWrap w:val="0"/>
                  <w:vAlign w:val="center"/>
                </w:tcPr>
                <w:p w14:paraId="0A81B250">
                  <w:pPr>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东侧厂界</w:t>
                  </w:r>
                </w:p>
              </w:tc>
              <w:tc>
                <w:tcPr>
                  <w:tcW w:w="1866" w:type="dxa"/>
                  <w:tcBorders>
                    <w:tl2br w:val="nil"/>
                    <w:tr2bl w:val="nil"/>
                  </w:tcBorders>
                  <w:noWrap w:val="0"/>
                  <w:vAlign w:val="center"/>
                </w:tcPr>
                <w:p w14:paraId="2D57E62A">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34" w:type="dxa"/>
                  <w:vMerge w:val="restart"/>
                  <w:tcBorders>
                    <w:tl2br w:val="nil"/>
                    <w:tr2bl w:val="nil"/>
                  </w:tcBorders>
                  <w:noWrap w:val="0"/>
                  <w:vAlign w:val="center"/>
                </w:tcPr>
                <w:p w14:paraId="5EEC6F27">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bidi="ar-SA"/>
                    </w:rPr>
                    <w:t>等效A声级</w:t>
                  </w:r>
                </w:p>
              </w:tc>
              <w:tc>
                <w:tcPr>
                  <w:tcW w:w="2229" w:type="dxa"/>
                  <w:tcBorders>
                    <w:tl2br w:val="nil"/>
                    <w:tr2bl w:val="nil"/>
                  </w:tcBorders>
                  <w:noWrap w:val="0"/>
                  <w:vAlign w:val="center"/>
                </w:tcPr>
                <w:p w14:paraId="780A8659">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
                    </w:rPr>
                    <w:t>65</w:t>
                  </w:r>
                </w:p>
              </w:tc>
              <w:tc>
                <w:tcPr>
                  <w:tcW w:w="858" w:type="dxa"/>
                  <w:tcBorders>
                    <w:tl2br w:val="nil"/>
                    <w:tr2bl w:val="nil"/>
                  </w:tcBorders>
                  <w:noWrap w:val="0"/>
                  <w:vAlign w:val="center"/>
                </w:tcPr>
                <w:p w14:paraId="1F0485C4">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SA"/>
                    </w:rPr>
                    <w:t>手工</w:t>
                  </w:r>
                </w:p>
              </w:tc>
              <w:tc>
                <w:tcPr>
                  <w:tcW w:w="858" w:type="dxa"/>
                  <w:tcBorders>
                    <w:tl2br w:val="nil"/>
                    <w:tr2bl w:val="nil"/>
                  </w:tcBorders>
                  <w:noWrap w:val="0"/>
                  <w:vAlign w:val="center"/>
                </w:tcPr>
                <w:p w14:paraId="7D8FDF39">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1次/</w:t>
                  </w:r>
                  <w:r>
                    <w:rPr>
                      <w:rFonts w:hint="default" w:ascii="Times New Roman" w:hAnsi="Times New Roman" w:eastAsia="宋体" w:cs="Times New Roman"/>
                      <w:color w:val="auto"/>
                      <w:sz w:val="21"/>
                      <w:szCs w:val="21"/>
                      <w:lang w:val="en-US" w:eastAsia="zh-CN" w:bidi="ar"/>
                    </w:rPr>
                    <w:t>季</w:t>
                  </w:r>
                </w:p>
              </w:tc>
            </w:tr>
            <w:tr w14:paraId="69F99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4" w:type="dxa"/>
                  <w:tcBorders>
                    <w:tl2br w:val="nil"/>
                    <w:tr2bl w:val="nil"/>
                  </w:tcBorders>
                  <w:noWrap w:val="0"/>
                  <w:vAlign w:val="center"/>
                </w:tcPr>
                <w:p w14:paraId="4D98ECB5">
                  <w:pPr>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南侧厂界</w:t>
                  </w:r>
                </w:p>
              </w:tc>
              <w:tc>
                <w:tcPr>
                  <w:tcW w:w="1866" w:type="dxa"/>
                  <w:tcBorders>
                    <w:tl2br w:val="nil"/>
                    <w:tr2bl w:val="nil"/>
                  </w:tcBorders>
                  <w:noWrap w:val="0"/>
                  <w:vAlign w:val="center"/>
                </w:tcPr>
                <w:p w14:paraId="48637C2A">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34" w:type="dxa"/>
                  <w:vMerge w:val="continue"/>
                  <w:tcBorders>
                    <w:tl2br w:val="nil"/>
                    <w:tr2bl w:val="nil"/>
                  </w:tcBorders>
                  <w:noWrap w:val="0"/>
                  <w:vAlign w:val="center"/>
                </w:tcPr>
                <w:p w14:paraId="10989C0B">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2229" w:type="dxa"/>
                  <w:tcBorders>
                    <w:tl2br w:val="nil"/>
                    <w:tr2bl w:val="nil"/>
                  </w:tcBorders>
                  <w:noWrap w:val="0"/>
                  <w:vAlign w:val="center"/>
                </w:tcPr>
                <w:p w14:paraId="57434BDF">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65</w:t>
                  </w:r>
                </w:p>
              </w:tc>
              <w:tc>
                <w:tcPr>
                  <w:tcW w:w="858" w:type="dxa"/>
                  <w:tcBorders>
                    <w:tl2br w:val="nil"/>
                    <w:tr2bl w:val="nil"/>
                  </w:tcBorders>
                  <w:noWrap w:val="0"/>
                  <w:vAlign w:val="center"/>
                </w:tcPr>
                <w:p w14:paraId="045122A8">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SA"/>
                    </w:rPr>
                    <w:t>手工</w:t>
                  </w:r>
                </w:p>
              </w:tc>
              <w:tc>
                <w:tcPr>
                  <w:tcW w:w="858" w:type="dxa"/>
                  <w:tcBorders>
                    <w:tl2br w:val="nil"/>
                    <w:tr2bl w:val="nil"/>
                  </w:tcBorders>
                  <w:noWrap w:val="0"/>
                  <w:vAlign w:val="center"/>
                </w:tcPr>
                <w:p w14:paraId="68A3255E">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1次/</w:t>
                  </w:r>
                  <w:r>
                    <w:rPr>
                      <w:rFonts w:hint="default" w:ascii="Times New Roman" w:hAnsi="Times New Roman" w:eastAsia="宋体" w:cs="Times New Roman"/>
                      <w:color w:val="auto"/>
                      <w:sz w:val="21"/>
                      <w:szCs w:val="21"/>
                      <w:lang w:val="en-US" w:eastAsia="zh-CN" w:bidi="ar"/>
                    </w:rPr>
                    <w:t>季</w:t>
                  </w:r>
                </w:p>
              </w:tc>
            </w:tr>
            <w:tr w14:paraId="5CF70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4" w:type="dxa"/>
                  <w:tcBorders>
                    <w:tl2br w:val="nil"/>
                    <w:tr2bl w:val="nil"/>
                  </w:tcBorders>
                  <w:noWrap w:val="0"/>
                  <w:vAlign w:val="center"/>
                </w:tcPr>
                <w:p w14:paraId="770B93CA">
                  <w:pPr>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西侧厂界</w:t>
                  </w:r>
                </w:p>
              </w:tc>
              <w:tc>
                <w:tcPr>
                  <w:tcW w:w="1866" w:type="dxa"/>
                  <w:tcBorders>
                    <w:tl2br w:val="nil"/>
                    <w:tr2bl w:val="nil"/>
                  </w:tcBorders>
                  <w:noWrap w:val="0"/>
                  <w:vAlign w:val="center"/>
                </w:tcPr>
                <w:p w14:paraId="202FC4AB">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34" w:type="dxa"/>
                  <w:vMerge w:val="continue"/>
                  <w:tcBorders>
                    <w:tl2br w:val="nil"/>
                    <w:tr2bl w:val="nil"/>
                  </w:tcBorders>
                  <w:noWrap w:val="0"/>
                  <w:vAlign w:val="center"/>
                </w:tcPr>
                <w:p w14:paraId="4354CE51">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2229" w:type="dxa"/>
                  <w:tcBorders>
                    <w:tl2br w:val="nil"/>
                    <w:tr2bl w:val="nil"/>
                  </w:tcBorders>
                  <w:noWrap w:val="0"/>
                  <w:vAlign w:val="center"/>
                </w:tcPr>
                <w:p w14:paraId="377C16AF">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
                    </w:rPr>
                    <w:t>65</w:t>
                  </w:r>
                </w:p>
              </w:tc>
              <w:tc>
                <w:tcPr>
                  <w:tcW w:w="858" w:type="dxa"/>
                  <w:tcBorders>
                    <w:tl2br w:val="nil"/>
                    <w:tr2bl w:val="nil"/>
                  </w:tcBorders>
                  <w:noWrap w:val="0"/>
                  <w:vAlign w:val="center"/>
                </w:tcPr>
                <w:p w14:paraId="3C5C5C30">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SA"/>
                    </w:rPr>
                    <w:t>手工</w:t>
                  </w:r>
                </w:p>
              </w:tc>
              <w:tc>
                <w:tcPr>
                  <w:tcW w:w="858" w:type="dxa"/>
                  <w:tcBorders>
                    <w:tl2br w:val="nil"/>
                    <w:tr2bl w:val="nil"/>
                  </w:tcBorders>
                  <w:noWrap w:val="0"/>
                  <w:vAlign w:val="center"/>
                </w:tcPr>
                <w:p w14:paraId="60CD4797">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1次/</w:t>
                  </w:r>
                  <w:r>
                    <w:rPr>
                      <w:rFonts w:hint="default" w:ascii="Times New Roman" w:hAnsi="Times New Roman" w:eastAsia="宋体" w:cs="Times New Roman"/>
                      <w:color w:val="auto"/>
                      <w:sz w:val="21"/>
                      <w:szCs w:val="21"/>
                      <w:lang w:val="en-US" w:eastAsia="zh-CN" w:bidi="ar"/>
                    </w:rPr>
                    <w:t>季</w:t>
                  </w:r>
                </w:p>
              </w:tc>
            </w:tr>
            <w:tr w14:paraId="56E63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4" w:type="dxa"/>
                  <w:tcBorders>
                    <w:tl2br w:val="nil"/>
                    <w:tr2bl w:val="nil"/>
                  </w:tcBorders>
                  <w:noWrap w:val="0"/>
                  <w:vAlign w:val="center"/>
                </w:tcPr>
                <w:p w14:paraId="049D1C48">
                  <w:pPr>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北侧厂界</w:t>
                  </w:r>
                </w:p>
              </w:tc>
              <w:tc>
                <w:tcPr>
                  <w:tcW w:w="1866" w:type="dxa"/>
                  <w:tcBorders>
                    <w:tl2br w:val="nil"/>
                    <w:tr2bl w:val="nil"/>
                  </w:tcBorders>
                  <w:noWrap w:val="0"/>
                  <w:vAlign w:val="center"/>
                </w:tcPr>
                <w:p w14:paraId="667BE1AE">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34" w:type="dxa"/>
                  <w:vMerge w:val="continue"/>
                  <w:tcBorders>
                    <w:tl2br w:val="nil"/>
                    <w:tr2bl w:val="nil"/>
                  </w:tcBorders>
                  <w:noWrap w:val="0"/>
                  <w:vAlign w:val="center"/>
                </w:tcPr>
                <w:p w14:paraId="04C3B728">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rPr>
                  </w:pPr>
                </w:p>
              </w:tc>
              <w:tc>
                <w:tcPr>
                  <w:tcW w:w="2229" w:type="dxa"/>
                  <w:tcBorders>
                    <w:tl2br w:val="nil"/>
                    <w:tr2bl w:val="nil"/>
                  </w:tcBorders>
                  <w:noWrap w:val="0"/>
                  <w:vAlign w:val="center"/>
                </w:tcPr>
                <w:p w14:paraId="69B64B81">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
                    </w:rPr>
                    <w:t>65</w:t>
                  </w:r>
                </w:p>
              </w:tc>
              <w:tc>
                <w:tcPr>
                  <w:tcW w:w="858" w:type="dxa"/>
                  <w:tcBorders>
                    <w:tl2br w:val="nil"/>
                    <w:tr2bl w:val="nil"/>
                  </w:tcBorders>
                  <w:noWrap w:val="0"/>
                  <w:vAlign w:val="center"/>
                </w:tcPr>
                <w:p w14:paraId="738923D9">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eastAsia="zh-CN" w:bidi="ar-SA"/>
                    </w:rPr>
                    <w:t>手工</w:t>
                  </w:r>
                </w:p>
              </w:tc>
              <w:tc>
                <w:tcPr>
                  <w:tcW w:w="858" w:type="dxa"/>
                  <w:tcBorders>
                    <w:tl2br w:val="nil"/>
                    <w:tr2bl w:val="nil"/>
                  </w:tcBorders>
                  <w:noWrap w:val="0"/>
                  <w:vAlign w:val="center"/>
                </w:tcPr>
                <w:p w14:paraId="4CA4E636">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1次/</w:t>
                  </w:r>
                  <w:r>
                    <w:rPr>
                      <w:rFonts w:hint="default" w:ascii="Times New Roman" w:hAnsi="Times New Roman" w:eastAsia="宋体" w:cs="Times New Roman"/>
                      <w:color w:val="auto"/>
                      <w:sz w:val="21"/>
                      <w:szCs w:val="21"/>
                      <w:lang w:val="en-US" w:eastAsia="zh-CN" w:bidi="ar"/>
                    </w:rPr>
                    <w:t>季</w:t>
                  </w:r>
                </w:p>
              </w:tc>
            </w:tr>
            <w:tr w14:paraId="3D244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9" w:type="dxa"/>
                  <w:gridSpan w:val="6"/>
                  <w:tcBorders>
                    <w:tl2br w:val="nil"/>
                    <w:tr2bl w:val="nil"/>
                  </w:tcBorders>
                  <w:noWrap w:val="0"/>
                  <w:vAlign w:val="center"/>
                </w:tcPr>
                <w:p w14:paraId="385945AA">
                  <w:pPr>
                    <w:keepNext w:val="0"/>
                    <w:keepLines w:val="0"/>
                    <w:pageBreakBefore w:val="0"/>
                    <w:widowControl w:val="0"/>
                    <w:kinsoku/>
                    <w:wordWrap/>
                    <w:overflowPunct/>
                    <w:topLinePunct w:val="0"/>
                    <w:autoSpaceDE/>
                    <w:autoSpaceDN/>
                    <w:bidi w:val="0"/>
                    <w:adjustRightInd/>
                    <w:snapToGrid/>
                    <w:spacing w:line="320" w:lineRule="atLeast"/>
                    <w:jc w:val="both"/>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备注：夜间不涉及生产，因此仅对昼间进行自行监测要求</w:t>
                  </w:r>
                </w:p>
              </w:tc>
            </w:tr>
          </w:tbl>
          <w:p w14:paraId="5A9EC9E9">
            <w:pPr>
              <w:pStyle w:val="68"/>
              <w:ind w:firstLine="0" w:firstLineChars="0"/>
              <w:rPr>
                <w:b/>
                <w:bCs/>
                <w:color w:val="auto"/>
                <w:kern w:val="2"/>
                <w:sz w:val="24"/>
                <w:szCs w:val="24"/>
              </w:rPr>
            </w:pPr>
            <w:r>
              <w:rPr>
                <w:b/>
                <w:bCs/>
                <w:color w:val="auto"/>
                <w:kern w:val="2"/>
                <w:sz w:val="24"/>
                <w:szCs w:val="24"/>
              </w:rPr>
              <w:t>4.</w:t>
            </w:r>
            <w:r>
              <w:rPr>
                <w:rFonts w:hint="eastAsia"/>
                <w:b/>
                <w:bCs/>
                <w:color w:val="auto"/>
                <w:kern w:val="2"/>
                <w:sz w:val="24"/>
                <w:szCs w:val="24"/>
              </w:rPr>
              <w:t>5</w:t>
            </w:r>
            <w:r>
              <w:rPr>
                <w:b/>
                <w:bCs/>
                <w:color w:val="auto"/>
                <w:kern w:val="2"/>
                <w:sz w:val="24"/>
                <w:szCs w:val="24"/>
              </w:rPr>
              <w:t>固体废物核算及环保措施</w:t>
            </w:r>
          </w:p>
          <w:p w14:paraId="10A0A04A">
            <w:pPr>
              <w:pStyle w:val="68"/>
              <w:ind w:firstLine="482"/>
              <w:rPr>
                <w:b/>
                <w:bCs/>
                <w:color w:val="auto"/>
                <w:kern w:val="2"/>
                <w:sz w:val="24"/>
                <w:szCs w:val="24"/>
              </w:rPr>
            </w:pPr>
            <w:r>
              <w:rPr>
                <w:b/>
                <w:bCs/>
                <w:color w:val="auto"/>
                <w:kern w:val="2"/>
                <w:sz w:val="24"/>
                <w:szCs w:val="24"/>
              </w:rPr>
              <w:t>1、固体废物核算</w:t>
            </w:r>
          </w:p>
          <w:p w14:paraId="39F8403D">
            <w:pPr>
              <w:pStyle w:val="68"/>
              <w:ind w:firstLine="480"/>
              <w:rPr>
                <w:color w:val="auto"/>
                <w:kern w:val="2"/>
                <w:sz w:val="24"/>
                <w:szCs w:val="24"/>
              </w:rPr>
            </w:pPr>
            <w:bookmarkStart w:id="118" w:name="_Toc29105_WPSOffice_Level1"/>
            <w:bookmarkStart w:id="119" w:name="_Toc11632"/>
            <w:bookmarkStart w:id="120" w:name="_Toc21865_WPSOffice_Level2"/>
            <w:bookmarkStart w:id="121" w:name="_Toc2298_WPSOffice_Level2"/>
            <w:r>
              <w:rPr>
                <w:rFonts w:hint="eastAsia"/>
                <w:color w:val="auto"/>
                <w:kern w:val="2"/>
                <w:sz w:val="24"/>
                <w:szCs w:val="24"/>
              </w:rPr>
              <w:t>项目产生的固废主要为生活垃圾、一般工业固体废物。</w:t>
            </w:r>
          </w:p>
          <w:p w14:paraId="3FDA66F7">
            <w:pPr>
              <w:pStyle w:val="68"/>
              <w:ind w:firstLine="480"/>
              <w:rPr>
                <w:color w:val="auto"/>
                <w:kern w:val="2"/>
                <w:sz w:val="24"/>
                <w:szCs w:val="24"/>
              </w:rPr>
            </w:pPr>
            <w:r>
              <w:rPr>
                <w:rFonts w:hint="eastAsia"/>
                <w:color w:val="auto"/>
                <w:kern w:val="2"/>
                <w:sz w:val="24"/>
                <w:szCs w:val="24"/>
                <w:shd w:val="clear" w:fill="FFFFFF"/>
              </w:rPr>
              <w:t>(</w:t>
            </w:r>
            <w:r>
              <w:rPr>
                <w:rFonts w:hint="eastAsia"/>
                <w:color w:val="auto"/>
                <w:kern w:val="2"/>
                <w:sz w:val="24"/>
                <w:szCs w:val="24"/>
              </w:rPr>
              <w:t>1</w:t>
            </w:r>
            <w:r>
              <w:rPr>
                <w:rFonts w:hint="eastAsia"/>
                <w:color w:val="auto"/>
                <w:kern w:val="2"/>
                <w:sz w:val="24"/>
                <w:szCs w:val="24"/>
                <w:shd w:val="clear" w:fill="FFFFFF"/>
              </w:rPr>
              <w:t>)</w:t>
            </w:r>
            <w:r>
              <w:rPr>
                <w:color w:val="auto"/>
                <w:kern w:val="2"/>
                <w:sz w:val="24"/>
                <w:szCs w:val="24"/>
              </w:rPr>
              <w:t>生活垃圾</w:t>
            </w:r>
          </w:p>
          <w:p w14:paraId="361BCE65">
            <w:pPr>
              <w:pStyle w:val="68"/>
              <w:ind w:firstLine="480"/>
              <w:rPr>
                <w:color w:val="auto"/>
                <w:kern w:val="2"/>
                <w:sz w:val="24"/>
                <w:szCs w:val="24"/>
              </w:rPr>
            </w:pPr>
            <w:r>
              <w:rPr>
                <w:color w:val="auto"/>
                <w:kern w:val="2"/>
                <w:sz w:val="24"/>
                <w:szCs w:val="24"/>
              </w:rPr>
              <w:t>生活垃圾主要来源于项目职工日常生活中产生的垃圾，项目</w:t>
            </w:r>
            <w:r>
              <w:rPr>
                <w:rFonts w:hint="eastAsia"/>
                <w:color w:val="auto"/>
                <w:kern w:val="2"/>
                <w:sz w:val="24"/>
                <w:szCs w:val="24"/>
              </w:rPr>
              <w:t>劳动定员</w:t>
            </w:r>
            <w:r>
              <w:rPr>
                <w:color w:val="auto"/>
                <w:kern w:val="2"/>
                <w:sz w:val="24"/>
                <w:szCs w:val="24"/>
              </w:rPr>
              <w:t>共</w:t>
            </w:r>
            <w:r>
              <w:rPr>
                <w:rFonts w:hint="eastAsia"/>
                <w:color w:val="auto"/>
                <w:kern w:val="2"/>
                <w:sz w:val="24"/>
                <w:szCs w:val="24"/>
              </w:rPr>
              <w:t>80</w:t>
            </w:r>
            <w:r>
              <w:rPr>
                <w:color w:val="auto"/>
                <w:kern w:val="2"/>
                <w:sz w:val="24"/>
                <w:szCs w:val="24"/>
              </w:rPr>
              <w:t>人，</w:t>
            </w:r>
            <w:r>
              <w:rPr>
                <w:rFonts w:hint="eastAsia"/>
                <w:color w:val="auto"/>
                <w:kern w:val="2"/>
                <w:sz w:val="24"/>
                <w:szCs w:val="24"/>
              </w:rPr>
              <w:t>其中30人在厂区</w:t>
            </w:r>
            <w:r>
              <w:rPr>
                <w:color w:val="auto"/>
                <w:kern w:val="2"/>
                <w:sz w:val="24"/>
                <w:szCs w:val="24"/>
              </w:rPr>
              <w:t>内</w:t>
            </w:r>
            <w:r>
              <w:rPr>
                <w:rFonts w:hint="eastAsia"/>
                <w:color w:val="auto"/>
                <w:kern w:val="2"/>
                <w:sz w:val="24"/>
                <w:szCs w:val="24"/>
              </w:rPr>
              <w:t>食宿</w:t>
            </w:r>
            <w:r>
              <w:rPr>
                <w:color w:val="auto"/>
                <w:kern w:val="2"/>
                <w:sz w:val="24"/>
                <w:szCs w:val="24"/>
              </w:rPr>
              <w:t>，职工生活垃圾</w:t>
            </w:r>
            <w:r>
              <w:rPr>
                <w:rFonts w:hint="eastAsia"/>
                <w:color w:val="auto"/>
                <w:kern w:val="2"/>
                <w:sz w:val="24"/>
                <w:szCs w:val="24"/>
              </w:rPr>
              <w:t>产生量按不食宿0.5kg</w:t>
            </w:r>
            <w:r>
              <w:rPr>
                <w:color w:val="auto"/>
                <w:kern w:val="2"/>
                <w:sz w:val="24"/>
                <w:szCs w:val="24"/>
              </w:rPr>
              <w:t>/人·天计，</w:t>
            </w:r>
            <w:r>
              <w:rPr>
                <w:rFonts w:hint="eastAsia"/>
                <w:color w:val="auto"/>
                <w:kern w:val="2"/>
                <w:sz w:val="24"/>
                <w:szCs w:val="24"/>
              </w:rPr>
              <w:t>食宿1.0kg</w:t>
            </w:r>
            <w:r>
              <w:rPr>
                <w:color w:val="auto"/>
                <w:kern w:val="2"/>
                <w:sz w:val="24"/>
                <w:szCs w:val="24"/>
              </w:rPr>
              <w:t>/人·天计</w:t>
            </w:r>
            <w:r>
              <w:rPr>
                <w:rFonts w:hint="eastAsia"/>
                <w:color w:val="auto"/>
                <w:kern w:val="2"/>
                <w:sz w:val="24"/>
                <w:szCs w:val="24"/>
              </w:rPr>
              <w:t>，</w:t>
            </w:r>
            <w:r>
              <w:rPr>
                <w:color w:val="auto"/>
                <w:kern w:val="2"/>
                <w:sz w:val="24"/>
                <w:szCs w:val="24"/>
              </w:rPr>
              <w:t>则生活垃圾产生量为</w:t>
            </w:r>
            <w:r>
              <w:rPr>
                <w:rFonts w:hint="eastAsia"/>
                <w:color w:val="auto"/>
                <w:kern w:val="2"/>
                <w:sz w:val="24"/>
                <w:szCs w:val="24"/>
              </w:rPr>
              <w:t>55</w:t>
            </w:r>
            <w:r>
              <w:rPr>
                <w:color w:val="auto"/>
                <w:kern w:val="2"/>
                <w:sz w:val="24"/>
                <w:szCs w:val="24"/>
              </w:rPr>
              <w:t>kg/d，年产生量约为</w:t>
            </w:r>
            <w:r>
              <w:rPr>
                <w:rFonts w:hint="eastAsia"/>
                <w:color w:val="auto"/>
                <w:kern w:val="2"/>
                <w:sz w:val="24"/>
                <w:szCs w:val="24"/>
              </w:rPr>
              <w:t>16.5</w:t>
            </w:r>
            <w:r>
              <w:rPr>
                <w:color w:val="auto"/>
                <w:kern w:val="2"/>
                <w:sz w:val="24"/>
                <w:szCs w:val="24"/>
              </w:rPr>
              <w:t>t</w:t>
            </w:r>
            <w:r>
              <w:rPr>
                <w:color w:val="auto"/>
                <w:kern w:val="2"/>
                <w:sz w:val="24"/>
                <w:szCs w:val="24"/>
                <w:shd w:val="clear" w:fill="FFFFFF"/>
              </w:rPr>
              <w:t>(</w:t>
            </w:r>
            <w:r>
              <w:rPr>
                <w:color w:val="auto"/>
                <w:kern w:val="2"/>
                <w:sz w:val="24"/>
                <w:szCs w:val="24"/>
              </w:rPr>
              <w:t>按年工作300天计</w:t>
            </w:r>
            <w:r>
              <w:rPr>
                <w:color w:val="auto"/>
                <w:kern w:val="2"/>
                <w:sz w:val="24"/>
                <w:szCs w:val="24"/>
                <w:shd w:val="clear" w:fill="FFFFFF"/>
              </w:rPr>
              <w:t>)</w:t>
            </w:r>
            <w:r>
              <w:rPr>
                <w:color w:val="auto"/>
                <w:kern w:val="2"/>
                <w:sz w:val="24"/>
                <w:szCs w:val="24"/>
              </w:rPr>
              <w:t>，</w:t>
            </w:r>
            <w:r>
              <w:rPr>
                <w:rFonts w:hint="eastAsia"/>
                <w:color w:val="auto"/>
                <w:kern w:val="2"/>
                <w:sz w:val="24"/>
                <w:szCs w:val="24"/>
              </w:rPr>
              <w:t>分类</w:t>
            </w:r>
            <w:r>
              <w:rPr>
                <w:color w:val="auto"/>
                <w:kern w:val="2"/>
                <w:sz w:val="24"/>
                <w:szCs w:val="24"/>
              </w:rPr>
              <w:t>收集</w:t>
            </w:r>
            <w:r>
              <w:rPr>
                <w:rFonts w:hint="eastAsia"/>
                <w:color w:val="auto"/>
                <w:kern w:val="2"/>
                <w:sz w:val="24"/>
                <w:szCs w:val="24"/>
              </w:rPr>
              <w:t>于垃圾桶</w:t>
            </w:r>
            <w:r>
              <w:rPr>
                <w:color w:val="auto"/>
                <w:kern w:val="2"/>
                <w:sz w:val="24"/>
                <w:szCs w:val="24"/>
              </w:rPr>
              <w:t>后，全部委托环卫部门定期外运统一处置。</w:t>
            </w:r>
          </w:p>
          <w:p w14:paraId="3FF21B74">
            <w:pPr>
              <w:pStyle w:val="68"/>
              <w:ind w:firstLine="480"/>
              <w:rPr>
                <w:color w:val="auto"/>
                <w:kern w:val="2"/>
                <w:sz w:val="24"/>
                <w:szCs w:val="24"/>
              </w:rPr>
            </w:pPr>
            <w:r>
              <w:rPr>
                <w:rFonts w:hint="eastAsia"/>
                <w:color w:val="auto"/>
                <w:kern w:val="2"/>
                <w:sz w:val="24"/>
                <w:szCs w:val="24"/>
                <w:shd w:val="clear" w:fill="FFFFFF"/>
              </w:rPr>
              <w:t>(</w:t>
            </w:r>
            <w:r>
              <w:rPr>
                <w:rFonts w:hint="eastAsia"/>
                <w:color w:val="auto"/>
                <w:kern w:val="2"/>
                <w:sz w:val="24"/>
                <w:szCs w:val="24"/>
              </w:rPr>
              <w:t>2</w:t>
            </w:r>
            <w:r>
              <w:rPr>
                <w:rFonts w:hint="eastAsia"/>
                <w:color w:val="auto"/>
                <w:kern w:val="2"/>
                <w:sz w:val="24"/>
                <w:szCs w:val="24"/>
                <w:shd w:val="clear" w:fill="FFFFFF"/>
              </w:rPr>
              <w:t>)</w:t>
            </w:r>
            <w:r>
              <w:rPr>
                <w:color w:val="auto"/>
                <w:kern w:val="2"/>
                <w:sz w:val="24"/>
                <w:szCs w:val="24"/>
              </w:rPr>
              <w:t>一般工业</w:t>
            </w:r>
            <w:r>
              <w:rPr>
                <w:rFonts w:hint="eastAsia"/>
                <w:color w:val="auto"/>
                <w:kern w:val="2"/>
                <w:sz w:val="24"/>
                <w:szCs w:val="24"/>
              </w:rPr>
              <w:t>固体废物</w:t>
            </w:r>
          </w:p>
          <w:p w14:paraId="4E987302">
            <w:pPr>
              <w:spacing w:line="360" w:lineRule="auto"/>
              <w:ind w:firstLine="480" w:firstLineChars="200"/>
              <w:rPr>
                <w:color w:val="auto"/>
                <w:sz w:val="24"/>
              </w:rPr>
            </w:pPr>
            <w:r>
              <w:rPr>
                <w:rFonts w:hint="eastAsia" w:ascii="宋体" w:hAnsi="宋体" w:cs="宋体"/>
                <w:color w:val="auto"/>
                <w:sz w:val="24"/>
              </w:rPr>
              <w:t>项目</w:t>
            </w:r>
            <w:r>
              <w:rPr>
                <w:color w:val="auto"/>
                <w:sz w:val="24"/>
              </w:rPr>
              <w:t>一般工业</w:t>
            </w:r>
            <w:r>
              <w:rPr>
                <w:rFonts w:hint="eastAsia"/>
                <w:color w:val="auto"/>
                <w:sz w:val="24"/>
              </w:rPr>
              <w:t>固体废物主要为沉淀池沉渣、钢筋边角料、焊渣</w:t>
            </w:r>
            <w:r>
              <w:rPr>
                <w:rFonts w:hint="eastAsia"/>
                <w:color w:val="auto"/>
                <w:sz w:val="24"/>
                <w:lang w:eastAsia="zh-CN"/>
              </w:rPr>
              <w:t>、破损模具、不合格品</w:t>
            </w:r>
            <w:r>
              <w:rPr>
                <w:rFonts w:hint="eastAsia"/>
                <w:color w:val="auto"/>
                <w:sz w:val="24"/>
              </w:rPr>
              <w:t>。</w:t>
            </w:r>
          </w:p>
          <w:p w14:paraId="4B2405FB">
            <w:pPr>
              <w:spacing w:line="360" w:lineRule="auto"/>
              <w:ind w:firstLine="480" w:firstLineChars="200"/>
              <w:rPr>
                <w:color w:val="auto"/>
                <w:sz w:val="24"/>
              </w:rPr>
            </w:pPr>
            <w:r>
              <w:rPr>
                <w:color w:val="auto"/>
                <w:sz w:val="24"/>
              </w:rPr>
              <w:t>①</w:t>
            </w:r>
            <w:r>
              <w:rPr>
                <w:rFonts w:hint="eastAsia"/>
                <w:color w:val="auto"/>
                <w:sz w:val="24"/>
              </w:rPr>
              <w:t>沉淀池沉渣</w:t>
            </w:r>
          </w:p>
          <w:p w14:paraId="1DE994FE">
            <w:pPr>
              <w:spacing w:line="360" w:lineRule="auto"/>
              <w:ind w:firstLine="480" w:firstLineChars="200"/>
              <w:rPr>
                <w:color w:val="auto"/>
                <w:sz w:val="24"/>
              </w:rPr>
            </w:pPr>
            <w:r>
              <w:rPr>
                <w:rFonts w:hint="eastAsia"/>
                <w:color w:val="auto"/>
                <w:sz w:val="24"/>
                <w:lang w:eastAsia="zh-CN"/>
              </w:rPr>
              <w:t>迁建项目</w:t>
            </w:r>
            <w:r>
              <w:rPr>
                <w:color w:val="auto"/>
                <w:sz w:val="24"/>
              </w:rPr>
              <w:t>三级沉淀池会产生沉渣，预计沉渣产生量约15t/a，属于《一般固体废物分类与代码》</w:t>
            </w:r>
            <w:r>
              <w:rPr>
                <w:rFonts w:hint="eastAsia"/>
                <w:color w:val="auto"/>
                <w:sz w:val="24"/>
                <w:lang w:eastAsia="zh-CN"/>
              </w:rPr>
              <w:t>(</w:t>
            </w:r>
            <w:r>
              <w:rPr>
                <w:color w:val="auto"/>
                <w:sz w:val="24"/>
              </w:rPr>
              <w:t>GB/T198-2020</w:t>
            </w:r>
            <w:r>
              <w:rPr>
                <w:rFonts w:hint="eastAsia"/>
                <w:color w:val="auto"/>
                <w:sz w:val="24"/>
                <w:shd w:val="clear" w:fill="FFFFFF"/>
                <w:lang w:eastAsia="zh-CN"/>
              </w:rPr>
              <w:t>)</w:t>
            </w:r>
            <w:r>
              <w:rPr>
                <w:color w:val="auto"/>
                <w:sz w:val="24"/>
              </w:rPr>
              <w:t>中的“</w:t>
            </w:r>
            <w:r>
              <w:rPr>
                <w:rFonts w:hint="eastAsia"/>
                <w:color w:val="auto"/>
                <w:sz w:val="24"/>
              </w:rPr>
              <w:t>61</w:t>
            </w:r>
            <w:r>
              <w:rPr>
                <w:color w:val="auto"/>
                <w:sz w:val="24"/>
              </w:rPr>
              <w:t>无机废水污泥”类别，废物代码为302-001-61，妥善收集后</w:t>
            </w:r>
            <w:r>
              <w:rPr>
                <w:rFonts w:hint="eastAsia"/>
                <w:color w:val="auto"/>
                <w:sz w:val="24"/>
                <w:lang w:eastAsia="zh-CN"/>
              </w:rPr>
              <w:t>回用于生产</w:t>
            </w:r>
            <w:r>
              <w:rPr>
                <w:rFonts w:hint="eastAsia"/>
                <w:color w:val="auto"/>
                <w:sz w:val="24"/>
                <w:shd w:val="clear" w:fill="FFFFFF"/>
                <w:lang w:eastAsia="zh-CN"/>
              </w:rPr>
              <w:t>(</w:t>
            </w:r>
            <w:r>
              <w:rPr>
                <w:rFonts w:hint="eastAsia"/>
                <w:color w:val="auto"/>
                <w:sz w:val="24"/>
                <w:lang w:eastAsia="zh-CN"/>
              </w:rPr>
              <w:t>养护工序</w:t>
            </w:r>
            <w:r>
              <w:rPr>
                <w:rFonts w:hint="eastAsia"/>
                <w:color w:val="auto"/>
                <w:sz w:val="24"/>
                <w:shd w:val="clear" w:fill="FFFFFF"/>
                <w:lang w:eastAsia="zh-CN"/>
              </w:rPr>
              <w:t>)</w:t>
            </w:r>
            <w:r>
              <w:rPr>
                <w:color w:val="auto"/>
                <w:sz w:val="24"/>
              </w:rPr>
              <w:t>。</w:t>
            </w:r>
          </w:p>
          <w:p w14:paraId="5F2E6118">
            <w:pPr>
              <w:pStyle w:val="68"/>
              <w:ind w:firstLine="480"/>
              <w:rPr>
                <w:color w:val="auto"/>
                <w:kern w:val="2"/>
                <w:sz w:val="24"/>
                <w:szCs w:val="24"/>
              </w:rPr>
            </w:pPr>
            <w:r>
              <w:rPr>
                <w:rFonts w:hint="eastAsia"/>
                <w:color w:val="auto"/>
                <w:sz w:val="24"/>
              </w:rPr>
              <w:t>②</w:t>
            </w:r>
            <w:r>
              <w:rPr>
                <w:rFonts w:hint="eastAsia"/>
                <w:color w:val="auto"/>
                <w:kern w:val="2"/>
                <w:sz w:val="24"/>
                <w:szCs w:val="24"/>
              </w:rPr>
              <w:t>钢筋边角料</w:t>
            </w:r>
          </w:p>
          <w:p w14:paraId="25C6F24D">
            <w:pPr>
              <w:spacing w:line="360" w:lineRule="auto"/>
              <w:ind w:firstLine="480" w:firstLineChars="200"/>
              <w:rPr>
                <w:color w:val="auto"/>
                <w:sz w:val="24"/>
              </w:rPr>
            </w:pPr>
            <w:r>
              <w:rPr>
                <w:rFonts w:hint="eastAsia"/>
                <w:color w:val="auto"/>
                <w:sz w:val="24"/>
                <w:lang w:eastAsia="zh-CN"/>
              </w:rPr>
              <w:t>迁建项目</w:t>
            </w:r>
            <w:r>
              <w:rPr>
                <w:rFonts w:hint="eastAsia"/>
                <w:color w:val="auto"/>
                <w:sz w:val="24"/>
              </w:rPr>
              <w:t>钢筋加工过程会产生钢筋边角料</w:t>
            </w:r>
            <w:r>
              <w:rPr>
                <w:color w:val="auto"/>
                <w:sz w:val="24"/>
              </w:rPr>
              <w:t>，预计沉渣产生量约</w:t>
            </w:r>
            <w:r>
              <w:rPr>
                <w:rFonts w:hint="eastAsia"/>
                <w:color w:val="auto"/>
                <w:sz w:val="24"/>
              </w:rPr>
              <w:t>11</w:t>
            </w:r>
            <w:r>
              <w:rPr>
                <w:color w:val="auto"/>
                <w:sz w:val="24"/>
              </w:rPr>
              <w:t>t/a，属于《一般固体废物分类与代码》</w:t>
            </w:r>
            <w:r>
              <w:rPr>
                <w:rFonts w:hint="eastAsia"/>
                <w:color w:val="auto"/>
                <w:sz w:val="24"/>
                <w:lang w:eastAsia="zh-CN"/>
              </w:rPr>
              <w:t>(</w:t>
            </w:r>
            <w:r>
              <w:rPr>
                <w:color w:val="auto"/>
                <w:sz w:val="24"/>
              </w:rPr>
              <w:t>GB/T198-2020</w:t>
            </w:r>
            <w:r>
              <w:rPr>
                <w:rFonts w:hint="eastAsia"/>
                <w:color w:val="auto"/>
                <w:sz w:val="24"/>
                <w:shd w:val="clear" w:fill="FFFFFF"/>
                <w:lang w:eastAsia="zh-CN"/>
              </w:rPr>
              <w:t>)</w:t>
            </w:r>
            <w:r>
              <w:rPr>
                <w:color w:val="auto"/>
                <w:sz w:val="24"/>
              </w:rPr>
              <w:t>中的“</w:t>
            </w:r>
            <w:r>
              <w:rPr>
                <w:rFonts w:hint="eastAsia"/>
                <w:color w:val="auto"/>
                <w:sz w:val="24"/>
              </w:rPr>
              <w:t>07废钢铁</w:t>
            </w:r>
            <w:r>
              <w:rPr>
                <w:color w:val="auto"/>
                <w:sz w:val="24"/>
              </w:rPr>
              <w:t>”类别，废物代码为302-001-</w:t>
            </w:r>
            <w:r>
              <w:rPr>
                <w:rFonts w:hint="eastAsia"/>
                <w:color w:val="auto"/>
                <w:sz w:val="24"/>
              </w:rPr>
              <w:t>07</w:t>
            </w:r>
            <w:r>
              <w:rPr>
                <w:color w:val="auto"/>
                <w:sz w:val="24"/>
              </w:rPr>
              <w:t>，收集后</w:t>
            </w:r>
            <w:r>
              <w:rPr>
                <w:rFonts w:hint="eastAsia"/>
                <w:color w:val="auto"/>
                <w:sz w:val="24"/>
              </w:rPr>
              <w:t>外售物资回收单位</w:t>
            </w:r>
            <w:r>
              <w:rPr>
                <w:color w:val="auto"/>
                <w:sz w:val="24"/>
              </w:rPr>
              <w:t>。</w:t>
            </w:r>
          </w:p>
          <w:p w14:paraId="2D76BEBA">
            <w:pPr>
              <w:pStyle w:val="68"/>
              <w:ind w:firstLine="480"/>
              <w:rPr>
                <w:color w:val="auto"/>
                <w:kern w:val="2"/>
                <w:sz w:val="24"/>
                <w:szCs w:val="24"/>
              </w:rPr>
            </w:pPr>
            <w:r>
              <w:rPr>
                <w:color w:val="auto"/>
                <w:sz w:val="24"/>
                <w:szCs w:val="24"/>
              </w:rPr>
              <w:t>③</w:t>
            </w:r>
            <w:r>
              <w:rPr>
                <w:rFonts w:hint="eastAsia"/>
                <w:color w:val="auto"/>
                <w:sz w:val="24"/>
                <w:szCs w:val="24"/>
              </w:rPr>
              <w:t>焊渣</w:t>
            </w:r>
          </w:p>
          <w:p w14:paraId="000B8E4D">
            <w:pPr>
              <w:spacing w:line="360" w:lineRule="auto"/>
              <w:ind w:firstLine="480" w:firstLineChars="200"/>
              <w:rPr>
                <w:color w:val="auto"/>
                <w:sz w:val="24"/>
              </w:rPr>
            </w:pPr>
            <w:r>
              <w:rPr>
                <w:rFonts w:hint="eastAsia"/>
                <w:color w:val="auto"/>
                <w:sz w:val="24"/>
                <w:lang w:eastAsia="zh-CN"/>
              </w:rPr>
              <w:t>迁建项目</w:t>
            </w:r>
            <w:r>
              <w:rPr>
                <w:rFonts w:hint="eastAsia"/>
                <w:color w:val="auto"/>
                <w:sz w:val="24"/>
              </w:rPr>
              <w:t>点焊过程会</w:t>
            </w:r>
            <w:r>
              <w:rPr>
                <w:color w:val="auto"/>
                <w:sz w:val="24"/>
              </w:rPr>
              <w:t>产生</w:t>
            </w:r>
            <w:r>
              <w:rPr>
                <w:rFonts w:hint="eastAsia"/>
                <w:color w:val="auto"/>
                <w:sz w:val="24"/>
              </w:rPr>
              <w:t>焊渣</w:t>
            </w:r>
            <w:r>
              <w:rPr>
                <w:color w:val="auto"/>
                <w:sz w:val="24"/>
              </w:rPr>
              <w:t>，预计</w:t>
            </w:r>
            <w:r>
              <w:rPr>
                <w:rFonts w:hint="eastAsia"/>
                <w:color w:val="auto"/>
                <w:sz w:val="24"/>
              </w:rPr>
              <w:t>焊渣</w:t>
            </w:r>
            <w:r>
              <w:rPr>
                <w:color w:val="auto"/>
                <w:sz w:val="24"/>
              </w:rPr>
              <w:t>产生量约</w:t>
            </w:r>
            <w:r>
              <w:rPr>
                <w:rFonts w:hint="eastAsia"/>
                <w:color w:val="auto"/>
                <w:sz w:val="24"/>
              </w:rPr>
              <w:t>0.04</w:t>
            </w:r>
            <w:r>
              <w:rPr>
                <w:color w:val="auto"/>
                <w:sz w:val="24"/>
              </w:rPr>
              <w:t>t/a，属于《一般固体废物分类与代码》</w:t>
            </w:r>
            <w:r>
              <w:rPr>
                <w:rFonts w:hint="eastAsia"/>
                <w:color w:val="auto"/>
                <w:sz w:val="24"/>
                <w:lang w:eastAsia="zh-CN"/>
              </w:rPr>
              <w:t>(</w:t>
            </w:r>
            <w:r>
              <w:rPr>
                <w:color w:val="auto"/>
                <w:sz w:val="24"/>
              </w:rPr>
              <w:t>GB/T198-2020</w:t>
            </w:r>
            <w:r>
              <w:rPr>
                <w:rFonts w:hint="eastAsia"/>
                <w:color w:val="auto"/>
                <w:sz w:val="24"/>
                <w:shd w:val="clear" w:fill="FFFFFF"/>
                <w:lang w:eastAsia="zh-CN"/>
              </w:rPr>
              <w:t>)</w:t>
            </w:r>
            <w:r>
              <w:rPr>
                <w:color w:val="auto"/>
                <w:sz w:val="24"/>
              </w:rPr>
              <w:t>中的“</w:t>
            </w:r>
            <w:r>
              <w:rPr>
                <w:rFonts w:hint="eastAsia"/>
                <w:color w:val="auto"/>
                <w:sz w:val="24"/>
              </w:rPr>
              <w:t>99其他废物</w:t>
            </w:r>
            <w:r>
              <w:rPr>
                <w:color w:val="auto"/>
                <w:sz w:val="24"/>
              </w:rPr>
              <w:t>”类别，废物代码为302-001-</w:t>
            </w:r>
            <w:r>
              <w:rPr>
                <w:rFonts w:hint="eastAsia"/>
                <w:color w:val="auto"/>
                <w:sz w:val="24"/>
              </w:rPr>
              <w:t>99</w:t>
            </w:r>
            <w:r>
              <w:rPr>
                <w:color w:val="auto"/>
                <w:sz w:val="24"/>
              </w:rPr>
              <w:t>，收集后</w:t>
            </w:r>
            <w:r>
              <w:rPr>
                <w:rFonts w:hint="eastAsia"/>
                <w:color w:val="auto"/>
                <w:sz w:val="24"/>
              </w:rPr>
              <w:t>外售物资回收单位</w:t>
            </w:r>
            <w:r>
              <w:rPr>
                <w:color w:val="auto"/>
                <w:sz w:val="24"/>
              </w:rPr>
              <w:t>。</w:t>
            </w:r>
          </w:p>
          <w:bookmarkEnd w:id="118"/>
          <w:bookmarkEnd w:id="119"/>
          <w:bookmarkEnd w:id="120"/>
          <w:bookmarkEnd w:id="121"/>
          <w:p w14:paraId="7379B904">
            <w:pPr>
              <w:spacing w:line="360" w:lineRule="auto"/>
              <w:ind w:firstLine="480" w:firstLineChars="200"/>
              <w:rPr>
                <w:rFonts w:hint="eastAsia"/>
                <w:color w:val="auto"/>
                <w:sz w:val="24"/>
                <w:szCs w:val="24"/>
                <w:lang w:eastAsia="zh-CN"/>
              </w:rPr>
            </w:pPr>
            <w:bookmarkStart w:id="122" w:name="_Toc29578_WPSOffice_Level3"/>
            <w:r>
              <w:rPr>
                <w:color w:val="auto"/>
                <w:sz w:val="24"/>
                <w:szCs w:val="24"/>
              </w:rPr>
              <w:fldChar w:fldCharType="begin"/>
            </w:r>
            <w:r>
              <w:rPr>
                <w:color w:val="auto"/>
                <w:sz w:val="24"/>
                <w:szCs w:val="24"/>
              </w:rPr>
              <w:instrText xml:space="preserve"> = 4 \* GB3 \* MERGEFORMAT </w:instrText>
            </w:r>
            <w:r>
              <w:rPr>
                <w:color w:val="auto"/>
                <w:sz w:val="24"/>
                <w:szCs w:val="24"/>
              </w:rPr>
              <w:fldChar w:fldCharType="separate"/>
            </w:r>
            <w:r>
              <w:rPr>
                <w:color w:val="auto"/>
                <w:sz w:val="24"/>
                <w:szCs w:val="24"/>
              </w:rPr>
              <w:t>④</w:t>
            </w:r>
            <w:r>
              <w:rPr>
                <w:color w:val="auto"/>
                <w:sz w:val="24"/>
                <w:szCs w:val="24"/>
              </w:rPr>
              <w:fldChar w:fldCharType="end"/>
            </w:r>
            <w:r>
              <w:rPr>
                <w:rFonts w:hint="eastAsia"/>
                <w:color w:val="auto"/>
                <w:sz w:val="24"/>
                <w:szCs w:val="24"/>
                <w:lang w:eastAsia="zh-CN"/>
              </w:rPr>
              <w:t>破损模具</w:t>
            </w:r>
          </w:p>
          <w:p w14:paraId="7FAFC3CE">
            <w:pPr>
              <w:spacing w:line="360" w:lineRule="auto"/>
              <w:ind w:firstLine="480" w:firstLineChars="200"/>
              <w:rPr>
                <w:color w:val="auto"/>
                <w:sz w:val="24"/>
              </w:rPr>
            </w:pPr>
            <w:r>
              <w:rPr>
                <w:color w:val="auto"/>
                <w:sz w:val="24"/>
              </w:rPr>
              <w:t>本项目</w:t>
            </w:r>
            <w:r>
              <w:rPr>
                <w:rFonts w:hint="eastAsia"/>
                <w:color w:val="auto"/>
                <w:sz w:val="24"/>
                <w:lang w:eastAsia="zh-CN"/>
              </w:rPr>
              <w:t>水泥制品模具使用过程中会产生一定的破损量，破损量占</w:t>
            </w:r>
            <w:r>
              <w:rPr>
                <w:rFonts w:hint="eastAsia"/>
                <w:color w:val="auto"/>
                <w:sz w:val="24"/>
                <w:lang w:val="en-US" w:eastAsia="zh-CN"/>
              </w:rPr>
              <w:t>1%左右，模具用量约500t/a，</w:t>
            </w:r>
            <w:r>
              <w:rPr>
                <w:color w:val="auto"/>
                <w:sz w:val="24"/>
              </w:rPr>
              <w:t>预计</w:t>
            </w:r>
            <w:r>
              <w:rPr>
                <w:rFonts w:hint="eastAsia"/>
                <w:color w:val="auto"/>
                <w:sz w:val="24"/>
                <w:lang w:eastAsia="zh-CN"/>
              </w:rPr>
              <w:t>破损模具</w:t>
            </w:r>
            <w:r>
              <w:rPr>
                <w:color w:val="auto"/>
                <w:sz w:val="24"/>
              </w:rPr>
              <w:t>产生量约</w:t>
            </w:r>
            <w:r>
              <w:rPr>
                <w:rFonts w:hint="eastAsia"/>
                <w:color w:val="auto"/>
                <w:sz w:val="24"/>
                <w:lang w:val="en-US" w:eastAsia="zh-CN"/>
              </w:rPr>
              <w:t>5</w:t>
            </w:r>
            <w:r>
              <w:rPr>
                <w:color w:val="auto"/>
                <w:sz w:val="24"/>
              </w:rPr>
              <w:t>t/a，属于《一般固体废物分类与代码》（GB/T198-2020）中的“</w:t>
            </w:r>
            <w:r>
              <w:rPr>
                <w:rFonts w:hint="eastAsia"/>
                <w:color w:val="auto"/>
                <w:sz w:val="24"/>
              </w:rPr>
              <w:t>99其他废物</w:t>
            </w:r>
            <w:r>
              <w:rPr>
                <w:color w:val="auto"/>
                <w:sz w:val="24"/>
              </w:rPr>
              <w:t>”类别，废物代码为302-001-</w:t>
            </w:r>
            <w:r>
              <w:rPr>
                <w:rFonts w:hint="eastAsia"/>
                <w:color w:val="auto"/>
                <w:sz w:val="24"/>
              </w:rPr>
              <w:t>99</w:t>
            </w:r>
            <w:r>
              <w:rPr>
                <w:color w:val="auto"/>
                <w:sz w:val="24"/>
              </w:rPr>
              <w:t>，收集后</w:t>
            </w:r>
            <w:r>
              <w:rPr>
                <w:rFonts w:hint="eastAsia"/>
                <w:color w:val="auto"/>
                <w:sz w:val="24"/>
              </w:rPr>
              <w:t>外售物资回收单位</w:t>
            </w:r>
            <w:r>
              <w:rPr>
                <w:color w:val="auto"/>
                <w:sz w:val="24"/>
              </w:rPr>
              <w:t>。</w:t>
            </w:r>
          </w:p>
          <w:p w14:paraId="5390E947">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5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⑤</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eastAsia="zh-CN"/>
              </w:rPr>
              <w:t>不合格品</w:t>
            </w:r>
          </w:p>
          <w:p w14:paraId="69B44064">
            <w:pPr>
              <w:spacing w:line="360" w:lineRule="auto"/>
              <w:ind w:firstLine="480" w:firstLineChars="200"/>
              <w:rPr>
                <w:color w:val="auto"/>
                <w:sz w:val="24"/>
              </w:rPr>
            </w:pPr>
            <w:r>
              <w:rPr>
                <w:color w:val="auto"/>
                <w:sz w:val="24"/>
              </w:rPr>
              <w:t>本项目</w:t>
            </w:r>
            <w:r>
              <w:rPr>
                <w:rFonts w:hint="eastAsia"/>
                <w:color w:val="auto"/>
                <w:sz w:val="24"/>
                <w:lang w:eastAsia="zh-CN"/>
              </w:rPr>
              <w:t>生产过程中会产生一定量的不合格品，不合格品占产品总数量的</w:t>
            </w:r>
            <w:r>
              <w:rPr>
                <w:rFonts w:hint="eastAsia"/>
                <w:color w:val="auto"/>
                <w:sz w:val="24"/>
                <w:lang w:val="en-US" w:eastAsia="zh-CN"/>
              </w:rPr>
              <w:t>1%左右，项目设计产品产能为34.8万t/a，</w:t>
            </w:r>
            <w:r>
              <w:rPr>
                <w:color w:val="auto"/>
                <w:sz w:val="24"/>
              </w:rPr>
              <w:t>预计</w:t>
            </w:r>
            <w:r>
              <w:rPr>
                <w:rFonts w:hint="eastAsia"/>
                <w:color w:val="auto"/>
                <w:sz w:val="24"/>
                <w:lang w:eastAsia="zh-CN"/>
              </w:rPr>
              <w:t>不合格品</w:t>
            </w:r>
            <w:r>
              <w:rPr>
                <w:color w:val="auto"/>
                <w:sz w:val="24"/>
              </w:rPr>
              <w:t>产生量</w:t>
            </w:r>
            <w:r>
              <w:rPr>
                <w:rFonts w:hint="eastAsia"/>
                <w:color w:val="auto"/>
                <w:sz w:val="24"/>
                <w:lang w:val="en-US" w:eastAsia="zh-CN"/>
              </w:rPr>
              <w:t>3480</w:t>
            </w:r>
            <w:r>
              <w:rPr>
                <w:color w:val="auto"/>
                <w:sz w:val="24"/>
              </w:rPr>
              <w:t>t/a，属于《一般固体废物分类与代码》（GB/T198-2020）中的“</w:t>
            </w:r>
            <w:r>
              <w:rPr>
                <w:rFonts w:hint="eastAsia"/>
                <w:color w:val="auto"/>
                <w:sz w:val="24"/>
              </w:rPr>
              <w:t>99其他废物</w:t>
            </w:r>
            <w:r>
              <w:rPr>
                <w:color w:val="auto"/>
                <w:sz w:val="24"/>
              </w:rPr>
              <w:t>”类别，废物代码为302-001-</w:t>
            </w:r>
            <w:r>
              <w:rPr>
                <w:rFonts w:hint="eastAsia"/>
                <w:color w:val="auto"/>
                <w:sz w:val="24"/>
              </w:rPr>
              <w:t>99</w:t>
            </w:r>
            <w:r>
              <w:rPr>
                <w:color w:val="auto"/>
                <w:sz w:val="24"/>
              </w:rPr>
              <w:t>，收集后</w:t>
            </w:r>
            <w:r>
              <w:rPr>
                <w:rFonts w:hint="eastAsia"/>
                <w:color w:val="auto"/>
                <w:sz w:val="24"/>
              </w:rPr>
              <w:t>外售物资回收单位</w:t>
            </w:r>
            <w:r>
              <w:rPr>
                <w:color w:val="auto"/>
                <w:sz w:val="24"/>
              </w:rPr>
              <w:t>。</w:t>
            </w:r>
          </w:p>
          <w:p w14:paraId="4F0E77AB">
            <w:pPr>
              <w:pStyle w:val="77"/>
              <w:rPr>
                <w:color w:val="auto"/>
                <w:sz w:val="24"/>
              </w:rPr>
            </w:pPr>
            <w:r>
              <w:rPr>
                <w:color w:val="auto"/>
                <w:sz w:val="24"/>
              </w:rPr>
              <w:t>表</w:t>
            </w:r>
            <w:r>
              <w:rPr>
                <w:rFonts w:hint="eastAsia"/>
                <w:color w:val="auto"/>
                <w:sz w:val="24"/>
              </w:rPr>
              <w:t>4.5-1</w:t>
            </w:r>
            <w:r>
              <w:rPr>
                <w:color w:val="auto"/>
                <w:sz w:val="24"/>
              </w:rPr>
              <w:t xml:space="preserve"> </w:t>
            </w:r>
            <w:r>
              <w:rPr>
                <w:rFonts w:hint="eastAsia"/>
                <w:color w:val="auto"/>
                <w:sz w:val="24"/>
              </w:rPr>
              <w:t xml:space="preserve"> </w:t>
            </w:r>
            <w:r>
              <w:rPr>
                <w:color w:val="auto"/>
                <w:sz w:val="24"/>
              </w:rPr>
              <w:t>项目固废产生情况及处置方式一览表</w:t>
            </w:r>
          </w:p>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403"/>
              <w:gridCol w:w="735"/>
              <w:gridCol w:w="1033"/>
              <w:gridCol w:w="857"/>
              <w:gridCol w:w="795"/>
              <w:gridCol w:w="795"/>
              <w:gridCol w:w="2128"/>
            </w:tblGrid>
            <w:tr w14:paraId="1C9F5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6D3F165C">
                  <w:pPr>
                    <w:pStyle w:val="122"/>
                    <w:rPr>
                      <w:color w:val="auto"/>
                    </w:rPr>
                  </w:pPr>
                  <w:r>
                    <w:rPr>
                      <w:rFonts w:hint="eastAsia"/>
                      <w:color w:val="auto"/>
                    </w:rPr>
                    <w:t>序号</w:t>
                  </w:r>
                </w:p>
              </w:tc>
              <w:tc>
                <w:tcPr>
                  <w:tcW w:w="1403" w:type="dxa"/>
                  <w:tcBorders>
                    <w:tl2br w:val="nil"/>
                    <w:tr2bl w:val="nil"/>
                  </w:tcBorders>
                  <w:vAlign w:val="center"/>
                </w:tcPr>
                <w:p w14:paraId="5A3F1E05">
                  <w:pPr>
                    <w:pStyle w:val="122"/>
                    <w:rPr>
                      <w:color w:val="auto"/>
                    </w:rPr>
                  </w:pPr>
                  <w:r>
                    <w:rPr>
                      <w:color w:val="auto"/>
                    </w:rPr>
                    <w:t>固废种类</w:t>
                  </w:r>
                </w:p>
              </w:tc>
              <w:tc>
                <w:tcPr>
                  <w:tcW w:w="735" w:type="dxa"/>
                  <w:tcBorders>
                    <w:tl2br w:val="nil"/>
                    <w:tr2bl w:val="nil"/>
                  </w:tcBorders>
                  <w:vAlign w:val="center"/>
                </w:tcPr>
                <w:p w14:paraId="32C5FC5E">
                  <w:pPr>
                    <w:pStyle w:val="122"/>
                    <w:rPr>
                      <w:color w:val="auto"/>
                    </w:rPr>
                  </w:pPr>
                  <w:r>
                    <w:rPr>
                      <w:color w:val="auto"/>
                    </w:rPr>
                    <w:t>废物类别</w:t>
                  </w:r>
                </w:p>
              </w:tc>
              <w:tc>
                <w:tcPr>
                  <w:tcW w:w="1033" w:type="dxa"/>
                  <w:tcBorders>
                    <w:tl2br w:val="nil"/>
                    <w:tr2bl w:val="nil"/>
                  </w:tcBorders>
                  <w:vAlign w:val="center"/>
                </w:tcPr>
                <w:p w14:paraId="0C07F49A">
                  <w:pPr>
                    <w:pStyle w:val="122"/>
                    <w:rPr>
                      <w:color w:val="auto"/>
                    </w:rPr>
                  </w:pPr>
                  <w:r>
                    <w:rPr>
                      <w:rFonts w:hint="eastAsia"/>
                      <w:color w:val="auto"/>
                    </w:rPr>
                    <w:t>废物</w:t>
                  </w:r>
                </w:p>
                <w:p w14:paraId="480A18A0">
                  <w:pPr>
                    <w:pStyle w:val="122"/>
                    <w:rPr>
                      <w:color w:val="auto"/>
                    </w:rPr>
                  </w:pPr>
                  <w:r>
                    <w:rPr>
                      <w:rFonts w:hint="eastAsia"/>
                      <w:color w:val="auto"/>
                    </w:rPr>
                    <w:t>类别</w:t>
                  </w:r>
                </w:p>
              </w:tc>
              <w:tc>
                <w:tcPr>
                  <w:tcW w:w="857" w:type="dxa"/>
                  <w:tcBorders>
                    <w:tl2br w:val="nil"/>
                    <w:tr2bl w:val="nil"/>
                  </w:tcBorders>
                  <w:vAlign w:val="center"/>
                </w:tcPr>
                <w:p w14:paraId="7E37EF2D">
                  <w:pPr>
                    <w:pStyle w:val="122"/>
                    <w:rPr>
                      <w:color w:val="auto"/>
                    </w:rPr>
                  </w:pPr>
                  <w:r>
                    <w:rPr>
                      <w:rFonts w:hint="eastAsia"/>
                      <w:color w:val="auto"/>
                    </w:rPr>
                    <w:t>废物</w:t>
                  </w:r>
                </w:p>
                <w:p w14:paraId="7DBB2533">
                  <w:pPr>
                    <w:pStyle w:val="122"/>
                    <w:rPr>
                      <w:color w:val="auto"/>
                    </w:rPr>
                  </w:pPr>
                  <w:r>
                    <w:rPr>
                      <w:rFonts w:hint="eastAsia"/>
                      <w:color w:val="auto"/>
                    </w:rPr>
                    <w:t>代码</w:t>
                  </w:r>
                </w:p>
              </w:tc>
              <w:tc>
                <w:tcPr>
                  <w:tcW w:w="795" w:type="dxa"/>
                  <w:tcBorders>
                    <w:tl2br w:val="nil"/>
                    <w:tr2bl w:val="nil"/>
                  </w:tcBorders>
                  <w:vAlign w:val="center"/>
                </w:tcPr>
                <w:p w14:paraId="5889FDA4">
                  <w:pPr>
                    <w:pStyle w:val="122"/>
                    <w:rPr>
                      <w:color w:val="auto"/>
                    </w:rPr>
                  </w:pPr>
                  <w:r>
                    <w:rPr>
                      <w:color w:val="auto"/>
                    </w:rPr>
                    <w:t>产生量t/a</w:t>
                  </w:r>
                </w:p>
              </w:tc>
              <w:tc>
                <w:tcPr>
                  <w:tcW w:w="795" w:type="dxa"/>
                  <w:tcBorders>
                    <w:tl2br w:val="nil"/>
                    <w:tr2bl w:val="nil"/>
                  </w:tcBorders>
                  <w:vAlign w:val="center"/>
                </w:tcPr>
                <w:p w14:paraId="4E7D7BAE">
                  <w:pPr>
                    <w:pStyle w:val="122"/>
                    <w:rPr>
                      <w:color w:val="auto"/>
                    </w:rPr>
                  </w:pPr>
                  <w:r>
                    <w:rPr>
                      <w:color w:val="auto"/>
                    </w:rPr>
                    <w:t>排放量t/a</w:t>
                  </w:r>
                </w:p>
              </w:tc>
              <w:tc>
                <w:tcPr>
                  <w:tcW w:w="2128" w:type="dxa"/>
                  <w:tcBorders>
                    <w:tl2br w:val="nil"/>
                    <w:tr2bl w:val="nil"/>
                  </w:tcBorders>
                  <w:vAlign w:val="center"/>
                </w:tcPr>
                <w:p w14:paraId="294B08D4">
                  <w:pPr>
                    <w:pStyle w:val="122"/>
                    <w:rPr>
                      <w:color w:val="auto"/>
                    </w:rPr>
                  </w:pPr>
                  <w:r>
                    <w:rPr>
                      <w:color w:val="auto"/>
                    </w:rPr>
                    <w:t>最终处置方式</w:t>
                  </w:r>
                </w:p>
              </w:tc>
            </w:tr>
            <w:tr w14:paraId="70B49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58" w:type="dxa"/>
                  <w:tcBorders>
                    <w:tl2br w:val="nil"/>
                    <w:tr2bl w:val="nil"/>
                  </w:tcBorders>
                  <w:vAlign w:val="center"/>
                </w:tcPr>
                <w:p w14:paraId="37DE41E2">
                  <w:pPr>
                    <w:pStyle w:val="122"/>
                    <w:rPr>
                      <w:color w:val="auto"/>
                    </w:rPr>
                  </w:pPr>
                  <w:r>
                    <w:rPr>
                      <w:rFonts w:hint="eastAsia"/>
                      <w:color w:val="auto"/>
                    </w:rPr>
                    <w:t>1</w:t>
                  </w:r>
                </w:p>
              </w:tc>
              <w:tc>
                <w:tcPr>
                  <w:tcW w:w="1403" w:type="dxa"/>
                  <w:tcBorders>
                    <w:tl2br w:val="nil"/>
                    <w:tr2bl w:val="nil"/>
                  </w:tcBorders>
                  <w:vAlign w:val="center"/>
                </w:tcPr>
                <w:p w14:paraId="0A0732AE">
                  <w:pPr>
                    <w:pStyle w:val="122"/>
                    <w:rPr>
                      <w:color w:val="auto"/>
                    </w:rPr>
                  </w:pPr>
                  <w:r>
                    <w:rPr>
                      <w:color w:val="auto"/>
                    </w:rPr>
                    <w:t>生活垃圾</w:t>
                  </w:r>
                </w:p>
              </w:tc>
              <w:tc>
                <w:tcPr>
                  <w:tcW w:w="735" w:type="dxa"/>
                  <w:tcBorders>
                    <w:tl2br w:val="nil"/>
                    <w:tr2bl w:val="nil"/>
                  </w:tcBorders>
                  <w:vAlign w:val="center"/>
                </w:tcPr>
                <w:p w14:paraId="513CEEB2">
                  <w:pPr>
                    <w:pStyle w:val="122"/>
                    <w:rPr>
                      <w:color w:val="auto"/>
                    </w:rPr>
                  </w:pPr>
                  <w:r>
                    <w:rPr>
                      <w:color w:val="auto"/>
                    </w:rPr>
                    <w:t>生活垃圾</w:t>
                  </w:r>
                </w:p>
              </w:tc>
              <w:tc>
                <w:tcPr>
                  <w:tcW w:w="1033" w:type="dxa"/>
                  <w:tcBorders>
                    <w:tl2br w:val="nil"/>
                    <w:tr2bl w:val="nil"/>
                  </w:tcBorders>
                  <w:vAlign w:val="center"/>
                </w:tcPr>
                <w:p w14:paraId="63496804">
                  <w:pPr>
                    <w:pStyle w:val="122"/>
                    <w:rPr>
                      <w:color w:val="auto"/>
                    </w:rPr>
                  </w:pPr>
                  <w:r>
                    <w:rPr>
                      <w:rFonts w:hint="eastAsia"/>
                      <w:color w:val="auto"/>
                    </w:rPr>
                    <w:t>/</w:t>
                  </w:r>
                </w:p>
              </w:tc>
              <w:tc>
                <w:tcPr>
                  <w:tcW w:w="857" w:type="dxa"/>
                  <w:tcBorders>
                    <w:tl2br w:val="nil"/>
                    <w:tr2bl w:val="nil"/>
                  </w:tcBorders>
                  <w:vAlign w:val="center"/>
                </w:tcPr>
                <w:p w14:paraId="0853586C">
                  <w:pPr>
                    <w:pStyle w:val="122"/>
                    <w:rPr>
                      <w:color w:val="auto"/>
                    </w:rPr>
                  </w:pPr>
                  <w:r>
                    <w:rPr>
                      <w:rFonts w:hint="eastAsia"/>
                      <w:color w:val="auto"/>
                    </w:rPr>
                    <w:t>/</w:t>
                  </w:r>
                </w:p>
              </w:tc>
              <w:tc>
                <w:tcPr>
                  <w:tcW w:w="795" w:type="dxa"/>
                  <w:tcBorders>
                    <w:tl2br w:val="nil"/>
                    <w:tr2bl w:val="nil"/>
                  </w:tcBorders>
                  <w:shd w:val="clear" w:color="auto" w:fill="auto"/>
                  <w:vAlign w:val="center"/>
                </w:tcPr>
                <w:p w14:paraId="23D6924B">
                  <w:pPr>
                    <w:pStyle w:val="122"/>
                    <w:rPr>
                      <w:color w:val="auto"/>
                    </w:rPr>
                  </w:pPr>
                  <w:r>
                    <w:rPr>
                      <w:rFonts w:hint="eastAsia"/>
                      <w:color w:val="auto"/>
                    </w:rPr>
                    <w:t>16.5</w:t>
                  </w:r>
                </w:p>
              </w:tc>
              <w:tc>
                <w:tcPr>
                  <w:tcW w:w="795" w:type="dxa"/>
                  <w:tcBorders>
                    <w:tl2br w:val="nil"/>
                    <w:tr2bl w:val="nil"/>
                  </w:tcBorders>
                  <w:vAlign w:val="center"/>
                </w:tcPr>
                <w:p w14:paraId="6799FBD2">
                  <w:pPr>
                    <w:pStyle w:val="122"/>
                    <w:rPr>
                      <w:color w:val="auto"/>
                    </w:rPr>
                  </w:pPr>
                  <w:r>
                    <w:rPr>
                      <w:color w:val="auto"/>
                    </w:rPr>
                    <w:t>0</w:t>
                  </w:r>
                </w:p>
              </w:tc>
              <w:tc>
                <w:tcPr>
                  <w:tcW w:w="2128" w:type="dxa"/>
                  <w:tcBorders>
                    <w:tl2br w:val="nil"/>
                    <w:tr2bl w:val="nil"/>
                  </w:tcBorders>
                  <w:vAlign w:val="center"/>
                </w:tcPr>
                <w:p w14:paraId="5D167799">
                  <w:pPr>
                    <w:pStyle w:val="122"/>
                    <w:rPr>
                      <w:color w:val="auto"/>
                    </w:rPr>
                  </w:pPr>
                  <w:r>
                    <w:rPr>
                      <w:color w:val="auto"/>
                    </w:rPr>
                    <w:t>经生活垃圾桶分类收集后委托环卫部门统一清运处理</w:t>
                  </w:r>
                </w:p>
              </w:tc>
            </w:tr>
            <w:tr w14:paraId="70C87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6108EAB0">
                  <w:pPr>
                    <w:pStyle w:val="122"/>
                    <w:rPr>
                      <w:color w:val="auto"/>
                    </w:rPr>
                  </w:pPr>
                  <w:r>
                    <w:rPr>
                      <w:rFonts w:hint="eastAsia"/>
                      <w:color w:val="auto"/>
                    </w:rPr>
                    <w:t>2</w:t>
                  </w:r>
                </w:p>
              </w:tc>
              <w:tc>
                <w:tcPr>
                  <w:tcW w:w="1403" w:type="dxa"/>
                  <w:tcBorders>
                    <w:tl2br w:val="nil"/>
                    <w:tr2bl w:val="nil"/>
                  </w:tcBorders>
                  <w:vAlign w:val="center"/>
                </w:tcPr>
                <w:p w14:paraId="74F483AF">
                  <w:pPr>
                    <w:pStyle w:val="122"/>
                    <w:rPr>
                      <w:color w:val="auto"/>
                    </w:rPr>
                  </w:pPr>
                  <w:r>
                    <w:rPr>
                      <w:rFonts w:hint="eastAsia"/>
                      <w:color w:val="auto"/>
                    </w:rPr>
                    <w:t>沉淀池沉渣</w:t>
                  </w:r>
                </w:p>
              </w:tc>
              <w:tc>
                <w:tcPr>
                  <w:tcW w:w="735" w:type="dxa"/>
                  <w:vMerge w:val="restart"/>
                  <w:tcBorders>
                    <w:tl2br w:val="nil"/>
                    <w:tr2bl w:val="nil"/>
                  </w:tcBorders>
                  <w:vAlign w:val="center"/>
                </w:tcPr>
                <w:p w14:paraId="2EC3E194">
                  <w:pPr>
                    <w:pStyle w:val="122"/>
                    <w:rPr>
                      <w:color w:val="auto"/>
                    </w:rPr>
                  </w:pPr>
                  <w:r>
                    <w:rPr>
                      <w:rFonts w:hint="eastAsia"/>
                      <w:color w:val="auto"/>
                    </w:rPr>
                    <w:t>一般固废</w:t>
                  </w:r>
                </w:p>
              </w:tc>
              <w:tc>
                <w:tcPr>
                  <w:tcW w:w="1033" w:type="dxa"/>
                  <w:tcBorders>
                    <w:tl2br w:val="nil"/>
                    <w:tr2bl w:val="nil"/>
                  </w:tcBorders>
                  <w:shd w:val="clear" w:color="auto" w:fill="auto"/>
                  <w:vAlign w:val="center"/>
                </w:tcPr>
                <w:p w14:paraId="49E66EF8">
                  <w:pPr>
                    <w:pStyle w:val="122"/>
                    <w:rPr>
                      <w:color w:val="auto"/>
                    </w:rPr>
                  </w:pPr>
                  <w:r>
                    <w:rPr>
                      <w:color w:val="auto"/>
                    </w:rPr>
                    <w:t>61无机废水污泥</w:t>
                  </w:r>
                </w:p>
              </w:tc>
              <w:tc>
                <w:tcPr>
                  <w:tcW w:w="857" w:type="dxa"/>
                  <w:tcBorders>
                    <w:tl2br w:val="nil"/>
                    <w:tr2bl w:val="nil"/>
                  </w:tcBorders>
                  <w:vAlign w:val="center"/>
                </w:tcPr>
                <w:p w14:paraId="448B2456">
                  <w:pPr>
                    <w:pStyle w:val="122"/>
                    <w:rPr>
                      <w:color w:val="auto"/>
                    </w:rPr>
                  </w:pPr>
                  <w:r>
                    <w:rPr>
                      <w:rFonts w:hint="eastAsia"/>
                      <w:color w:val="auto"/>
                    </w:rPr>
                    <w:t>302-001-61</w:t>
                  </w:r>
                </w:p>
              </w:tc>
              <w:tc>
                <w:tcPr>
                  <w:tcW w:w="795" w:type="dxa"/>
                  <w:tcBorders>
                    <w:tl2br w:val="nil"/>
                    <w:tr2bl w:val="nil"/>
                  </w:tcBorders>
                  <w:shd w:val="clear" w:color="auto" w:fill="auto"/>
                  <w:vAlign w:val="center"/>
                </w:tcPr>
                <w:p w14:paraId="271CB48A">
                  <w:pPr>
                    <w:pStyle w:val="122"/>
                    <w:rPr>
                      <w:color w:val="auto"/>
                    </w:rPr>
                  </w:pPr>
                  <w:r>
                    <w:rPr>
                      <w:rFonts w:hint="eastAsia"/>
                      <w:color w:val="auto"/>
                    </w:rPr>
                    <w:t>15</w:t>
                  </w:r>
                </w:p>
              </w:tc>
              <w:tc>
                <w:tcPr>
                  <w:tcW w:w="795" w:type="dxa"/>
                  <w:tcBorders>
                    <w:tl2br w:val="nil"/>
                    <w:tr2bl w:val="nil"/>
                  </w:tcBorders>
                  <w:vAlign w:val="center"/>
                </w:tcPr>
                <w:p w14:paraId="743EFC04">
                  <w:pPr>
                    <w:pStyle w:val="122"/>
                    <w:rPr>
                      <w:color w:val="auto"/>
                    </w:rPr>
                  </w:pPr>
                  <w:r>
                    <w:rPr>
                      <w:rFonts w:hint="eastAsia"/>
                      <w:color w:val="auto"/>
                    </w:rPr>
                    <w:t>0</w:t>
                  </w:r>
                </w:p>
              </w:tc>
              <w:tc>
                <w:tcPr>
                  <w:tcW w:w="2128" w:type="dxa"/>
                  <w:tcBorders>
                    <w:tl2br w:val="nil"/>
                    <w:tr2bl w:val="nil"/>
                  </w:tcBorders>
                  <w:vAlign w:val="center"/>
                </w:tcPr>
                <w:p w14:paraId="5FC6C82D">
                  <w:pPr>
                    <w:pStyle w:val="122"/>
                    <w:rPr>
                      <w:color w:val="auto"/>
                    </w:rPr>
                  </w:pPr>
                  <w:r>
                    <w:rPr>
                      <w:rFonts w:hint="eastAsia"/>
                      <w:color w:val="auto"/>
                    </w:rPr>
                    <w:t>妥善收集后回用生产</w:t>
                  </w:r>
                </w:p>
              </w:tc>
            </w:tr>
            <w:tr w14:paraId="162EF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4DD7A7E6">
                  <w:pPr>
                    <w:pStyle w:val="122"/>
                    <w:rPr>
                      <w:color w:val="auto"/>
                    </w:rPr>
                  </w:pPr>
                  <w:r>
                    <w:rPr>
                      <w:rFonts w:hint="eastAsia"/>
                      <w:color w:val="auto"/>
                    </w:rPr>
                    <w:t>3</w:t>
                  </w:r>
                </w:p>
              </w:tc>
              <w:tc>
                <w:tcPr>
                  <w:tcW w:w="1403" w:type="dxa"/>
                  <w:tcBorders>
                    <w:tl2br w:val="nil"/>
                    <w:tr2bl w:val="nil"/>
                  </w:tcBorders>
                  <w:vAlign w:val="center"/>
                </w:tcPr>
                <w:p w14:paraId="32CFF99C">
                  <w:pPr>
                    <w:pStyle w:val="122"/>
                    <w:rPr>
                      <w:color w:val="auto"/>
                    </w:rPr>
                  </w:pPr>
                  <w:r>
                    <w:rPr>
                      <w:rFonts w:hint="eastAsia"/>
                      <w:color w:val="auto"/>
                    </w:rPr>
                    <w:t>钢筋边角料</w:t>
                  </w:r>
                </w:p>
              </w:tc>
              <w:tc>
                <w:tcPr>
                  <w:tcW w:w="735" w:type="dxa"/>
                  <w:vMerge w:val="continue"/>
                  <w:tcBorders>
                    <w:tl2br w:val="nil"/>
                    <w:tr2bl w:val="nil"/>
                  </w:tcBorders>
                  <w:vAlign w:val="center"/>
                </w:tcPr>
                <w:p w14:paraId="517D7989">
                  <w:pPr>
                    <w:pStyle w:val="122"/>
                    <w:rPr>
                      <w:color w:val="auto"/>
                    </w:rPr>
                  </w:pPr>
                </w:p>
              </w:tc>
              <w:tc>
                <w:tcPr>
                  <w:tcW w:w="1033" w:type="dxa"/>
                  <w:tcBorders>
                    <w:tl2br w:val="nil"/>
                    <w:tr2bl w:val="nil"/>
                  </w:tcBorders>
                  <w:shd w:val="clear" w:color="auto" w:fill="auto"/>
                  <w:vAlign w:val="center"/>
                </w:tcPr>
                <w:p w14:paraId="4D183B82">
                  <w:pPr>
                    <w:pStyle w:val="122"/>
                    <w:rPr>
                      <w:color w:val="auto"/>
                    </w:rPr>
                  </w:pPr>
                  <w:r>
                    <w:rPr>
                      <w:color w:val="auto"/>
                    </w:rPr>
                    <w:t>07废钢铁</w:t>
                  </w:r>
                </w:p>
              </w:tc>
              <w:tc>
                <w:tcPr>
                  <w:tcW w:w="857" w:type="dxa"/>
                  <w:tcBorders>
                    <w:tl2br w:val="nil"/>
                    <w:tr2bl w:val="nil"/>
                  </w:tcBorders>
                  <w:vAlign w:val="center"/>
                </w:tcPr>
                <w:p w14:paraId="2D7999B7">
                  <w:pPr>
                    <w:pStyle w:val="122"/>
                    <w:rPr>
                      <w:color w:val="auto"/>
                    </w:rPr>
                  </w:pPr>
                  <w:r>
                    <w:rPr>
                      <w:rFonts w:hint="eastAsia"/>
                      <w:color w:val="auto"/>
                    </w:rPr>
                    <w:t>302-001-07</w:t>
                  </w:r>
                </w:p>
              </w:tc>
              <w:tc>
                <w:tcPr>
                  <w:tcW w:w="795" w:type="dxa"/>
                  <w:tcBorders>
                    <w:tl2br w:val="nil"/>
                    <w:tr2bl w:val="nil"/>
                  </w:tcBorders>
                  <w:shd w:val="clear" w:color="auto" w:fill="auto"/>
                  <w:vAlign w:val="center"/>
                </w:tcPr>
                <w:p w14:paraId="1E9C84C5">
                  <w:pPr>
                    <w:pStyle w:val="122"/>
                    <w:rPr>
                      <w:color w:val="auto"/>
                    </w:rPr>
                  </w:pPr>
                  <w:r>
                    <w:rPr>
                      <w:rFonts w:hint="eastAsia"/>
                      <w:color w:val="auto"/>
                    </w:rPr>
                    <w:t>11</w:t>
                  </w:r>
                </w:p>
              </w:tc>
              <w:tc>
                <w:tcPr>
                  <w:tcW w:w="795" w:type="dxa"/>
                  <w:tcBorders>
                    <w:tl2br w:val="nil"/>
                    <w:tr2bl w:val="nil"/>
                  </w:tcBorders>
                  <w:vAlign w:val="center"/>
                </w:tcPr>
                <w:p w14:paraId="6E55EEF1">
                  <w:pPr>
                    <w:pStyle w:val="122"/>
                    <w:rPr>
                      <w:color w:val="auto"/>
                    </w:rPr>
                  </w:pPr>
                  <w:r>
                    <w:rPr>
                      <w:rFonts w:hint="eastAsia"/>
                      <w:color w:val="auto"/>
                    </w:rPr>
                    <w:t>0</w:t>
                  </w:r>
                </w:p>
              </w:tc>
              <w:tc>
                <w:tcPr>
                  <w:tcW w:w="2128" w:type="dxa"/>
                  <w:vMerge w:val="restart"/>
                  <w:tcBorders>
                    <w:tl2br w:val="nil"/>
                    <w:tr2bl w:val="nil"/>
                  </w:tcBorders>
                  <w:vAlign w:val="center"/>
                </w:tcPr>
                <w:p w14:paraId="0E423793">
                  <w:pPr>
                    <w:pStyle w:val="122"/>
                    <w:rPr>
                      <w:color w:val="auto"/>
                    </w:rPr>
                  </w:pPr>
                  <w:r>
                    <w:rPr>
                      <w:rFonts w:hint="eastAsia"/>
                      <w:color w:val="auto"/>
                    </w:rPr>
                    <w:t>分类收集暂存于一般固废暂存区，外售物资回收单位</w:t>
                  </w:r>
                </w:p>
              </w:tc>
            </w:tr>
            <w:tr w14:paraId="670EF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0B442BDA">
                  <w:pPr>
                    <w:pStyle w:val="122"/>
                    <w:rPr>
                      <w:color w:val="auto"/>
                    </w:rPr>
                  </w:pPr>
                  <w:r>
                    <w:rPr>
                      <w:rFonts w:hint="eastAsia"/>
                      <w:color w:val="auto"/>
                    </w:rPr>
                    <w:t>4</w:t>
                  </w:r>
                </w:p>
              </w:tc>
              <w:tc>
                <w:tcPr>
                  <w:tcW w:w="1403" w:type="dxa"/>
                  <w:tcBorders>
                    <w:tl2br w:val="nil"/>
                    <w:tr2bl w:val="nil"/>
                  </w:tcBorders>
                  <w:vAlign w:val="center"/>
                </w:tcPr>
                <w:p w14:paraId="0AFA71D7">
                  <w:pPr>
                    <w:pStyle w:val="122"/>
                    <w:rPr>
                      <w:color w:val="auto"/>
                    </w:rPr>
                  </w:pPr>
                  <w:r>
                    <w:rPr>
                      <w:rFonts w:hint="eastAsia"/>
                      <w:color w:val="auto"/>
                    </w:rPr>
                    <w:t>焊渣</w:t>
                  </w:r>
                </w:p>
              </w:tc>
              <w:tc>
                <w:tcPr>
                  <w:tcW w:w="735" w:type="dxa"/>
                  <w:vMerge w:val="continue"/>
                  <w:tcBorders>
                    <w:tl2br w:val="nil"/>
                    <w:tr2bl w:val="nil"/>
                  </w:tcBorders>
                  <w:vAlign w:val="center"/>
                </w:tcPr>
                <w:p w14:paraId="6100D636">
                  <w:pPr>
                    <w:pStyle w:val="122"/>
                    <w:rPr>
                      <w:color w:val="auto"/>
                    </w:rPr>
                  </w:pPr>
                </w:p>
              </w:tc>
              <w:tc>
                <w:tcPr>
                  <w:tcW w:w="1033" w:type="dxa"/>
                  <w:tcBorders>
                    <w:tl2br w:val="nil"/>
                    <w:tr2bl w:val="nil"/>
                  </w:tcBorders>
                  <w:shd w:val="clear" w:color="auto" w:fill="auto"/>
                  <w:vAlign w:val="center"/>
                </w:tcPr>
                <w:p w14:paraId="0B90E6AD">
                  <w:pPr>
                    <w:pStyle w:val="122"/>
                    <w:rPr>
                      <w:color w:val="auto"/>
                    </w:rPr>
                  </w:pPr>
                  <w:r>
                    <w:rPr>
                      <w:color w:val="auto"/>
                    </w:rPr>
                    <w:t>99其他废物</w:t>
                  </w:r>
                </w:p>
              </w:tc>
              <w:tc>
                <w:tcPr>
                  <w:tcW w:w="857" w:type="dxa"/>
                  <w:tcBorders>
                    <w:tl2br w:val="nil"/>
                    <w:tr2bl w:val="nil"/>
                  </w:tcBorders>
                  <w:vAlign w:val="center"/>
                </w:tcPr>
                <w:p w14:paraId="07638C77">
                  <w:pPr>
                    <w:pStyle w:val="122"/>
                    <w:rPr>
                      <w:color w:val="auto"/>
                    </w:rPr>
                  </w:pPr>
                  <w:r>
                    <w:rPr>
                      <w:rFonts w:hint="eastAsia"/>
                      <w:color w:val="auto"/>
                    </w:rPr>
                    <w:t>302-001-99</w:t>
                  </w:r>
                </w:p>
              </w:tc>
              <w:tc>
                <w:tcPr>
                  <w:tcW w:w="795" w:type="dxa"/>
                  <w:tcBorders>
                    <w:tl2br w:val="nil"/>
                    <w:tr2bl w:val="nil"/>
                  </w:tcBorders>
                  <w:shd w:val="clear" w:color="auto" w:fill="auto"/>
                  <w:vAlign w:val="center"/>
                </w:tcPr>
                <w:p w14:paraId="6E83C3CC">
                  <w:pPr>
                    <w:pStyle w:val="122"/>
                    <w:rPr>
                      <w:color w:val="auto"/>
                    </w:rPr>
                  </w:pPr>
                  <w:r>
                    <w:rPr>
                      <w:rFonts w:hint="eastAsia"/>
                      <w:color w:val="auto"/>
                    </w:rPr>
                    <w:t>0.04</w:t>
                  </w:r>
                </w:p>
              </w:tc>
              <w:tc>
                <w:tcPr>
                  <w:tcW w:w="795" w:type="dxa"/>
                  <w:tcBorders>
                    <w:tl2br w:val="nil"/>
                    <w:tr2bl w:val="nil"/>
                  </w:tcBorders>
                  <w:vAlign w:val="center"/>
                </w:tcPr>
                <w:p w14:paraId="6651A457">
                  <w:pPr>
                    <w:pStyle w:val="122"/>
                    <w:rPr>
                      <w:color w:val="auto"/>
                    </w:rPr>
                  </w:pPr>
                  <w:r>
                    <w:rPr>
                      <w:rFonts w:hint="eastAsia"/>
                      <w:color w:val="auto"/>
                    </w:rPr>
                    <w:t>0</w:t>
                  </w:r>
                </w:p>
              </w:tc>
              <w:tc>
                <w:tcPr>
                  <w:tcW w:w="2128" w:type="dxa"/>
                  <w:vMerge w:val="continue"/>
                  <w:tcBorders>
                    <w:tl2br w:val="nil"/>
                    <w:tr2bl w:val="nil"/>
                  </w:tcBorders>
                  <w:vAlign w:val="center"/>
                </w:tcPr>
                <w:p w14:paraId="119335B2">
                  <w:pPr>
                    <w:pStyle w:val="122"/>
                    <w:rPr>
                      <w:color w:val="auto"/>
                    </w:rPr>
                  </w:pPr>
                </w:p>
              </w:tc>
            </w:tr>
            <w:tr w14:paraId="3A33D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5C897911">
                  <w:pPr>
                    <w:pStyle w:val="122"/>
                    <w:rPr>
                      <w:rFonts w:hint="eastAsia" w:eastAsia="宋体"/>
                      <w:color w:val="auto"/>
                      <w:lang w:val="en-US" w:eastAsia="zh-CN"/>
                    </w:rPr>
                  </w:pPr>
                  <w:r>
                    <w:rPr>
                      <w:rFonts w:hint="eastAsia"/>
                      <w:color w:val="auto"/>
                      <w:lang w:val="en-US" w:eastAsia="zh-CN"/>
                    </w:rPr>
                    <w:t>5</w:t>
                  </w:r>
                </w:p>
              </w:tc>
              <w:tc>
                <w:tcPr>
                  <w:tcW w:w="1403" w:type="dxa"/>
                  <w:tcBorders>
                    <w:tl2br w:val="nil"/>
                    <w:tr2bl w:val="nil"/>
                  </w:tcBorders>
                  <w:vAlign w:val="center"/>
                </w:tcPr>
                <w:p w14:paraId="61A1D7D9">
                  <w:pPr>
                    <w:pStyle w:val="122"/>
                    <w:rPr>
                      <w:rFonts w:hint="default" w:eastAsia="宋体"/>
                      <w:color w:val="auto"/>
                      <w:lang w:val="en-US" w:eastAsia="zh-CN"/>
                    </w:rPr>
                  </w:pPr>
                  <w:r>
                    <w:rPr>
                      <w:rFonts w:hint="eastAsia"/>
                      <w:color w:val="auto"/>
                      <w:lang w:val="en-US" w:eastAsia="zh-CN"/>
                    </w:rPr>
                    <w:t>破损模具</w:t>
                  </w:r>
                </w:p>
              </w:tc>
              <w:tc>
                <w:tcPr>
                  <w:tcW w:w="735" w:type="dxa"/>
                  <w:vMerge w:val="continue"/>
                  <w:tcBorders>
                    <w:tl2br w:val="nil"/>
                    <w:tr2bl w:val="nil"/>
                  </w:tcBorders>
                  <w:vAlign w:val="center"/>
                </w:tcPr>
                <w:p w14:paraId="30C71266">
                  <w:pPr>
                    <w:pStyle w:val="122"/>
                    <w:rPr>
                      <w:color w:val="auto"/>
                    </w:rPr>
                  </w:pPr>
                </w:p>
              </w:tc>
              <w:tc>
                <w:tcPr>
                  <w:tcW w:w="1033" w:type="dxa"/>
                  <w:tcBorders>
                    <w:tl2br w:val="nil"/>
                    <w:tr2bl w:val="nil"/>
                  </w:tcBorders>
                  <w:shd w:val="clear" w:color="auto" w:fill="auto"/>
                  <w:vAlign w:val="center"/>
                </w:tcPr>
                <w:p w14:paraId="74F30AB4">
                  <w:pPr>
                    <w:pStyle w:val="122"/>
                    <w:rPr>
                      <w:rFonts w:ascii="Times New Roman" w:hAnsi="Times New Roman" w:eastAsia="宋体" w:cs="Times New Roman"/>
                      <w:color w:val="auto"/>
                      <w:kern w:val="2"/>
                      <w:sz w:val="21"/>
                      <w:szCs w:val="24"/>
                      <w:lang w:val="en-US" w:eastAsia="zh-CN" w:bidi="ar-SA"/>
                    </w:rPr>
                  </w:pPr>
                  <w:r>
                    <w:rPr>
                      <w:color w:val="auto"/>
                    </w:rPr>
                    <w:t>99其他废物</w:t>
                  </w:r>
                </w:p>
              </w:tc>
              <w:tc>
                <w:tcPr>
                  <w:tcW w:w="857" w:type="dxa"/>
                  <w:tcBorders>
                    <w:tl2br w:val="nil"/>
                    <w:tr2bl w:val="nil"/>
                  </w:tcBorders>
                  <w:shd w:val="clear" w:color="auto" w:fill="auto"/>
                  <w:vAlign w:val="center"/>
                </w:tcPr>
                <w:p w14:paraId="4D70218A">
                  <w:pPr>
                    <w:pStyle w:val="122"/>
                    <w:rPr>
                      <w:rFonts w:hint="eastAsia" w:ascii="Times New Roman" w:hAnsi="Times New Roman" w:eastAsia="宋体" w:cs="Times New Roman"/>
                      <w:color w:val="auto"/>
                      <w:kern w:val="2"/>
                      <w:sz w:val="21"/>
                      <w:szCs w:val="24"/>
                      <w:lang w:val="en-US" w:eastAsia="zh-CN" w:bidi="ar-SA"/>
                    </w:rPr>
                  </w:pPr>
                  <w:r>
                    <w:rPr>
                      <w:rFonts w:hint="eastAsia"/>
                      <w:color w:val="auto"/>
                    </w:rPr>
                    <w:t>302-001-99</w:t>
                  </w:r>
                </w:p>
              </w:tc>
              <w:tc>
                <w:tcPr>
                  <w:tcW w:w="795" w:type="dxa"/>
                  <w:tcBorders>
                    <w:tl2br w:val="nil"/>
                    <w:tr2bl w:val="nil"/>
                  </w:tcBorders>
                  <w:shd w:val="clear" w:color="auto" w:fill="auto"/>
                  <w:vAlign w:val="center"/>
                </w:tcPr>
                <w:p w14:paraId="269B2EF1">
                  <w:pPr>
                    <w:pStyle w:val="122"/>
                    <w:rPr>
                      <w:rFonts w:hint="eastAsia" w:eastAsia="宋体"/>
                      <w:color w:val="auto"/>
                      <w:lang w:val="en-US" w:eastAsia="zh-CN"/>
                    </w:rPr>
                  </w:pPr>
                  <w:r>
                    <w:rPr>
                      <w:rFonts w:hint="eastAsia"/>
                      <w:color w:val="auto"/>
                      <w:lang w:val="en-US" w:eastAsia="zh-CN"/>
                    </w:rPr>
                    <w:t>5</w:t>
                  </w:r>
                </w:p>
              </w:tc>
              <w:tc>
                <w:tcPr>
                  <w:tcW w:w="795" w:type="dxa"/>
                  <w:tcBorders>
                    <w:tl2br w:val="nil"/>
                    <w:tr2bl w:val="nil"/>
                  </w:tcBorders>
                  <w:vAlign w:val="center"/>
                </w:tcPr>
                <w:p w14:paraId="6FFDBBED">
                  <w:pPr>
                    <w:pStyle w:val="122"/>
                    <w:rPr>
                      <w:rFonts w:hint="eastAsia"/>
                      <w:color w:val="auto"/>
                    </w:rPr>
                  </w:pPr>
                  <w:r>
                    <w:rPr>
                      <w:rFonts w:hint="eastAsia"/>
                      <w:color w:val="auto"/>
                    </w:rPr>
                    <w:t>0</w:t>
                  </w:r>
                </w:p>
              </w:tc>
              <w:tc>
                <w:tcPr>
                  <w:tcW w:w="2128" w:type="dxa"/>
                  <w:vMerge w:val="continue"/>
                  <w:tcBorders>
                    <w:tl2br w:val="nil"/>
                    <w:tr2bl w:val="nil"/>
                  </w:tcBorders>
                  <w:vAlign w:val="center"/>
                </w:tcPr>
                <w:p w14:paraId="1B8424B4">
                  <w:pPr>
                    <w:pStyle w:val="122"/>
                    <w:rPr>
                      <w:color w:val="auto"/>
                    </w:rPr>
                  </w:pPr>
                </w:p>
              </w:tc>
            </w:tr>
            <w:tr w14:paraId="2E472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462DF538">
                  <w:pPr>
                    <w:pStyle w:val="122"/>
                    <w:rPr>
                      <w:rFonts w:hint="eastAsia" w:eastAsia="宋体"/>
                      <w:color w:val="auto"/>
                      <w:lang w:val="en-US" w:eastAsia="zh-CN"/>
                    </w:rPr>
                  </w:pPr>
                  <w:r>
                    <w:rPr>
                      <w:rFonts w:hint="eastAsia"/>
                      <w:color w:val="auto"/>
                      <w:lang w:val="en-US" w:eastAsia="zh-CN"/>
                    </w:rPr>
                    <w:t>6</w:t>
                  </w:r>
                </w:p>
              </w:tc>
              <w:tc>
                <w:tcPr>
                  <w:tcW w:w="1403" w:type="dxa"/>
                  <w:tcBorders>
                    <w:tl2br w:val="nil"/>
                    <w:tr2bl w:val="nil"/>
                  </w:tcBorders>
                  <w:vAlign w:val="center"/>
                </w:tcPr>
                <w:p w14:paraId="7EDF07FB">
                  <w:pPr>
                    <w:pStyle w:val="122"/>
                    <w:rPr>
                      <w:rFonts w:hint="eastAsia" w:eastAsia="宋体"/>
                      <w:color w:val="auto"/>
                      <w:lang w:eastAsia="zh-CN"/>
                    </w:rPr>
                  </w:pPr>
                  <w:r>
                    <w:rPr>
                      <w:rFonts w:hint="eastAsia"/>
                      <w:color w:val="auto"/>
                      <w:lang w:eastAsia="zh-CN"/>
                    </w:rPr>
                    <w:t>不合格品</w:t>
                  </w:r>
                </w:p>
              </w:tc>
              <w:tc>
                <w:tcPr>
                  <w:tcW w:w="735" w:type="dxa"/>
                  <w:vMerge w:val="continue"/>
                  <w:tcBorders>
                    <w:tl2br w:val="nil"/>
                    <w:tr2bl w:val="nil"/>
                  </w:tcBorders>
                  <w:vAlign w:val="center"/>
                </w:tcPr>
                <w:p w14:paraId="5FE55D99">
                  <w:pPr>
                    <w:pStyle w:val="122"/>
                    <w:rPr>
                      <w:color w:val="auto"/>
                    </w:rPr>
                  </w:pPr>
                </w:p>
              </w:tc>
              <w:tc>
                <w:tcPr>
                  <w:tcW w:w="1033" w:type="dxa"/>
                  <w:tcBorders>
                    <w:tl2br w:val="nil"/>
                    <w:tr2bl w:val="nil"/>
                  </w:tcBorders>
                  <w:shd w:val="clear" w:color="auto" w:fill="auto"/>
                  <w:vAlign w:val="center"/>
                </w:tcPr>
                <w:p w14:paraId="080C6264">
                  <w:pPr>
                    <w:pStyle w:val="122"/>
                    <w:rPr>
                      <w:rFonts w:ascii="Times New Roman" w:hAnsi="Times New Roman" w:eastAsia="宋体" w:cs="Times New Roman"/>
                      <w:color w:val="auto"/>
                      <w:kern w:val="2"/>
                      <w:sz w:val="21"/>
                      <w:szCs w:val="24"/>
                      <w:lang w:val="en-US" w:eastAsia="zh-CN" w:bidi="ar-SA"/>
                    </w:rPr>
                  </w:pPr>
                  <w:r>
                    <w:rPr>
                      <w:color w:val="auto"/>
                    </w:rPr>
                    <w:t>99其他废物</w:t>
                  </w:r>
                </w:p>
              </w:tc>
              <w:tc>
                <w:tcPr>
                  <w:tcW w:w="857" w:type="dxa"/>
                  <w:tcBorders>
                    <w:tl2br w:val="nil"/>
                    <w:tr2bl w:val="nil"/>
                  </w:tcBorders>
                  <w:shd w:val="clear" w:color="auto" w:fill="auto"/>
                  <w:vAlign w:val="center"/>
                </w:tcPr>
                <w:p w14:paraId="15560B5D">
                  <w:pPr>
                    <w:pStyle w:val="122"/>
                    <w:rPr>
                      <w:rFonts w:hint="eastAsia" w:ascii="Times New Roman" w:hAnsi="Times New Roman" w:eastAsia="宋体" w:cs="Times New Roman"/>
                      <w:color w:val="auto"/>
                      <w:kern w:val="2"/>
                      <w:sz w:val="21"/>
                      <w:szCs w:val="24"/>
                      <w:lang w:val="en-US" w:eastAsia="zh-CN" w:bidi="ar-SA"/>
                    </w:rPr>
                  </w:pPr>
                  <w:r>
                    <w:rPr>
                      <w:rFonts w:hint="eastAsia"/>
                      <w:color w:val="auto"/>
                    </w:rPr>
                    <w:t>302-001-99</w:t>
                  </w:r>
                </w:p>
              </w:tc>
              <w:tc>
                <w:tcPr>
                  <w:tcW w:w="795" w:type="dxa"/>
                  <w:tcBorders>
                    <w:tl2br w:val="nil"/>
                    <w:tr2bl w:val="nil"/>
                  </w:tcBorders>
                  <w:shd w:val="clear" w:color="auto" w:fill="auto"/>
                  <w:vAlign w:val="center"/>
                </w:tcPr>
                <w:p w14:paraId="74DABEAD">
                  <w:pPr>
                    <w:pStyle w:val="122"/>
                    <w:rPr>
                      <w:rFonts w:hint="default" w:eastAsia="宋体"/>
                      <w:color w:val="auto"/>
                      <w:lang w:val="en-US" w:eastAsia="zh-CN"/>
                    </w:rPr>
                  </w:pPr>
                  <w:r>
                    <w:rPr>
                      <w:rFonts w:hint="eastAsia"/>
                      <w:color w:val="auto"/>
                      <w:lang w:val="en-US" w:eastAsia="zh-CN"/>
                    </w:rPr>
                    <w:t>3480</w:t>
                  </w:r>
                </w:p>
              </w:tc>
              <w:tc>
                <w:tcPr>
                  <w:tcW w:w="795" w:type="dxa"/>
                  <w:tcBorders>
                    <w:tl2br w:val="nil"/>
                    <w:tr2bl w:val="nil"/>
                  </w:tcBorders>
                  <w:vAlign w:val="center"/>
                </w:tcPr>
                <w:p w14:paraId="1B21AD23">
                  <w:pPr>
                    <w:pStyle w:val="122"/>
                    <w:rPr>
                      <w:rFonts w:hint="eastAsia"/>
                      <w:color w:val="auto"/>
                    </w:rPr>
                  </w:pPr>
                  <w:r>
                    <w:rPr>
                      <w:rFonts w:hint="eastAsia"/>
                      <w:color w:val="auto"/>
                    </w:rPr>
                    <w:t>0</w:t>
                  </w:r>
                </w:p>
              </w:tc>
              <w:tc>
                <w:tcPr>
                  <w:tcW w:w="2128" w:type="dxa"/>
                  <w:vMerge w:val="continue"/>
                  <w:tcBorders>
                    <w:tl2br w:val="nil"/>
                    <w:tr2bl w:val="nil"/>
                  </w:tcBorders>
                  <w:vAlign w:val="center"/>
                </w:tcPr>
                <w:p w14:paraId="0D8F423C">
                  <w:pPr>
                    <w:pStyle w:val="122"/>
                    <w:rPr>
                      <w:color w:val="auto"/>
                    </w:rPr>
                  </w:pPr>
                </w:p>
              </w:tc>
            </w:tr>
          </w:tbl>
          <w:p w14:paraId="397C4FF2">
            <w:pPr>
              <w:pStyle w:val="68"/>
              <w:ind w:firstLine="482"/>
              <w:rPr>
                <w:b/>
                <w:bCs/>
                <w:color w:val="auto"/>
                <w:kern w:val="2"/>
                <w:sz w:val="24"/>
                <w:szCs w:val="24"/>
              </w:rPr>
            </w:pPr>
            <w:r>
              <w:rPr>
                <w:rFonts w:hint="eastAsia"/>
                <w:b/>
                <w:bCs/>
                <w:color w:val="auto"/>
                <w:kern w:val="2"/>
                <w:sz w:val="24"/>
                <w:szCs w:val="24"/>
              </w:rPr>
              <w:t>2</w:t>
            </w:r>
            <w:r>
              <w:rPr>
                <w:b/>
                <w:bCs/>
                <w:color w:val="auto"/>
                <w:kern w:val="2"/>
                <w:sz w:val="24"/>
                <w:szCs w:val="24"/>
              </w:rPr>
              <w:t>、</w:t>
            </w:r>
            <w:r>
              <w:rPr>
                <w:rFonts w:hint="eastAsia"/>
                <w:b/>
                <w:bCs/>
                <w:color w:val="auto"/>
                <w:kern w:val="2"/>
                <w:sz w:val="24"/>
                <w:szCs w:val="24"/>
              </w:rPr>
              <w:t>固体废物环境管理要求</w:t>
            </w:r>
          </w:p>
          <w:p w14:paraId="04FE357C">
            <w:pPr>
              <w:pStyle w:val="68"/>
              <w:ind w:firstLine="480"/>
              <w:rPr>
                <w:color w:val="auto"/>
                <w:kern w:val="2"/>
                <w:sz w:val="24"/>
                <w:szCs w:val="24"/>
              </w:rPr>
            </w:pPr>
            <w:r>
              <w:rPr>
                <w:rFonts w:hint="eastAsia"/>
                <w:color w:val="auto"/>
                <w:kern w:val="2"/>
                <w:sz w:val="24"/>
                <w:szCs w:val="24"/>
                <w:shd w:val="clear" w:fill="FFFFFF"/>
              </w:rPr>
              <w:t>(</w:t>
            </w:r>
            <w:r>
              <w:rPr>
                <w:rFonts w:hint="eastAsia"/>
                <w:color w:val="auto"/>
                <w:kern w:val="2"/>
                <w:sz w:val="24"/>
                <w:szCs w:val="24"/>
              </w:rPr>
              <w:t>1</w:t>
            </w:r>
            <w:r>
              <w:rPr>
                <w:rFonts w:hint="eastAsia"/>
                <w:color w:val="auto"/>
                <w:kern w:val="2"/>
                <w:sz w:val="24"/>
                <w:szCs w:val="24"/>
                <w:shd w:val="clear" w:fill="FFFFFF"/>
              </w:rPr>
              <w:t>)</w:t>
            </w:r>
            <w:r>
              <w:rPr>
                <w:rFonts w:hint="eastAsia"/>
                <w:color w:val="auto"/>
                <w:kern w:val="2"/>
                <w:sz w:val="24"/>
                <w:szCs w:val="24"/>
              </w:rPr>
              <w:t>生活垃圾</w:t>
            </w:r>
          </w:p>
          <w:p w14:paraId="54FBC4C6">
            <w:pPr>
              <w:pStyle w:val="68"/>
              <w:ind w:firstLine="480"/>
              <w:rPr>
                <w:color w:val="auto"/>
                <w:kern w:val="2"/>
                <w:sz w:val="24"/>
                <w:szCs w:val="24"/>
              </w:rPr>
            </w:pPr>
            <w:r>
              <w:rPr>
                <w:rFonts w:hint="eastAsia"/>
                <w:color w:val="auto"/>
                <w:kern w:val="2"/>
                <w:sz w:val="24"/>
                <w:szCs w:val="24"/>
              </w:rPr>
              <w:t>生活垃圾经分类收集后，每天由环卫部门上门清运，堆放点定期消毒、灭蝇、灭虫，避免对工作人员造成影响。</w:t>
            </w:r>
          </w:p>
          <w:p w14:paraId="53CF1ACA">
            <w:pPr>
              <w:pStyle w:val="68"/>
              <w:ind w:firstLine="480"/>
              <w:rPr>
                <w:color w:val="auto"/>
                <w:kern w:val="2"/>
                <w:sz w:val="24"/>
                <w:szCs w:val="24"/>
              </w:rPr>
            </w:pPr>
            <w:r>
              <w:rPr>
                <w:rFonts w:hint="eastAsia"/>
                <w:color w:val="auto"/>
                <w:kern w:val="2"/>
                <w:sz w:val="24"/>
                <w:szCs w:val="24"/>
                <w:shd w:val="clear" w:fill="FFFFFF"/>
              </w:rPr>
              <w:t>(</w:t>
            </w:r>
            <w:r>
              <w:rPr>
                <w:rFonts w:hint="eastAsia"/>
                <w:color w:val="auto"/>
                <w:kern w:val="2"/>
                <w:sz w:val="24"/>
                <w:szCs w:val="24"/>
              </w:rPr>
              <w:t>2</w:t>
            </w:r>
            <w:r>
              <w:rPr>
                <w:rFonts w:hint="eastAsia"/>
                <w:color w:val="auto"/>
                <w:kern w:val="2"/>
                <w:sz w:val="24"/>
                <w:szCs w:val="24"/>
                <w:shd w:val="clear" w:fill="FFFFFF"/>
              </w:rPr>
              <w:t>)</w:t>
            </w:r>
            <w:r>
              <w:rPr>
                <w:rFonts w:hint="eastAsia"/>
                <w:color w:val="auto"/>
                <w:kern w:val="2"/>
                <w:sz w:val="24"/>
                <w:szCs w:val="24"/>
              </w:rPr>
              <w:t>一般工业固体废物</w:t>
            </w:r>
          </w:p>
          <w:p w14:paraId="0D38177A">
            <w:pPr>
              <w:pStyle w:val="68"/>
              <w:ind w:firstLine="480"/>
              <w:rPr>
                <w:color w:val="auto"/>
                <w:kern w:val="2"/>
                <w:sz w:val="24"/>
                <w:szCs w:val="24"/>
              </w:rPr>
            </w:pPr>
            <w:r>
              <w:rPr>
                <w:rFonts w:hint="eastAsia"/>
                <w:color w:val="auto"/>
                <w:kern w:val="2"/>
                <w:sz w:val="24"/>
                <w:szCs w:val="24"/>
              </w:rPr>
              <w:t>一般工业固废</w:t>
            </w:r>
            <w:r>
              <w:rPr>
                <w:rFonts w:hint="eastAsia"/>
                <w:color w:val="auto"/>
                <w:kern w:val="2"/>
                <w:sz w:val="24"/>
                <w:szCs w:val="24"/>
                <w:shd w:val="clear" w:fill="FFFFFF"/>
              </w:rPr>
              <w:t>(</w:t>
            </w:r>
            <w:r>
              <w:rPr>
                <w:rFonts w:hint="eastAsia"/>
                <w:color w:val="auto"/>
                <w:kern w:val="2"/>
                <w:sz w:val="24"/>
                <w:szCs w:val="24"/>
              </w:rPr>
              <w:t>沉淀池沉渣、钢筋边角料、焊渣、破损模具、不合格品</w:t>
            </w:r>
            <w:r>
              <w:rPr>
                <w:rFonts w:hint="eastAsia"/>
                <w:color w:val="auto"/>
                <w:kern w:val="2"/>
                <w:sz w:val="24"/>
                <w:szCs w:val="24"/>
                <w:shd w:val="clear" w:fill="FFFFFF"/>
              </w:rPr>
              <w:t>)</w:t>
            </w:r>
            <w:r>
              <w:rPr>
                <w:rFonts w:hint="eastAsia"/>
                <w:color w:val="auto"/>
                <w:kern w:val="2"/>
                <w:sz w:val="24"/>
                <w:szCs w:val="24"/>
              </w:rPr>
              <w:t>：沉淀池沉渣妥善收集后</w:t>
            </w:r>
            <w:r>
              <w:rPr>
                <w:rFonts w:hint="eastAsia"/>
                <w:color w:val="auto"/>
                <w:kern w:val="2"/>
                <w:sz w:val="24"/>
                <w:szCs w:val="24"/>
                <w:lang w:eastAsia="zh-CN"/>
              </w:rPr>
              <w:t>回用于生产</w:t>
            </w:r>
            <w:r>
              <w:rPr>
                <w:rFonts w:hint="eastAsia"/>
                <w:color w:val="auto"/>
                <w:kern w:val="2"/>
                <w:sz w:val="24"/>
                <w:szCs w:val="24"/>
                <w:shd w:val="clear" w:fill="FFFFFF"/>
                <w:lang w:eastAsia="zh-CN"/>
              </w:rPr>
              <w:t>(</w:t>
            </w:r>
            <w:r>
              <w:rPr>
                <w:rFonts w:hint="eastAsia"/>
                <w:color w:val="auto"/>
                <w:kern w:val="2"/>
                <w:sz w:val="24"/>
                <w:szCs w:val="24"/>
                <w:lang w:eastAsia="zh-CN"/>
              </w:rPr>
              <w:t>养护工序</w:t>
            </w:r>
            <w:r>
              <w:rPr>
                <w:rFonts w:hint="eastAsia"/>
                <w:color w:val="auto"/>
                <w:kern w:val="2"/>
                <w:sz w:val="24"/>
                <w:szCs w:val="24"/>
                <w:shd w:val="clear" w:fill="FFFFFF"/>
                <w:lang w:eastAsia="zh-CN"/>
              </w:rPr>
              <w:t>)</w:t>
            </w:r>
            <w:r>
              <w:rPr>
                <w:rFonts w:hint="eastAsia"/>
                <w:color w:val="auto"/>
                <w:kern w:val="2"/>
                <w:sz w:val="24"/>
                <w:szCs w:val="24"/>
              </w:rPr>
              <w:t>，沉淀池沉渣、钢筋边角料、焊渣、破损模具、不合格品收集暂存于一般固废暂存区，外售物资回收单位回收利用。暂存场应有明显的标志，要有防雨、防渗漏、防风设施，堆放周期不宜过长，并做好运输途中防泄漏、防洒落措施。</w:t>
            </w:r>
          </w:p>
          <w:bookmarkEnd w:id="122"/>
          <w:p w14:paraId="0DB61D25">
            <w:pPr>
              <w:pStyle w:val="68"/>
              <w:spacing w:before="120"/>
              <w:ind w:firstLine="0" w:firstLineChars="0"/>
              <w:rPr>
                <w:b/>
                <w:bCs/>
                <w:color w:val="auto"/>
                <w:kern w:val="2"/>
                <w:sz w:val="24"/>
                <w:szCs w:val="24"/>
              </w:rPr>
            </w:pPr>
            <w:bookmarkStart w:id="123" w:name="_Toc10293"/>
            <w:r>
              <w:rPr>
                <w:b/>
                <w:bCs/>
                <w:color w:val="auto"/>
                <w:kern w:val="2"/>
                <w:sz w:val="24"/>
                <w:szCs w:val="24"/>
              </w:rPr>
              <w:t>4.</w:t>
            </w:r>
            <w:r>
              <w:rPr>
                <w:rFonts w:hint="eastAsia"/>
                <w:b/>
                <w:bCs/>
                <w:color w:val="auto"/>
                <w:kern w:val="2"/>
                <w:sz w:val="24"/>
                <w:szCs w:val="24"/>
              </w:rPr>
              <w:t>6</w:t>
            </w:r>
            <w:r>
              <w:rPr>
                <w:b/>
                <w:bCs/>
                <w:color w:val="auto"/>
                <w:kern w:val="2"/>
                <w:sz w:val="24"/>
                <w:szCs w:val="24"/>
              </w:rPr>
              <w:t>土壤环境影响分析</w:t>
            </w:r>
            <w:bookmarkEnd w:id="123"/>
          </w:p>
          <w:p w14:paraId="2373F518">
            <w:pPr>
              <w:pStyle w:val="128"/>
              <w:widowControl/>
              <w:rPr>
                <w:color w:val="auto"/>
              </w:rPr>
            </w:pPr>
            <w:r>
              <w:rPr>
                <w:color w:val="auto"/>
              </w:rPr>
              <w:t>根据《环境影响评价技术导则 土壤环境</w:t>
            </w:r>
            <w:r>
              <w:rPr>
                <w:rFonts w:hint="eastAsia"/>
                <w:color w:val="auto"/>
                <w:shd w:val="clear" w:fill="FFFFFF"/>
                <w:lang w:eastAsia="zh-CN"/>
              </w:rPr>
              <w:t>(</w:t>
            </w:r>
            <w:r>
              <w:rPr>
                <w:color w:val="auto"/>
              </w:rPr>
              <w:t>试行</w:t>
            </w:r>
            <w:r>
              <w:rPr>
                <w:rFonts w:hint="eastAsia"/>
                <w:color w:val="auto"/>
                <w:shd w:val="clear" w:fill="FFFFFF"/>
                <w:lang w:eastAsia="zh-CN"/>
              </w:rPr>
              <w:t>)</w:t>
            </w:r>
            <w:r>
              <w:rPr>
                <w:color w:val="auto"/>
              </w:rPr>
              <w:t>》</w:t>
            </w:r>
            <w:r>
              <w:rPr>
                <w:rFonts w:hint="eastAsia"/>
                <w:color w:val="auto"/>
                <w:lang w:eastAsia="zh-CN"/>
              </w:rPr>
              <w:t>(</w:t>
            </w:r>
            <w:r>
              <w:rPr>
                <w:color w:val="auto"/>
              </w:rPr>
              <w:t>HJ964-2018</w:t>
            </w:r>
            <w:r>
              <w:rPr>
                <w:rFonts w:hint="eastAsia"/>
                <w:color w:val="auto"/>
                <w:shd w:val="clear" w:fill="FFFFFF"/>
                <w:lang w:eastAsia="zh-CN"/>
              </w:rPr>
              <w:t>)</w:t>
            </w:r>
            <w:r>
              <w:rPr>
                <w:color w:val="auto"/>
              </w:rPr>
              <w:t>附录A，</w:t>
            </w:r>
            <w:r>
              <w:rPr>
                <w:rFonts w:hint="eastAsia"/>
                <w:color w:val="auto"/>
                <w:lang w:eastAsia="zh-CN"/>
              </w:rPr>
              <w:t>迁建项目</w:t>
            </w:r>
            <w:r>
              <w:rPr>
                <w:color w:val="auto"/>
              </w:rPr>
              <w:t>属于</w:t>
            </w:r>
            <w:r>
              <w:rPr>
                <w:rFonts w:hint="eastAsia"/>
                <w:color w:val="auto"/>
                <w:lang w:eastAsia="zh-CN"/>
              </w:rPr>
              <w:t>“</w:t>
            </w:r>
            <w:r>
              <w:rPr>
                <w:color w:val="auto"/>
              </w:rPr>
              <w:t>金属冶炼和压延加工及非金属矿物制品</w:t>
            </w:r>
            <w:r>
              <w:rPr>
                <w:rFonts w:hint="eastAsia"/>
                <w:color w:val="auto"/>
                <w:lang w:eastAsia="zh-CN"/>
              </w:rPr>
              <w:t>”</w:t>
            </w:r>
            <w:r>
              <w:rPr>
                <w:color w:val="auto"/>
              </w:rPr>
              <w:t>中的</w:t>
            </w:r>
            <w:r>
              <w:rPr>
                <w:rFonts w:hint="eastAsia"/>
                <w:color w:val="auto"/>
                <w:lang w:eastAsia="zh-CN"/>
              </w:rPr>
              <w:t>“</w:t>
            </w:r>
            <w:r>
              <w:rPr>
                <w:color w:val="auto"/>
              </w:rPr>
              <w:t>其他</w:t>
            </w:r>
            <w:r>
              <w:rPr>
                <w:rFonts w:hint="eastAsia"/>
                <w:color w:val="auto"/>
                <w:lang w:eastAsia="zh-CN"/>
              </w:rPr>
              <w:t>”</w:t>
            </w:r>
            <w:r>
              <w:rPr>
                <w:color w:val="auto"/>
              </w:rPr>
              <w:t>类，土壤环境影响评价项目为</w:t>
            </w:r>
            <w:r>
              <w:rPr>
                <w:color w:val="auto"/>
              </w:rPr>
              <w:fldChar w:fldCharType="begin"/>
            </w:r>
            <w:r>
              <w:rPr>
                <w:color w:val="auto"/>
              </w:rPr>
              <w:instrText xml:space="preserve"> = 4 \* ROMAN \* MERGEFORMAT </w:instrText>
            </w:r>
            <w:r>
              <w:rPr>
                <w:color w:val="auto"/>
              </w:rPr>
              <w:fldChar w:fldCharType="separate"/>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fldChar w:fldCharType="end"/>
            </w:r>
            <w:r>
              <w:rPr>
                <w:color w:val="auto"/>
              </w:rPr>
              <w:t>类。项目占地面积</w:t>
            </w:r>
            <w:r>
              <w:rPr>
                <w:rFonts w:hint="eastAsia"/>
                <w:color w:val="auto"/>
              </w:rPr>
              <w:t>40000</w:t>
            </w:r>
            <w:r>
              <w:rPr>
                <w:color w:val="auto"/>
              </w:rPr>
              <w:t>m</w:t>
            </w:r>
            <w:r>
              <w:rPr>
                <w:color w:val="auto"/>
                <w:vertAlign w:val="superscript"/>
              </w:rPr>
              <w:t>2</w:t>
            </w:r>
            <w:r>
              <w:rPr>
                <w:rFonts w:hint="eastAsia"/>
                <w:color w:val="auto"/>
                <w:lang w:eastAsia="zh-CN"/>
              </w:rPr>
              <w:t>(</w:t>
            </w:r>
            <w:r>
              <w:rPr>
                <w:color w:val="auto"/>
              </w:rPr>
              <w:t>≤5hm</w:t>
            </w:r>
            <w:r>
              <w:rPr>
                <w:color w:val="auto"/>
                <w:vertAlign w:val="superscript"/>
              </w:rPr>
              <w:t>2</w:t>
            </w:r>
            <w:r>
              <w:rPr>
                <w:rFonts w:hint="eastAsia"/>
                <w:color w:val="auto"/>
                <w:lang w:eastAsia="zh-CN"/>
              </w:rPr>
              <w:t>)</w:t>
            </w:r>
            <w:r>
              <w:rPr>
                <w:color w:val="auto"/>
              </w:rPr>
              <w:t>，占地规模属于小型</w:t>
            </w:r>
            <w:r>
              <w:rPr>
                <w:rFonts w:hint="eastAsia"/>
                <w:color w:val="auto"/>
                <w:shd w:val="clear" w:fill="FFFFFF"/>
                <w:lang w:eastAsia="zh-CN"/>
              </w:rPr>
              <w:t>(</w:t>
            </w:r>
            <w:r>
              <w:rPr>
                <w:color w:val="auto"/>
              </w:rPr>
              <w:t>≤5hm</w:t>
            </w:r>
            <w:r>
              <w:rPr>
                <w:color w:val="auto"/>
                <w:vertAlign w:val="superscript"/>
              </w:rPr>
              <w:t>2</w:t>
            </w:r>
            <w:r>
              <w:rPr>
                <w:rFonts w:hint="eastAsia"/>
                <w:color w:val="auto"/>
                <w:shd w:val="clear" w:fill="FFFFFF"/>
                <w:lang w:eastAsia="zh-CN"/>
              </w:rPr>
              <w:t>)</w:t>
            </w:r>
            <w:r>
              <w:rPr>
                <w:color w:val="auto"/>
              </w:rPr>
              <w:t>。根据《环境影响评价技术导则 土壤环境</w:t>
            </w:r>
            <w:r>
              <w:rPr>
                <w:rFonts w:hint="eastAsia"/>
                <w:color w:val="auto"/>
                <w:shd w:val="clear" w:fill="FFFFFF"/>
                <w:lang w:eastAsia="zh-CN"/>
              </w:rPr>
              <w:t>(</w:t>
            </w:r>
            <w:r>
              <w:rPr>
                <w:color w:val="auto"/>
              </w:rPr>
              <w:t>试行</w:t>
            </w:r>
            <w:r>
              <w:rPr>
                <w:rFonts w:hint="eastAsia"/>
                <w:color w:val="auto"/>
                <w:shd w:val="clear" w:fill="FFFFFF"/>
                <w:lang w:eastAsia="zh-CN"/>
              </w:rPr>
              <w:t>)</w:t>
            </w:r>
            <w:r>
              <w:rPr>
                <w:color w:val="auto"/>
              </w:rPr>
              <w:t>》(HJ964-2018</w:t>
            </w:r>
            <w:r>
              <w:rPr>
                <w:color w:val="auto"/>
                <w:shd w:val="clear" w:fill="FFFFFF"/>
              </w:rPr>
              <w:t>)</w:t>
            </w:r>
            <w:r>
              <w:rPr>
                <w:color w:val="auto"/>
              </w:rPr>
              <w:t>表3污染影响型敏感程度分级表，项目属于表中“其他情况”，敏感程度为“不敏感”。综上，项目评价工作等级属于“Ⅲ类小型不敏感区”，故项目可不开展土壤环境影响评价工作</w:t>
            </w:r>
            <w:r>
              <w:rPr>
                <w:rFonts w:hint="eastAsia"/>
                <w:color w:val="auto"/>
              </w:rPr>
              <w:t>。</w:t>
            </w:r>
          </w:p>
          <w:p w14:paraId="04ACA890">
            <w:pPr>
              <w:spacing w:line="360" w:lineRule="auto"/>
              <w:ind w:firstLine="480" w:firstLineChars="200"/>
              <w:rPr>
                <w:color w:val="auto"/>
                <w:sz w:val="24"/>
              </w:rPr>
            </w:pPr>
            <w:r>
              <w:rPr>
                <w:color w:val="auto"/>
                <w:sz w:val="24"/>
              </w:rPr>
              <w:t>根据</w:t>
            </w:r>
            <w:r>
              <w:rPr>
                <w:bCs/>
                <w:color w:val="auto"/>
                <w:sz w:val="24"/>
              </w:rPr>
              <w:t>《环境影响评价技术导则</w:t>
            </w:r>
            <w:r>
              <w:rPr>
                <w:rFonts w:hint="eastAsia"/>
                <w:bCs/>
                <w:color w:val="auto"/>
                <w:sz w:val="24"/>
              </w:rPr>
              <w:t xml:space="preserve"> </w:t>
            </w:r>
            <w:r>
              <w:rPr>
                <w:bCs/>
                <w:color w:val="auto"/>
                <w:sz w:val="24"/>
              </w:rPr>
              <w:t>土壤环境</w:t>
            </w:r>
            <w:r>
              <w:rPr>
                <w:rFonts w:hint="eastAsia"/>
                <w:bCs/>
                <w:color w:val="auto"/>
                <w:sz w:val="24"/>
                <w:shd w:val="clear" w:fill="FFFFFF"/>
                <w:lang w:eastAsia="zh-CN"/>
              </w:rPr>
              <w:t>(</w:t>
            </w:r>
            <w:r>
              <w:rPr>
                <w:bCs/>
                <w:color w:val="auto"/>
                <w:sz w:val="24"/>
              </w:rPr>
              <w:t>试行</w:t>
            </w:r>
            <w:r>
              <w:rPr>
                <w:rFonts w:hint="eastAsia"/>
                <w:bCs/>
                <w:color w:val="auto"/>
                <w:sz w:val="24"/>
                <w:shd w:val="clear" w:fill="FFFFFF"/>
                <w:lang w:eastAsia="zh-CN"/>
              </w:rPr>
              <w:t>)</w:t>
            </w:r>
            <w:r>
              <w:rPr>
                <w:bCs/>
                <w:color w:val="auto"/>
                <w:sz w:val="24"/>
              </w:rPr>
              <w:t>》</w:t>
            </w:r>
            <w:r>
              <w:rPr>
                <w:rFonts w:hint="eastAsia"/>
                <w:bCs/>
                <w:color w:val="auto"/>
                <w:sz w:val="24"/>
                <w:lang w:eastAsia="zh-CN"/>
              </w:rPr>
              <w:t>(</w:t>
            </w:r>
            <w:r>
              <w:rPr>
                <w:bCs/>
                <w:color w:val="auto"/>
                <w:sz w:val="24"/>
              </w:rPr>
              <w:t>HJ964-2018</w:t>
            </w:r>
            <w:r>
              <w:rPr>
                <w:rFonts w:hint="eastAsia"/>
                <w:bCs/>
                <w:color w:val="auto"/>
                <w:sz w:val="24"/>
                <w:lang w:eastAsia="zh-CN"/>
              </w:rPr>
              <w:t>)</w:t>
            </w:r>
            <w:r>
              <w:rPr>
                <w:color w:val="auto"/>
                <w:sz w:val="24"/>
              </w:rPr>
              <w:t>，污染影响类项目涉及大气沉降影响的，占地范围内应采取绿化措施，以种植具有较强吸附能力的植物为主；涉及地面漫流影响，应根据建设项目所在地的地形特点优化地面布局，必要时设置地面硬化、围堰或围墙，以防止土壤环境污染；涉及入渗途径影响的，应根据相关标准规范要求，对设备设施采取相应的防渗措施，以防止土壤环境污染。</w:t>
            </w:r>
            <w:r>
              <w:rPr>
                <w:rFonts w:hint="eastAsia"/>
                <w:color w:val="auto"/>
                <w:sz w:val="24"/>
                <w:lang w:eastAsia="zh-CN"/>
              </w:rPr>
              <w:t>迁建项目</w:t>
            </w:r>
            <w:r>
              <w:rPr>
                <w:rFonts w:hint="eastAsia"/>
                <w:color w:val="auto"/>
                <w:sz w:val="24"/>
              </w:rPr>
              <w:t>废气污染物主要为颗粒物，项目周边均为工业企业，且建成后厂区地面硬化，项目对土壤环境影响较小，本评价不对项目土壤环境进行跟踪监测。</w:t>
            </w:r>
          </w:p>
          <w:p w14:paraId="498A8A93">
            <w:pPr>
              <w:pStyle w:val="68"/>
              <w:spacing w:before="120"/>
              <w:ind w:firstLine="0" w:firstLineChars="0"/>
              <w:rPr>
                <w:b/>
                <w:bCs/>
                <w:color w:val="auto"/>
                <w:kern w:val="2"/>
                <w:sz w:val="24"/>
                <w:szCs w:val="24"/>
              </w:rPr>
            </w:pPr>
            <w:bookmarkStart w:id="124" w:name="_Toc20673"/>
            <w:r>
              <w:rPr>
                <w:b/>
                <w:bCs/>
                <w:color w:val="auto"/>
                <w:kern w:val="2"/>
                <w:sz w:val="24"/>
                <w:szCs w:val="24"/>
              </w:rPr>
              <w:t>4.</w:t>
            </w:r>
            <w:r>
              <w:rPr>
                <w:rFonts w:hint="eastAsia"/>
                <w:b/>
                <w:bCs/>
                <w:color w:val="auto"/>
                <w:kern w:val="2"/>
                <w:sz w:val="24"/>
                <w:szCs w:val="24"/>
              </w:rPr>
              <w:t>7</w:t>
            </w:r>
            <w:r>
              <w:rPr>
                <w:b/>
                <w:bCs/>
                <w:color w:val="auto"/>
                <w:kern w:val="2"/>
                <w:sz w:val="24"/>
                <w:szCs w:val="24"/>
              </w:rPr>
              <w:t>地下水防渗措施分析</w:t>
            </w:r>
            <w:bookmarkEnd w:id="124"/>
          </w:p>
          <w:p w14:paraId="31EA7B81">
            <w:pPr>
              <w:pStyle w:val="68"/>
              <w:keepNext w:val="0"/>
              <w:keepLines w:val="0"/>
              <w:pageBreakBefore w:val="0"/>
              <w:widowControl w:val="0"/>
              <w:kinsoku/>
              <w:wordWrap/>
              <w:overflowPunct/>
              <w:topLinePunct w:val="0"/>
              <w:autoSpaceDE/>
              <w:autoSpaceDN/>
              <w:bidi w:val="0"/>
              <w:adjustRightInd w:val="0"/>
              <w:snapToGrid w:val="0"/>
              <w:spacing w:before="120"/>
              <w:ind w:firstLine="480" w:firstLineChars="200"/>
              <w:textAlignment w:val="auto"/>
              <w:rPr>
                <w:color w:val="auto"/>
                <w:sz w:val="24"/>
              </w:rPr>
            </w:pPr>
            <w:r>
              <w:rPr>
                <w:color w:val="auto"/>
                <w:sz w:val="24"/>
              </w:rPr>
              <w:t>根据《环境影响评价技术导则 地下水环境》</w:t>
            </w:r>
            <w:r>
              <w:rPr>
                <w:rFonts w:hint="eastAsia"/>
                <w:color w:val="auto"/>
                <w:sz w:val="24"/>
                <w:lang w:eastAsia="zh-CN"/>
              </w:rPr>
              <w:t>(</w:t>
            </w:r>
            <w:r>
              <w:rPr>
                <w:color w:val="auto"/>
                <w:sz w:val="24"/>
              </w:rPr>
              <w:t>HJ610-2016</w:t>
            </w:r>
            <w:r>
              <w:rPr>
                <w:rFonts w:hint="eastAsia"/>
                <w:color w:val="auto"/>
                <w:sz w:val="24"/>
                <w:shd w:val="clear" w:fill="FFFFFF"/>
                <w:lang w:eastAsia="zh-CN"/>
              </w:rPr>
              <w:t>)</w:t>
            </w:r>
            <w:r>
              <w:rPr>
                <w:color w:val="auto"/>
                <w:sz w:val="24"/>
              </w:rPr>
              <w:t>中附录A“地下水环境影响评价行业分类表”中相关规定，项目属于</w:t>
            </w:r>
            <w:r>
              <w:rPr>
                <w:rFonts w:hint="eastAsia"/>
                <w:color w:val="auto"/>
                <w:sz w:val="24"/>
                <w:lang w:eastAsia="zh-CN"/>
              </w:rPr>
              <w:t>“</w:t>
            </w:r>
            <w:r>
              <w:rPr>
                <w:rFonts w:hint="eastAsia"/>
                <w:color w:val="auto"/>
                <w:sz w:val="24"/>
              </w:rPr>
              <w:t>J非</w:t>
            </w:r>
            <w:r>
              <w:rPr>
                <w:color w:val="auto"/>
                <w:sz w:val="24"/>
              </w:rPr>
              <w:t>金属</w:t>
            </w:r>
            <w:r>
              <w:rPr>
                <w:rFonts w:hint="eastAsia"/>
                <w:color w:val="auto"/>
                <w:sz w:val="24"/>
              </w:rPr>
              <w:t>矿采选及制品制造</w:t>
            </w:r>
            <w:r>
              <w:rPr>
                <w:color w:val="auto"/>
                <w:sz w:val="24"/>
              </w:rPr>
              <w:t>：</w:t>
            </w:r>
            <w:r>
              <w:rPr>
                <w:rFonts w:hint="eastAsia"/>
                <w:color w:val="auto"/>
                <w:sz w:val="24"/>
              </w:rPr>
              <w:t>60</w:t>
            </w:r>
            <w:r>
              <w:rPr>
                <w:color w:val="auto"/>
                <w:sz w:val="24"/>
              </w:rPr>
              <w:t>、</w:t>
            </w:r>
            <w:r>
              <w:rPr>
                <w:rFonts w:hint="eastAsia"/>
                <w:color w:val="auto"/>
                <w:sz w:val="24"/>
              </w:rPr>
              <w:t>砼结构构件制造、商品混凝土加工</w:t>
            </w:r>
            <w:r>
              <w:rPr>
                <w:rFonts w:hint="eastAsia"/>
                <w:color w:val="auto"/>
                <w:sz w:val="24"/>
                <w:lang w:eastAsia="zh-CN"/>
              </w:rPr>
              <w:t>”</w:t>
            </w:r>
            <w:r>
              <w:rPr>
                <w:color w:val="auto"/>
                <w:sz w:val="24"/>
              </w:rPr>
              <w:t>中编制报告表的，项目地下水环境影响评价项目类别为</w:t>
            </w:r>
            <w:r>
              <w:rPr>
                <w:rFonts w:hint="eastAsia"/>
                <w:color w:val="auto"/>
                <w:sz w:val="24"/>
                <w:lang w:eastAsia="zh-CN"/>
              </w:rPr>
              <w:t>Ⅳ类</w:t>
            </w:r>
            <w:r>
              <w:rPr>
                <w:color w:val="auto"/>
                <w:sz w:val="24"/>
              </w:rPr>
              <w:t>，无需开展地下水评价</w:t>
            </w:r>
            <w:r>
              <w:rPr>
                <w:rFonts w:hint="eastAsia"/>
                <w:color w:val="auto"/>
                <w:sz w:val="24"/>
              </w:rPr>
              <w:t>。</w:t>
            </w:r>
            <w:bookmarkStart w:id="125" w:name="_Toc6973"/>
            <w:bookmarkStart w:id="126" w:name="_Toc11882_WPSOffice_Level2"/>
            <w:bookmarkStart w:id="127" w:name="_Toc30199_WPSOffice_Level1"/>
          </w:p>
          <w:p w14:paraId="05AAE0F5">
            <w:pPr>
              <w:pStyle w:val="68"/>
              <w:ind w:firstLine="0" w:firstLineChars="0"/>
              <w:rPr>
                <w:b/>
                <w:bCs/>
                <w:color w:val="auto"/>
                <w:kern w:val="2"/>
                <w:sz w:val="24"/>
                <w:szCs w:val="24"/>
              </w:rPr>
            </w:pPr>
            <w:r>
              <w:rPr>
                <w:b/>
                <w:bCs/>
                <w:color w:val="auto"/>
                <w:kern w:val="2"/>
                <w:sz w:val="24"/>
                <w:szCs w:val="24"/>
              </w:rPr>
              <w:t>4.</w:t>
            </w:r>
            <w:r>
              <w:rPr>
                <w:rFonts w:hint="eastAsia"/>
                <w:b/>
                <w:bCs/>
                <w:color w:val="auto"/>
                <w:kern w:val="2"/>
                <w:sz w:val="24"/>
                <w:szCs w:val="24"/>
              </w:rPr>
              <w:t>8</w:t>
            </w:r>
            <w:r>
              <w:rPr>
                <w:b/>
                <w:bCs/>
                <w:color w:val="auto"/>
                <w:kern w:val="2"/>
                <w:sz w:val="24"/>
                <w:szCs w:val="24"/>
              </w:rPr>
              <w:t>环境风险分析</w:t>
            </w:r>
            <w:bookmarkEnd w:id="125"/>
            <w:bookmarkEnd w:id="126"/>
            <w:bookmarkEnd w:id="127"/>
          </w:p>
          <w:p w14:paraId="2262D489">
            <w:pPr>
              <w:pStyle w:val="115"/>
              <w:ind w:firstLine="480"/>
              <w:rPr>
                <w:color w:val="auto"/>
              </w:rPr>
            </w:pPr>
            <w:bookmarkStart w:id="128" w:name="_Toc4087"/>
            <w:bookmarkStart w:id="129" w:name="_Toc2886"/>
            <w:r>
              <w:rPr>
                <w:color w:val="auto"/>
              </w:rPr>
              <w:t>1</w:t>
            </w:r>
            <w:r>
              <w:rPr>
                <w:rFonts w:hint="eastAsia"/>
                <w:color w:val="auto"/>
              </w:rPr>
              <w:t>、风险调查</w:t>
            </w:r>
            <w:bookmarkEnd w:id="128"/>
            <w:bookmarkEnd w:id="129"/>
          </w:p>
          <w:p w14:paraId="231D7517">
            <w:pPr>
              <w:pStyle w:val="108"/>
              <w:ind w:firstLine="480"/>
              <w:rPr>
                <w:color w:val="auto"/>
              </w:rPr>
            </w:pPr>
            <w:r>
              <w:rPr>
                <w:rFonts w:hint="eastAsia"/>
                <w:color w:val="auto"/>
                <w:lang w:val="en-US" w:eastAsia="zh-CN"/>
              </w:rPr>
              <w:t>按照《建设项目环境风险评价技术导则》(HJ169-2018</w:t>
            </w:r>
            <w:r>
              <w:rPr>
                <w:rFonts w:hint="eastAsia"/>
                <w:color w:val="auto"/>
                <w:shd w:val="clear" w:fill="FFFFFF"/>
                <w:lang w:val="en-US" w:eastAsia="zh-CN"/>
              </w:rPr>
              <w:t>)</w:t>
            </w:r>
            <w:r>
              <w:rPr>
                <w:rFonts w:hint="eastAsia"/>
                <w:color w:val="auto"/>
                <w:lang w:val="en-US" w:eastAsia="zh-CN"/>
              </w:rPr>
              <w:t>附录B确定风险物质，根据建设项目涉及的风险物质及工艺系统危险性和所在地的环境敏感性确定环境风险潜势，</w:t>
            </w:r>
            <w:r>
              <w:rPr>
                <w:rFonts w:hint="eastAsia"/>
                <w:color w:val="auto"/>
              </w:rPr>
              <w:t>对环境风险源进行了识别，</w:t>
            </w:r>
            <w:r>
              <w:rPr>
                <w:rFonts w:hint="eastAsia"/>
                <w:color w:val="auto"/>
                <w:lang w:eastAsia="zh-CN"/>
              </w:rPr>
              <w:t>迁建项目</w:t>
            </w:r>
            <w:r>
              <w:rPr>
                <w:rFonts w:hint="eastAsia"/>
                <w:color w:val="auto"/>
                <w:lang w:val="en-US" w:eastAsia="zh-CN"/>
              </w:rPr>
              <w:t>不涉及危险化学品物质，</w:t>
            </w:r>
            <w:r>
              <w:rPr>
                <w:rFonts w:hint="eastAsia"/>
                <w:color w:val="auto"/>
              </w:rPr>
              <w:t>环境风险潜势为</w:t>
            </w:r>
            <w:r>
              <w:rPr>
                <w:color w:val="auto"/>
              </w:rPr>
              <w:t>I</w:t>
            </w:r>
            <w:r>
              <w:rPr>
                <w:rFonts w:hint="eastAsia"/>
                <w:color w:val="auto"/>
              </w:rPr>
              <w:t>，简单分析。</w:t>
            </w:r>
          </w:p>
          <w:p w14:paraId="057D3BBF">
            <w:pPr>
              <w:pStyle w:val="115"/>
              <w:ind w:firstLine="480"/>
              <w:rPr>
                <w:color w:val="auto"/>
              </w:rPr>
            </w:pPr>
            <w:bookmarkStart w:id="130" w:name="_Toc31820"/>
            <w:bookmarkStart w:id="131" w:name="_Toc17836"/>
            <w:r>
              <w:rPr>
                <w:color w:val="auto"/>
              </w:rPr>
              <w:t>2</w:t>
            </w:r>
            <w:r>
              <w:rPr>
                <w:rFonts w:hint="eastAsia"/>
                <w:color w:val="auto"/>
              </w:rPr>
              <w:t>、</w:t>
            </w:r>
            <w:r>
              <w:rPr>
                <w:color w:val="auto"/>
              </w:rPr>
              <w:t>环境风险分析</w:t>
            </w:r>
            <w:bookmarkEnd w:id="130"/>
            <w:bookmarkEnd w:id="131"/>
          </w:p>
          <w:p w14:paraId="7D0B8200">
            <w:pPr>
              <w:pStyle w:val="108"/>
              <w:ind w:firstLine="480"/>
              <w:rPr>
                <w:color w:val="auto"/>
              </w:rPr>
            </w:pPr>
            <w:r>
              <w:rPr>
                <w:rFonts w:hint="eastAsia"/>
                <w:color w:val="auto"/>
                <w:shd w:val="clear" w:fill="FFFFFF"/>
              </w:rPr>
              <w:t>(</w:t>
            </w:r>
            <w:r>
              <w:rPr>
                <w:rFonts w:hint="eastAsia"/>
                <w:color w:val="auto"/>
              </w:rPr>
              <w:t>1</w:t>
            </w:r>
            <w:r>
              <w:rPr>
                <w:rFonts w:hint="eastAsia"/>
                <w:color w:val="auto"/>
                <w:shd w:val="clear" w:fill="FFFFFF"/>
              </w:rPr>
              <w:t>)</w:t>
            </w:r>
            <w:r>
              <w:rPr>
                <w:rFonts w:hint="eastAsia"/>
                <w:color w:val="auto"/>
              </w:rPr>
              <w:t>次生环境污染分析</w:t>
            </w:r>
          </w:p>
          <w:p w14:paraId="22DC1E3C">
            <w:pPr>
              <w:pStyle w:val="108"/>
              <w:ind w:firstLine="480"/>
              <w:rPr>
                <w:color w:val="auto"/>
              </w:rPr>
            </w:pPr>
            <w:r>
              <w:rPr>
                <w:rFonts w:hint="eastAsia"/>
                <w:color w:val="auto"/>
              </w:rPr>
              <w:t>发生火灾事故处理过程中引发的污染主要包括燃烧时产生的烟气</w:t>
            </w:r>
            <w:r>
              <w:rPr>
                <w:rFonts w:hint="eastAsia"/>
                <w:color w:val="auto"/>
                <w:shd w:val="clear" w:fill="FFFFFF"/>
                <w:lang w:eastAsia="zh-CN"/>
              </w:rPr>
              <w:t>(</w:t>
            </w:r>
            <w:r>
              <w:rPr>
                <w:rFonts w:hint="eastAsia"/>
                <w:color w:val="auto"/>
              </w:rPr>
              <w:t>主要污染物为烟尘、CO等</w:t>
            </w:r>
            <w:r>
              <w:rPr>
                <w:rFonts w:hint="eastAsia"/>
                <w:color w:val="auto"/>
                <w:shd w:val="clear" w:fill="FFFFFF"/>
                <w:lang w:eastAsia="zh-CN"/>
              </w:rPr>
              <w:t>)</w:t>
            </w:r>
            <w:r>
              <w:rPr>
                <w:rFonts w:hint="eastAsia"/>
                <w:color w:val="auto"/>
              </w:rPr>
              <w:t>、扑灭火灾产生的消防水，对周边环境和人群健康产生明显的影响。</w:t>
            </w:r>
          </w:p>
          <w:p w14:paraId="773AA292">
            <w:pPr>
              <w:pStyle w:val="108"/>
              <w:ind w:firstLine="480"/>
              <w:rPr>
                <w:color w:val="auto"/>
              </w:rPr>
            </w:pPr>
            <w:r>
              <w:rPr>
                <w:rFonts w:hint="eastAsia"/>
                <w:color w:val="auto"/>
                <w:shd w:val="clear" w:fill="FFFFFF"/>
              </w:rPr>
              <w:t>(</w:t>
            </w:r>
            <w:r>
              <w:rPr>
                <w:rFonts w:hint="eastAsia"/>
                <w:color w:val="auto"/>
              </w:rPr>
              <w:t>2</w:t>
            </w:r>
            <w:r>
              <w:rPr>
                <w:rFonts w:hint="eastAsia"/>
                <w:color w:val="auto"/>
                <w:shd w:val="clear" w:fill="FFFFFF"/>
              </w:rPr>
              <w:t>)</w:t>
            </w:r>
            <w:r>
              <w:rPr>
                <w:rFonts w:hint="eastAsia"/>
                <w:color w:val="auto"/>
              </w:rPr>
              <w:t>废气处理系统事故对周边环境空气的影响分析</w:t>
            </w:r>
          </w:p>
          <w:p w14:paraId="5E46C005">
            <w:pPr>
              <w:pStyle w:val="108"/>
              <w:ind w:firstLine="480"/>
              <w:rPr>
                <w:color w:val="auto"/>
              </w:rPr>
            </w:pPr>
            <w:r>
              <w:rPr>
                <w:rFonts w:hint="eastAsia"/>
                <w:color w:val="auto"/>
              </w:rPr>
              <w:t>一旦各种工序废气防治措施出现事故，项目在生产过程中产生废气</w:t>
            </w:r>
            <w:r>
              <w:rPr>
                <w:rFonts w:hint="eastAsia"/>
                <w:color w:val="auto"/>
                <w:lang w:val="en-US" w:eastAsia="zh-CN"/>
              </w:rPr>
              <w:t>可能会超标排放</w:t>
            </w:r>
            <w:r>
              <w:rPr>
                <w:rFonts w:hint="eastAsia"/>
                <w:color w:val="auto"/>
              </w:rPr>
              <w:t>，可由呼吸或皮肤</w:t>
            </w:r>
            <w:r>
              <w:rPr>
                <w:rFonts w:hint="eastAsia"/>
                <w:color w:val="auto"/>
                <w:lang w:eastAsia="zh-CN"/>
              </w:rPr>
              <w:t>进入</w:t>
            </w:r>
            <w:r>
              <w:rPr>
                <w:rFonts w:hint="eastAsia"/>
                <w:color w:val="auto"/>
              </w:rPr>
              <w:t>人体内，与人体发生化学作用或物理作用，对人体健康产生危害。</w:t>
            </w:r>
            <w:r>
              <w:rPr>
                <w:rFonts w:hint="eastAsia"/>
                <w:color w:val="auto"/>
                <w:lang w:eastAsia="zh-CN"/>
              </w:rPr>
              <w:t>迁建项目</w:t>
            </w:r>
            <w:r>
              <w:rPr>
                <w:rFonts w:hint="eastAsia"/>
                <w:color w:val="auto"/>
              </w:rPr>
              <w:t>在生产过程中产生的烟尘</w:t>
            </w:r>
            <w:r>
              <w:rPr>
                <w:rFonts w:hint="eastAsia"/>
                <w:color w:val="auto"/>
                <w:shd w:val="clear" w:fill="FFFFFF"/>
                <w:lang w:eastAsia="zh-CN"/>
              </w:rPr>
              <w:t>(</w:t>
            </w:r>
            <w:r>
              <w:rPr>
                <w:rFonts w:hint="eastAsia"/>
                <w:color w:val="auto"/>
              </w:rPr>
              <w:t>颗粒物</w:t>
            </w:r>
            <w:r>
              <w:rPr>
                <w:rFonts w:hint="eastAsia"/>
                <w:color w:val="auto"/>
                <w:shd w:val="clear" w:fill="FFFFFF"/>
                <w:lang w:eastAsia="zh-CN"/>
              </w:rPr>
              <w:t>)</w:t>
            </w:r>
            <w:r>
              <w:rPr>
                <w:rFonts w:hint="eastAsia"/>
                <w:color w:val="auto"/>
              </w:rPr>
              <w:t>，若不通过机械通排风收集、处理，会弥漫在厂房及周围大气中，对周边环境空气及居民造成一定的影响。</w:t>
            </w:r>
          </w:p>
          <w:p w14:paraId="3C759B5D">
            <w:pPr>
              <w:pStyle w:val="115"/>
              <w:ind w:firstLine="480"/>
              <w:rPr>
                <w:color w:val="auto"/>
              </w:rPr>
            </w:pPr>
            <w:bookmarkStart w:id="132" w:name="_Toc29670"/>
            <w:bookmarkStart w:id="133" w:name="_Toc24213"/>
            <w:r>
              <w:rPr>
                <w:color w:val="auto"/>
              </w:rPr>
              <w:t>3</w:t>
            </w:r>
            <w:r>
              <w:rPr>
                <w:rFonts w:hint="eastAsia"/>
                <w:color w:val="auto"/>
              </w:rPr>
              <w:t>、</w:t>
            </w:r>
            <w:r>
              <w:rPr>
                <w:color w:val="auto"/>
              </w:rPr>
              <w:t>环境风险防范措施</w:t>
            </w:r>
            <w:bookmarkEnd w:id="132"/>
            <w:bookmarkEnd w:id="133"/>
          </w:p>
          <w:p w14:paraId="11519803">
            <w:pPr>
              <w:pStyle w:val="108"/>
              <w:ind w:firstLine="480"/>
              <w:rPr>
                <w:color w:val="auto"/>
              </w:rPr>
            </w:pPr>
            <w:r>
              <w:rPr>
                <w:color w:val="auto"/>
              </w:rPr>
              <w:t>针对</w:t>
            </w:r>
            <w:r>
              <w:rPr>
                <w:rFonts w:hint="eastAsia"/>
                <w:color w:val="auto"/>
                <w:lang w:eastAsia="zh-CN"/>
              </w:rPr>
              <w:t>迁建项目</w:t>
            </w:r>
            <w:r>
              <w:rPr>
                <w:color w:val="auto"/>
              </w:rPr>
              <w:t>有可能发生环境风险事故，本环评提出如下措施：</w:t>
            </w:r>
          </w:p>
          <w:p w14:paraId="7D984C2B">
            <w:pPr>
              <w:pStyle w:val="108"/>
              <w:ind w:firstLine="436" w:firstLineChars="182"/>
              <w:rPr>
                <w:color w:val="auto"/>
              </w:rPr>
            </w:pPr>
            <w:r>
              <w:rPr>
                <w:rFonts w:hint="eastAsia"/>
                <w:color w:val="auto"/>
                <w:shd w:val="clear" w:fill="FFFFFF"/>
              </w:rPr>
              <w:t>(</w:t>
            </w:r>
            <w:r>
              <w:rPr>
                <w:rFonts w:hint="eastAsia"/>
                <w:color w:val="auto"/>
              </w:rPr>
              <w:t>1</w:t>
            </w:r>
            <w:r>
              <w:rPr>
                <w:rFonts w:hint="eastAsia"/>
                <w:color w:val="auto"/>
                <w:shd w:val="clear" w:fill="FFFFFF"/>
              </w:rPr>
              <w:t>)</w:t>
            </w:r>
            <w:r>
              <w:rPr>
                <w:rFonts w:hint="eastAsia"/>
                <w:color w:val="auto"/>
              </w:rPr>
              <w:t>火灾、爆炸风险防范措施</w:t>
            </w:r>
          </w:p>
          <w:p w14:paraId="4CA2E80B">
            <w:pPr>
              <w:pStyle w:val="108"/>
              <w:ind w:firstLine="480"/>
              <w:rPr>
                <w:color w:val="auto"/>
              </w:rPr>
            </w:pPr>
            <w:r>
              <w:rPr>
                <w:rFonts w:hint="eastAsia"/>
                <w:color w:val="auto"/>
              </w:rPr>
              <w:t>要求员工严格遵守国家相关管理规定，对工作本着认真负责的态度，在发生事故后能正确采取相应的安全措施和及时启动事故应急预案。</w:t>
            </w:r>
          </w:p>
          <w:p w14:paraId="5D39595C">
            <w:pPr>
              <w:pStyle w:val="108"/>
              <w:ind w:firstLine="480"/>
              <w:rPr>
                <w:color w:val="auto"/>
              </w:rPr>
            </w:pPr>
            <w:r>
              <w:rPr>
                <w:color w:val="auto"/>
                <w:shd w:val="clear" w:fill="FFFFFF"/>
              </w:rPr>
              <w:t>(</w:t>
            </w:r>
            <w:r>
              <w:rPr>
                <w:rFonts w:hint="eastAsia"/>
                <w:color w:val="auto"/>
              </w:rPr>
              <w:t>2</w:t>
            </w:r>
            <w:r>
              <w:rPr>
                <w:color w:val="auto"/>
                <w:shd w:val="clear" w:fill="FFFFFF"/>
              </w:rPr>
              <w:t>)</w:t>
            </w:r>
            <w:r>
              <w:rPr>
                <w:rFonts w:hint="eastAsia"/>
                <w:color w:val="auto"/>
              </w:rPr>
              <w:t>其他</w:t>
            </w:r>
          </w:p>
          <w:p w14:paraId="0336D4DE">
            <w:pPr>
              <w:pStyle w:val="108"/>
              <w:ind w:firstLine="480"/>
              <w:rPr>
                <w:color w:val="auto"/>
              </w:rPr>
            </w:pPr>
            <w:r>
              <w:rPr>
                <w:rFonts w:hint="eastAsia" w:ascii="宋体" w:hAnsi="宋体"/>
                <w:color w:val="auto"/>
              </w:rPr>
              <w:t>①</w:t>
            </w:r>
            <w:r>
              <w:rPr>
                <w:color w:val="auto"/>
              </w:rPr>
              <w:t>定期组织安全隐患排查及整改工作。</w:t>
            </w:r>
          </w:p>
          <w:p w14:paraId="61288D88">
            <w:pPr>
              <w:pStyle w:val="108"/>
              <w:ind w:firstLine="480"/>
              <w:rPr>
                <w:color w:val="auto"/>
              </w:rPr>
            </w:pPr>
            <w:r>
              <w:rPr>
                <w:rFonts w:hint="eastAsia" w:ascii="宋体" w:hAnsi="宋体"/>
                <w:color w:val="auto"/>
              </w:rPr>
              <w:t>②</w:t>
            </w:r>
            <w:r>
              <w:rPr>
                <w:color w:val="auto"/>
              </w:rPr>
              <w:t>严格执行三级安全教育制度，员工上岗前或转岗必须经过安全教育培训后，经考核合格后才可以上岗。操作人员在上岗前应接受有关的安全生产教育，未经培训的新工人，实习人员和临时工不得单独操作，制定有关安全操作规章制度；新员工的安全培训制度：新员工应接受安全教育和培训，在有安全工作经验的职工带领下工作，考核合格后，方可独立工作。</w:t>
            </w:r>
          </w:p>
          <w:p w14:paraId="731147D6">
            <w:pPr>
              <w:pStyle w:val="108"/>
              <w:ind w:firstLine="480"/>
              <w:rPr>
                <w:color w:val="auto"/>
              </w:rPr>
            </w:pPr>
            <w:r>
              <w:rPr>
                <w:color w:val="auto"/>
              </w:rPr>
              <w:t>全体职工安全教育制度：所有生产作业人员，每年要接受在职安全教育培训1</w:t>
            </w:r>
            <w:r>
              <w:rPr>
                <w:color w:val="auto"/>
                <w:shd w:val="clear" w:fill="FFFFFF"/>
              </w:rPr>
              <w:t>-</w:t>
            </w:r>
            <w:r>
              <w:rPr>
                <w:color w:val="auto"/>
              </w:rPr>
              <w:t>2次。公司一年组织2</w:t>
            </w:r>
            <w:r>
              <w:rPr>
                <w:color w:val="auto"/>
                <w:shd w:val="clear" w:fill="FFFFFF"/>
              </w:rPr>
              <w:t>-</w:t>
            </w:r>
            <w:r>
              <w:rPr>
                <w:color w:val="auto"/>
              </w:rPr>
              <w:t>4次应急演练。</w:t>
            </w:r>
          </w:p>
          <w:p w14:paraId="4EA6E8CD">
            <w:pPr>
              <w:pStyle w:val="108"/>
              <w:ind w:firstLine="480"/>
              <w:rPr>
                <w:color w:val="auto"/>
              </w:rPr>
            </w:pPr>
            <w:r>
              <w:rPr>
                <w:rFonts w:hint="eastAsia" w:ascii="宋体" w:hAnsi="宋体"/>
                <w:color w:val="auto"/>
              </w:rPr>
              <w:t>③</w:t>
            </w:r>
            <w:r>
              <w:rPr>
                <w:color w:val="auto"/>
              </w:rPr>
              <w:t>对消防器材定期巡查，保证处于完好状态，消防设施和消防设备要定期测试。</w:t>
            </w:r>
          </w:p>
          <w:p w14:paraId="05F7813A">
            <w:pPr>
              <w:pStyle w:val="108"/>
              <w:ind w:firstLine="480"/>
              <w:rPr>
                <w:color w:val="auto"/>
              </w:rPr>
            </w:pPr>
            <w:r>
              <w:rPr>
                <w:rFonts w:hint="eastAsia" w:ascii="宋体" w:hAnsi="宋体"/>
                <w:color w:val="auto"/>
              </w:rPr>
              <w:t>④</w:t>
            </w:r>
            <w:r>
              <w:rPr>
                <w:color w:val="auto"/>
              </w:rPr>
              <w:t>在厂区内设置醒目的安全标志、禁令、警语和告示牌，杜绝明火火源，严禁超速。厂区内严禁吸烟。</w:t>
            </w:r>
          </w:p>
          <w:p w14:paraId="59336450">
            <w:pPr>
              <w:spacing w:line="360" w:lineRule="auto"/>
              <w:jc w:val="left"/>
              <w:rPr>
                <w:b/>
                <w:bCs/>
                <w:color w:val="auto"/>
                <w:sz w:val="24"/>
              </w:rPr>
            </w:pPr>
            <w:r>
              <w:rPr>
                <w:rFonts w:hint="eastAsia"/>
                <w:b/>
                <w:bCs/>
                <w:color w:val="auto"/>
                <w:sz w:val="24"/>
              </w:rPr>
              <w:t>4.9运营期生态影响和污染治理措施</w:t>
            </w:r>
          </w:p>
          <w:p w14:paraId="56547C1F">
            <w:pPr>
              <w:pStyle w:val="22"/>
              <w:spacing w:line="360" w:lineRule="auto"/>
              <w:ind w:left="0" w:right="0" w:firstLine="480"/>
              <w:jc w:val="left"/>
              <w:rPr>
                <w:rFonts w:ascii="Times New Roman" w:eastAsia="宋体"/>
                <w:color w:val="auto"/>
                <w:sz w:val="24"/>
              </w:rPr>
            </w:pPr>
            <w:r>
              <w:rPr>
                <w:rFonts w:hint="eastAsia" w:ascii="Times New Roman" w:eastAsia="宋体"/>
                <w:color w:val="auto"/>
                <w:sz w:val="24"/>
              </w:rPr>
              <w:t>项目不涉及。</w:t>
            </w:r>
          </w:p>
          <w:p w14:paraId="17F5B311">
            <w:pPr>
              <w:spacing w:line="360" w:lineRule="auto"/>
              <w:jc w:val="left"/>
              <w:rPr>
                <w:b/>
                <w:bCs/>
                <w:color w:val="auto"/>
                <w:sz w:val="24"/>
              </w:rPr>
            </w:pPr>
            <w:r>
              <w:rPr>
                <w:rFonts w:hint="eastAsia"/>
                <w:b/>
                <w:bCs/>
                <w:color w:val="auto"/>
                <w:sz w:val="24"/>
              </w:rPr>
              <w:t>4.10运营期电磁辐射影响和污染治理措施</w:t>
            </w:r>
          </w:p>
          <w:p w14:paraId="1AD57475">
            <w:pPr>
              <w:pStyle w:val="22"/>
              <w:spacing w:line="360" w:lineRule="auto"/>
              <w:ind w:left="0" w:right="0" w:firstLine="480"/>
              <w:jc w:val="left"/>
              <w:rPr>
                <w:rFonts w:ascii="Times New Roman" w:eastAsia="宋体"/>
                <w:color w:val="auto"/>
                <w:sz w:val="24"/>
              </w:rPr>
            </w:pPr>
            <w:r>
              <w:rPr>
                <w:rFonts w:hint="eastAsia" w:ascii="Times New Roman" w:eastAsia="宋体"/>
                <w:color w:val="auto"/>
                <w:sz w:val="24"/>
              </w:rPr>
              <w:t>项目不涉及。</w:t>
            </w:r>
          </w:p>
          <w:p w14:paraId="47FFBB1F">
            <w:pPr>
              <w:spacing w:line="360" w:lineRule="auto"/>
              <w:jc w:val="left"/>
              <w:rPr>
                <w:b/>
                <w:bCs/>
                <w:color w:val="auto"/>
                <w:sz w:val="24"/>
              </w:rPr>
            </w:pPr>
            <w:r>
              <w:rPr>
                <w:rFonts w:hint="eastAsia"/>
                <w:b/>
                <w:bCs/>
                <w:color w:val="auto"/>
                <w:sz w:val="24"/>
              </w:rPr>
              <w:t>4.11</w:t>
            </w:r>
            <w:r>
              <w:rPr>
                <w:b/>
                <w:bCs/>
                <w:color w:val="auto"/>
                <w:sz w:val="24"/>
              </w:rPr>
              <w:t>排污许可管理</w:t>
            </w:r>
          </w:p>
          <w:p w14:paraId="7093FD0D">
            <w:pPr>
              <w:spacing w:line="360" w:lineRule="auto"/>
              <w:ind w:firstLine="480" w:firstLineChars="200"/>
              <w:rPr>
                <w:color w:val="auto"/>
                <w:sz w:val="24"/>
              </w:rPr>
            </w:pPr>
            <w:r>
              <w:rPr>
                <w:color w:val="auto"/>
                <w:sz w:val="24"/>
              </w:rPr>
              <w:t>根据《固定污染源排污许可分类管理名录</w:t>
            </w:r>
            <w:r>
              <w:rPr>
                <w:color w:val="auto"/>
                <w:sz w:val="24"/>
                <w:shd w:val="clear" w:fill="FFFFFF"/>
              </w:rPr>
              <w:t>(</w:t>
            </w:r>
            <w:r>
              <w:rPr>
                <w:color w:val="auto"/>
                <w:sz w:val="24"/>
              </w:rPr>
              <w:t>2019年版</w:t>
            </w:r>
            <w:r>
              <w:rPr>
                <w:color w:val="auto"/>
                <w:sz w:val="24"/>
                <w:shd w:val="clear" w:fill="FFFFFF"/>
              </w:rPr>
              <w:t>)</w:t>
            </w:r>
            <w:r>
              <w:rPr>
                <w:color w:val="auto"/>
                <w:sz w:val="24"/>
              </w:rPr>
              <w:t>》</w:t>
            </w:r>
            <w:r>
              <w:rPr>
                <w:color w:val="auto"/>
                <w:sz w:val="24"/>
                <w:shd w:val="clear" w:fill="FFFFFF"/>
              </w:rPr>
              <w:t>(</w:t>
            </w:r>
            <w:r>
              <w:rPr>
                <w:color w:val="auto"/>
                <w:sz w:val="24"/>
              </w:rPr>
              <w:t>生态环境部第11号</w:t>
            </w:r>
            <w:r>
              <w:rPr>
                <w:color w:val="auto"/>
                <w:sz w:val="24"/>
                <w:shd w:val="clear" w:fill="FFFFFF"/>
              </w:rPr>
              <w:t>)</w:t>
            </w:r>
            <w:r>
              <w:rPr>
                <w:rFonts w:hint="eastAsia"/>
                <w:color w:val="auto"/>
                <w:sz w:val="24"/>
                <w:shd w:val="clear" w:fill="FFFFFF"/>
              </w:rPr>
              <w:t>(</w:t>
            </w:r>
            <w:r>
              <w:rPr>
                <w:rFonts w:hint="eastAsia"/>
                <w:color w:val="auto"/>
                <w:sz w:val="24"/>
              </w:rPr>
              <w:t>摘录</w:t>
            </w:r>
            <w:r>
              <w:rPr>
                <w:rFonts w:hint="eastAsia"/>
                <w:color w:val="auto"/>
                <w:sz w:val="24"/>
                <w:shd w:val="clear" w:fill="FFFFFF"/>
              </w:rPr>
              <w:t>)</w:t>
            </w:r>
            <w:r>
              <w:rPr>
                <w:rFonts w:hint="eastAsia"/>
                <w:color w:val="auto"/>
                <w:sz w:val="24"/>
              </w:rPr>
              <w:t>，表4.11-1</w:t>
            </w:r>
            <w:r>
              <w:rPr>
                <w:color w:val="auto"/>
                <w:sz w:val="24"/>
              </w:rPr>
              <w:t>可知，</w:t>
            </w:r>
            <w:r>
              <w:rPr>
                <w:rFonts w:hint="eastAsia"/>
                <w:color w:val="auto"/>
                <w:sz w:val="24"/>
                <w:lang w:eastAsia="zh-CN"/>
              </w:rPr>
              <w:t>迁建项目</w:t>
            </w:r>
            <w:r>
              <w:rPr>
                <w:color w:val="auto"/>
                <w:sz w:val="24"/>
              </w:rPr>
              <w:t>属于“二十五、非金属矿物制品业</w:t>
            </w:r>
            <w:r>
              <w:rPr>
                <w:color w:val="auto"/>
                <w:sz w:val="24"/>
                <w:shd w:val="clear" w:fill="FFFFFF"/>
              </w:rPr>
              <w:t>-</w:t>
            </w:r>
            <w:r>
              <w:rPr>
                <w:color w:val="auto"/>
                <w:sz w:val="24"/>
              </w:rPr>
              <w:t>水泥制品制造3021”类别，属于登记管理。建设单位应当</w:t>
            </w:r>
            <w:r>
              <w:rPr>
                <w:rFonts w:hint="eastAsia"/>
                <w:color w:val="auto"/>
                <w:sz w:val="24"/>
                <w:lang w:eastAsia="zh-CN"/>
              </w:rPr>
              <w:t>在</w:t>
            </w:r>
            <w:r>
              <w:rPr>
                <w:color w:val="auto"/>
                <w:sz w:val="24"/>
              </w:rPr>
              <w:t>启动生产设施或者发生实际排污前</w:t>
            </w:r>
            <w:r>
              <w:rPr>
                <w:rFonts w:hint="eastAsia"/>
                <w:color w:val="auto"/>
                <w:sz w:val="24"/>
              </w:rPr>
              <w:t>需进行排污登记</w:t>
            </w:r>
            <w:r>
              <w:rPr>
                <w:rFonts w:hint="eastAsia"/>
                <w:color w:val="auto"/>
                <w:sz w:val="24"/>
                <w:lang w:val="en-US" w:eastAsia="zh-CN"/>
              </w:rPr>
              <w:t>的填报</w:t>
            </w:r>
            <w:r>
              <w:rPr>
                <w:color w:val="auto"/>
                <w:sz w:val="24"/>
              </w:rPr>
              <w:t>。</w:t>
            </w:r>
          </w:p>
          <w:p w14:paraId="5894BEDF">
            <w:pPr>
              <w:spacing w:beforeLines="50"/>
              <w:jc w:val="center"/>
              <w:rPr>
                <w:b/>
                <w:bCs/>
                <w:color w:val="auto"/>
                <w:sz w:val="24"/>
              </w:rPr>
            </w:pPr>
            <w:r>
              <w:rPr>
                <w:b/>
                <w:bCs/>
                <w:color w:val="auto"/>
                <w:sz w:val="24"/>
              </w:rPr>
              <w:t>表4.11-1  固定污染源排污许可分类管理名录</w:t>
            </w:r>
            <w:r>
              <w:rPr>
                <w:b/>
                <w:bCs/>
                <w:color w:val="auto"/>
                <w:sz w:val="24"/>
                <w:shd w:val="clear" w:fill="FFFFFF"/>
              </w:rPr>
              <w:t>(</w:t>
            </w:r>
            <w:r>
              <w:rPr>
                <w:b/>
                <w:bCs/>
                <w:color w:val="auto"/>
                <w:sz w:val="24"/>
              </w:rPr>
              <w:t>2019年版</w:t>
            </w:r>
            <w:r>
              <w:rPr>
                <w:b/>
                <w:bCs/>
                <w:color w:val="auto"/>
                <w:sz w:val="24"/>
                <w:shd w:val="clear" w:fill="FFFFFF"/>
              </w:rPr>
              <w:t>)(</w:t>
            </w:r>
            <w:r>
              <w:rPr>
                <w:b/>
                <w:bCs/>
                <w:color w:val="auto"/>
                <w:sz w:val="24"/>
              </w:rPr>
              <w:t>摘录</w:t>
            </w:r>
            <w:r>
              <w:rPr>
                <w:b/>
                <w:bCs/>
                <w:color w:val="auto"/>
                <w:sz w:val="24"/>
                <w:shd w:val="clear" w:fill="FFFFFF"/>
              </w:rPr>
              <w:t>)</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79"/>
              <w:gridCol w:w="2074"/>
              <w:gridCol w:w="2076"/>
              <w:gridCol w:w="1777"/>
            </w:tblGrid>
            <w:tr w14:paraId="6D5AD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vAlign w:val="center"/>
                </w:tcPr>
                <w:p w14:paraId="60465EB2">
                  <w:pPr>
                    <w:spacing w:line="340" w:lineRule="exact"/>
                    <w:jc w:val="center"/>
                    <w:rPr>
                      <w:rFonts w:eastAsia="Times New Roman"/>
                      <w:color w:val="auto"/>
                    </w:rPr>
                  </w:pPr>
                  <w:r>
                    <w:rPr>
                      <w:color w:val="auto"/>
                    </w:rPr>
                    <w:t>序号</w:t>
                  </w:r>
                </w:p>
              </w:tc>
              <w:tc>
                <w:tcPr>
                  <w:tcW w:w="1779" w:type="dxa"/>
                  <w:shd w:val="clear" w:color="auto" w:fill="auto"/>
                  <w:vAlign w:val="center"/>
                </w:tcPr>
                <w:p w14:paraId="67349FDC">
                  <w:pPr>
                    <w:spacing w:line="340" w:lineRule="exact"/>
                    <w:jc w:val="center"/>
                    <w:rPr>
                      <w:rFonts w:eastAsia="Times New Roman"/>
                      <w:color w:val="auto"/>
                    </w:rPr>
                  </w:pPr>
                  <w:r>
                    <w:rPr>
                      <w:color w:val="auto"/>
                    </w:rPr>
                    <w:t>行业类别</w:t>
                  </w:r>
                </w:p>
              </w:tc>
              <w:tc>
                <w:tcPr>
                  <w:tcW w:w="2074" w:type="dxa"/>
                  <w:shd w:val="clear" w:color="auto" w:fill="auto"/>
                  <w:vAlign w:val="center"/>
                </w:tcPr>
                <w:p w14:paraId="1189E635">
                  <w:pPr>
                    <w:spacing w:line="340" w:lineRule="exact"/>
                    <w:jc w:val="center"/>
                    <w:textAlignment w:val="baseline"/>
                    <w:rPr>
                      <w:rFonts w:eastAsia="Times New Roman"/>
                      <w:color w:val="auto"/>
                    </w:rPr>
                  </w:pPr>
                  <w:r>
                    <w:rPr>
                      <w:color w:val="auto"/>
                    </w:rPr>
                    <w:t>重点管理</w:t>
                  </w:r>
                </w:p>
              </w:tc>
              <w:tc>
                <w:tcPr>
                  <w:tcW w:w="2076" w:type="dxa"/>
                  <w:tcBorders>
                    <w:top w:val="single" w:color="auto" w:sz="12" w:space="0"/>
                    <w:bottom w:val="single" w:color="auto" w:sz="4" w:space="0"/>
                  </w:tcBorders>
                  <w:shd w:val="clear" w:color="auto" w:fill="auto"/>
                  <w:vAlign w:val="center"/>
                </w:tcPr>
                <w:p w14:paraId="53521CFC">
                  <w:pPr>
                    <w:spacing w:line="340" w:lineRule="exact"/>
                    <w:jc w:val="center"/>
                    <w:textAlignment w:val="baseline"/>
                    <w:rPr>
                      <w:rFonts w:eastAsia="Times New Roman"/>
                      <w:color w:val="auto"/>
                    </w:rPr>
                  </w:pPr>
                  <w:r>
                    <w:rPr>
                      <w:color w:val="auto"/>
                    </w:rPr>
                    <w:t>简化管理</w:t>
                  </w:r>
                </w:p>
              </w:tc>
              <w:tc>
                <w:tcPr>
                  <w:tcW w:w="1777" w:type="dxa"/>
                  <w:tcBorders>
                    <w:top w:val="single" w:color="auto" w:sz="12" w:space="0"/>
                    <w:bottom w:val="single" w:color="auto" w:sz="4" w:space="0"/>
                  </w:tcBorders>
                  <w:shd w:val="clear" w:color="auto" w:fill="BEBEBE" w:themeFill="background1" w:themeFillShade="BF"/>
                  <w:vAlign w:val="center"/>
                </w:tcPr>
                <w:p w14:paraId="466E3831">
                  <w:pPr>
                    <w:spacing w:line="340" w:lineRule="exact"/>
                    <w:jc w:val="center"/>
                    <w:textAlignment w:val="baseline"/>
                    <w:rPr>
                      <w:rFonts w:eastAsia="Times New Roman"/>
                      <w:color w:val="auto"/>
                    </w:rPr>
                  </w:pPr>
                  <w:r>
                    <w:rPr>
                      <w:color w:val="auto"/>
                    </w:rPr>
                    <w:t>登记管理</w:t>
                  </w:r>
                </w:p>
              </w:tc>
            </w:tr>
            <w:tr w14:paraId="71C9B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BEBEBE" w:themeFill="background1" w:themeFillShade="BF"/>
                  <w:vAlign w:val="center"/>
                </w:tcPr>
                <w:p w14:paraId="7A55F32B">
                  <w:pPr>
                    <w:spacing w:line="340" w:lineRule="exact"/>
                    <w:textAlignment w:val="baseline"/>
                    <w:rPr>
                      <w:rFonts w:eastAsia="黑体"/>
                      <w:color w:val="auto"/>
                    </w:rPr>
                  </w:pPr>
                  <w:r>
                    <w:rPr>
                      <w:color w:val="auto"/>
                    </w:rPr>
                    <w:t>二十五、非金属矿物制品业30</w:t>
                  </w:r>
                </w:p>
              </w:tc>
            </w:tr>
            <w:tr w14:paraId="07F89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tcBorders>
                    <w:bottom w:val="single" w:color="auto" w:sz="12" w:space="0"/>
                  </w:tcBorders>
                  <w:shd w:val="clear" w:color="auto" w:fill="auto"/>
                  <w:vAlign w:val="center"/>
                </w:tcPr>
                <w:p w14:paraId="32E214C1">
                  <w:pPr>
                    <w:spacing w:line="340" w:lineRule="exact"/>
                    <w:jc w:val="center"/>
                    <w:rPr>
                      <w:color w:val="auto"/>
                    </w:rPr>
                  </w:pPr>
                  <w:r>
                    <w:rPr>
                      <w:rFonts w:hint="eastAsia"/>
                      <w:color w:val="auto"/>
                    </w:rPr>
                    <w:t>63</w:t>
                  </w:r>
                </w:p>
              </w:tc>
              <w:tc>
                <w:tcPr>
                  <w:tcW w:w="1779" w:type="dxa"/>
                  <w:tcBorders>
                    <w:bottom w:val="single" w:color="auto" w:sz="12" w:space="0"/>
                  </w:tcBorders>
                  <w:shd w:val="clear" w:color="auto" w:fill="auto"/>
                  <w:vAlign w:val="center"/>
                </w:tcPr>
                <w:p w14:paraId="31748052">
                  <w:pPr>
                    <w:spacing w:line="340" w:lineRule="exact"/>
                    <w:jc w:val="center"/>
                    <w:rPr>
                      <w:color w:val="auto"/>
                    </w:rPr>
                  </w:pPr>
                  <w:r>
                    <w:rPr>
                      <w:rFonts w:hint="eastAsia"/>
                      <w:color w:val="auto"/>
                    </w:rPr>
                    <w:t>水泥、石灰和石膏制造301，石膏、水泥制品及类似制品制造302</w:t>
                  </w:r>
                </w:p>
              </w:tc>
              <w:tc>
                <w:tcPr>
                  <w:tcW w:w="2074" w:type="dxa"/>
                  <w:tcBorders>
                    <w:bottom w:val="single" w:color="auto" w:sz="12" w:space="0"/>
                  </w:tcBorders>
                  <w:shd w:val="clear" w:color="auto" w:fill="auto"/>
                  <w:vAlign w:val="center"/>
                </w:tcPr>
                <w:p w14:paraId="14349491">
                  <w:pPr>
                    <w:spacing w:line="340" w:lineRule="exact"/>
                    <w:jc w:val="center"/>
                    <w:textAlignment w:val="baseline"/>
                    <w:rPr>
                      <w:color w:val="auto"/>
                    </w:rPr>
                  </w:pPr>
                  <w:r>
                    <w:rPr>
                      <w:rFonts w:hint="eastAsia"/>
                      <w:color w:val="auto"/>
                    </w:rPr>
                    <w:t>水泥</w:t>
                  </w:r>
                  <w:r>
                    <w:rPr>
                      <w:rFonts w:hint="eastAsia"/>
                      <w:color w:val="auto"/>
                      <w:shd w:val="clear" w:fill="FFFFFF"/>
                      <w:lang w:eastAsia="zh-CN"/>
                    </w:rPr>
                    <w:t>(</w:t>
                  </w:r>
                  <w:r>
                    <w:rPr>
                      <w:rFonts w:hint="eastAsia"/>
                      <w:color w:val="auto"/>
                    </w:rPr>
                    <w:t>熟料</w:t>
                  </w:r>
                  <w:r>
                    <w:rPr>
                      <w:rFonts w:hint="eastAsia"/>
                      <w:color w:val="auto"/>
                      <w:shd w:val="clear" w:fill="FFFFFF"/>
                      <w:lang w:eastAsia="zh-CN"/>
                    </w:rPr>
                    <w:t>)</w:t>
                  </w:r>
                  <w:r>
                    <w:rPr>
                      <w:rFonts w:hint="eastAsia"/>
                      <w:color w:val="auto"/>
                    </w:rPr>
                    <w:t>制造</w:t>
                  </w:r>
                </w:p>
              </w:tc>
              <w:tc>
                <w:tcPr>
                  <w:tcW w:w="2076" w:type="dxa"/>
                  <w:tcBorders>
                    <w:top w:val="single" w:color="auto" w:sz="4" w:space="0"/>
                    <w:bottom w:val="single" w:color="auto" w:sz="12" w:space="0"/>
                  </w:tcBorders>
                  <w:shd w:val="clear" w:color="auto" w:fill="auto"/>
                  <w:vAlign w:val="center"/>
                </w:tcPr>
                <w:p w14:paraId="7ECF342C">
                  <w:pPr>
                    <w:spacing w:line="340" w:lineRule="exact"/>
                    <w:jc w:val="center"/>
                    <w:textAlignment w:val="baseline"/>
                    <w:rPr>
                      <w:rFonts w:eastAsia="Times New Roman"/>
                      <w:color w:val="auto"/>
                    </w:rPr>
                  </w:pPr>
                  <w:r>
                    <w:rPr>
                      <w:rFonts w:hint="eastAsia"/>
                      <w:color w:val="auto"/>
                    </w:rPr>
                    <w:t>水泥粉磨站、石灰和石膏制造302</w:t>
                  </w:r>
                </w:p>
              </w:tc>
              <w:tc>
                <w:tcPr>
                  <w:tcW w:w="1777" w:type="dxa"/>
                  <w:tcBorders>
                    <w:top w:val="single" w:color="auto" w:sz="4" w:space="0"/>
                    <w:bottom w:val="single" w:color="auto" w:sz="12" w:space="0"/>
                  </w:tcBorders>
                  <w:shd w:val="clear" w:color="auto" w:fill="BEBEBE" w:themeFill="background1" w:themeFillShade="BF"/>
                  <w:vAlign w:val="center"/>
                </w:tcPr>
                <w:p w14:paraId="3027EFE6">
                  <w:pPr>
                    <w:spacing w:line="340" w:lineRule="exact"/>
                    <w:jc w:val="center"/>
                    <w:textAlignment w:val="baseline"/>
                    <w:rPr>
                      <w:color w:val="auto"/>
                    </w:rPr>
                  </w:pPr>
                  <w:r>
                    <w:rPr>
                      <w:color w:val="auto"/>
                    </w:rPr>
                    <w:t>水泥制品制造3021，砼结构构件制造3022，石棉水泥制品制造3023，轻质建筑材料制造3024，其他水泥类似制品制造3029</w:t>
                  </w:r>
                </w:p>
              </w:tc>
            </w:tr>
          </w:tbl>
          <w:p w14:paraId="52F1EAE6">
            <w:pPr>
              <w:pStyle w:val="22"/>
              <w:spacing w:line="360" w:lineRule="auto"/>
              <w:ind w:left="0" w:right="0" w:firstLine="0"/>
              <w:jc w:val="center"/>
              <w:rPr>
                <w:rFonts w:ascii="Times New Roman" w:eastAsia="宋体"/>
                <w:color w:val="auto"/>
                <w:sz w:val="24"/>
              </w:rPr>
            </w:pPr>
          </w:p>
        </w:tc>
      </w:tr>
    </w:tbl>
    <w:p w14:paraId="49CEEC68">
      <w:pPr>
        <w:spacing w:line="360" w:lineRule="auto"/>
        <w:rPr>
          <w:rFonts w:ascii="宋体" w:cs="宋体"/>
          <w:b/>
          <w:color w:val="auto"/>
          <w:kern w:val="21"/>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58ABD429">
      <w:pPr>
        <w:pStyle w:val="31"/>
        <w:jc w:val="center"/>
        <w:outlineLvl w:val="0"/>
        <w:rPr>
          <w:rFonts w:ascii="黑体" w:hAnsi="黑体" w:eastAsia="黑体"/>
          <w:snapToGrid w:val="0"/>
          <w:color w:val="auto"/>
          <w:kern w:val="21"/>
          <w:sz w:val="30"/>
          <w:szCs w:val="30"/>
        </w:rPr>
      </w:pPr>
      <w:bookmarkStart w:id="134" w:name="_Toc2803"/>
      <w:r>
        <w:rPr>
          <w:rFonts w:hint="eastAsia" w:ascii="黑体" w:hAnsi="黑体" w:eastAsia="黑体"/>
          <w:snapToGrid w:val="0"/>
          <w:color w:val="auto"/>
          <w:kern w:val="21"/>
          <w:sz w:val="30"/>
          <w:szCs w:val="30"/>
        </w:rPr>
        <w:t>五、</w:t>
      </w:r>
      <w:bookmarkStart w:id="135" w:name="_Hlk54167917"/>
      <w:r>
        <w:rPr>
          <w:rFonts w:hint="eastAsia" w:ascii="黑体" w:hAnsi="黑体" w:eastAsia="黑体"/>
          <w:snapToGrid w:val="0"/>
          <w:color w:val="auto"/>
          <w:kern w:val="21"/>
          <w:sz w:val="30"/>
          <w:szCs w:val="30"/>
        </w:rPr>
        <w:t>环境保护措施监督检查清单</w:t>
      </w:r>
      <w:bookmarkEnd w:id="134"/>
      <w:bookmarkEnd w:id="135"/>
    </w:p>
    <w:tbl>
      <w:tblPr>
        <w:tblStyle w:val="36"/>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726"/>
        <w:gridCol w:w="1112"/>
        <w:gridCol w:w="1027"/>
        <w:gridCol w:w="1921"/>
        <w:gridCol w:w="2804"/>
      </w:tblGrid>
      <w:tr w14:paraId="1C5B8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tcBorders>
              <w:tl2br w:val="single" w:color="auto" w:sz="4" w:space="0"/>
            </w:tcBorders>
          </w:tcPr>
          <w:p w14:paraId="52F39AFA">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textAlignment w:val="auto"/>
              <w:rPr>
                <w:color w:val="auto"/>
                <w:kern w:val="21"/>
                <w:sz w:val="21"/>
                <w:szCs w:val="21"/>
              </w:rPr>
            </w:pPr>
            <w:r>
              <w:rPr>
                <w:color w:val="auto"/>
                <w:kern w:val="21"/>
                <w:sz w:val="21"/>
                <w:szCs w:val="21"/>
              </w:rPr>
              <w:t>内容</w:t>
            </w:r>
          </w:p>
          <w:p w14:paraId="15CB35D3">
            <w:pPr>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kern w:val="21"/>
                <w:sz w:val="21"/>
                <w:szCs w:val="21"/>
              </w:rPr>
            </w:pPr>
            <w:r>
              <w:rPr>
                <w:color w:val="auto"/>
                <w:kern w:val="21"/>
                <w:sz w:val="21"/>
                <w:szCs w:val="21"/>
              </w:rPr>
              <w:t>要素</w:t>
            </w:r>
          </w:p>
        </w:tc>
        <w:tc>
          <w:tcPr>
            <w:tcW w:w="1838" w:type="dxa"/>
            <w:gridSpan w:val="2"/>
            <w:vAlign w:val="center"/>
          </w:tcPr>
          <w:p w14:paraId="6EF1848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排放口</w:t>
            </w:r>
            <w:r>
              <w:rPr>
                <w:color w:val="auto"/>
                <w:kern w:val="21"/>
                <w:sz w:val="21"/>
                <w:szCs w:val="21"/>
                <w:shd w:val="clear" w:fill="FFFFFF"/>
              </w:rPr>
              <w:t>(</w:t>
            </w:r>
            <w:r>
              <w:rPr>
                <w:color w:val="auto"/>
                <w:kern w:val="21"/>
                <w:sz w:val="21"/>
                <w:szCs w:val="21"/>
              </w:rPr>
              <w:t>编号、</w:t>
            </w:r>
          </w:p>
          <w:p w14:paraId="2023BF6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名称</w:t>
            </w:r>
            <w:r>
              <w:rPr>
                <w:color w:val="auto"/>
                <w:kern w:val="21"/>
                <w:sz w:val="21"/>
                <w:szCs w:val="21"/>
                <w:shd w:val="clear" w:fill="FFFFFF"/>
              </w:rPr>
              <w:t>)</w:t>
            </w:r>
            <w:r>
              <w:rPr>
                <w:color w:val="auto"/>
                <w:kern w:val="21"/>
                <w:sz w:val="21"/>
                <w:szCs w:val="21"/>
              </w:rPr>
              <w:t>/污染源</w:t>
            </w:r>
          </w:p>
        </w:tc>
        <w:tc>
          <w:tcPr>
            <w:tcW w:w="1027" w:type="dxa"/>
            <w:vAlign w:val="center"/>
          </w:tcPr>
          <w:p w14:paraId="0A534DF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污染物</w:t>
            </w:r>
          </w:p>
          <w:p w14:paraId="059DA77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项目</w:t>
            </w:r>
          </w:p>
        </w:tc>
        <w:tc>
          <w:tcPr>
            <w:tcW w:w="1921" w:type="dxa"/>
            <w:vAlign w:val="center"/>
          </w:tcPr>
          <w:p w14:paraId="19BBC2F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环境保护</w:t>
            </w:r>
          </w:p>
          <w:p w14:paraId="72FD82D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措施</w:t>
            </w:r>
          </w:p>
        </w:tc>
        <w:tc>
          <w:tcPr>
            <w:tcW w:w="2804" w:type="dxa"/>
            <w:vAlign w:val="center"/>
          </w:tcPr>
          <w:p w14:paraId="1A3352C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执行标准</w:t>
            </w:r>
          </w:p>
        </w:tc>
      </w:tr>
      <w:tr w14:paraId="6E790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restart"/>
            <w:vAlign w:val="center"/>
          </w:tcPr>
          <w:p w14:paraId="131F39D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color w:val="auto"/>
                <w:sz w:val="21"/>
                <w:szCs w:val="21"/>
              </w:rPr>
              <w:t>大气环境</w:t>
            </w:r>
          </w:p>
          <w:p w14:paraId="3F4096F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sz w:val="21"/>
                <w:szCs w:val="21"/>
                <w:lang w:eastAsia="zh-CN"/>
              </w:rPr>
            </w:pPr>
            <w:r>
              <w:rPr>
                <w:rFonts w:hint="eastAsia"/>
                <w:color w:val="auto"/>
                <w:sz w:val="21"/>
                <w:szCs w:val="21"/>
                <w:shd w:val="clear" w:fill="FFFFFF"/>
                <w:lang w:eastAsia="zh-CN"/>
              </w:rPr>
              <w:t>(</w:t>
            </w:r>
            <w:r>
              <w:rPr>
                <w:color w:val="auto"/>
                <w:sz w:val="21"/>
                <w:szCs w:val="21"/>
              </w:rPr>
              <w:t>运营期</w:t>
            </w:r>
            <w:r>
              <w:rPr>
                <w:rFonts w:hint="eastAsia"/>
                <w:color w:val="auto"/>
                <w:sz w:val="21"/>
                <w:szCs w:val="21"/>
                <w:shd w:val="clear" w:fill="FFFFFF"/>
                <w:lang w:eastAsia="zh-CN"/>
              </w:rPr>
              <w:t>)</w:t>
            </w:r>
          </w:p>
        </w:tc>
        <w:tc>
          <w:tcPr>
            <w:tcW w:w="726" w:type="dxa"/>
            <w:shd w:val="clear" w:color="auto" w:fill="auto"/>
            <w:vAlign w:val="center"/>
          </w:tcPr>
          <w:p w14:paraId="048D4AA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eastAsia="宋体"/>
                <w:color w:val="auto"/>
                <w:kern w:val="21"/>
                <w:sz w:val="21"/>
                <w:szCs w:val="21"/>
                <w:lang w:val="en-US" w:eastAsia="zh-CN"/>
              </w:rPr>
            </w:pPr>
            <w:r>
              <w:rPr>
                <w:rFonts w:hint="eastAsia"/>
                <w:color w:val="auto"/>
                <w:kern w:val="21"/>
                <w:sz w:val="21"/>
                <w:szCs w:val="21"/>
                <w:lang w:val="en-US" w:eastAsia="zh-CN"/>
              </w:rPr>
              <w:t>有组织排放</w:t>
            </w:r>
          </w:p>
        </w:tc>
        <w:tc>
          <w:tcPr>
            <w:tcW w:w="1112" w:type="dxa"/>
            <w:shd w:val="clear" w:color="auto" w:fill="auto"/>
            <w:vAlign w:val="center"/>
          </w:tcPr>
          <w:p w14:paraId="09DA06A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rPr>
              <w:t>水泥罐呼吸粉尘</w:t>
            </w:r>
          </w:p>
        </w:tc>
        <w:tc>
          <w:tcPr>
            <w:tcW w:w="1027" w:type="dxa"/>
            <w:shd w:val="clear" w:color="auto" w:fill="auto"/>
            <w:vAlign w:val="center"/>
          </w:tcPr>
          <w:p w14:paraId="7075C07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kern w:val="21"/>
                <w:sz w:val="21"/>
                <w:szCs w:val="21"/>
                <w:lang w:val="en-US" w:eastAsia="zh-CN"/>
              </w:rPr>
            </w:pPr>
            <w:r>
              <w:rPr>
                <w:rFonts w:hint="eastAsia"/>
                <w:color w:val="auto"/>
                <w:kern w:val="21"/>
                <w:sz w:val="21"/>
                <w:szCs w:val="21"/>
                <w:lang w:val="en-US" w:eastAsia="zh-CN"/>
              </w:rPr>
              <w:t>颗粒物</w:t>
            </w:r>
          </w:p>
        </w:tc>
        <w:tc>
          <w:tcPr>
            <w:tcW w:w="1921" w:type="dxa"/>
            <w:vAlign w:val="center"/>
          </w:tcPr>
          <w:p w14:paraId="4D046F2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sz w:val="21"/>
                <w:szCs w:val="21"/>
              </w:rPr>
              <w:t>项目全厂共设置10个水泥罐，水泥罐呼吸粉尘从每个水泥罐负压收集至罐顶的1套滤罐顶滤筒袋式除尘器</w:t>
            </w:r>
            <w:r>
              <w:rPr>
                <w:rFonts w:hint="eastAsia"/>
                <w:color w:val="auto"/>
                <w:sz w:val="21"/>
                <w:szCs w:val="21"/>
                <w:shd w:val="clear" w:fill="FFFFFF"/>
              </w:rPr>
              <w:t>(</w:t>
            </w:r>
            <w:r>
              <w:rPr>
                <w:rFonts w:hint="eastAsia"/>
                <w:color w:val="auto"/>
                <w:sz w:val="21"/>
                <w:szCs w:val="21"/>
              </w:rPr>
              <w:t>共计10套废气处理设施</w:t>
            </w:r>
            <w:r>
              <w:rPr>
                <w:rFonts w:hint="eastAsia"/>
                <w:color w:val="auto"/>
                <w:sz w:val="21"/>
                <w:szCs w:val="21"/>
                <w:shd w:val="clear" w:fill="FFFFFF"/>
              </w:rPr>
              <w:t>)</w:t>
            </w:r>
            <w:r>
              <w:rPr>
                <w:rFonts w:hint="eastAsia"/>
                <w:color w:val="auto"/>
                <w:sz w:val="21"/>
                <w:szCs w:val="21"/>
              </w:rPr>
              <w:t>处理后每2</w:t>
            </w:r>
            <w:r>
              <w:rPr>
                <w:rFonts w:hint="eastAsia"/>
                <w:color w:val="auto"/>
                <w:sz w:val="21"/>
                <w:szCs w:val="21"/>
                <w:lang w:eastAsia="zh-CN"/>
              </w:rPr>
              <w:t>套滤罐顶滤筒袋式除尘器设置管道相衔接后由1根15m高排气筒排放</w:t>
            </w:r>
            <w:r>
              <w:rPr>
                <w:rFonts w:hint="eastAsia"/>
                <w:color w:val="auto"/>
                <w:sz w:val="21"/>
                <w:szCs w:val="21"/>
              </w:rPr>
              <w:t>，则生产车间内设置DA001~DA005共计5根水泥罐呼吸粉尘排气筒</w:t>
            </w:r>
          </w:p>
        </w:tc>
        <w:tc>
          <w:tcPr>
            <w:tcW w:w="2804" w:type="dxa"/>
            <w:vAlign w:val="center"/>
          </w:tcPr>
          <w:p w14:paraId="42F12AE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eastAsia="宋体"/>
                <w:color w:val="auto"/>
                <w:sz w:val="21"/>
                <w:szCs w:val="21"/>
                <w:lang w:val="en-US" w:eastAsia="zh-CN"/>
              </w:rPr>
            </w:pPr>
            <w:r>
              <w:rPr>
                <w:rFonts w:hint="eastAsia"/>
                <w:color w:val="auto"/>
                <w:sz w:val="21"/>
                <w:szCs w:val="21"/>
                <w:lang w:val="en-US" w:eastAsia="zh-CN"/>
              </w:rPr>
              <w:t>颗粒物有组织排放需满足</w:t>
            </w:r>
            <w:r>
              <w:rPr>
                <w:rFonts w:hint="eastAsia"/>
                <w:color w:val="auto"/>
                <w:kern w:val="0"/>
                <w:sz w:val="21"/>
                <w:lang w:eastAsia="en-US"/>
              </w:rPr>
              <w:t>福建省地方标准《水泥工业大气污染物排放标准》(DB35/1311-2013</w:t>
            </w:r>
            <w:r>
              <w:rPr>
                <w:rFonts w:hint="eastAsia"/>
                <w:color w:val="auto"/>
                <w:kern w:val="0"/>
                <w:sz w:val="21"/>
                <w:shd w:val="clear" w:fill="FFFFFF"/>
                <w:lang w:eastAsia="en-US"/>
              </w:rPr>
              <w:t>)</w:t>
            </w:r>
            <w:r>
              <w:rPr>
                <w:rFonts w:hint="eastAsia"/>
                <w:color w:val="auto"/>
                <w:kern w:val="0"/>
                <w:sz w:val="21"/>
                <w:lang w:eastAsia="en-US"/>
              </w:rPr>
              <w:t>表2中水泥制品生产的类别限值要求</w:t>
            </w:r>
            <w:r>
              <w:rPr>
                <w:rFonts w:hint="eastAsia"/>
                <w:color w:val="auto"/>
                <w:kern w:val="0"/>
                <w:sz w:val="21"/>
                <w:shd w:val="clear" w:fill="FFFFFF"/>
                <w:lang w:val="en-US" w:eastAsia="zh-CN"/>
              </w:rPr>
              <w:t>(</w:t>
            </w:r>
            <w:r>
              <w:rPr>
                <w:rFonts w:hint="eastAsia"/>
                <w:color w:val="auto"/>
                <w:kern w:val="0"/>
                <w:sz w:val="21"/>
                <w:lang w:val="en-US" w:eastAsia="zh-CN"/>
              </w:rPr>
              <w:t>即水泥仓及其他通风生产设备中颗粒物排放浓度≤20mg/m</w:t>
            </w:r>
            <w:r>
              <w:rPr>
                <w:rFonts w:hint="eastAsia"/>
                <w:color w:val="auto"/>
                <w:kern w:val="0"/>
                <w:sz w:val="21"/>
                <w:vertAlign w:val="superscript"/>
                <w:lang w:val="en-US" w:eastAsia="zh-CN"/>
              </w:rPr>
              <w:t>3</w:t>
            </w:r>
            <w:r>
              <w:rPr>
                <w:rFonts w:hint="eastAsia"/>
                <w:color w:val="auto"/>
                <w:kern w:val="0"/>
                <w:sz w:val="21"/>
                <w:shd w:val="clear" w:fill="FFFFFF"/>
                <w:lang w:val="en-US" w:eastAsia="zh-CN"/>
              </w:rPr>
              <w:t>)</w:t>
            </w:r>
          </w:p>
        </w:tc>
      </w:tr>
      <w:tr w14:paraId="2AA44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4852B08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c>
          <w:tcPr>
            <w:tcW w:w="726" w:type="dxa"/>
            <w:vMerge w:val="restart"/>
            <w:shd w:val="clear" w:color="auto" w:fill="auto"/>
            <w:vAlign w:val="center"/>
          </w:tcPr>
          <w:p w14:paraId="6A8649D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eastAsia="宋体"/>
                <w:color w:val="auto"/>
                <w:kern w:val="21"/>
                <w:sz w:val="21"/>
                <w:szCs w:val="21"/>
                <w:lang w:val="en-US" w:eastAsia="zh-CN"/>
              </w:rPr>
            </w:pPr>
            <w:r>
              <w:rPr>
                <w:rFonts w:hint="eastAsia"/>
                <w:color w:val="auto"/>
                <w:kern w:val="21"/>
                <w:sz w:val="21"/>
                <w:szCs w:val="21"/>
                <w:lang w:val="en-US" w:eastAsia="zh-CN"/>
              </w:rPr>
              <w:t>无组织排放</w:t>
            </w:r>
          </w:p>
        </w:tc>
        <w:tc>
          <w:tcPr>
            <w:tcW w:w="1112" w:type="dxa"/>
            <w:shd w:val="clear" w:color="auto" w:fill="auto"/>
            <w:vAlign w:val="center"/>
          </w:tcPr>
          <w:p w14:paraId="6853B00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rPr>
              <w:t>石子、砂子输送</w:t>
            </w:r>
          </w:p>
        </w:tc>
        <w:tc>
          <w:tcPr>
            <w:tcW w:w="1027" w:type="dxa"/>
            <w:shd w:val="clear" w:color="auto" w:fill="auto"/>
            <w:vAlign w:val="center"/>
          </w:tcPr>
          <w:p w14:paraId="64DAA3B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颗粒物</w:t>
            </w:r>
          </w:p>
        </w:tc>
        <w:tc>
          <w:tcPr>
            <w:tcW w:w="1921" w:type="dxa"/>
            <w:vAlign w:val="center"/>
          </w:tcPr>
          <w:p w14:paraId="269F82E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皮带输送系统，进料、下料和转运的上方加装半密闭的防尘罩</w:t>
            </w:r>
          </w:p>
        </w:tc>
        <w:tc>
          <w:tcPr>
            <w:tcW w:w="2804" w:type="dxa"/>
            <w:vMerge w:val="restart"/>
            <w:vAlign w:val="center"/>
          </w:tcPr>
          <w:p w14:paraId="3AB5E12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Fonts w:hint="eastAsia"/>
                <w:color w:val="auto"/>
                <w:sz w:val="21"/>
                <w:szCs w:val="21"/>
                <w:lang w:val="en-US" w:eastAsia="zh-CN"/>
              </w:rPr>
              <w:t>颗粒物无组织排放需满足</w:t>
            </w:r>
            <w:r>
              <w:rPr>
                <w:rFonts w:hint="eastAsia"/>
                <w:color w:val="auto"/>
                <w:kern w:val="0"/>
                <w:sz w:val="21"/>
                <w:lang w:eastAsia="en-US"/>
              </w:rPr>
              <w:t>福建省地方标准《水泥工业大气污染物排放标准》(DB35/1311-2013</w:t>
            </w:r>
            <w:r>
              <w:rPr>
                <w:rFonts w:hint="eastAsia"/>
                <w:color w:val="auto"/>
                <w:kern w:val="0"/>
                <w:sz w:val="21"/>
                <w:shd w:val="clear" w:fill="FFFFFF"/>
                <w:lang w:eastAsia="en-US"/>
              </w:rPr>
              <w:t>)</w:t>
            </w:r>
            <w:r>
              <w:rPr>
                <w:rFonts w:hint="eastAsia"/>
                <w:color w:val="auto"/>
                <w:kern w:val="0"/>
                <w:sz w:val="21"/>
                <w:lang w:eastAsia="en-US"/>
              </w:rPr>
              <w:t>表</w:t>
            </w:r>
            <w:r>
              <w:rPr>
                <w:rFonts w:hint="eastAsia"/>
                <w:color w:val="auto"/>
                <w:kern w:val="0"/>
                <w:sz w:val="21"/>
                <w:lang w:val="en-US" w:eastAsia="zh-CN"/>
              </w:rPr>
              <w:t>3</w:t>
            </w:r>
            <w:r>
              <w:rPr>
                <w:rFonts w:hint="eastAsia"/>
                <w:color w:val="auto"/>
                <w:kern w:val="0"/>
                <w:sz w:val="21"/>
                <w:lang w:eastAsia="en-US"/>
              </w:rPr>
              <w:t>中无组织排放限值要求</w:t>
            </w:r>
            <w:r>
              <w:rPr>
                <w:rFonts w:hint="eastAsia"/>
                <w:color w:val="auto"/>
                <w:kern w:val="0"/>
                <w:sz w:val="21"/>
                <w:shd w:val="clear" w:fill="FFFFFF"/>
                <w:lang w:val="en-US" w:eastAsia="zh-CN"/>
              </w:rPr>
              <w:t>(</w:t>
            </w:r>
            <w:r>
              <w:rPr>
                <w:rFonts w:hint="eastAsia"/>
                <w:color w:val="auto"/>
                <w:kern w:val="0"/>
                <w:sz w:val="21"/>
                <w:lang w:val="en-US" w:eastAsia="zh-CN"/>
              </w:rPr>
              <w:t>即厂界外20m处颗粒物排放浓度≤0.5mg/m</w:t>
            </w:r>
            <w:r>
              <w:rPr>
                <w:rFonts w:hint="eastAsia"/>
                <w:color w:val="auto"/>
                <w:kern w:val="0"/>
                <w:sz w:val="21"/>
                <w:vertAlign w:val="superscript"/>
                <w:lang w:val="en-US" w:eastAsia="zh-CN"/>
              </w:rPr>
              <w:t>3</w:t>
            </w:r>
            <w:r>
              <w:rPr>
                <w:rFonts w:hint="eastAsia"/>
                <w:color w:val="auto"/>
                <w:kern w:val="0"/>
                <w:sz w:val="21"/>
                <w:shd w:val="clear" w:fill="FFFFFF"/>
                <w:lang w:val="en-US" w:eastAsia="zh-CN"/>
              </w:rPr>
              <w:t>)</w:t>
            </w:r>
          </w:p>
        </w:tc>
      </w:tr>
      <w:tr w14:paraId="78AF8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4C21426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c>
          <w:tcPr>
            <w:tcW w:w="726" w:type="dxa"/>
            <w:vMerge w:val="continue"/>
            <w:shd w:val="clear" w:color="auto" w:fill="auto"/>
            <w:vAlign w:val="center"/>
          </w:tcPr>
          <w:p w14:paraId="7ECB3D7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eastAsia="宋体" w:cs="Times New Roman"/>
                <w:color w:val="auto"/>
                <w:kern w:val="21"/>
                <w:sz w:val="21"/>
                <w:szCs w:val="21"/>
                <w:lang w:val="en-US" w:eastAsia="zh-CN" w:bidi="ar-SA"/>
              </w:rPr>
            </w:pPr>
          </w:p>
        </w:tc>
        <w:tc>
          <w:tcPr>
            <w:tcW w:w="1112" w:type="dxa"/>
            <w:shd w:val="clear" w:color="auto" w:fill="auto"/>
            <w:vAlign w:val="center"/>
          </w:tcPr>
          <w:p w14:paraId="6712030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rPr>
              <w:t>原料装卸</w:t>
            </w:r>
          </w:p>
        </w:tc>
        <w:tc>
          <w:tcPr>
            <w:tcW w:w="1027" w:type="dxa"/>
            <w:shd w:val="clear" w:color="auto" w:fill="auto"/>
            <w:vAlign w:val="center"/>
          </w:tcPr>
          <w:p w14:paraId="3A9D132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eastAsia="宋体" w:cs="Times New Roman"/>
                <w:color w:val="auto"/>
                <w:kern w:val="21"/>
                <w:sz w:val="21"/>
                <w:szCs w:val="21"/>
                <w:lang w:val="en-US" w:eastAsia="zh-CN" w:bidi="ar-SA"/>
              </w:rPr>
            </w:pPr>
            <w:r>
              <w:rPr>
                <w:rFonts w:hint="eastAsia"/>
                <w:color w:val="auto"/>
                <w:kern w:val="21"/>
                <w:sz w:val="21"/>
                <w:szCs w:val="21"/>
              </w:rPr>
              <w:t>颗粒物</w:t>
            </w:r>
          </w:p>
        </w:tc>
        <w:tc>
          <w:tcPr>
            <w:tcW w:w="1921" w:type="dxa"/>
            <w:shd w:val="clear" w:color="auto" w:fill="auto"/>
            <w:vAlign w:val="center"/>
          </w:tcPr>
          <w:p w14:paraId="3DF3037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eastAsia="宋体" w:cs="Times New Roman"/>
                <w:color w:val="auto"/>
                <w:kern w:val="21"/>
                <w:sz w:val="21"/>
                <w:szCs w:val="21"/>
                <w:lang w:val="en-US" w:eastAsia="zh-CN" w:bidi="ar-SA"/>
              </w:rPr>
            </w:pPr>
            <w:r>
              <w:rPr>
                <w:rFonts w:hint="eastAsia"/>
                <w:color w:val="auto"/>
                <w:kern w:val="21"/>
                <w:sz w:val="21"/>
                <w:szCs w:val="21"/>
              </w:rPr>
              <w:t>洒水降尘</w:t>
            </w:r>
          </w:p>
        </w:tc>
        <w:tc>
          <w:tcPr>
            <w:tcW w:w="2804" w:type="dxa"/>
            <w:vMerge w:val="continue"/>
            <w:vAlign w:val="center"/>
          </w:tcPr>
          <w:p w14:paraId="125AE63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r>
      <w:tr w14:paraId="0BD01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3DB6162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c>
          <w:tcPr>
            <w:tcW w:w="726" w:type="dxa"/>
            <w:vMerge w:val="continue"/>
            <w:shd w:val="clear" w:color="auto" w:fill="auto"/>
            <w:vAlign w:val="center"/>
          </w:tcPr>
          <w:p w14:paraId="02C4CBC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p>
        </w:tc>
        <w:tc>
          <w:tcPr>
            <w:tcW w:w="1112" w:type="dxa"/>
            <w:shd w:val="clear" w:color="auto" w:fill="auto"/>
            <w:vAlign w:val="center"/>
          </w:tcPr>
          <w:p w14:paraId="1FF5538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rPr>
              <w:t>搅拌工序</w:t>
            </w:r>
          </w:p>
        </w:tc>
        <w:tc>
          <w:tcPr>
            <w:tcW w:w="1027" w:type="dxa"/>
            <w:shd w:val="clear" w:color="auto" w:fill="auto"/>
            <w:vAlign w:val="center"/>
          </w:tcPr>
          <w:p w14:paraId="0F8415F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颗粒物</w:t>
            </w:r>
          </w:p>
        </w:tc>
        <w:tc>
          <w:tcPr>
            <w:tcW w:w="1921" w:type="dxa"/>
            <w:vAlign w:val="center"/>
          </w:tcPr>
          <w:p w14:paraId="0A4EA21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密闭湿法搅拌、水喷淋</w:t>
            </w:r>
          </w:p>
        </w:tc>
        <w:tc>
          <w:tcPr>
            <w:tcW w:w="2804" w:type="dxa"/>
            <w:vMerge w:val="continue"/>
            <w:vAlign w:val="center"/>
          </w:tcPr>
          <w:p w14:paraId="11870EC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r>
      <w:tr w14:paraId="7E247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52A6632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c>
          <w:tcPr>
            <w:tcW w:w="726" w:type="dxa"/>
            <w:vMerge w:val="continue"/>
            <w:shd w:val="clear" w:color="auto" w:fill="auto"/>
            <w:vAlign w:val="center"/>
          </w:tcPr>
          <w:p w14:paraId="2F3968B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p>
        </w:tc>
        <w:tc>
          <w:tcPr>
            <w:tcW w:w="1112" w:type="dxa"/>
            <w:shd w:val="clear" w:color="auto" w:fill="auto"/>
            <w:vAlign w:val="center"/>
          </w:tcPr>
          <w:p w14:paraId="50F9F3E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rPr>
              <w:t>焊接</w:t>
            </w:r>
          </w:p>
        </w:tc>
        <w:tc>
          <w:tcPr>
            <w:tcW w:w="1027" w:type="dxa"/>
            <w:shd w:val="clear" w:color="auto" w:fill="auto"/>
            <w:vAlign w:val="center"/>
          </w:tcPr>
          <w:p w14:paraId="14072E1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颗粒物</w:t>
            </w:r>
          </w:p>
        </w:tc>
        <w:tc>
          <w:tcPr>
            <w:tcW w:w="1921" w:type="dxa"/>
            <w:vAlign w:val="center"/>
          </w:tcPr>
          <w:p w14:paraId="027E6E1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移动焊烟净化器</w:t>
            </w:r>
          </w:p>
        </w:tc>
        <w:tc>
          <w:tcPr>
            <w:tcW w:w="2804" w:type="dxa"/>
            <w:vMerge w:val="continue"/>
            <w:vAlign w:val="center"/>
          </w:tcPr>
          <w:p w14:paraId="504B3B4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r>
      <w:tr w14:paraId="2DE4C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3F1858E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c>
          <w:tcPr>
            <w:tcW w:w="726" w:type="dxa"/>
            <w:shd w:val="clear" w:color="auto" w:fill="auto"/>
            <w:vAlign w:val="center"/>
          </w:tcPr>
          <w:p w14:paraId="3050414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lang w:val="en-US" w:eastAsia="zh-CN"/>
              </w:rPr>
              <w:t>有组织排放</w:t>
            </w:r>
          </w:p>
        </w:tc>
        <w:tc>
          <w:tcPr>
            <w:tcW w:w="1112" w:type="dxa"/>
            <w:shd w:val="clear" w:color="auto" w:fill="auto"/>
            <w:vAlign w:val="center"/>
          </w:tcPr>
          <w:p w14:paraId="12BC5B4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1"/>
                <w:sz w:val="21"/>
                <w:szCs w:val="21"/>
                <w:lang w:val="en-US" w:eastAsia="zh-CN" w:bidi="ar-SA"/>
              </w:rPr>
            </w:pPr>
            <w:r>
              <w:rPr>
                <w:rFonts w:hint="eastAsia"/>
                <w:color w:val="auto"/>
                <w:kern w:val="21"/>
                <w:sz w:val="21"/>
                <w:szCs w:val="21"/>
              </w:rPr>
              <w:t>厨房油烟</w:t>
            </w:r>
          </w:p>
        </w:tc>
        <w:tc>
          <w:tcPr>
            <w:tcW w:w="1027" w:type="dxa"/>
            <w:shd w:val="clear" w:color="auto" w:fill="auto"/>
            <w:vAlign w:val="center"/>
          </w:tcPr>
          <w:p w14:paraId="48470C4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油烟</w:t>
            </w:r>
          </w:p>
        </w:tc>
        <w:tc>
          <w:tcPr>
            <w:tcW w:w="1921" w:type="dxa"/>
            <w:vAlign w:val="center"/>
          </w:tcPr>
          <w:p w14:paraId="43E7BD9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油烟净化器</w:t>
            </w:r>
          </w:p>
        </w:tc>
        <w:tc>
          <w:tcPr>
            <w:tcW w:w="2804" w:type="dxa"/>
            <w:vAlign w:val="center"/>
          </w:tcPr>
          <w:p w14:paraId="5560B75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eastAsia="宋体"/>
                <w:color w:val="auto"/>
                <w:sz w:val="21"/>
                <w:szCs w:val="21"/>
                <w:lang w:val="en-US" w:eastAsia="zh-CN"/>
              </w:rPr>
            </w:pPr>
            <w:r>
              <w:rPr>
                <w:rFonts w:hint="eastAsia"/>
                <w:color w:val="auto"/>
                <w:sz w:val="21"/>
                <w:szCs w:val="21"/>
                <w:lang w:val="en-US" w:eastAsia="zh-CN"/>
              </w:rPr>
              <w:t>食堂油烟的排放需满足</w:t>
            </w:r>
            <w:r>
              <w:rPr>
                <w:color w:val="auto"/>
                <w:sz w:val="21"/>
                <w:szCs w:val="21"/>
              </w:rPr>
              <w:t>《饮食业油烟排放标准</w:t>
            </w:r>
            <w:r>
              <w:rPr>
                <w:rFonts w:hint="eastAsia"/>
                <w:color w:val="auto"/>
                <w:sz w:val="21"/>
                <w:szCs w:val="21"/>
                <w:shd w:val="clear" w:fill="FFFFFF"/>
                <w:lang w:eastAsia="zh-CN"/>
              </w:rPr>
              <w:t>(</w:t>
            </w:r>
            <w:r>
              <w:rPr>
                <w:color w:val="auto"/>
                <w:sz w:val="21"/>
                <w:szCs w:val="21"/>
              </w:rPr>
              <w:t>试行</w:t>
            </w:r>
            <w:r>
              <w:rPr>
                <w:rFonts w:hint="eastAsia"/>
                <w:color w:val="auto"/>
                <w:sz w:val="21"/>
                <w:szCs w:val="21"/>
                <w:shd w:val="clear" w:fill="FFFFFF"/>
                <w:lang w:eastAsia="zh-CN"/>
              </w:rPr>
              <w:t>)</w:t>
            </w:r>
            <w:r>
              <w:rPr>
                <w:color w:val="auto"/>
                <w:sz w:val="21"/>
                <w:szCs w:val="21"/>
              </w:rPr>
              <w:t>》</w:t>
            </w:r>
            <w:r>
              <w:rPr>
                <w:rFonts w:hint="eastAsia"/>
                <w:color w:val="auto"/>
                <w:sz w:val="21"/>
                <w:szCs w:val="21"/>
                <w:lang w:eastAsia="zh-CN"/>
              </w:rPr>
              <w:t>(</w:t>
            </w:r>
            <w:r>
              <w:rPr>
                <w:color w:val="auto"/>
                <w:sz w:val="21"/>
                <w:szCs w:val="21"/>
              </w:rPr>
              <w:t>GB18483-2001</w:t>
            </w:r>
            <w:r>
              <w:rPr>
                <w:rFonts w:hint="eastAsia"/>
                <w:color w:val="auto"/>
                <w:sz w:val="21"/>
                <w:szCs w:val="21"/>
                <w:shd w:val="clear" w:fill="FFFFFF"/>
                <w:lang w:eastAsia="zh-CN"/>
              </w:rPr>
              <w:t>)</w:t>
            </w:r>
            <w:r>
              <w:rPr>
                <w:color w:val="auto"/>
                <w:sz w:val="21"/>
                <w:szCs w:val="21"/>
              </w:rPr>
              <w:t>表2中的小型规模标准排放限值</w:t>
            </w:r>
            <w:r>
              <w:rPr>
                <w:rFonts w:hint="eastAsia"/>
                <w:color w:val="auto"/>
                <w:sz w:val="21"/>
                <w:szCs w:val="21"/>
                <w:shd w:val="clear" w:fill="FFFFFF"/>
                <w:lang w:val="en-US" w:eastAsia="zh-CN"/>
              </w:rPr>
              <w:t>(</w:t>
            </w:r>
            <w:r>
              <w:rPr>
                <w:rFonts w:hint="eastAsia"/>
                <w:color w:val="auto"/>
                <w:sz w:val="21"/>
                <w:szCs w:val="21"/>
                <w:lang w:val="en-US" w:eastAsia="zh-CN"/>
              </w:rPr>
              <w:t>即油烟最高允许排放浓度</w:t>
            </w:r>
            <w:r>
              <w:rPr>
                <w:rFonts w:hint="eastAsia"/>
                <w:color w:val="auto"/>
                <w:kern w:val="0"/>
                <w:sz w:val="21"/>
                <w:lang w:val="en-US" w:eastAsia="zh-CN"/>
              </w:rPr>
              <w:t>≤2.0mg/m</w:t>
            </w:r>
            <w:r>
              <w:rPr>
                <w:rFonts w:hint="eastAsia"/>
                <w:color w:val="auto"/>
                <w:kern w:val="0"/>
                <w:sz w:val="21"/>
                <w:vertAlign w:val="superscript"/>
                <w:lang w:val="en-US" w:eastAsia="zh-CN"/>
              </w:rPr>
              <w:t>3</w:t>
            </w:r>
            <w:r>
              <w:rPr>
                <w:rFonts w:hint="eastAsia"/>
                <w:color w:val="auto"/>
                <w:kern w:val="0"/>
                <w:sz w:val="21"/>
                <w:lang w:val="en-US" w:eastAsia="zh-CN"/>
              </w:rPr>
              <w:t>、净化设施最低去除效率≥60%</w:t>
            </w:r>
            <w:r>
              <w:rPr>
                <w:rFonts w:hint="eastAsia"/>
                <w:color w:val="auto"/>
                <w:sz w:val="21"/>
                <w:szCs w:val="21"/>
                <w:shd w:val="clear" w:fill="FFFFFF"/>
                <w:lang w:val="en-US" w:eastAsia="zh-CN"/>
              </w:rPr>
              <w:t>)</w:t>
            </w:r>
          </w:p>
        </w:tc>
      </w:tr>
      <w:tr w14:paraId="67E85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restart"/>
            <w:vAlign w:val="center"/>
          </w:tcPr>
          <w:p w14:paraId="63D58B1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地表水环境</w:t>
            </w:r>
          </w:p>
          <w:p w14:paraId="37EA029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kern w:val="21"/>
                <w:sz w:val="21"/>
                <w:szCs w:val="21"/>
                <w:lang w:eastAsia="zh-CN"/>
              </w:rPr>
            </w:pPr>
            <w:r>
              <w:rPr>
                <w:rFonts w:hint="eastAsia"/>
                <w:color w:val="auto"/>
                <w:sz w:val="21"/>
                <w:szCs w:val="21"/>
                <w:shd w:val="clear" w:fill="FFFFFF"/>
                <w:lang w:eastAsia="zh-CN"/>
              </w:rPr>
              <w:t>(</w:t>
            </w:r>
            <w:r>
              <w:rPr>
                <w:rFonts w:hint="eastAsia"/>
                <w:color w:val="auto"/>
                <w:sz w:val="21"/>
                <w:szCs w:val="21"/>
              </w:rPr>
              <w:t>运营期</w:t>
            </w:r>
            <w:r>
              <w:rPr>
                <w:rFonts w:hint="eastAsia"/>
                <w:color w:val="auto"/>
                <w:sz w:val="21"/>
                <w:szCs w:val="21"/>
                <w:shd w:val="clear" w:fill="FFFFFF"/>
                <w:lang w:eastAsia="zh-CN"/>
              </w:rPr>
              <w:t>)</w:t>
            </w:r>
          </w:p>
        </w:tc>
        <w:tc>
          <w:tcPr>
            <w:tcW w:w="1838" w:type="dxa"/>
            <w:gridSpan w:val="2"/>
            <w:vAlign w:val="center"/>
          </w:tcPr>
          <w:p w14:paraId="59F75BC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lang w:eastAsia="zh-CN"/>
              </w:rPr>
              <w:t>生活污水</w:t>
            </w:r>
            <w:r>
              <w:rPr>
                <w:rFonts w:hint="eastAsia"/>
                <w:color w:val="auto"/>
                <w:kern w:val="21"/>
                <w:sz w:val="21"/>
                <w:szCs w:val="21"/>
              </w:rPr>
              <w:t>排放口</w:t>
            </w:r>
          </w:p>
        </w:tc>
        <w:tc>
          <w:tcPr>
            <w:tcW w:w="1027" w:type="dxa"/>
            <w:vAlign w:val="center"/>
          </w:tcPr>
          <w:p w14:paraId="039DBD0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sz w:val="21"/>
                <w:szCs w:val="21"/>
              </w:rPr>
              <w:t>pH、</w:t>
            </w:r>
            <w:r>
              <w:rPr>
                <w:color w:val="auto"/>
                <w:sz w:val="21"/>
                <w:szCs w:val="21"/>
              </w:rPr>
              <w:t>COD、BOD</w:t>
            </w:r>
            <w:r>
              <w:rPr>
                <w:color w:val="auto"/>
                <w:sz w:val="21"/>
                <w:szCs w:val="21"/>
                <w:vertAlign w:val="subscript"/>
              </w:rPr>
              <w:t>5</w:t>
            </w:r>
            <w:r>
              <w:rPr>
                <w:color w:val="auto"/>
                <w:sz w:val="21"/>
                <w:szCs w:val="21"/>
              </w:rPr>
              <w:t>、NH</w:t>
            </w:r>
            <w:r>
              <w:rPr>
                <w:color w:val="auto"/>
                <w:sz w:val="21"/>
                <w:szCs w:val="21"/>
                <w:vertAlign w:val="subscript"/>
              </w:rPr>
              <w:t>3</w:t>
            </w:r>
            <w:r>
              <w:rPr>
                <w:color w:val="auto"/>
                <w:sz w:val="21"/>
                <w:szCs w:val="21"/>
              </w:rPr>
              <w:t>-N、SS</w:t>
            </w:r>
          </w:p>
        </w:tc>
        <w:tc>
          <w:tcPr>
            <w:tcW w:w="1921" w:type="dxa"/>
            <w:vAlign w:val="center"/>
          </w:tcPr>
          <w:p w14:paraId="4EEA8C1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sz w:val="21"/>
                <w:szCs w:val="21"/>
              </w:rPr>
              <w:t>厂区内化粪池处理后接市政污水管网进入江阴污水处理厂</w:t>
            </w:r>
          </w:p>
        </w:tc>
        <w:tc>
          <w:tcPr>
            <w:tcW w:w="2804" w:type="dxa"/>
            <w:vAlign w:val="center"/>
          </w:tcPr>
          <w:p w14:paraId="23674B9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Fonts w:hint="eastAsia"/>
                <w:color w:val="auto"/>
                <w:sz w:val="21"/>
                <w:szCs w:val="21"/>
                <w:lang w:val="en-US" w:eastAsia="zh-CN"/>
              </w:rPr>
              <w:t>生活污水中各污染物的排放需满足</w:t>
            </w:r>
            <w:r>
              <w:rPr>
                <w:rFonts w:hint="eastAsia"/>
                <w:color w:val="auto"/>
                <w:sz w:val="21"/>
                <w:szCs w:val="21"/>
              </w:rPr>
              <w:t>《污水综合排放标准》(GB8978-1996)</w:t>
            </w:r>
          </w:p>
          <w:p w14:paraId="6268333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sz w:val="21"/>
                <w:szCs w:val="21"/>
              </w:rPr>
              <w:t>中表4三级标准，氨氮执行《</w:t>
            </w:r>
            <w:r>
              <w:rPr>
                <w:color w:val="auto"/>
                <w:sz w:val="21"/>
                <w:szCs w:val="21"/>
              </w:rPr>
              <w:t>污水排入城镇下水道水质标准</w:t>
            </w:r>
            <w:r>
              <w:rPr>
                <w:rFonts w:hint="eastAsia"/>
                <w:color w:val="auto"/>
                <w:sz w:val="21"/>
                <w:szCs w:val="21"/>
              </w:rPr>
              <w:t>》</w:t>
            </w:r>
            <w:r>
              <w:rPr>
                <w:color w:val="auto"/>
                <w:sz w:val="21"/>
                <w:szCs w:val="21"/>
              </w:rPr>
              <w:t>(GB/T 31962-2015</w:t>
            </w:r>
            <w:r>
              <w:rPr>
                <w:color w:val="auto"/>
                <w:sz w:val="21"/>
                <w:szCs w:val="21"/>
                <w:shd w:val="clear" w:fill="FFFFFF"/>
              </w:rPr>
              <w:t>)</w:t>
            </w:r>
            <w:r>
              <w:rPr>
                <w:color w:val="auto"/>
                <w:sz w:val="21"/>
                <w:szCs w:val="21"/>
              </w:rPr>
              <w:t>表1中B级标准</w:t>
            </w:r>
            <w:r>
              <w:rPr>
                <w:color w:val="auto"/>
                <w:sz w:val="21"/>
                <w:szCs w:val="21"/>
                <w:shd w:val="clear" w:fill="FFFFFF"/>
              </w:rPr>
              <w:t>(</w:t>
            </w:r>
            <w:r>
              <w:rPr>
                <w:color w:val="auto"/>
                <w:sz w:val="21"/>
                <w:szCs w:val="21"/>
              </w:rPr>
              <w:t>即pH6</w:t>
            </w:r>
            <w:r>
              <w:rPr>
                <w:rFonts w:hint="eastAsia"/>
                <w:color w:val="auto"/>
                <w:sz w:val="21"/>
                <w:szCs w:val="21"/>
                <w:lang w:val="en-US" w:eastAsia="zh-CN"/>
              </w:rPr>
              <w:t>-</w:t>
            </w:r>
            <w:r>
              <w:rPr>
                <w:color w:val="auto"/>
                <w:sz w:val="21"/>
                <w:szCs w:val="21"/>
              </w:rPr>
              <w:t>9</w:t>
            </w:r>
            <w:r>
              <w:rPr>
                <w:color w:val="auto"/>
                <w:sz w:val="21"/>
                <w:szCs w:val="21"/>
                <w:shd w:val="clear" w:fill="FFFFFF"/>
              </w:rPr>
              <w:t>(</w:t>
            </w:r>
            <w:r>
              <w:rPr>
                <w:color w:val="auto"/>
                <w:sz w:val="21"/>
                <w:szCs w:val="21"/>
              </w:rPr>
              <w:t>无量纲</w:t>
            </w:r>
            <w:r>
              <w:rPr>
                <w:color w:val="auto"/>
                <w:sz w:val="21"/>
                <w:szCs w:val="21"/>
                <w:shd w:val="clear" w:fill="FFFFFF"/>
              </w:rPr>
              <w:t>)</w:t>
            </w:r>
            <w:r>
              <w:rPr>
                <w:color w:val="auto"/>
                <w:sz w:val="21"/>
                <w:szCs w:val="21"/>
              </w:rPr>
              <w:t>、</w:t>
            </w:r>
            <w:r>
              <w:rPr>
                <w:color w:val="auto"/>
                <w:sz w:val="21"/>
                <w:szCs w:val="21"/>
                <w:shd w:val="clear" w:fill="FFFFFF"/>
              </w:rPr>
              <w:t>COD</w:t>
            </w:r>
            <w:r>
              <w:rPr>
                <w:rFonts w:hint="eastAsia"/>
                <w:color w:val="auto"/>
                <w:sz w:val="21"/>
                <w:szCs w:val="21"/>
                <w:shd w:val="clear" w:fill="FFFFFF"/>
              </w:rPr>
              <w:t>cr</w:t>
            </w:r>
            <w:r>
              <w:rPr>
                <w:color w:val="auto"/>
                <w:sz w:val="21"/>
                <w:szCs w:val="21"/>
              </w:rPr>
              <w:t>≤500mg/L、BOD</w:t>
            </w:r>
            <w:r>
              <w:rPr>
                <w:color w:val="auto"/>
                <w:sz w:val="21"/>
                <w:szCs w:val="21"/>
                <w:vertAlign w:val="subscript"/>
              </w:rPr>
              <w:t>5</w:t>
            </w:r>
            <w:r>
              <w:rPr>
                <w:color w:val="auto"/>
                <w:sz w:val="21"/>
                <w:szCs w:val="21"/>
              </w:rPr>
              <w:t>≤300mg/L、SS≤400mg/L、NH</w:t>
            </w:r>
            <w:r>
              <w:rPr>
                <w:color w:val="auto"/>
                <w:sz w:val="21"/>
                <w:szCs w:val="21"/>
                <w:vertAlign w:val="subscript"/>
              </w:rPr>
              <w:t>3</w:t>
            </w:r>
            <w:r>
              <w:rPr>
                <w:color w:val="auto"/>
                <w:sz w:val="21"/>
                <w:szCs w:val="21"/>
              </w:rPr>
              <w:t>-N≤45mg/L)</w:t>
            </w:r>
          </w:p>
        </w:tc>
      </w:tr>
      <w:tr w14:paraId="68D3D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313E35A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p>
        </w:tc>
        <w:tc>
          <w:tcPr>
            <w:tcW w:w="1838" w:type="dxa"/>
            <w:gridSpan w:val="2"/>
            <w:vAlign w:val="center"/>
          </w:tcPr>
          <w:p w14:paraId="7D9368A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kern w:val="21"/>
                <w:sz w:val="21"/>
                <w:szCs w:val="21"/>
                <w:lang w:eastAsia="zh-CN"/>
              </w:rPr>
            </w:pPr>
            <w:r>
              <w:rPr>
                <w:rFonts w:hint="eastAsia"/>
                <w:color w:val="auto"/>
                <w:kern w:val="21"/>
                <w:sz w:val="21"/>
                <w:szCs w:val="21"/>
              </w:rPr>
              <w:t>无废水排放口</w:t>
            </w:r>
            <w:r>
              <w:rPr>
                <w:rFonts w:hint="eastAsia"/>
                <w:color w:val="auto"/>
                <w:kern w:val="21"/>
                <w:sz w:val="21"/>
                <w:szCs w:val="21"/>
                <w:shd w:val="clear" w:fill="FFFFFF"/>
                <w:lang w:eastAsia="zh-CN"/>
              </w:rPr>
              <w:t>(</w:t>
            </w:r>
            <w:r>
              <w:rPr>
                <w:rFonts w:hint="eastAsia"/>
                <w:color w:val="auto"/>
                <w:kern w:val="21"/>
                <w:sz w:val="21"/>
                <w:szCs w:val="21"/>
              </w:rPr>
              <w:t>初期雨水、搅拌机清洗废水、道路清洗废水</w:t>
            </w:r>
            <w:r>
              <w:rPr>
                <w:rFonts w:hint="eastAsia"/>
                <w:color w:val="auto"/>
                <w:kern w:val="21"/>
                <w:sz w:val="21"/>
                <w:szCs w:val="21"/>
                <w:shd w:val="clear" w:fill="FFFFFF"/>
                <w:lang w:eastAsia="zh-CN"/>
              </w:rPr>
              <w:t>)</w:t>
            </w:r>
          </w:p>
        </w:tc>
        <w:tc>
          <w:tcPr>
            <w:tcW w:w="1027" w:type="dxa"/>
            <w:vAlign w:val="center"/>
          </w:tcPr>
          <w:p w14:paraId="4906DA7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color w:val="auto"/>
                <w:sz w:val="21"/>
                <w:szCs w:val="21"/>
              </w:rPr>
              <w:t>SS</w:t>
            </w:r>
          </w:p>
        </w:tc>
        <w:tc>
          <w:tcPr>
            <w:tcW w:w="1921" w:type="dxa"/>
            <w:vAlign w:val="center"/>
          </w:tcPr>
          <w:p w14:paraId="5203C0A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Fonts w:hint="eastAsia"/>
                <w:color w:val="auto"/>
                <w:sz w:val="21"/>
                <w:szCs w:val="21"/>
                <w:lang w:eastAsia="zh-CN"/>
              </w:rPr>
              <w:t>三级沉淀池处理后回用于生产</w:t>
            </w:r>
            <w:r>
              <w:rPr>
                <w:rFonts w:hint="eastAsia"/>
                <w:color w:val="auto"/>
                <w:sz w:val="21"/>
                <w:szCs w:val="21"/>
                <w:shd w:val="clear" w:fill="FFFFFF"/>
                <w:lang w:eastAsia="zh-CN"/>
              </w:rPr>
              <w:t>(</w:t>
            </w:r>
            <w:r>
              <w:rPr>
                <w:rFonts w:hint="eastAsia"/>
                <w:color w:val="auto"/>
                <w:sz w:val="21"/>
                <w:szCs w:val="21"/>
                <w:lang w:eastAsia="zh-CN"/>
              </w:rPr>
              <w:t>养护工序</w:t>
            </w:r>
            <w:r>
              <w:rPr>
                <w:rFonts w:hint="eastAsia"/>
                <w:color w:val="auto"/>
                <w:sz w:val="21"/>
                <w:szCs w:val="21"/>
                <w:shd w:val="clear" w:fill="FFFFFF"/>
                <w:lang w:eastAsia="zh-CN"/>
              </w:rPr>
              <w:t>)</w:t>
            </w:r>
            <w:r>
              <w:rPr>
                <w:rFonts w:hint="eastAsia"/>
                <w:color w:val="auto"/>
                <w:sz w:val="21"/>
                <w:szCs w:val="21"/>
              </w:rPr>
              <w:t>，不外排</w:t>
            </w:r>
          </w:p>
        </w:tc>
        <w:tc>
          <w:tcPr>
            <w:tcW w:w="2804" w:type="dxa"/>
            <w:vAlign w:val="center"/>
          </w:tcPr>
          <w:p w14:paraId="1E6A731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Style w:val="113"/>
                <w:rFonts w:hint="eastAsia"/>
                <w:color w:val="auto"/>
                <w:sz w:val="21"/>
                <w:szCs w:val="21"/>
              </w:rPr>
              <w:t>验收措施落实情况</w:t>
            </w:r>
          </w:p>
        </w:tc>
      </w:tr>
      <w:tr w14:paraId="4AAE6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33633ED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声环境</w:t>
            </w:r>
          </w:p>
          <w:p w14:paraId="25DCFF0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kern w:val="21"/>
                <w:sz w:val="21"/>
                <w:szCs w:val="21"/>
                <w:lang w:eastAsia="zh-CN"/>
              </w:rPr>
            </w:pPr>
            <w:r>
              <w:rPr>
                <w:rFonts w:hint="eastAsia"/>
                <w:color w:val="auto"/>
                <w:sz w:val="21"/>
                <w:szCs w:val="21"/>
                <w:shd w:val="clear" w:fill="FFFFFF"/>
                <w:lang w:eastAsia="zh-CN"/>
              </w:rPr>
              <w:t>(</w:t>
            </w:r>
            <w:r>
              <w:rPr>
                <w:rFonts w:hint="eastAsia"/>
                <w:color w:val="auto"/>
                <w:sz w:val="21"/>
                <w:szCs w:val="21"/>
              </w:rPr>
              <w:t>运营期</w:t>
            </w:r>
            <w:r>
              <w:rPr>
                <w:rFonts w:hint="eastAsia"/>
                <w:color w:val="auto"/>
                <w:sz w:val="21"/>
                <w:szCs w:val="21"/>
                <w:shd w:val="clear" w:fill="FFFFFF"/>
                <w:lang w:eastAsia="zh-CN"/>
              </w:rPr>
              <w:t>)</w:t>
            </w:r>
          </w:p>
        </w:tc>
        <w:tc>
          <w:tcPr>
            <w:tcW w:w="1838" w:type="dxa"/>
            <w:gridSpan w:val="2"/>
            <w:vAlign w:val="center"/>
          </w:tcPr>
          <w:p w14:paraId="79BD63D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生产噪声</w:t>
            </w:r>
          </w:p>
        </w:tc>
        <w:tc>
          <w:tcPr>
            <w:tcW w:w="1027" w:type="dxa"/>
            <w:vAlign w:val="center"/>
          </w:tcPr>
          <w:p w14:paraId="7A1E8FA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噪声</w:t>
            </w:r>
          </w:p>
        </w:tc>
        <w:tc>
          <w:tcPr>
            <w:tcW w:w="1921" w:type="dxa"/>
            <w:vAlign w:val="center"/>
          </w:tcPr>
          <w:p w14:paraId="0A20846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kern w:val="21"/>
                <w:sz w:val="21"/>
                <w:szCs w:val="21"/>
              </w:rPr>
              <w:t>高噪声设备</w:t>
            </w:r>
            <w:r>
              <w:rPr>
                <w:color w:val="auto"/>
                <w:kern w:val="21"/>
                <w:sz w:val="21"/>
                <w:szCs w:val="21"/>
              </w:rPr>
              <w:t>基础</w:t>
            </w:r>
            <w:r>
              <w:rPr>
                <w:rFonts w:hint="eastAsia"/>
                <w:color w:val="auto"/>
                <w:kern w:val="21"/>
                <w:sz w:val="21"/>
                <w:szCs w:val="21"/>
              </w:rPr>
              <w:t>减振、厂房墙体隔声、选取低噪声设备</w:t>
            </w:r>
            <w:r>
              <w:rPr>
                <w:color w:val="auto"/>
                <w:kern w:val="21"/>
                <w:sz w:val="21"/>
                <w:szCs w:val="21"/>
              </w:rPr>
              <w:t>等综合降噪措施</w:t>
            </w:r>
          </w:p>
        </w:tc>
        <w:tc>
          <w:tcPr>
            <w:tcW w:w="2804" w:type="dxa"/>
            <w:vAlign w:val="center"/>
          </w:tcPr>
          <w:p w14:paraId="03045B6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rFonts w:hint="eastAsia"/>
                <w:color w:val="auto"/>
                <w:sz w:val="21"/>
                <w:szCs w:val="21"/>
                <w:lang w:val="en-US" w:eastAsia="zh-CN"/>
              </w:rPr>
              <w:t>厂界噪声排放需满足</w:t>
            </w:r>
            <w:r>
              <w:rPr>
                <w:color w:val="auto"/>
                <w:sz w:val="21"/>
                <w:szCs w:val="21"/>
              </w:rPr>
              <w:t>《工业企业厂界环境噪声排放标准》</w:t>
            </w:r>
            <w:r>
              <w:rPr>
                <w:rFonts w:hint="eastAsia"/>
                <w:color w:val="auto"/>
                <w:sz w:val="21"/>
                <w:szCs w:val="21"/>
                <w:lang w:eastAsia="zh-CN"/>
              </w:rPr>
              <w:t>(</w:t>
            </w:r>
            <w:r>
              <w:rPr>
                <w:color w:val="auto"/>
                <w:sz w:val="21"/>
                <w:szCs w:val="21"/>
              </w:rPr>
              <w:t>GB12348-2008</w:t>
            </w:r>
            <w:r>
              <w:rPr>
                <w:rFonts w:hint="eastAsia"/>
                <w:color w:val="auto"/>
                <w:sz w:val="21"/>
                <w:szCs w:val="21"/>
                <w:lang w:eastAsia="zh-CN"/>
              </w:rPr>
              <w:t>)</w:t>
            </w:r>
            <w:r>
              <w:rPr>
                <w:rFonts w:hint="eastAsia"/>
                <w:color w:val="auto"/>
                <w:sz w:val="21"/>
                <w:szCs w:val="21"/>
              </w:rPr>
              <w:t>3</w:t>
            </w:r>
            <w:r>
              <w:rPr>
                <w:color w:val="auto"/>
                <w:sz w:val="21"/>
                <w:szCs w:val="21"/>
              </w:rPr>
              <w:t>类标准</w:t>
            </w:r>
            <w:r>
              <w:rPr>
                <w:color w:val="auto"/>
                <w:spacing w:val="-2"/>
                <w:sz w:val="21"/>
                <w:szCs w:val="21"/>
                <w:shd w:val="clear" w:fill="FFFFFF"/>
              </w:rPr>
              <w:t>(</w:t>
            </w:r>
            <w:r>
              <w:rPr>
                <w:rFonts w:hint="eastAsia"/>
                <w:color w:val="auto"/>
                <w:spacing w:val="-2"/>
                <w:sz w:val="21"/>
                <w:szCs w:val="21"/>
                <w:lang w:val="en-US" w:eastAsia="zh-CN"/>
              </w:rPr>
              <w:t>即</w:t>
            </w:r>
            <w:r>
              <w:rPr>
                <w:color w:val="auto"/>
                <w:spacing w:val="-2"/>
                <w:sz w:val="21"/>
                <w:szCs w:val="21"/>
              </w:rPr>
              <w:t>昼间≤65dB</w:t>
            </w:r>
            <w:r>
              <w:rPr>
                <w:color w:val="auto"/>
                <w:spacing w:val="-2"/>
                <w:sz w:val="21"/>
                <w:szCs w:val="21"/>
                <w:shd w:val="clear" w:fill="FFFFFF"/>
              </w:rPr>
              <w:t>(</w:t>
            </w:r>
            <w:r>
              <w:rPr>
                <w:color w:val="auto"/>
                <w:spacing w:val="-2"/>
                <w:sz w:val="21"/>
                <w:szCs w:val="21"/>
              </w:rPr>
              <w:t>A</w:t>
            </w:r>
            <w:r>
              <w:rPr>
                <w:color w:val="auto"/>
                <w:spacing w:val="-2"/>
                <w:sz w:val="21"/>
                <w:szCs w:val="21"/>
                <w:shd w:val="clear" w:fill="FFFFFF"/>
              </w:rPr>
              <w:t>))</w:t>
            </w:r>
          </w:p>
        </w:tc>
      </w:tr>
      <w:tr w14:paraId="72021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shd w:val="clear" w:color="auto" w:fill="auto"/>
            <w:vAlign w:val="center"/>
          </w:tcPr>
          <w:p w14:paraId="4C72BE8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Fonts w:hint="eastAsia"/>
                <w:color w:val="auto"/>
                <w:sz w:val="21"/>
                <w:szCs w:val="21"/>
              </w:rPr>
              <w:t>电磁辐射</w:t>
            </w:r>
          </w:p>
        </w:tc>
        <w:tc>
          <w:tcPr>
            <w:tcW w:w="7590" w:type="dxa"/>
            <w:gridSpan w:val="5"/>
            <w:shd w:val="clear" w:color="auto" w:fill="auto"/>
            <w:vAlign w:val="center"/>
          </w:tcPr>
          <w:p w14:paraId="0B2BB93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color w:val="auto"/>
                <w:sz w:val="21"/>
                <w:szCs w:val="21"/>
              </w:rPr>
              <w:t>无</w:t>
            </w:r>
          </w:p>
        </w:tc>
      </w:tr>
      <w:tr w14:paraId="63B7C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6A69E79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kern w:val="21"/>
                <w:sz w:val="21"/>
                <w:szCs w:val="21"/>
              </w:rPr>
              <w:t>固体废物</w:t>
            </w:r>
          </w:p>
          <w:p w14:paraId="00E1AEC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宋体"/>
                <w:color w:val="auto"/>
                <w:kern w:val="21"/>
                <w:sz w:val="21"/>
                <w:szCs w:val="21"/>
                <w:lang w:eastAsia="zh-CN"/>
              </w:rPr>
            </w:pPr>
            <w:r>
              <w:rPr>
                <w:rFonts w:hint="eastAsia"/>
                <w:color w:val="auto"/>
                <w:sz w:val="21"/>
                <w:szCs w:val="21"/>
                <w:shd w:val="clear" w:fill="FFFFFF"/>
                <w:lang w:eastAsia="zh-CN"/>
              </w:rPr>
              <w:t>(</w:t>
            </w:r>
            <w:r>
              <w:rPr>
                <w:rFonts w:hint="eastAsia"/>
                <w:color w:val="auto"/>
                <w:sz w:val="21"/>
                <w:szCs w:val="21"/>
              </w:rPr>
              <w:t>运营期</w:t>
            </w:r>
            <w:r>
              <w:rPr>
                <w:rFonts w:hint="eastAsia"/>
                <w:color w:val="auto"/>
                <w:sz w:val="21"/>
                <w:szCs w:val="21"/>
                <w:shd w:val="clear" w:fill="FFFFFF"/>
                <w:lang w:eastAsia="zh-CN"/>
              </w:rPr>
              <w:t>)</w:t>
            </w:r>
          </w:p>
        </w:tc>
        <w:tc>
          <w:tcPr>
            <w:tcW w:w="7590" w:type="dxa"/>
            <w:gridSpan w:val="5"/>
            <w:vAlign w:val="center"/>
          </w:tcPr>
          <w:p w14:paraId="62D6BAB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olor w:val="auto"/>
                <w:sz w:val="21"/>
                <w:szCs w:val="21"/>
                <w:lang w:eastAsia="zh-CN"/>
              </w:rPr>
            </w:pPr>
            <w:r>
              <w:rPr>
                <w:rFonts w:hint="default" w:ascii="Times New Roman" w:hAnsi="Times New Roman" w:eastAsia="宋体" w:cs="Times New Roman"/>
                <w:b w:val="0"/>
                <w:bCs w:val="0"/>
                <w:color w:val="auto"/>
                <w:sz w:val="21"/>
                <w:szCs w:val="21"/>
              </w:rPr>
              <w:t>①</w:t>
            </w:r>
            <w:r>
              <w:rPr>
                <w:rFonts w:hint="eastAsia"/>
                <w:color w:val="auto"/>
                <w:sz w:val="21"/>
                <w:szCs w:val="21"/>
              </w:rPr>
              <w:t>一般工业固废</w:t>
            </w:r>
            <w:r>
              <w:rPr>
                <w:rFonts w:hint="eastAsia"/>
                <w:color w:val="auto"/>
                <w:sz w:val="21"/>
                <w:szCs w:val="21"/>
                <w:shd w:val="clear" w:fill="FFFFFF"/>
                <w:lang w:eastAsia="zh-CN"/>
              </w:rPr>
              <w:t>(</w:t>
            </w:r>
            <w:r>
              <w:rPr>
                <w:rFonts w:hint="eastAsia"/>
                <w:color w:val="auto"/>
                <w:sz w:val="21"/>
                <w:szCs w:val="21"/>
              </w:rPr>
              <w:t>沉淀池沉渣、</w:t>
            </w:r>
            <w:r>
              <w:rPr>
                <w:rFonts w:hint="eastAsia"/>
                <w:color w:val="auto"/>
                <w:sz w:val="21"/>
                <w:szCs w:val="21"/>
                <w:lang w:eastAsia="zh-CN"/>
              </w:rPr>
              <w:t>钢筋边角料、焊渣、破损模具、不合格品</w:t>
            </w:r>
            <w:r>
              <w:rPr>
                <w:rFonts w:hint="eastAsia"/>
                <w:color w:val="auto"/>
                <w:sz w:val="21"/>
                <w:szCs w:val="21"/>
                <w:shd w:val="clear" w:fill="FFFFFF"/>
                <w:lang w:eastAsia="zh-CN"/>
              </w:rPr>
              <w:t>)</w:t>
            </w:r>
            <w:r>
              <w:rPr>
                <w:rFonts w:hint="eastAsia"/>
                <w:color w:val="auto"/>
                <w:sz w:val="21"/>
                <w:szCs w:val="21"/>
              </w:rPr>
              <w:t>：沉淀池沉渣妥善收集后</w:t>
            </w:r>
            <w:r>
              <w:rPr>
                <w:rFonts w:hint="eastAsia"/>
                <w:color w:val="auto"/>
                <w:sz w:val="21"/>
                <w:szCs w:val="21"/>
                <w:lang w:eastAsia="zh-CN"/>
              </w:rPr>
              <w:t>回用于生产</w:t>
            </w:r>
            <w:r>
              <w:rPr>
                <w:rFonts w:hint="eastAsia"/>
                <w:color w:val="auto"/>
                <w:sz w:val="21"/>
                <w:szCs w:val="21"/>
                <w:shd w:val="clear" w:fill="FFFFFF"/>
                <w:lang w:eastAsia="zh-CN"/>
              </w:rPr>
              <w:t>(</w:t>
            </w:r>
            <w:r>
              <w:rPr>
                <w:rFonts w:hint="eastAsia"/>
                <w:color w:val="auto"/>
                <w:sz w:val="21"/>
                <w:szCs w:val="21"/>
                <w:lang w:eastAsia="zh-CN"/>
              </w:rPr>
              <w:t>养护工序</w:t>
            </w:r>
            <w:r>
              <w:rPr>
                <w:rFonts w:hint="eastAsia"/>
                <w:color w:val="auto"/>
                <w:sz w:val="21"/>
                <w:szCs w:val="21"/>
                <w:shd w:val="clear" w:fill="FFFFFF"/>
                <w:lang w:eastAsia="zh-CN"/>
              </w:rPr>
              <w:t>)</w:t>
            </w:r>
            <w:r>
              <w:rPr>
                <w:rFonts w:hint="eastAsia"/>
                <w:color w:val="auto"/>
                <w:sz w:val="21"/>
                <w:szCs w:val="21"/>
              </w:rPr>
              <w:t>，沉淀池沉渣、</w:t>
            </w:r>
            <w:r>
              <w:rPr>
                <w:rFonts w:hint="eastAsia"/>
                <w:color w:val="auto"/>
                <w:sz w:val="21"/>
                <w:szCs w:val="21"/>
                <w:lang w:eastAsia="zh-CN"/>
              </w:rPr>
              <w:t>钢筋边角料、焊渣、破损模具、不合格品</w:t>
            </w:r>
            <w:r>
              <w:rPr>
                <w:rFonts w:hint="eastAsia"/>
                <w:color w:val="auto"/>
                <w:sz w:val="21"/>
                <w:szCs w:val="21"/>
              </w:rPr>
              <w:t>收集暂存于一般固废暂存区，外售物资回收单位回收利用</w:t>
            </w:r>
            <w:r>
              <w:rPr>
                <w:rFonts w:hint="eastAsia"/>
                <w:color w:val="auto"/>
                <w:sz w:val="21"/>
                <w:szCs w:val="21"/>
                <w:lang w:eastAsia="zh-CN"/>
              </w:rPr>
              <w:t>；</w:t>
            </w:r>
          </w:p>
          <w:p w14:paraId="585583F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Fonts w:hint="default" w:ascii="Times New Roman" w:hAnsi="Times New Roman" w:eastAsia="宋体" w:cs="Times New Roman"/>
                <w:b w:val="0"/>
                <w:bCs w:val="0"/>
                <w:color w:val="auto"/>
                <w:sz w:val="21"/>
                <w:szCs w:val="21"/>
              </w:rPr>
              <w:t>②生活垃圾委托环卫部门进行处置</w:t>
            </w:r>
          </w:p>
        </w:tc>
      </w:tr>
      <w:tr w14:paraId="7323B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6720E98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21"/>
                <w:sz w:val="21"/>
                <w:szCs w:val="21"/>
              </w:rPr>
            </w:pPr>
            <w:r>
              <w:rPr>
                <w:color w:val="auto"/>
                <w:sz w:val="21"/>
                <w:szCs w:val="21"/>
              </w:rPr>
              <w:t>土壤及地下水污染防治措施</w:t>
            </w:r>
          </w:p>
        </w:tc>
        <w:tc>
          <w:tcPr>
            <w:tcW w:w="7590" w:type="dxa"/>
            <w:gridSpan w:val="5"/>
            <w:vAlign w:val="center"/>
          </w:tcPr>
          <w:p w14:paraId="3141A9B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Fonts w:hint="eastAsia"/>
                <w:color w:val="auto"/>
                <w:sz w:val="21"/>
                <w:szCs w:val="21"/>
              </w:rPr>
              <w:t>一般工业固废间、项目生产车间等按一般污染区防渗要求进行建设，且具有防雨、防渗、防风、防日晒等功能</w:t>
            </w:r>
          </w:p>
        </w:tc>
      </w:tr>
      <w:tr w14:paraId="7C71A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457" w:type="dxa"/>
            <w:vAlign w:val="center"/>
          </w:tcPr>
          <w:p w14:paraId="307587F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color w:val="auto"/>
                <w:sz w:val="21"/>
                <w:szCs w:val="21"/>
              </w:rPr>
              <w:t>生态保护</w:t>
            </w:r>
          </w:p>
          <w:p w14:paraId="1C4CCF8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color w:val="auto"/>
                <w:sz w:val="21"/>
                <w:szCs w:val="21"/>
              </w:rPr>
              <w:t>措施</w:t>
            </w:r>
          </w:p>
        </w:tc>
        <w:tc>
          <w:tcPr>
            <w:tcW w:w="7590" w:type="dxa"/>
            <w:gridSpan w:val="5"/>
            <w:vAlign w:val="center"/>
          </w:tcPr>
          <w:p w14:paraId="7E8E48C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kern w:val="0"/>
                <w:sz w:val="21"/>
                <w:szCs w:val="21"/>
              </w:rPr>
            </w:pPr>
            <w:r>
              <w:rPr>
                <w:color w:val="auto"/>
                <w:sz w:val="21"/>
                <w:szCs w:val="21"/>
              </w:rPr>
              <w:t>无</w:t>
            </w:r>
          </w:p>
        </w:tc>
      </w:tr>
      <w:tr w14:paraId="3AB00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457" w:type="dxa"/>
            <w:vAlign w:val="center"/>
          </w:tcPr>
          <w:p w14:paraId="6BFE5F2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color w:val="auto"/>
                <w:sz w:val="21"/>
                <w:szCs w:val="21"/>
              </w:rPr>
              <w:t>环境风险</w:t>
            </w:r>
          </w:p>
          <w:p w14:paraId="0696DB0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color w:val="auto"/>
                <w:sz w:val="21"/>
                <w:szCs w:val="21"/>
              </w:rPr>
              <w:t>防范措施</w:t>
            </w:r>
          </w:p>
        </w:tc>
        <w:tc>
          <w:tcPr>
            <w:tcW w:w="7590" w:type="dxa"/>
            <w:gridSpan w:val="5"/>
            <w:vAlign w:val="center"/>
          </w:tcPr>
          <w:p w14:paraId="7129465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color w:val="auto"/>
                <w:sz w:val="21"/>
                <w:szCs w:val="21"/>
              </w:rPr>
            </w:pPr>
            <w:r>
              <w:rPr>
                <w:rStyle w:val="113"/>
                <w:rFonts w:hint="eastAsia"/>
                <w:color w:val="auto"/>
                <w:sz w:val="21"/>
                <w:szCs w:val="21"/>
              </w:rPr>
              <w:t>做好火灾等风险防范措施</w:t>
            </w:r>
          </w:p>
        </w:tc>
      </w:tr>
      <w:tr w14:paraId="3FB57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3852002F">
            <w:pPr>
              <w:jc w:val="center"/>
              <w:rPr>
                <w:color w:val="auto"/>
                <w:kern w:val="21"/>
                <w:sz w:val="21"/>
                <w:szCs w:val="21"/>
              </w:rPr>
            </w:pPr>
            <w:r>
              <w:rPr>
                <w:color w:val="auto"/>
                <w:kern w:val="21"/>
                <w:sz w:val="21"/>
                <w:szCs w:val="21"/>
              </w:rPr>
              <w:t>其他环境</w:t>
            </w:r>
          </w:p>
          <w:p w14:paraId="7265AC35">
            <w:pPr>
              <w:jc w:val="center"/>
              <w:rPr>
                <w:color w:val="auto"/>
                <w:kern w:val="21"/>
                <w:sz w:val="21"/>
                <w:szCs w:val="21"/>
              </w:rPr>
            </w:pPr>
            <w:r>
              <w:rPr>
                <w:color w:val="auto"/>
                <w:kern w:val="21"/>
                <w:sz w:val="21"/>
                <w:szCs w:val="21"/>
              </w:rPr>
              <w:t>管理要求</w:t>
            </w:r>
          </w:p>
        </w:tc>
        <w:tc>
          <w:tcPr>
            <w:tcW w:w="7590" w:type="dxa"/>
            <w:gridSpan w:val="5"/>
            <w:vAlign w:val="center"/>
          </w:tcPr>
          <w:p w14:paraId="54202245">
            <w:pPr>
              <w:adjustRightInd/>
              <w:snapToGrid/>
              <w:spacing w:line="360" w:lineRule="auto"/>
              <w:ind w:firstLine="420" w:firstLineChars="200"/>
              <w:rPr>
                <w:color w:val="auto"/>
                <w:sz w:val="21"/>
                <w:szCs w:val="21"/>
              </w:rPr>
            </w:pPr>
            <w:r>
              <w:rPr>
                <w:color w:val="auto"/>
                <w:sz w:val="21"/>
                <w:szCs w:val="21"/>
              </w:rPr>
              <w:t>①竣工环境保护验收</w:t>
            </w:r>
          </w:p>
          <w:p w14:paraId="569129AA">
            <w:pPr>
              <w:spacing w:line="360" w:lineRule="auto"/>
              <w:ind w:firstLine="420" w:firstLineChars="200"/>
              <w:jc w:val="left"/>
              <w:rPr>
                <w:color w:val="auto"/>
                <w:sz w:val="21"/>
                <w:szCs w:val="21"/>
              </w:rPr>
            </w:pPr>
            <w:r>
              <w:rPr>
                <w:color w:val="auto"/>
                <w:sz w:val="21"/>
                <w:szCs w:val="21"/>
              </w:rPr>
              <w:t>根据《国务院关于修改〈建设项目环境保护管理条例〉的决定》</w:t>
            </w:r>
            <w:r>
              <w:rPr>
                <w:rFonts w:hint="eastAsia"/>
                <w:color w:val="auto"/>
                <w:sz w:val="21"/>
                <w:szCs w:val="21"/>
                <w:shd w:val="clear" w:fill="FFFFFF"/>
                <w:lang w:eastAsia="zh-CN"/>
              </w:rPr>
              <w:t>(</w:t>
            </w:r>
            <w:r>
              <w:rPr>
                <w:color w:val="auto"/>
                <w:sz w:val="21"/>
                <w:szCs w:val="21"/>
              </w:rPr>
              <w:t>中华人民共和国国务院令第682号，以下简称《条例》，自2017年10月1日起施行</w:t>
            </w:r>
            <w:r>
              <w:rPr>
                <w:rFonts w:hint="eastAsia"/>
                <w:color w:val="auto"/>
                <w:sz w:val="21"/>
                <w:szCs w:val="21"/>
                <w:shd w:val="clear" w:fill="FFFFFF"/>
                <w:lang w:eastAsia="zh-CN"/>
              </w:rPr>
              <w:t>)</w:t>
            </w:r>
            <w:r>
              <w:rPr>
                <w:color w:val="auto"/>
                <w:sz w:val="21"/>
                <w:szCs w:val="21"/>
              </w:rPr>
              <w:t>，《建设项目环境保护管理条例》第十七条修改为“编制环境影响报告书、环境影响报告表的建设项目竣工后，建设单位应当按照国务院环境保护行政主管部门规定的标准和程序，对配套建设的环境保护设施进行验收，编制验收报告”，因此</w:t>
            </w:r>
            <w:r>
              <w:rPr>
                <w:rFonts w:hint="eastAsia"/>
                <w:color w:val="auto"/>
                <w:sz w:val="21"/>
                <w:szCs w:val="21"/>
                <w:lang w:eastAsia="zh-CN"/>
              </w:rPr>
              <w:t>自</w:t>
            </w:r>
            <w:r>
              <w:rPr>
                <w:color w:val="auto"/>
                <w:sz w:val="21"/>
                <w:szCs w:val="21"/>
              </w:rPr>
              <w:t>2017年10月1日起取消“建设项目竣工环境保护验收”行政审批事项，环保设施竣工验收主体由环保部门转为建设单位，建设单位需自行验收，在验收过程中与环评单位、环保施工单位、环保设计单位、监测单位、专家等共同组成验收组对项目进行竣工环保验收，进一步强化了建设单位的环境保护“三同时”主体责任。</w:t>
            </w:r>
          </w:p>
          <w:p w14:paraId="727FA688">
            <w:pPr>
              <w:spacing w:line="360" w:lineRule="auto"/>
              <w:ind w:firstLine="420" w:firstLineChars="200"/>
              <w:jc w:val="left"/>
              <w:rPr>
                <w:color w:val="auto"/>
                <w:sz w:val="21"/>
                <w:szCs w:val="21"/>
              </w:rPr>
            </w:pPr>
            <w:r>
              <w:rPr>
                <w:color w:val="auto"/>
                <w:sz w:val="21"/>
                <w:szCs w:val="21"/>
              </w:rPr>
              <w:t>根据《关于发布〈建设项目竣工环境保护验收暂行办法〉的公告》</w:t>
            </w:r>
            <w:r>
              <w:rPr>
                <w:rFonts w:hint="eastAsia"/>
                <w:color w:val="auto"/>
                <w:sz w:val="21"/>
                <w:szCs w:val="21"/>
                <w:shd w:val="clear" w:fill="FFFFFF"/>
                <w:lang w:eastAsia="zh-CN"/>
              </w:rPr>
              <w:t>(</w:t>
            </w:r>
            <w:r>
              <w:rPr>
                <w:color w:val="auto"/>
                <w:sz w:val="21"/>
                <w:szCs w:val="21"/>
              </w:rPr>
              <w:t>国环规环评</w:t>
            </w:r>
            <w:bookmarkStart w:id="147" w:name="_GoBack"/>
            <w:r>
              <w:rPr>
                <w:color w:val="auto"/>
                <w:sz w:val="21"/>
                <w:szCs w:val="21"/>
                <w:shd w:val="clear" w:fill="FFFFFF"/>
              </w:rPr>
              <w:t>[2017]4号</w:t>
            </w:r>
            <w:bookmarkEnd w:id="147"/>
            <w:r>
              <w:rPr>
                <w:color w:val="auto"/>
                <w:sz w:val="21"/>
                <w:szCs w:val="21"/>
              </w:rPr>
              <w:t>，自2017年11月22日起施行</w:t>
            </w:r>
            <w:r>
              <w:rPr>
                <w:rFonts w:hint="eastAsia"/>
                <w:color w:val="auto"/>
                <w:sz w:val="21"/>
                <w:szCs w:val="21"/>
                <w:shd w:val="clear" w:fill="FFFFFF"/>
                <w:lang w:eastAsia="zh-CN"/>
              </w:rPr>
              <w:t>)</w:t>
            </w:r>
            <w:r>
              <w:rPr>
                <w:color w:val="auto"/>
                <w:sz w:val="21"/>
                <w:szCs w:val="21"/>
              </w:rPr>
              <w:t>，建设项目需要配套建设水、噪声或者固体废物污染防治设施的，新修改的《中华人民共和国水污染防治法》生效实施前或者《中华人民共和国固体废物污染环境防治法》《中华人民共和国环境噪声污染防治法》修改完成前，应依法由</w:t>
            </w:r>
            <w:r>
              <w:rPr>
                <w:rFonts w:hint="eastAsia"/>
                <w:color w:val="auto"/>
                <w:sz w:val="21"/>
                <w:szCs w:val="21"/>
                <w:shd w:val="clear" w:fill="FFFFFF"/>
                <w:lang w:eastAsia="zh-CN"/>
              </w:rPr>
              <w:t>生态环境部</w:t>
            </w:r>
            <w:r>
              <w:rPr>
                <w:color w:val="auto"/>
                <w:sz w:val="21"/>
                <w:szCs w:val="21"/>
              </w:rPr>
              <w:t>门对建设项目水、噪声或者固体废物污染防治设施进行验收。编制环境影响报告书、环境影响报告表的建设项目，其配套建设的环境保护设施经验收合格，方可投入生产或者使用；未经验收或者验收不合格的，不得投入生产或者使用。</w:t>
            </w:r>
          </w:p>
          <w:p w14:paraId="15F6F325">
            <w:pPr>
              <w:adjustRightInd/>
              <w:snapToGrid/>
              <w:spacing w:line="360" w:lineRule="auto"/>
              <w:ind w:firstLine="420" w:firstLineChars="200"/>
              <w:rPr>
                <w:color w:val="auto"/>
                <w:sz w:val="21"/>
                <w:szCs w:val="21"/>
              </w:rPr>
            </w:pPr>
            <w:r>
              <w:rPr>
                <w:color w:val="auto"/>
                <w:sz w:val="21"/>
                <w:szCs w:val="21"/>
              </w:rPr>
              <w:t>②排污许可管理要求</w:t>
            </w:r>
          </w:p>
          <w:p w14:paraId="5C6E42B2">
            <w:pPr>
              <w:adjustRightInd/>
              <w:snapToGrid/>
              <w:spacing w:line="360" w:lineRule="auto"/>
              <w:ind w:firstLine="420" w:firstLineChars="200"/>
              <w:rPr>
                <w:color w:val="auto"/>
                <w:sz w:val="21"/>
                <w:szCs w:val="21"/>
              </w:rPr>
            </w:pPr>
            <w:r>
              <w:rPr>
                <w:color w:val="auto"/>
                <w:sz w:val="21"/>
                <w:szCs w:val="21"/>
              </w:rPr>
              <w:t>根据《固定污染源排污许可分类管理名录</w:t>
            </w:r>
            <w:r>
              <w:rPr>
                <w:rFonts w:hint="eastAsia"/>
                <w:color w:val="auto"/>
                <w:sz w:val="21"/>
                <w:szCs w:val="21"/>
                <w:shd w:val="clear" w:fill="FFFFFF"/>
                <w:lang w:eastAsia="zh-CN"/>
              </w:rPr>
              <w:t>(</w:t>
            </w:r>
            <w:r>
              <w:rPr>
                <w:color w:val="auto"/>
                <w:sz w:val="21"/>
                <w:szCs w:val="21"/>
              </w:rPr>
              <w:t>2019年版</w:t>
            </w:r>
            <w:r>
              <w:rPr>
                <w:rFonts w:hint="eastAsia"/>
                <w:color w:val="auto"/>
                <w:sz w:val="21"/>
                <w:szCs w:val="21"/>
                <w:shd w:val="clear" w:fill="FFFFFF"/>
                <w:lang w:eastAsia="zh-CN"/>
              </w:rPr>
              <w:t>)</w:t>
            </w:r>
            <w:r>
              <w:rPr>
                <w:color w:val="auto"/>
                <w:sz w:val="21"/>
                <w:szCs w:val="21"/>
              </w:rPr>
              <w:t>》</w:t>
            </w:r>
            <w:r>
              <w:rPr>
                <w:rFonts w:hint="eastAsia"/>
                <w:color w:val="auto"/>
                <w:sz w:val="21"/>
                <w:szCs w:val="21"/>
                <w:shd w:val="clear" w:fill="FFFFFF"/>
                <w:lang w:eastAsia="zh-CN"/>
              </w:rPr>
              <w:t>(</w:t>
            </w:r>
            <w:r>
              <w:rPr>
                <w:color w:val="auto"/>
                <w:sz w:val="21"/>
                <w:szCs w:val="21"/>
              </w:rPr>
              <w:t>生态环境部 第11号</w:t>
            </w:r>
            <w:r>
              <w:rPr>
                <w:rFonts w:hint="eastAsia"/>
                <w:color w:val="auto"/>
                <w:sz w:val="21"/>
                <w:szCs w:val="21"/>
                <w:shd w:val="clear" w:fill="FFFFFF"/>
                <w:lang w:eastAsia="zh-CN"/>
              </w:rPr>
              <w:t>)</w:t>
            </w:r>
            <w:r>
              <w:rPr>
                <w:color w:val="auto"/>
                <w:sz w:val="21"/>
                <w:szCs w:val="21"/>
              </w:rPr>
              <w:t>可知，</w:t>
            </w:r>
            <w:r>
              <w:rPr>
                <w:rFonts w:hint="eastAsia"/>
                <w:color w:val="auto"/>
                <w:sz w:val="21"/>
                <w:szCs w:val="21"/>
                <w:lang w:eastAsia="zh-CN"/>
              </w:rPr>
              <w:t>迁建项目</w:t>
            </w:r>
            <w:r>
              <w:rPr>
                <w:color w:val="auto"/>
                <w:sz w:val="21"/>
                <w:szCs w:val="21"/>
              </w:rPr>
              <w:t>为</w:t>
            </w:r>
            <w:r>
              <w:rPr>
                <w:rFonts w:hint="eastAsia"/>
                <w:color w:val="auto"/>
                <w:sz w:val="21"/>
                <w:szCs w:val="21"/>
                <w:lang w:eastAsia="zh-CN"/>
              </w:rPr>
              <w:t>迁建项目</w:t>
            </w:r>
            <w:r>
              <w:rPr>
                <w:color w:val="auto"/>
                <w:sz w:val="21"/>
                <w:szCs w:val="21"/>
              </w:rPr>
              <w:t>属于“二十五、非金属矿物制品业</w:t>
            </w:r>
            <w:r>
              <w:rPr>
                <w:color w:val="auto"/>
                <w:sz w:val="21"/>
                <w:szCs w:val="21"/>
                <w:shd w:val="clear" w:fill="FFFFFF"/>
              </w:rPr>
              <w:t>-</w:t>
            </w:r>
            <w:r>
              <w:rPr>
                <w:color w:val="auto"/>
                <w:sz w:val="21"/>
                <w:szCs w:val="21"/>
              </w:rPr>
              <w:t>水泥制品制造3021”类别，属于登记管理</w:t>
            </w:r>
            <w:r>
              <w:rPr>
                <w:rFonts w:hint="eastAsia"/>
                <w:color w:val="auto"/>
                <w:sz w:val="21"/>
                <w:szCs w:val="21"/>
              </w:rPr>
              <w:t>。</w:t>
            </w:r>
            <w:r>
              <w:rPr>
                <w:color w:val="auto"/>
                <w:sz w:val="21"/>
                <w:szCs w:val="21"/>
              </w:rPr>
              <w:t>因此，建设单位应当在启动生产设施或者发生实际排污之前在全国排污许可证管理信息平台进行排污</w:t>
            </w:r>
            <w:r>
              <w:rPr>
                <w:rFonts w:hint="eastAsia"/>
                <w:color w:val="auto"/>
                <w:sz w:val="21"/>
                <w:szCs w:val="21"/>
              </w:rPr>
              <w:t>登记</w:t>
            </w:r>
            <w:r>
              <w:rPr>
                <w:color w:val="auto"/>
                <w:sz w:val="21"/>
                <w:szCs w:val="21"/>
                <w:lang w:val="en-GB"/>
              </w:rPr>
              <w:t>。</w:t>
            </w:r>
          </w:p>
          <w:p w14:paraId="0CB92B78">
            <w:pPr>
              <w:adjustRightInd/>
              <w:snapToGrid/>
              <w:spacing w:line="360" w:lineRule="auto"/>
              <w:ind w:firstLine="420" w:firstLineChars="200"/>
              <w:rPr>
                <w:color w:val="auto"/>
                <w:sz w:val="21"/>
                <w:szCs w:val="21"/>
              </w:rPr>
            </w:pPr>
            <w:r>
              <w:rPr>
                <w:color w:val="auto"/>
                <w:sz w:val="21"/>
                <w:szCs w:val="21"/>
              </w:rPr>
              <w:t>③建立环境管理制度</w:t>
            </w:r>
          </w:p>
          <w:p w14:paraId="0F808255">
            <w:pPr>
              <w:spacing w:line="360" w:lineRule="auto"/>
              <w:ind w:firstLine="420" w:firstLineChars="200"/>
              <w:rPr>
                <w:color w:val="auto"/>
                <w:sz w:val="21"/>
                <w:szCs w:val="21"/>
              </w:rPr>
            </w:pPr>
            <w:r>
              <w:rPr>
                <w:color w:val="auto"/>
                <w:sz w:val="21"/>
                <w:szCs w:val="21"/>
              </w:rPr>
              <w:t>根据《企业事业单位环境信息公开办法》</w:t>
            </w:r>
            <w:r>
              <w:rPr>
                <w:color w:val="auto"/>
                <w:sz w:val="21"/>
                <w:szCs w:val="21"/>
                <w:shd w:val="clear" w:fill="FFFFFF"/>
              </w:rPr>
              <w:t>(</w:t>
            </w:r>
            <w:r>
              <w:rPr>
                <w:rFonts w:hint="eastAsia"/>
                <w:color w:val="auto"/>
                <w:sz w:val="21"/>
                <w:szCs w:val="21"/>
                <w:shd w:val="clear" w:fill="FFFFFF"/>
                <w:lang w:eastAsia="zh-CN"/>
              </w:rPr>
              <w:t>生态环境部</w:t>
            </w:r>
            <w:r>
              <w:rPr>
                <w:color w:val="auto"/>
                <w:sz w:val="21"/>
                <w:szCs w:val="21"/>
              </w:rPr>
              <w:t>令第31号</w:t>
            </w:r>
            <w:r>
              <w:rPr>
                <w:color w:val="auto"/>
                <w:sz w:val="21"/>
                <w:szCs w:val="21"/>
                <w:shd w:val="clear" w:fill="FFFFFF"/>
              </w:rPr>
              <w:t>)</w:t>
            </w:r>
            <w:r>
              <w:rPr>
                <w:color w:val="auto"/>
                <w:sz w:val="21"/>
                <w:szCs w:val="21"/>
              </w:rPr>
              <w:t>，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14:paraId="16616860">
            <w:pPr>
              <w:spacing w:line="360" w:lineRule="auto"/>
              <w:ind w:firstLine="420" w:firstLineChars="200"/>
              <w:rPr>
                <w:color w:val="auto"/>
                <w:sz w:val="21"/>
                <w:szCs w:val="21"/>
              </w:rPr>
            </w:pPr>
            <w:r>
              <w:rPr>
                <w:color w:val="auto"/>
                <w:sz w:val="21"/>
                <w:szCs w:val="21"/>
                <w:shd w:val="clear" w:fill="FFFFFF"/>
              </w:rPr>
              <w:t>(</w:t>
            </w:r>
            <w:r>
              <w:rPr>
                <w:color w:val="auto"/>
                <w:sz w:val="21"/>
                <w:szCs w:val="21"/>
              </w:rPr>
              <w:t>一</w:t>
            </w:r>
            <w:r>
              <w:rPr>
                <w:color w:val="auto"/>
                <w:sz w:val="21"/>
                <w:szCs w:val="21"/>
                <w:shd w:val="clear" w:fill="FFFFFF"/>
              </w:rPr>
              <w:t>)</w:t>
            </w:r>
            <w:r>
              <w:rPr>
                <w:color w:val="auto"/>
                <w:sz w:val="21"/>
                <w:szCs w:val="21"/>
              </w:rPr>
              <w:t>基础信息，包括单位名称、组织机构代码、法定代表人、生产地址、联系方式，以及生产经营和管理服务的主要内容、产品及规模；</w:t>
            </w:r>
          </w:p>
          <w:p w14:paraId="6DEE4808">
            <w:pPr>
              <w:spacing w:line="360" w:lineRule="auto"/>
              <w:ind w:firstLine="420" w:firstLineChars="200"/>
              <w:rPr>
                <w:color w:val="auto"/>
                <w:sz w:val="21"/>
                <w:szCs w:val="21"/>
              </w:rPr>
            </w:pPr>
            <w:r>
              <w:rPr>
                <w:color w:val="auto"/>
                <w:sz w:val="21"/>
                <w:szCs w:val="21"/>
                <w:shd w:val="clear" w:fill="FFFFFF"/>
              </w:rPr>
              <w:t>(</w:t>
            </w:r>
            <w:r>
              <w:rPr>
                <w:color w:val="auto"/>
                <w:sz w:val="21"/>
                <w:szCs w:val="21"/>
              </w:rPr>
              <w:t>二</w:t>
            </w:r>
            <w:r>
              <w:rPr>
                <w:color w:val="auto"/>
                <w:sz w:val="21"/>
                <w:szCs w:val="21"/>
                <w:shd w:val="clear" w:fill="FFFFFF"/>
              </w:rPr>
              <w:t>)</w:t>
            </w:r>
            <w:r>
              <w:rPr>
                <w:color w:val="auto"/>
                <w:sz w:val="21"/>
                <w:szCs w:val="21"/>
              </w:rPr>
              <w:t>排污信息，包括主要污染物及其他污染物的名称、排放方式、排放口数量和分布情况、排放浓度和总量、超标情况，以及执行的污染物排放标准、核定的排放总量；</w:t>
            </w:r>
          </w:p>
          <w:p w14:paraId="0AD1156F">
            <w:pPr>
              <w:spacing w:line="360" w:lineRule="auto"/>
              <w:ind w:firstLine="420" w:firstLineChars="200"/>
              <w:rPr>
                <w:color w:val="auto"/>
                <w:sz w:val="21"/>
                <w:szCs w:val="21"/>
              </w:rPr>
            </w:pPr>
            <w:r>
              <w:rPr>
                <w:color w:val="auto"/>
                <w:sz w:val="21"/>
                <w:szCs w:val="21"/>
                <w:shd w:val="clear" w:fill="FFFFFF"/>
              </w:rPr>
              <w:t>(</w:t>
            </w:r>
            <w:r>
              <w:rPr>
                <w:color w:val="auto"/>
                <w:sz w:val="21"/>
                <w:szCs w:val="21"/>
              </w:rPr>
              <w:t>三</w:t>
            </w:r>
            <w:r>
              <w:rPr>
                <w:color w:val="auto"/>
                <w:sz w:val="21"/>
                <w:szCs w:val="21"/>
                <w:shd w:val="clear" w:fill="FFFFFF"/>
              </w:rPr>
              <w:t>)</w:t>
            </w:r>
            <w:r>
              <w:rPr>
                <w:color w:val="auto"/>
                <w:sz w:val="21"/>
                <w:szCs w:val="21"/>
              </w:rPr>
              <w:t>防治污染设施的建设和运行情况；</w:t>
            </w:r>
          </w:p>
          <w:p w14:paraId="61C270FB">
            <w:pPr>
              <w:spacing w:line="360" w:lineRule="auto"/>
              <w:ind w:firstLine="420" w:firstLineChars="200"/>
              <w:rPr>
                <w:color w:val="auto"/>
                <w:sz w:val="21"/>
                <w:szCs w:val="21"/>
              </w:rPr>
            </w:pPr>
            <w:r>
              <w:rPr>
                <w:color w:val="auto"/>
                <w:sz w:val="21"/>
                <w:szCs w:val="21"/>
                <w:shd w:val="clear" w:fill="FFFFFF"/>
              </w:rPr>
              <w:t>(</w:t>
            </w:r>
            <w:r>
              <w:rPr>
                <w:color w:val="auto"/>
                <w:sz w:val="21"/>
                <w:szCs w:val="21"/>
              </w:rPr>
              <w:t>四</w:t>
            </w:r>
            <w:r>
              <w:rPr>
                <w:color w:val="auto"/>
                <w:sz w:val="21"/>
                <w:szCs w:val="21"/>
                <w:shd w:val="clear" w:fill="FFFFFF"/>
              </w:rPr>
              <w:t>)</w:t>
            </w:r>
            <w:r>
              <w:rPr>
                <w:color w:val="auto"/>
                <w:sz w:val="21"/>
                <w:szCs w:val="21"/>
              </w:rPr>
              <w:t>建设项目环境影响评价及其他环境保护行政许可情况；</w:t>
            </w:r>
          </w:p>
          <w:p w14:paraId="066CC366">
            <w:pPr>
              <w:spacing w:line="360" w:lineRule="auto"/>
              <w:ind w:firstLine="420" w:firstLineChars="200"/>
              <w:rPr>
                <w:color w:val="auto"/>
                <w:sz w:val="21"/>
                <w:szCs w:val="21"/>
              </w:rPr>
            </w:pPr>
            <w:r>
              <w:rPr>
                <w:color w:val="auto"/>
                <w:sz w:val="21"/>
                <w:szCs w:val="21"/>
                <w:shd w:val="clear" w:fill="FFFFFF"/>
              </w:rPr>
              <w:t>(</w:t>
            </w:r>
            <w:r>
              <w:rPr>
                <w:color w:val="auto"/>
                <w:sz w:val="21"/>
                <w:szCs w:val="21"/>
              </w:rPr>
              <w:t>五</w:t>
            </w:r>
            <w:r>
              <w:rPr>
                <w:color w:val="auto"/>
                <w:sz w:val="21"/>
                <w:szCs w:val="21"/>
                <w:shd w:val="clear" w:fill="FFFFFF"/>
              </w:rPr>
              <w:t>)</w:t>
            </w:r>
            <w:r>
              <w:rPr>
                <w:color w:val="auto"/>
                <w:sz w:val="21"/>
                <w:szCs w:val="21"/>
              </w:rPr>
              <w:t>其他应当公开的环境信息；</w:t>
            </w:r>
          </w:p>
          <w:p w14:paraId="0A9AA803">
            <w:pPr>
              <w:spacing w:line="360" w:lineRule="auto"/>
              <w:ind w:firstLine="420" w:firstLineChars="200"/>
              <w:rPr>
                <w:color w:val="auto"/>
                <w:sz w:val="21"/>
                <w:szCs w:val="21"/>
              </w:rPr>
            </w:pPr>
            <w:r>
              <w:rPr>
                <w:color w:val="auto"/>
                <w:sz w:val="21"/>
                <w:szCs w:val="21"/>
              </w:rPr>
              <w:t>列入国家重点监控企业名单的重点排污单位应当公开其环境自行监测方案。</w:t>
            </w:r>
          </w:p>
          <w:p w14:paraId="7F60BD6D">
            <w:pPr>
              <w:pStyle w:val="31"/>
              <w:widowControl w:val="0"/>
              <w:spacing w:before="0" w:beforeAutospacing="0" w:after="0" w:afterAutospacing="0" w:line="360" w:lineRule="auto"/>
              <w:jc w:val="both"/>
              <w:rPr>
                <w:rFonts w:ascii="Times New Roman" w:hAnsi="Times New Roman"/>
                <w:color w:val="auto"/>
                <w:sz w:val="21"/>
                <w:szCs w:val="21"/>
              </w:rPr>
            </w:pPr>
            <w:r>
              <w:rPr>
                <w:rFonts w:ascii="Times New Roman" w:hAnsi="Times New Roman"/>
                <w:color w:val="auto"/>
                <w:kern w:val="2"/>
                <w:sz w:val="21"/>
                <w:szCs w:val="21"/>
              </w:rPr>
              <w:t>建设单位应按照上述要求公开建设项目的相关信息，采取的信息公开途径可包括：</w:t>
            </w:r>
            <w:r>
              <w:rPr>
                <w:rFonts w:hint="eastAsia" w:ascii="Times New Roman" w:hAnsi="Times New Roman"/>
                <w:color w:val="auto"/>
                <w:kern w:val="2"/>
                <w:sz w:val="21"/>
                <w:szCs w:val="21"/>
              </w:rPr>
              <w:t>A.</w:t>
            </w:r>
            <w:r>
              <w:rPr>
                <w:rFonts w:ascii="Times New Roman" w:hAnsi="Times New Roman"/>
                <w:color w:val="auto"/>
                <w:kern w:val="2"/>
                <w:sz w:val="21"/>
                <w:szCs w:val="21"/>
              </w:rPr>
              <w:t>公告或者公开发行的信息专刊；</w:t>
            </w:r>
            <w:r>
              <w:rPr>
                <w:rFonts w:hint="eastAsia" w:ascii="Times New Roman" w:hAnsi="Times New Roman"/>
                <w:color w:val="auto"/>
                <w:kern w:val="2"/>
                <w:sz w:val="21"/>
                <w:szCs w:val="21"/>
              </w:rPr>
              <w:t>B.</w:t>
            </w:r>
            <w:r>
              <w:rPr>
                <w:rFonts w:ascii="Times New Roman" w:hAnsi="Times New Roman"/>
                <w:color w:val="auto"/>
                <w:kern w:val="2"/>
                <w:sz w:val="21"/>
                <w:szCs w:val="21"/>
              </w:rPr>
              <w:t>广播、电视等新闻媒体；</w:t>
            </w:r>
            <w:r>
              <w:rPr>
                <w:rFonts w:hint="eastAsia" w:ascii="Times New Roman" w:hAnsi="Times New Roman"/>
                <w:color w:val="auto"/>
                <w:kern w:val="2"/>
                <w:sz w:val="21"/>
                <w:szCs w:val="21"/>
              </w:rPr>
              <w:t>C.</w:t>
            </w:r>
            <w:r>
              <w:rPr>
                <w:rFonts w:ascii="Times New Roman" w:hAnsi="Times New Roman"/>
                <w:color w:val="auto"/>
                <w:kern w:val="2"/>
                <w:sz w:val="21"/>
                <w:szCs w:val="21"/>
              </w:rPr>
              <w:t>信息公开服务、监督热线电话；</w:t>
            </w:r>
            <w:r>
              <w:rPr>
                <w:rFonts w:hint="eastAsia" w:ascii="Times New Roman" w:hAnsi="Times New Roman"/>
                <w:color w:val="auto"/>
                <w:kern w:val="2"/>
                <w:sz w:val="21"/>
                <w:szCs w:val="21"/>
              </w:rPr>
              <w:t>D.</w:t>
            </w:r>
            <w:r>
              <w:rPr>
                <w:rFonts w:ascii="Times New Roman" w:hAnsi="Times New Roman"/>
                <w:color w:val="auto"/>
                <w:kern w:val="2"/>
                <w:sz w:val="21"/>
                <w:szCs w:val="21"/>
              </w:rPr>
              <w:t>本单位的资料索取点、信息公开栏、信息亭、电子屏幕、电子触摸屏等场所或者设施；</w:t>
            </w:r>
            <w:r>
              <w:rPr>
                <w:rFonts w:hint="eastAsia" w:ascii="Times New Roman" w:hAnsi="Times New Roman"/>
                <w:color w:val="auto"/>
                <w:kern w:val="2"/>
                <w:sz w:val="21"/>
                <w:szCs w:val="21"/>
              </w:rPr>
              <w:t>E.</w:t>
            </w:r>
            <w:r>
              <w:rPr>
                <w:rFonts w:ascii="Times New Roman" w:hAnsi="Times New Roman"/>
                <w:color w:val="auto"/>
                <w:kern w:val="2"/>
                <w:sz w:val="21"/>
                <w:szCs w:val="21"/>
              </w:rPr>
              <w:t>其他便于公众及时、准确获得信息的方式。</w:t>
            </w:r>
          </w:p>
          <w:p w14:paraId="53AFFC66">
            <w:pPr>
              <w:spacing w:line="360" w:lineRule="auto"/>
              <w:ind w:firstLine="420" w:firstLineChars="200"/>
              <w:rPr>
                <w:color w:val="auto"/>
                <w:sz w:val="21"/>
                <w:szCs w:val="21"/>
              </w:rPr>
            </w:pPr>
            <w:r>
              <w:rPr>
                <w:color w:val="auto"/>
                <w:sz w:val="21"/>
                <w:szCs w:val="21"/>
              </w:rPr>
              <w:t>④</w:t>
            </w:r>
            <w:r>
              <w:rPr>
                <w:rFonts w:hint="eastAsia"/>
                <w:color w:val="auto"/>
                <w:sz w:val="21"/>
                <w:szCs w:val="21"/>
              </w:rPr>
              <w:t>退役期环境管理</w:t>
            </w:r>
          </w:p>
          <w:p w14:paraId="2F73D409">
            <w:pPr>
              <w:spacing w:line="360" w:lineRule="auto"/>
              <w:ind w:firstLine="420" w:firstLineChars="200"/>
              <w:rPr>
                <w:color w:val="auto"/>
                <w:sz w:val="21"/>
                <w:szCs w:val="21"/>
              </w:rPr>
            </w:pPr>
            <w:r>
              <w:rPr>
                <w:color w:val="auto"/>
                <w:sz w:val="21"/>
                <w:szCs w:val="21"/>
              </w:rPr>
              <w:t>项目所使用的原料可返回原厂家或出售</w:t>
            </w:r>
            <w:r>
              <w:rPr>
                <w:color w:val="auto"/>
                <w:sz w:val="21"/>
                <w:szCs w:val="21"/>
                <w:shd w:val="clear" w:fill="FFFFFF"/>
              </w:rPr>
              <w:t>给其它</w:t>
            </w:r>
            <w:r>
              <w:rPr>
                <w:color w:val="auto"/>
                <w:sz w:val="21"/>
                <w:szCs w:val="21"/>
              </w:rPr>
              <w:t>企业，对周围环境无影响。原材料在暂保存期应设专门地点存放，专人看管。</w:t>
            </w:r>
          </w:p>
          <w:p w14:paraId="07691724">
            <w:pPr>
              <w:spacing w:line="360" w:lineRule="auto"/>
              <w:ind w:firstLine="420" w:firstLineChars="200"/>
              <w:rPr>
                <w:color w:val="auto"/>
                <w:sz w:val="21"/>
                <w:szCs w:val="21"/>
              </w:rPr>
            </w:pPr>
            <w:r>
              <w:rPr>
                <w:color w:val="auto"/>
                <w:sz w:val="21"/>
                <w:szCs w:val="21"/>
              </w:rPr>
              <w:t>项目退役后，其设备处置应遵循以下两方面原则：</w:t>
            </w:r>
          </w:p>
          <w:p w14:paraId="49500228">
            <w:pPr>
              <w:spacing w:line="360" w:lineRule="auto"/>
              <w:ind w:firstLine="420" w:firstLineChars="200"/>
              <w:rPr>
                <w:color w:val="auto"/>
                <w:sz w:val="21"/>
                <w:szCs w:val="21"/>
              </w:rPr>
            </w:pPr>
            <w:r>
              <w:rPr>
                <w:rFonts w:hint="eastAsia"/>
                <w:color w:val="auto"/>
                <w:sz w:val="21"/>
                <w:szCs w:val="21"/>
              </w:rPr>
              <w:t>A.</w:t>
            </w:r>
            <w:r>
              <w:rPr>
                <w:color w:val="auto"/>
                <w:sz w:val="21"/>
                <w:szCs w:val="21"/>
              </w:rPr>
              <w:t>在退役时，尚不属于行业淘汰范围的，且尚符合当时国家产业政策和地方政策的设备，可出售给相应企业。</w:t>
            </w:r>
          </w:p>
          <w:p w14:paraId="426581E3">
            <w:pPr>
              <w:spacing w:line="360" w:lineRule="auto"/>
              <w:ind w:firstLine="420" w:firstLineChars="200"/>
              <w:rPr>
                <w:color w:val="auto"/>
                <w:sz w:val="21"/>
                <w:szCs w:val="21"/>
              </w:rPr>
            </w:pPr>
            <w:r>
              <w:rPr>
                <w:rFonts w:hint="eastAsia"/>
                <w:color w:val="auto"/>
                <w:sz w:val="21"/>
                <w:szCs w:val="21"/>
              </w:rPr>
              <w:t>B.</w:t>
            </w:r>
            <w:r>
              <w:rPr>
                <w:color w:val="auto"/>
                <w:sz w:val="21"/>
                <w:szCs w:val="21"/>
              </w:rPr>
              <w:t>在退役时，属于行业淘汰范围、不符合当时国家产业政策和地方政策中的一种，即应予以报废，设备可按废品出售给物质回收单位。</w:t>
            </w:r>
            <w:r>
              <w:rPr>
                <w:rFonts w:hint="eastAsia"/>
                <w:color w:val="auto"/>
                <w:sz w:val="21"/>
                <w:szCs w:val="21"/>
                <w:lang w:eastAsia="zh-CN"/>
              </w:rPr>
              <w:t>迁建项目</w:t>
            </w:r>
            <w:r>
              <w:rPr>
                <w:color w:val="auto"/>
                <w:sz w:val="21"/>
                <w:szCs w:val="21"/>
              </w:rPr>
              <w:t>所使用的设备在退役后应根据上述两个原则将生产设</w:t>
            </w:r>
            <w:r>
              <w:rPr>
                <w:rFonts w:hint="eastAsia"/>
                <w:color w:val="auto"/>
                <w:sz w:val="21"/>
                <w:szCs w:val="21"/>
                <w:lang w:eastAsia="zh-CN"/>
              </w:rPr>
              <w:t>备销</w:t>
            </w:r>
            <w:r>
              <w:rPr>
                <w:color w:val="auto"/>
                <w:sz w:val="21"/>
                <w:szCs w:val="21"/>
              </w:rPr>
              <w:t>售给相应的企业或予以报废，出售给物质回收单位。</w:t>
            </w:r>
          </w:p>
          <w:p w14:paraId="69364550">
            <w:pPr>
              <w:adjustRightInd/>
              <w:snapToGrid/>
              <w:spacing w:line="360" w:lineRule="auto"/>
              <w:ind w:firstLine="420" w:firstLineChars="200"/>
              <w:rPr>
                <w:color w:val="auto"/>
                <w:sz w:val="21"/>
                <w:szCs w:val="21"/>
              </w:rPr>
            </w:pPr>
            <w:r>
              <w:rPr>
                <w:color w:val="auto"/>
                <w:sz w:val="21"/>
                <w:szCs w:val="21"/>
              </w:rPr>
              <w:fldChar w:fldCharType="begin"/>
            </w:r>
            <w:r>
              <w:rPr>
                <w:color w:val="auto"/>
                <w:sz w:val="21"/>
                <w:szCs w:val="21"/>
              </w:rPr>
              <w:instrText xml:space="preserve"> = 5 \* GB3 \* MERGEFORMAT </w:instrText>
            </w:r>
            <w:r>
              <w:rPr>
                <w:color w:val="auto"/>
                <w:sz w:val="21"/>
                <w:szCs w:val="21"/>
              </w:rPr>
              <w:fldChar w:fldCharType="separate"/>
            </w:r>
            <w:r>
              <w:rPr>
                <w:color w:val="auto"/>
                <w:sz w:val="21"/>
                <w:szCs w:val="21"/>
              </w:rPr>
              <w:t>⑤</w:t>
            </w:r>
            <w:r>
              <w:rPr>
                <w:color w:val="auto"/>
                <w:sz w:val="21"/>
                <w:szCs w:val="21"/>
              </w:rPr>
              <w:fldChar w:fldCharType="end"/>
            </w:r>
            <w:r>
              <w:rPr>
                <w:color w:val="auto"/>
                <w:sz w:val="21"/>
                <w:szCs w:val="21"/>
              </w:rPr>
              <w:t>排污口规范管理</w:t>
            </w:r>
          </w:p>
          <w:p w14:paraId="7B4FEA52">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bidi="ar-SA"/>
              </w:rPr>
              <w:t>各污染源排放口应设置专项图标，执行《环境保护图形标识—固体废物贮存</w:t>
            </w:r>
            <w:r>
              <w:rPr>
                <w:rFonts w:hint="eastAsia" w:eastAsia="宋体" w:cs="Times New Roman"/>
                <w:b w:val="0"/>
                <w:bCs w:val="0"/>
                <w:color w:val="auto"/>
                <w:kern w:val="0"/>
                <w:sz w:val="21"/>
                <w:szCs w:val="21"/>
                <w:shd w:val="clear" w:fill="FFFFFF"/>
                <w:lang w:val="en-US" w:eastAsia="zh-CN" w:bidi="ar-SA"/>
              </w:rPr>
              <w:t>(</w:t>
            </w:r>
            <w:r>
              <w:rPr>
                <w:rFonts w:hint="default" w:ascii="Times New Roman" w:hAnsi="Times New Roman" w:eastAsia="宋体" w:cs="Times New Roman"/>
                <w:b w:val="0"/>
                <w:bCs w:val="0"/>
                <w:color w:val="auto"/>
                <w:kern w:val="0"/>
                <w:sz w:val="21"/>
                <w:szCs w:val="21"/>
                <w:lang w:val="en-US" w:eastAsia="zh-CN" w:bidi="ar-SA"/>
              </w:rPr>
              <w:t>处置</w:t>
            </w:r>
            <w:r>
              <w:rPr>
                <w:rFonts w:hint="eastAsia" w:eastAsia="宋体" w:cs="Times New Roman"/>
                <w:b w:val="0"/>
                <w:bCs w:val="0"/>
                <w:color w:val="auto"/>
                <w:kern w:val="0"/>
                <w:sz w:val="21"/>
                <w:szCs w:val="21"/>
                <w:shd w:val="clear" w:fill="FFFFFF"/>
                <w:lang w:val="en-US" w:eastAsia="zh-CN" w:bidi="ar-SA"/>
              </w:rPr>
              <w:t>)</w:t>
            </w:r>
            <w:r>
              <w:rPr>
                <w:rFonts w:hint="default" w:ascii="Times New Roman" w:hAnsi="Times New Roman" w:eastAsia="宋体" w:cs="Times New Roman"/>
                <w:b w:val="0"/>
                <w:bCs w:val="0"/>
                <w:color w:val="auto"/>
                <w:kern w:val="0"/>
                <w:sz w:val="21"/>
                <w:szCs w:val="21"/>
                <w:lang w:val="en-US" w:eastAsia="zh-CN" w:bidi="ar-SA"/>
              </w:rPr>
              <w:t>场》</w:t>
            </w:r>
            <w:r>
              <w:rPr>
                <w:rFonts w:hint="eastAsia"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GB15562.2-1995</w:t>
            </w:r>
            <w:r>
              <w:rPr>
                <w:rFonts w:hint="eastAsia" w:eastAsia="宋体" w:cs="Times New Roman"/>
                <w:b w:val="0"/>
                <w:bCs w:val="0"/>
                <w:color w:val="auto"/>
                <w:kern w:val="0"/>
                <w:sz w:val="21"/>
                <w:szCs w:val="21"/>
                <w:shd w:val="clear" w:fill="FFFFFF"/>
                <w:lang w:val="en-US" w:eastAsia="zh-CN" w:bidi="ar-SA"/>
              </w:rPr>
              <w:t>)</w:t>
            </w:r>
            <w:r>
              <w:rPr>
                <w:rFonts w:hint="default" w:ascii="Times New Roman" w:hAnsi="Times New Roman" w:eastAsia="宋体" w:cs="Times New Roman"/>
                <w:b w:val="0"/>
                <w:bCs w:val="0"/>
                <w:color w:val="auto"/>
                <w:kern w:val="0"/>
                <w:sz w:val="21"/>
                <w:szCs w:val="21"/>
                <w:lang w:val="en-US" w:eastAsia="zh-CN" w:bidi="ar-SA"/>
              </w:rPr>
              <w:t>及其修改单，要求各排放口</w:t>
            </w:r>
            <w:r>
              <w:rPr>
                <w:rFonts w:hint="eastAsia" w:eastAsia="宋体" w:cs="Times New Roman"/>
                <w:b w:val="0"/>
                <w:bCs w:val="0"/>
                <w:color w:val="auto"/>
                <w:kern w:val="0"/>
                <w:sz w:val="21"/>
                <w:szCs w:val="21"/>
                <w:shd w:val="clear" w:fill="FFFFFF"/>
                <w:lang w:val="en-US" w:eastAsia="zh-CN" w:bidi="ar-SA"/>
              </w:rPr>
              <w:t>(</w:t>
            </w:r>
            <w:r>
              <w:rPr>
                <w:rFonts w:hint="default" w:ascii="Times New Roman" w:hAnsi="Times New Roman" w:eastAsia="宋体" w:cs="Times New Roman"/>
                <w:b w:val="0"/>
                <w:bCs w:val="0"/>
                <w:color w:val="auto"/>
                <w:kern w:val="0"/>
                <w:sz w:val="21"/>
                <w:szCs w:val="21"/>
                <w:lang w:val="en-US" w:eastAsia="zh-CN" w:bidi="ar-SA"/>
              </w:rPr>
              <w:t>源</w:t>
            </w:r>
            <w:r>
              <w:rPr>
                <w:rFonts w:hint="eastAsia" w:eastAsia="宋体" w:cs="Times New Roman"/>
                <w:b w:val="0"/>
                <w:bCs w:val="0"/>
                <w:color w:val="auto"/>
                <w:kern w:val="0"/>
                <w:sz w:val="21"/>
                <w:szCs w:val="21"/>
                <w:shd w:val="clear" w:fill="FFFFFF"/>
                <w:lang w:val="en-US" w:eastAsia="zh-CN" w:bidi="ar-SA"/>
              </w:rPr>
              <w:t>)</w:t>
            </w:r>
            <w:r>
              <w:rPr>
                <w:rFonts w:hint="default" w:ascii="Times New Roman" w:hAnsi="Times New Roman" w:eastAsia="宋体" w:cs="Times New Roman"/>
                <w:b w:val="0"/>
                <w:bCs w:val="0"/>
                <w:color w:val="auto"/>
                <w:kern w:val="0"/>
                <w:sz w:val="21"/>
                <w:szCs w:val="21"/>
                <w:lang w:val="en-US" w:eastAsia="zh-CN" w:bidi="ar-SA"/>
              </w:rPr>
              <w:t>提示标志形状采用正方形边框，背景颜色采用绿色，图形颜色采用白色。标志牌应设在与之功能相应的醒目处，并保持清晰、完整，具体详见</w:t>
            </w:r>
            <w:r>
              <w:rPr>
                <w:rFonts w:hint="default" w:ascii="Times New Roman" w:hAnsi="Times New Roman" w:cs="Times New Roman"/>
                <w:color w:val="auto"/>
                <w:sz w:val="21"/>
                <w:szCs w:val="21"/>
              </w:rPr>
              <w:t>表5-1。</w:t>
            </w:r>
          </w:p>
          <w:p w14:paraId="6CFDBE5F">
            <w:pPr>
              <w:keepNext w:val="0"/>
              <w:keepLines w:val="0"/>
              <w:pageBreakBefore w:val="0"/>
              <w:widowControl w:val="0"/>
              <w:kinsoku/>
              <w:wordWrap/>
              <w:overflowPunct/>
              <w:topLinePunct w:val="0"/>
              <w:bidi w:val="0"/>
              <w:spacing w:line="360" w:lineRule="atLeast"/>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表5-1  排污口图形符号</w:t>
            </w:r>
            <w:r>
              <w:rPr>
                <w:rFonts w:hint="eastAsia" w:eastAsia="宋体" w:cs="Times New Roman"/>
                <w:b/>
                <w:color w:val="auto"/>
                <w:kern w:val="0"/>
                <w:sz w:val="21"/>
                <w:szCs w:val="21"/>
                <w:shd w:val="clear" w:fill="FFFFFF"/>
                <w:lang w:val="en-US" w:eastAsia="zh-CN" w:bidi="ar-SA"/>
              </w:rPr>
              <w:t>(</w:t>
            </w:r>
            <w:r>
              <w:rPr>
                <w:rFonts w:hint="default" w:ascii="Times New Roman" w:hAnsi="Times New Roman" w:eastAsia="宋体" w:cs="Times New Roman"/>
                <w:b/>
                <w:color w:val="auto"/>
                <w:kern w:val="0"/>
                <w:sz w:val="21"/>
                <w:szCs w:val="21"/>
                <w:lang w:val="en-US" w:eastAsia="zh-CN" w:bidi="ar-SA"/>
              </w:rPr>
              <w:t>提示标志</w:t>
            </w:r>
            <w:r>
              <w:rPr>
                <w:rFonts w:hint="eastAsia" w:eastAsia="宋体" w:cs="Times New Roman"/>
                <w:b/>
                <w:color w:val="auto"/>
                <w:kern w:val="0"/>
                <w:sz w:val="21"/>
                <w:szCs w:val="21"/>
                <w:shd w:val="clear" w:fill="FFFFFF"/>
                <w:lang w:val="en-US" w:eastAsia="zh-CN" w:bidi="ar-SA"/>
              </w:rPr>
              <w:t>)</w:t>
            </w:r>
            <w:r>
              <w:rPr>
                <w:rFonts w:hint="default" w:ascii="Times New Roman" w:hAnsi="Times New Roman" w:eastAsia="宋体" w:cs="Times New Roman"/>
                <w:b/>
                <w:color w:val="auto"/>
                <w:kern w:val="0"/>
                <w:sz w:val="21"/>
                <w:szCs w:val="21"/>
                <w:lang w:val="en-US" w:eastAsia="zh-CN" w:bidi="ar-SA"/>
              </w:rPr>
              <w:t>一览表</w:t>
            </w:r>
          </w:p>
          <w:tbl>
            <w:tblPr>
              <w:tblStyle w:val="36"/>
              <w:tblW w:w="0" w:type="auto"/>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14"/>
              <w:gridCol w:w="1287"/>
              <w:gridCol w:w="1287"/>
              <w:gridCol w:w="1287"/>
              <w:gridCol w:w="1412"/>
              <w:gridCol w:w="1287"/>
            </w:tblGrid>
            <w:tr w14:paraId="64E4A459">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0" w:type="auto"/>
                  <w:tcBorders>
                    <w:top w:val="single" w:color="auto" w:sz="12" w:space="0"/>
                    <w:left w:val="nil"/>
                    <w:bottom w:val="single" w:color="auto" w:sz="6" w:space="0"/>
                    <w:right w:val="single" w:color="auto" w:sz="6" w:space="0"/>
                    <w:tl2br w:val="single" w:color="auto" w:sz="4" w:space="0"/>
                  </w:tcBorders>
                  <w:noWrap w:val="0"/>
                  <w:vAlign w:val="center"/>
                </w:tcPr>
                <w:p w14:paraId="57D0B12E">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jc w:val="righ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排放部位</w:t>
                  </w:r>
                </w:p>
                <w:p w14:paraId="7F7141DA">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jc w:val="both"/>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项目</w:t>
                  </w:r>
                </w:p>
              </w:tc>
              <w:tc>
                <w:tcPr>
                  <w:tcW w:w="0" w:type="auto"/>
                  <w:tcBorders>
                    <w:top w:val="single" w:color="auto" w:sz="12" w:space="0"/>
                    <w:left w:val="single" w:color="auto" w:sz="6" w:space="0"/>
                    <w:bottom w:val="single" w:color="auto" w:sz="6" w:space="0"/>
                    <w:right w:val="single" w:color="auto" w:sz="6" w:space="0"/>
                  </w:tcBorders>
                  <w:noWrap w:val="0"/>
                  <w:vAlign w:val="center"/>
                </w:tcPr>
                <w:p w14:paraId="36586690">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污水排放口</w:t>
                  </w:r>
                </w:p>
              </w:tc>
              <w:tc>
                <w:tcPr>
                  <w:tcW w:w="0" w:type="auto"/>
                  <w:tcBorders>
                    <w:top w:val="single" w:color="auto" w:sz="12" w:space="0"/>
                    <w:left w:val="single" w:color="auto" w:sz="6" w:space="0"/>
                    <w:bottom w:val="single" w:color="auto" w:sz="6" w:space="0"/>
                    <w:right w:val="single" w:color="auto" w:sz="6" w:space="0"/>
                  </w:tcBorders>
                  <w:noWrap w:val="0"/>
                  <w:vAlign w:val="center"/>
                </w:tcPr>
                <w:p w14:paraId="0FA79FF5">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废气排放口</w:t>
                  </w:r>
                </w:p>
              </w:tc>
              <w:tc>
                <w:tcPr>
                  <w:tcW w:w="0" w:type="auto"/>
                  <w:tcBorders>
                    <w:top w:val="single" w:color="auto" w:sz="12" w:space="0"/>
                    <w:left w:val="single" w:color="auto" w:sz="6" w:space="0"/>
                    <w:bottom w:val="single" w:color="auto" w:sz="6" w:space="0"/>
                    <w:right w:val="single" w:color="auto" w:sz="6" w:space="0"/>
                  </w:tcBorders>
                  <w:noWrap w:val="0"/>
                  <w:vAlign w:val="center"/>
                </w:tcPr>
                <w:p w14:paraId="05F997F5">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噪声排放源</w:t>
                  </w:r>
                </w:p>
              </w:tc>
              <w:tc>
                <w:tcPr>
                  <w:tcW w:w="0" w:type="auto"/>
                  <w:tcBorders>
                    <w:top w:val="single" w:color="auto" w:sz="12" w:space="0"/>
                    <w:left w:val="single" w:color="auto" w:sz="6" w:space="0"/>
                    <w:bottom w:val="single" w:color="auto" w:sz="6" w:space="0"/>
                    <w:right w:val="single" w:color="auto" w:sz="6" w:space="0"/>
                  </w:tcBorders>
                  <w:noWrap w:val="0"/>
                  <w:vAlign w:val="center"/>
                </w:tcPr>
                <w:p w14:paraId="1A3900E1">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一般工业固废</w:t>
                  </w:r>
                </w:p>
              </w:tc>
              <w:tc>
                <w:tcPr>
                  <w:tcW w:w="0" w:type="auto"/>
                  <w:tcBorders>
                    <w:top w:val="single" w:color="auto" w:sz="12" w:space="0"/>
                    <w:left w:val="single" w:color="auto" w:sz="6" w:space="0"/>
                    <w:bottom w:val="single" w:color="auto" w:sz="6" w:space="0"/>
                    <w:right w:val="nil"/>
                  </w:tcBorders>
                  <w:noWrap w:val="0"/>
                  <w:vAlign w:val="center"/>
                </w:tcPr>
                <w:p w14:paraId="32D7CA05">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危险废物</w:t>
                  </w:r>
                </w:p>
              </w:tc>
            </w:tr>
            <w:tr w14:paraId="167F219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0" w:type="auto"/>
                  <w:tcBorders>
                    <w:top w:val="single" w:color="auto" w:sz="6" w:space="0"/>
                    <w:left w:val="nil"/>
                    <w:bottom w:val="single" w:color="auto" w:sz="6" w:space="0"/>
                    <w:right w:val="single" w:color="auto" w:sz="6" w:space="0"/>
                  </w:tcBorders>
                  <w:noWrap w:val="0"/>
                  <w:vAlign w:val="center"/>
                </w:tcPr>
                <w:p w14:paraId="64C7EE85">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图形符号</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0EA242C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rPr>
                    <w:drawing>
                      <wp:inline distT="0" distB="0" distL="114300" distR="114300">
                        <wp:extent cx="645160" cy="644525"/>
                        <wp:effectExtent l="0" t="0" r="2540" b="3175"/>
                        <wp:docPr id="144"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descr="1"/>
                                <pic:cNvPicPr>
                                  <a:picLocks noChangeAspect="1"/>
                                </pic:cNvPicPr>
                              </pic:nvPicPr>
                              <pic:blipFill>
                                <a:blip r:embed="rId21"/>
                                <a:stretch>
                                  <a:fillRect/>
                                </a:stretch>
                              </pic:blipFill>
                              <pic:spPr>
                                <a:xfrm>
                                  <a:off x="0" y="0"/>
                                  <a:ext cx="645160" cy="644525"/>
                                </a:xfrm>
                                <a:prstGeom prst="rect">
                                  <a:avLst/>
                                </a:prstGeom>
                                <a:noFill/>
                                <a:ln>
                                  <a:noFill/>
                                </a:ln>
                              </pic:spPr>
                            </pic:pic>
                          </a:graphicData>
                        </a:graphic>
                      </wp:inline>
                    </w:drawing>
                  </w:r>
                </w:p>
              </w:tc>
              <w:tc>
                <w:tcPr>
                  <w:tcW w:w="0" w:type="auto"/>
                  <w:tcBorders>
                    <w:top w:val="single" w:color="auto" w:sz="6" w:space="0"/>
                    <w:left w:val="single" w:color="auto" w:sz="6" w:space="0"/>
                    <w:bottom w:val="single" w:color="auto" w:sz="6" w:space="0"/>
                    <w:right w:val="single" w:color="auto" w:sz="6" w:space="0"/>
                  </w:tcBorders>
                  <w:noWrap w:val="0"/>
                  <w:vAlign w:val="center"/>
                </w:tcPr>
                <w:p w14:paraId="6E48807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rPr>
                    <w:drawing>
                      <wp:inline distT="0" distB="0" distL="114300" distR="114300">
                        <wp:extent cx="643890" cy="641350"/>
                        <wp:effectExtent l="0" t="0" r="3810" b="6350"/>
                        <wp:docPr id="145" name="图片 3"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descr="点击看大图及详细资料"/>
                                <pic:cNvPicPr>
                                  <a:picLocks noChangeAspect="1"/>
                                </pic:cNvPicPr>
                              </pic:nvPicPr>
                              <pic:blipFill>
                                <a:blip r:embed="rId22"/>
                                <a:stretch>
                                  <a:fillRect/>
                                </a:stretch>
                              </pic:blipFill>
                              <pic:spPr>
                                <a:xfrm>
                                  <a:off x="0" y="0"/>
                                  <a:ext cx="643890" cy="641350"/>
                                </a:xfrm>
                                <a:prstGeom prst="rect">
                                  <a:avLst/>
                                </a:prstGeom>
                                <a:noFill/>
                                <a:ln>
                                  <a:noFill/>
                                </a:ln>
                              </pic:spPr>
                            </pic:pic>
                          </a:graphicData>
                        </a:graphic>
                      </wp:inline>
                    </w:drawing>
                  </w:r>
                </w:p>
              </w:tc>
              <w:tc>
                <w:tcPr>
                  <w:tcW w:w="0" w:type="auto"/>
                  <w:tcBorders>
                    <w:top w:val="single" w:color="auto" w:sz="6" w:space="0"/>
                    <w:left w:val="single" w:color="auto" w:sz="6" w:space="0"/>
                    <w:bottom w:val="single" w:color="auto" w:sz="6" w:space="0"/>
                    <w:right w:val="single" w:color="auto" w:sz="6" w:space="0"/>
                  </w:tcBorders>
                  <w:noWrap w:val="0"/>
                  <w:vAlign w:val="center"/>
                </w:tcPr>
                <w:p w14:paraId="7250F49B">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rPr>
                    <w:drawing>
                      <wp:inline distT="0" distB="0" distL="114300" distR="114300">
                        <wp:extent cx="645795" cy="644525"/>
                        <wp:effectExtent l="0" t="0" r="1905" b="3175"/>
                        <wp:docPr id="141" name="图片 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 descr="点击看大图及详细资料"/>
                                <pic:cNvPicPr>
                                  <a:picLocks noChangeAspect="1"/>
                                </pic:cNvPicPr>
                              </pic:nvPicPr>
                              <pic:blipFill>
                                <a:blip r:embed="rId23"/>
                                <a:stretch>
                                  <a:fillRect/>
                                </a:stretch>
                              </pic:blipFill>
                              <pic:spPr>
                                <a:xfrm>
                                  <a:off x="0" y="0"/>
                                  <a:ext cx="645795" cy="644525"/>
                                </a:xfrm>
                                <a:prstGeom prst="rect">
                                  <a:avLst/>
                                </a:prstGeom>
                                <a:noFill/>
                                <a:ln>
                                  <a:noFill/>
                                </a:ln>
                              </pic:spPr>
                            </pic:pic>
                          </a:graphicData>
                        </a:graphic>
                      </wp:inline>
                    </w:drawing>
                  </w:r>
                </w:p>
              </w:tc>
              <w:tc>
                <w:tcPr>
                  <w:tcW w:w="0" w:type="auto"/>
                  <w:tcBorders>
                    <w:top w:val="single" w:color="auto" w:sz="6" w:space="0"/>
                    <w:left w:val="single" w:color="auto" w:sz="6" w:space="0"/>
                    <w:bottom w:val="single" w:color="auto" w:sz="6" w:space="0"/>
                    <w:right w:val="single" w:color="auto" w:sz="6" w:space="0"/>
                  </w:tcBorders>
                  <w:noWrap w:val="0"/>
                  <w:vAlign w:val="center"/>
                </w:tcPr>
                <w:p w14:paraId="4602AA2D">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rPr>
                    <w:drawing>
                      <wp:inline distT="0" distB="0" distL="114300" distR="114300">
                        <wp:extent cx="641350" cy="644525"/>
                        <wp:effectExtent l="0" t="0" r="6350" b="3175"/>
                        <wp:docPr id="142" name="图片 5" descr="一般固废"/>
                        <wp:cNvGraphicFramePr/>
                        <a:graphic xmlns:a="http://schemas.openxmlformats.org/drawingml/2006/main">
                          <a:graphicData uri="http://schemas.openxmlformats.org/drawingml/2006/picture">
                            <pic:pic xmlns:pic="http://schemas.openxmlformats.org/drawingml/2006/picture">
                              <pic:nvPicPr>
                                <pic:cNvPr id="142" name="图片 5" descr="一般固废"/>
                                <pic:cNvPicPr preferRelativeResize="0"/>
                              </pic:nvPicPr>
                              <pic:blipFill>
                                <a:blip r:embed="rId24"/>
                                <a:stretch>
                                  <a:fillRect/>
                                </a:stretch>
                              </pic:blipFill>
                              <pic:spPr>
                                <a:xfrm>
                                  <a:off x="0" y="0"/>
                                  <a:ext cx="641350" cy="644525"/>
                                </a:xfrm>
                                <a:prstGeom prst="rect">
                                  <a:avLst/>
                                </a:prstGeom>
                                <a:noFill/>
                                <a:ln>
                                  <a:noFill/>
                                </a:ln>
                              </pic:spPr>
                            </pic:pic>
                          </a:graphicData>
                        </a:graphic>
                      </wp:inline>
                    </w:drawing>
                  </w:r>
                </w:p>
              </w:tc>
              <w:tc>
                <w:tcPr>
                  <w:tcW w:w="0" w:type="auto"/>
                  <w:tcBorders>
                    <w:top w:val="single" w:color="auto" w:sz="6" w:space="0"/>
                    <w:left w:val="single" w:color="auto" w:sz="6" w:space="0"/>
                    <w:bottom w:val="single" w:color="auto" w:sz="6" w:space="0"/>
                    <w:right w:val="nil"/>
                  </w:tcBorders>
                  <w:noWrap w:val="0"/>
                  <w:vAlign w:val="center"/>
                </w:tcPr>
                <w:p w14:paraId="1738C06C">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rPr>
                    <w:drawing>
                      <wp:inline distT="0" distB="0" distL="114300" distR="114300">
                        <wp:extent cx="640715" cy="644525"/>
                        <wp:effectExtent l="0" t="0" r="6985" b="3175"/>
                        <wp:docPr id="143" name="图片 6"/>
                        <wp:cNvGraphicFramePr/>
                        <a:graphic xmlns:a="http://schemas.openxmlformats.org/drawingml/2006/main">
                          <a:graphicData uri="http://schemas.openxmlformats.org/drawingml/2006/picture">
                            <pic:pic xmlns:pic="http://schemas.openxmlformats.org/drawingml/2006/picture">
                              <pic:nvPicPr>
                                <pic:cNvPr id="143" name="图片 6"/>
                                <pic:cNvPicPr/>
                              </pic:nvPicPr>
                              <pic:blipFill>
                                <a:blip r:embed="rId25"/>
                                <a:stretch>
                                  <a:fillRect/>
                                </a:stretch>
                              </pic:blipFill>
                              <pic:spPr>
                                <a:xfrm>
                                  <a:off x="0" y="0"/>
                                  <a:ext cx="640715" cy="644525"/>
                                </a:xfrm>
                                <a:prstGeom prst="rect">
                                  <a:avLst/>
                                </a:prstGeom>
                                <a:noFill/>
                                <a:ln>
                                  <a:noFill/>
                                </a:ln>
                              </pic:spPr>
                            </pic:pic>
                          </a:graphicData>
                        </a:graphic>
                      </wp:inline>
                    </w:drawing>
                  </w:r>
                </w:p>
              </w:tc>
            </w:tr>
            <w:tr w14:paraId="776084A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0" w:type="auto"/>
                  <w:tcBorders>
                    <w:top w:val="single" w:color="auto" w:sz="6" w:space="0"/>
                    <w:left w:val="nil"/>
                    <w:bottom w:val="single" w:color="auto" w:sz="6" w:space="0"/>
                    <w:right w:val="single" w:color="auto" w:sz="6" w:space="0"/>
                  </w:tcBorders>
                  <w:noWrap w:val="0"/>
                  <w:vAlign w:val="center"/>
                </w:tcPr>
                <w:p w14:paraId="5F011702">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形状</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26EE3CFA">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正方形边框</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3B6C4925">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正方形边框</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0F7B8280">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正方形边框</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0CF1E119">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三角形边框</w:t>
                  </w:r>
                </w:p>
              </w:tc>
              <w:tc>
                <w:tcPr>
                  <w:tcW w:w="0" w:type="auto"/>
                  <w:tcBorders>
                    <w:top w:val="single" w:color="auto" w:sz="6" w:space="0"/>
                    <w:left w:val="single" w:color="auto" w:sz="6" w:space="0"/>
                    <w:bottom w:val="single" w:color="auto" w:sz="6" w:space="0"/>
                    <w:right w:val="nil"/>
                  </w:tcBorders>
                  <w:noWrap w:val="0"/>
                  <w:vAlign w:val="center"/>
                </w:tcPr>
                <w:p w14:paraId="4DF4F4FA">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三角形边框</w:t>
                  </w:r>
                </w:p>
              </w:tc>
            </w:tr>
            <w:tr w14:paraId="393DDB37">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0" w:type="auto"/>
                  <w:tcBorders>
                    <w:top w:val="single" w:color="auto" w:sz="6" w:space="0"/>
                    <w:left w:val="nil"/>
                    <w:bottom w:val="single" w:color="auto" w:sz="6" w:space="0"/>
                    <w:right w:val="single" w:color="auto" w:sz="6" w:space="0"/>
                  </w:tcBorders>
                  <w:noWrap w:val="0"/>
                  <w:vAlign w:val="center"/>
                </w:tcPr>
                <w:p w14:paraId="7CAACE3B">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背景颜色</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262361A3">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绿色</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11B71FF2">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绿色</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61C74453">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绿色</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29689FB4">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黄色</w:t>
                  </w:r>
                </w:p>
              </w:tc>
              <w:tc>
                <w:tcPr>
                  <w:tcW w:w="0" w:type="auto"/>
                  <w:tcBorders>
                    <w:top w:val="single" w:color="auto" w:sz="6" w:space="0"/>
                    <w:left w:val="single" w:color="auto" w:sz="6" w:space="0"/>
                    <w:bottom w:val="single" w:color="auto" w:sz="6" w:space="0"/>
                    <w:right w:val="nil"/>
                  </w:tcBorders>
                  <w:noWrap w:val="0"/>
                  <w:vAlign w:val="center"/>
                </w:tcPr>
                <w:p w14:paraId="24339CEF">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黄色</w:t>
                  </w:r>
                </w:p>
              </w:tc>
            </w:tr>
            <w:tr w14:paraId="6F7B41E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0" w:type="auto"/>
                  <w:tcBorders>
                    <w:top w:val="single" w:color="auto" w:sz="6" w:space="0"/>
                    <w:left w:val="nil"/>
                    <w:bottom w:val="single" w:color="auto" w:sz="12" w:space="0"/>
                    <w:right w:val="single" w:color="auto" w:sz="6" w:space="0"/>
                  </w:tcBorders>
                  <w:noWrap w:val="0"/>
                  <w:vAlign w:val="center"/>
                </w:tcPr>
                <w:p w14:paraId="4298B421">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图形颜色</w:t>
                  </w:r>
                </w:p>
              </w:tc>
              <w:tc>
                <w:tcPr>
                  <w:tcW w:w="0" w:type="auto"/>
                  <w:tcBorders>
                    <w:top w:val="single" w:color="auto" w:sz="6" w:space="0"/>
                    <w:left w:val="single" w:color="auto" w:sz="6" w:space="0"/>
                    <w:bottom w:val="single" w:color="auto" w:sz="12" w:space="0"/>
                    <w:right w:val="single" w:color="auto" w:sz="6" w:space="0"/>
                  </w:tcBorders>
                  <w:noWrap w:val="0"/>
                  <w:vAlign w:val="center"/>
                </w:tcPr>
                <w:p w14:paraId="3009C631">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白色</w:t>
                  </w:r>
                </w:p>
              </w:tc>
              <w:tc>
                <w:tcPr>
                  <w:tcW w:w="0" w:type="auto"/>
                  <w:tcBorders>
                    <w:top w:val="single" w:color="auto" w:sz="6" w:space="0"/>
                    <w:left w:val="single" w:color="auto" w:sz="6" w:space="0"/>
                    <w:bottom w:val="single" w:color="auto" w:sz="12" w:space="0"/>
                    <w:right w:val="single" w:color="auto" w:sz="6" w:space="0"/>
                  </w:tcBorders>
                  <w:noWrap w:val="0"/>
                  <w:vAlign w:val="center"/>
                </w:tcPr>
                <w:p w14:paraId="4874CCC4">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白色</w:t>
                  </w:r>
                </w:p>
              </w:tc>
              <w:tc>
                <w:tcPr>
                  <w:tcW w:w="0" w:type="auto"/>
                  <w:tcBorders>
                    <w:top w:val="single" w:color="auto" w:sz="6" w:space="0"/>
                    <w:left w:val="single" w:color="auto" w:sz="6" w:space="0"/>
                    <w:bottom w:val="single" w:color="auto" w:sz="12" w:space="0"/>
                    <w:right w:val="single" w:color="auto" w:sz="6" w:space="0"/>
                  </w:tcBorders>
                  <w:noWrap w:val="0"/>
                  <w:vAlign w:val="center"/>
                </w:tcPr>
                <w:p w14:paraId="18A8CD2B">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白色</w:t>
                  </w:r>
                </w:p>
              </w:tc>
              <w:tc>
                <w:tcPr>
                  <w:tcW w:w="0" w:type="auto"/>
                  <w:tcBorders>
                    <w:top w:val="single" w:color="auto" w:sz="6" w:space="0"/>
                    <w:left w:val="single" w:color="auto" w:sz="6" w:space="0"/>
                    <w:bottom w:val="single" w:color="auto" w:sz="12" w:space="0"/>
                    <w:right w:val="single" w:color="auto" w:sz="6" w:space="0"/>
                  </w:tcBorders>
                  <w:noWrap w:val="0"/>
                  <w:vAlign w:val="center"/>
                </w:tcPr>
                <w:p w14:paraId="35613FDE">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黑色</w:t>
                  </w:r>
                </w:p>
              </w:tc>
              <w:tc>
                <w:tcPr>
                  <w:tcW w:w="0" w:type="auto"/>
                  <w:tcBorders>
                    <w:top w:val="single" w:color="auto" w:sz="6" w:space="0"/>
                    <w:left w:val="single" w:color="auto" w:sz="6" w:space="0"/>
                    <w:bottom w:val="single" w:color="auto" w:sz="12" w:space="0"/>
                    <w:right w:val="nil"/>
                  </w:tcBorders>
                  <w:noWrap w:val="0"/>
                  <w:vAlign w:val="center"/>
                </w:tcPr>
                <w:p w14:paraId="2E2441D0">
                  <w:pPr>
                    <w:pStyle w:val="73"/>
                    <w:keepNext w:val="0"/>
                    <w:keepLines w:val="0"/>
                    <w:pageBreakBefore w:val="0"/>
                    <w:widowControl w:val="0"/>
                    <w:tabs>
                      <w:tab w:val="left" w:pos="0"/>
                      <w:tab w:val="right" w:pos="8820"/>
                    </w:tabs>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黑色</w:t>
                  </w:r>
                </w:p>
              </w:tc>
            </w:tr>
          </w:tbl>
          <w:p w14:paraId="27B70170">
            <w:pPr>
              <w:pStyle w:val="68"/>
              <w:ind w:firstLine="480"/>
              <w:rPr>
                <w:color w:val="auto"/>
                <w:sz w:val="21"/>
                <w:szCs w:val="21"/>
              </w:rPr>
            </w:pPr>
          </w:p>
        </w:tc>
      </w:tr>
    </w:tbl>
    <w:p w14:paraId="2ABB1475">
      <w:pPr>
        <w:pStyle w:val="31"/>
        <w:jc w:val="center"/>
        <w:outlineLvl w:val="0"/>
        <w:rPr>
          <w:snapToGrid w:val="0"/>
          <w:color w:val="auto"/>
          <w:kern w:val="21"/>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r>
        <w:rPr>
          <w:snapToGrid w:val="0"/>
          <w:color w:val="auto"/>
          <w:kern w:val="21"/>
        </w:rPr>
        <w:br w:type="page"/>
      </w:r>
    </w:p>
    <w:p w14:paraId="15BF7E52">
      <w:pPr>
        <w:pStyle w:val="31"/>
        <w:spacing w:before="0" w:beforeAutospacing="0" w:after="0" w:afterAutospacing="0" w:line="360" w:lineRule="auto"/>
        <w:jc w:val="center"/>
        <w:outlineLvl w:val="0"/>
        <w:rPr>
          <w:rFonts w:hint="default" w:ascii="Times New Roman" w:hAnsi="Times New Roman" w:cs="Times New Roman"/>
          <w:b/>
          <w:bCs/>
          <w:snapToGrid w:val="0"/>
          <w:color w:val="auto"/>
          <w:sz w:val="30"/>
          <w:szCs w:val="30"/>
        </w:rPr>
      </w:pPr>
      <w:bookmarkStart w:id="136" w:name="_Toc27373"/>
      <w:bookmarkStart w:id="137" w:name="_Toc1785"/>
      <w:bookmarkStart w:id="138" w:name="_Toc19496"/>
      <w:bookmarkStart w:id="139" w:name="_Toc7542"/>
      <w:r>
        <w:rPr>
          <w:rFonts w:hint="default" w:ascii="Times New Roman" w:hAnsi="Times New Roman" w:cs="Times New Roman"/>
          <w:b/>
          <w:bCs/>
          <w:snapToGrid w:val="0"/>
          <w:color w:val="auto"/>
          <w:sz w:val="30"/>
          <w:szCs w:val="30"/>
        </w:rPr>
        <w:drawing>
          <wp:anchor distT="0" distB="0" distL="114300" distR="114300" simplePos="0" relativeHeight="251673600" behindDoc="0" locked="0" layoutInCell="1" allowOverlap="1">
            <wp:simplePos x="0" y="0"/>
            <wp:positionH relativeFrom="column">
              <wp:posOffset>-942975</wp:posOffset>
            </wp:positionH>
            <wp:positionV relativeFrom="paragraph">
              <wp:posOffset>-1047750</wp:posOffset>
            </wp:positionV>
            <wp:extent cx="7513320" cy="10627995"/>
            <wp:effectExtent l="0" t="0" r="11430" b="1905"/>
            <wp:wrapNone/>
            <wp:docPr id="65" name="图片 65" descr="S28BW-82504141455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S28BW-825041414550_08"/>
                    <pic:cNvPicPr>
                      <a:picLocks noChangeAspect="1"/>
                    </pic:cNvPicPr>
                  </pic:nvPicPr>
                  <pic:blipFill>
                    <a:blip r:embed="rId26"/>
                    <a:stretch>
                      <a:fillRect/>
                    </a:stretch>
                  </pic:blipFill>
                  <pic:spPr>
                    <a:xfrm>
                      <a:off x="0" y="0"/>
                      <a:ext cx="7513320" cy="10627995"/>
                    </a:xfrm>
                    <a:prstGeom prst="rect">
                      <a:avLst/>
                    </a:prstGeom>
                  </pic:spPr>
                </pic:pic>
              </a:graphicData>
            </a:graphic>
          </wp:anchor>
        </w:drawing>
      </w:r>
      <w:r>
        <w:rPr>
          <w:rFonts w:hint="default" w:ascii="Times New Roman" w:hAnsi="Times New Roman" w:cs="Times New Roman"/>
          <w:b/>
          <w:bCs/>
          <w:snapToGrid w:val="0"/>
          <w:color w:val="auto"/>
          <w:sz w:val="30"/>
          <w:szCs w:val="30"/>
        </w:rPr>
        <w:t>六、结论</w:t>
      </w:r>
      <w:bookmarkEnd w:id="136"/>
      <w:bookmarkEnd w:id="137"/>
      <w:bookmarkEnd w:id="138"/>
      <w:bookmarkEnd w:id="139"/>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CF34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5" w:type="dxa"/>
            <w:noWrap w:val="0"/>
            <w:vAlign w:val="top"/>
          </w:tcPr>
          <w:p w14:paraId="092107BC">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szCs w:val="24"/>
                <w:lang w:eastAsia="zh-CN"/>
              </w:rPr>
              <w:t>福清市融大水泥制品有限公司年产30万米水泥预制管项目</w:t>
            </w:r>
            <w:r>
              <w:rPr>
                <w:rFonts w:hint="default" w:ascii="Times New Roman" w:hAnsi="Times New Roman" w:cs="Times New Roman"/>
                <w:color w:val="auto"/>
                <w:sz w:val="24"/>
              </w:rPr>
              <w:t>位于福建省福州市福清市江阴镇江阴港城经济区三峡路与兴林路交叉口东南侧，项目主要从事水泥预制管的加工生产，建设符合国家相关产业政策，符合《福州江阴港城经济区产业发展规划环境影响评价报告书》中的相关要求，其选址合理，总平面布置基本合理，并符合“三线一单”以及生态分区管控</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控制要求。通过对</w:t>
            </w:r>
            <w:r>
              <w:rPr>
                <w:rFonts w:hint="eastAsia" w:cs="Times New Roman"/>
                <w:color w:val="auto"/>
                <w:sz w:val="24"/>
                <w:lang w:eastAsia="zh-CN"/>
              </w:rPr>
              <w:t>迁建项目</w:t>
            </w:r>
            <w:r>
              <w:rPr>
                <w:rFonts w:hint="default" w:ascii="Times New Roman" w:hAnsi="Times New Roman" w:cs="Times New Roman"/>
                <w:color w:val="auto"/>
                <w:sz w:val="24"/>
              </w:rPr>
              <w:t>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14:paraId="6579AFA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综上所述，在认真执行建设项目“三同时”制度，切实落实各项规划方案的要求，完成本次环境影响评价提出的各项污染防治措施，严格落实各项生态环境保护</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污染防治措施和环境管理机构的要求的前提下，确保各污染物达标排放，对周围的环境影响较小。从环境保护角度分析，该项目的建设是可行的。</w:t>
            </w:r>
          </w:p>
          <w:p w14:paraId="66624D69">
            <w:pPr>
              <w:spacing w:line="360" w:lineRule="auto"/>
              <w:ind w:firstLine="480" w:firstLineChars="200"/>
              <w:jc w:val="right"/>
              <w:rPr>
                <w:rFonts w:hint="default" w:ascii="Times New Roman" w:hAnsi="Times New Roman" w:cs="Times New Roman"/>
                <w:color w:val="auto"/>
                <w:sz w:val="24"/>
              </w:rPr>
            </w:pPr>
          </w:p>
          <w:p w14:paraId="38B70BCF">
            <w:pPr>
              <w:spacing w:line="360" w:lineRule="auto"/>
              <w:ind w:firstLine="480" w:firstLineChars="200"/>
              <w:jc w:val="right"/>
              <w:rPr>
                <w:rFonts w:hint="default" w:ascii="Times New Roman" w:hAnsi="Times New Roman" w:cs="Times New Roman"/>
                <w:color w:val="auto"/>
                <w:sz w:val="24"/>
              </w:rPr>
            </w:pPr>
          </w:p>
          <w:p w14:paraId="0D8BCEBC">
            <w:pPr>
              <w:spacing w:line="360" w:lineRule="auto"/>
              <w:ind w:firstLine="480" w:firstLineChars="200"/>
              <w:jc w:val="right"/>
              <w:rPr>
                <w:rFonts w:hint="default" w:ascii="Times New Roman" w:hAnsi="Times New Roman" w:cs="Times New Roman"/>
                <w:color w:val="auto"/>
                <w:sz w:val="24"/>
              </w:rPr>
            </w:pPr>
          </w:p>
          <w:p w14:paraId="39AECE74">
            <w:pPr>
              <w:spacing w:line="360" w:lineRule="auto"/>
              <w:ind w:firstLine="480" w:firstLineChars="200"/>
              <w:jc w:val="right"/>
              <w:rPr>
                <w:rFonts w:hint="default" w:ascii="Times New Roman" w:hAnsi="Times New Roman" w:cs="Times New Roman"/>
                <w:color w:val="auto"/>
                <w:sz w:val="24"/>
              </w:rPr>
            </w:pPr>
          </w:p>
          <w:p w14:paraId="4A0C2714">
            <w:pPr>
              <w:spacing w:line="360" w:lineRule="auto"/>
              <w:ind w:firstLine="480" w:firstLineChars="200"/>
              <w:jc w:val="right"/>
              <w:rPr>
                <w:rFonts w:hint="default" w:ascii="Times New Roman" w:hAnsi="Times New Roman" w:cs="Times New Roman"/>
                <w:color w:val="auto"/>
                <w:sz w:val="24"/>
              </w:rPr>
            </w:pPr>
          </w:p>
          <w:p w14:paraId="294B93D4">
            <w:pPr>
              <w:spacing w:line="360" w:lineRule="auto"/>
              <w:ind w:firstLine="480" w:firstLineChars="200"/>
              <w:jc w:val="right"/>
              <w:rPr>
                <w:rFonts w:hint="default" w:ascii="Times New Roman" w:hAnsi="Times New Roman" w:cs="Times New Roman"/>
                <w:color w:val="auto"/>
                <w:sz w:val="24"/>
              </w:rPr>
            </w:pPr>
          </w:p>
          <w:p w14:paraId="4B3626F2">
            <w:pPr>
              <w:spacing w:line="360" w:lineRule="auto"/>
              <w:ind w:firstLine="482" w:firstLineChars="200"/>
              <w:jc w:val="right"/>
              <w:rPr>
                <w:rFonts w:hint="default" w:ascii="Times New Roman" w:hAnsi="Times New Roman" w:cs="Times New Roman"/>
                <w:b/>
                <w:bCs/>
                <w:color w:val="auto"/>
                <w:sz w:val="24"/>
              </w:rPr>
            </w:pPr>
          </w:p>
          <w:p w14:paraId="6F234EFC">
            <w:pPr>
              <w:spacing w:line="360" w:lineRule="auto"/>
              <w:ind w:firstLine="482" w:firstLineChars="200"/>
              <w:jc w:val="right"/>
              <w:rPr>
                <w:rFonts w:hint="default" w:ascii="Times New Roman" w:hAnsi="Times New Roman" w:cs="Times New Roman"/>
                <w:b/>
                <w:bCs/>
                <w:color w:val="auto"/>
                <w:sz w:val="24"/>
              </w:rPr>
            </w:pPr>
          </w:p>
          <w:p w14:paraId="67461BD4">
            <w:pPr>
              <w:spacing w:line="360" w:lineRule="auto"/>
              <w:ind w:firstLine="482" w:firstLineChars="200"/>
              <w:jc w:val="right"/>
              <w:rPr>
                <w:rFonts w:hint="default" w:ascii="Times New Roman" w:hAnsi="Times New Roman" w:cs="Times New Roman"/>
                <w:b/>
                <w:bCs/>
                <w:color w:val="auto"/>
                <w:sz w:val="24"/>
              </w:rPr>
            </w:pPr>
          </w:p>
          <w:p w14:paraId="7B634A12">
            <w:pPr>
              <w:spacing w:line="360" w:lineRule="auto"/>
              <w:ind w:firstLine="482" w:firstLineChars="200"/>
              <w:jc w:val="right"/>
              <w:rPr>
                <w:rFonts w:hint="default" w:ascii="Times New Roman" w:hAnsi="Times New Roman" w:cs="Times New Roman"/>
                <w:b/>
                <w:bCs/>
                <w:color w:val="auto"/>
                <w:sz w:val="24"/>
              </w:rPr>
            </w:pPr>
          </w:p>
          <w:p w14:paraId="518AA9A7">
            <w:pPr>
              <w:spacing w:line="360" w:lineRule="auto"/>
              <w:ind w:firstLine="482" w:firstLineChars="200"/>
              <w:jc w:val="right"/>
              <w:rPr>
                <w:rFonts w:hint="default" w:ascii="Times New Roman" w:hAnsi="Times New Roman" w:cs="Times New Roman"/>
                <w:b/>
                <w:bCs/>
                <w:color w:val="auto"/>
                <w:sz w:val="24"/>
              </w:rPr>
            </w:pPr>
          </w:p>
          <w:p w14:paraId="0CE6DEB4">
            <w:pPr>
              <w:spacing w:line="360" w:lineRule="auto"/>
              <w:ind w:firstLine="482" w:firstLineChars="200"/>
              <w:jc w:val="right"/>
              <w:rPr>
                <w:rFonts w:hint="default" w:ascii="Times New Roman" w:hAnsi="Times New Roman" w:eastAsia="宋体" w:cs="Times New Roman"/>
                <w:b/>
                <w:bCs/>
                <w:color w:val="auto"/>
                <w:sz w:val="24"/>
                <w:lang w:eastAsia="zh-CN"/>
              </w:rPr>
            </w:pPr>
            <w:r>
              <w:rPr>
                <w:rFonts w:hint="eastAsia" w:cs="Times New Roman"/>
                <w:b/>
                <w:bCs/>
                <w:color w:val="auto"/>
                <w:sz w:val="24"/>
                <w:lang w:eastAsia="zh-CN"/>
              </w:rPr>
              <w:t>福建省沧鸿环境工程有限公司</w:t>
            </w:r>
          </w:p>
          <w:p w14:paraId="4D360D38">
            <w:pPr>
              <w:spacing w:line="360" w:lineRule="auto"/>
              <w:ind w:firstLine="482" w:firstLineChars="200"/>
              <w:jc w:val="right"/>
              <w:rPr>
                <w:rFonts w:hint="default" w:ascii="Times New Roman" w:hAnsi="Times New Roman" w:cs="Times New Roman"/>
                <w:b/>
                <w:bCs/>
                <w:color w:val="auto"/>
                <w:sz w:val="24"/>
              </w:rPr>
            </w:pPr>
            <w:r>
              <w:rPr>
                <w:rFonts w:hint="default" w:ascii="Times New Roman" w:hAnsi="Times New Roman" w:cs="Times New Roman"/>
                <w:b/>
                <w:bCs/>
                <w:color w:val="auto"/>
                <w:sz w:val="24"/>
              </w:rPr>
              <w:t>202</w:t>
            </w:r>
            <w:r>
              <w:rPr>
                <w:rFonts w:hint="eastAsia" w:cs="Times New Roman"/>
                <w:b/>
                <w:bCs/>
                <w:color w:val="auto"/>
                <w:sz w:val="24"/>
                <w:lang w:val="en-US" w:eastAsia="zh-CN"/>
              </w:rPr>
              <w:t>5</w:t>
            </w:r>
            <w:r>
              <w:rPr>
                <w:rFonts w:hint="default" w:ascii="Times New Roman" w:hAnsi="Times New Roman" w:cs="Times New Roman"/>
                <w:b/>
                <w:bCs/>
                <w:color w:val="auto"/>
                <w:sz w:val="24"/>
              </w:rPr>
              <w:t>年</w:t>
            </w:r>
            <w:r>
              <w:rPr>
                <w:rFonts w:hint="eastAsia" w:cs="Times New Roman"/>
                <w:b/>
                <w:bCs/>
                <w:color w:val="auto"/>
                <w:sz w:val="24"/>
                <w:lang w:val="en-US" w:eastAsia="zh-CN"/>
              </w:rPr>
              <w:t>4</w:t>
            </w:r>
            <w:r>
              <w:rPr>
                <w:rFonts w:hint="default" w:ascii="Times New Roman" w:hAnsi="Times New Roman" w:cs="Times New Roman"/>
                <w:b/>
                <w:bCs/>
                <w:color w:val="auto"/>
                <w:sz w:val="24"/>
              </w:rPr>
              <w:t>月</w:t>
            </w:r>
          </w:p>
          <w:p w14:paraId="54925ED1">
            <w:pPr>
              <w:spacing w:line="360" w:lineRule="auto"/>
              <w:ind w:firstLine="482" w:firstLineChars="200"/>
              <w:jc w:val="right"/>
              <w:rPr>
                <w:rFonts w:hint="default" w:ascii="Times New Roman" w:hAnsi="Times New Roman" w:cs="Times New Roman"/>
                <w:b/>
                <w:bCs/>
                <w:color w:val="auto"/>
                <w:sz w:val="24"/>
              </w:rPr>
            </w:pPr>
          </w:p>
          <w:p w14:paraId="47B56B0E">
            <w:pPr>
              <w:pStyle w:val="31"/>
              <w:adjustRightInd w:val="0"/>
              <w:snapToGrid w:val="0"/>
              <w:spacing w:before="0" w:beforeAutospacing="0" w:after="0" w:afterAutospacing="0"/>
              <w:ind w:firstLine="3570" w:firstLineChars="1700"/>
              <w:rPr>
                <w:rFonts w:hint="default" w:ascii="Times New Roman" w:hAnsi="Times New Roman" w:cs="Times New Roman"/>
                <w:color w:val="auto"/>
                <w:sz w:val="21"/>
                <w:szCs w:val="21"/>
                <w:lang w:val="en-US" w:eastAsia="zh-CN"/>
              </w:rPr>
            </w:pPr>
          </w:p>
        </w:tc>
      </w:tr>
    </w:tbl>
    <w:p w14:paraId="27149C37">
      <w:pPr>
        <w:pStyle w:val="31"/>
        <w:jc w:val="center"/>
        <w:outlineLvl w:val="0"/>
        <w:rPr>
          <w:snapToGrid w:val="0"/>
          <w:color w:val="auto"/>
          <w:kern w:val="21"/>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8134A6E">
      <w:pPr>
        <w:pStyle w:val="31"/>
        <w:spacing w:before="0" w:beforeAutospacing="0" w:after="0" w:afterAutospacing="0"/>
        <w:outlineLvl w:val="0"/>
        <w:rPr>
          <w:rFonts w:ascii="黑体" w:hAnsi="黑体" w:eastAsia="黑体"/>
          <w:snapToGrid w:val="0"/>
          <w:color w:val="auto"/>
          <w:kern w:val="21"/>
          <w:sz w:val="21"/>
          <w:szCs w:val="21"/>
        </w:rPr>
      </w:pPr>
      <w:bookmarkStart w:id="140" w:name="_Toc16861"/>
      <w:bookmarkStart w:id="141" w:name="_Toc26308"/>
      <w:r>
        <w:rPr>
          <w:rFonts w:hint="eastAsia" w:ascii="黑体" w:hAnsi="黑体" w:eastAsia="黑体"/>
          <w:snapToGrid w:val="0"/>
          <w:color w:val="auto"/>
          <w:kern w:val="21"/>
          <w:sz w:val="32"/>
          <w:szCs w:val="32"/>
        </w:rPr>
        <w:t>附表</w:t>
      </w:r>
      <w:bookmarkEnd w:id="140"/>
      <w:bookmarkEnd w:id="141"/>
    </w:p>
    <w:p w14:paraId="6826D703">
      <w:pPr>
        <w:pStyle w:val="31"/>
        <w:spacing w:before="0" w:beforeAutospacing="0" w:after="0" w:afterAutospacing="0"/>
        <w:jc w:val="center"/>
        <w:outlineLvl w:val="0"/>
        <w:rPr>
          <w:rFonts w:ascii="方正小标宋_GBK" w:hAnsi="黑体" w:eastAsia="方正小标宋_GBK"/>
          <w:snapToGrid w:val="0"/>
          <w:color w:val="auto"/>
          <w:kern w:val="21"/>
          <w:sz w:val="38"/>
          <w:szCs w:val="38"/>
        </w:rPr>
      </w:pPr>
      <w:bookmarkStart w:id="142" w:name="_Toc22199"/>
      <w:r>
        <w:rPr>
          <w:rFonts w:hint="eastAsia" w:ascii="方正小标宋_GBK" w:hAnsi="黑体" w:eastAsia="方正小标宋_GBK"/>
          <w:snapToGrid w:val="0"/>
          <w:color w:val="auto"/>
          <w:kern w:val="21"/>
          <w:sz w:val="38"/>
          <w:szCs w:val="38"/>
        </w:rPr>
        <w:t>建设项目污染物排放量汇总表</w:t>
      </w:r>
      <w:bookmarkEnd w:id="142"/>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41"/>
        <w:gridCol w:w="1719"/>
        <w:gridCol w:w="1286"/>
      </w:tblGrid>
      <w:tr w14:paraId="2DFA4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14:paraId="7589D75A">
            <w:pPr>
              <w:pStyle w:val="70"/>
              <w:spacing w:beforeLines="0" w:afterLines="0" w:line="240" w:lineRule="auto"/>
              <w:jc w:val="right"/>
              <w:rPr>
                <w:rFonts w:ascii="Times New Roman" w:eastAsia="黑体"/>
                <w:snapToGrid w:val="0"/>
                <w:color w:val="auto"/>
                <w:kern w:val="21"/>
                <w:szCs w:val="21"/>
              </w:rPr>
            </w:pPr>
            <w:r>
              <w:rPr>
                <w:rFonts w:ascii="Times New Roman" w:eastAsia="黑体"/>
                <w:snapToGrid w:val="0"/>
                <w:color w:val="auto"/>
                <w:kern w:val="21"/>
                <w:szCs w:val="21"/>
              </w:rPr>
              <w:t>项目</w:t>
            </w:r>
          </w:p>
          <w:p w14:paraId="62FFFA71">
            <w:pPr>
              <w:pStyle w:val="70"/>
              <w:spacing w:beforeLines="0" w:afterLines="0" w:line="240" w:lineRule="auto"/>
              <w:jc w:val="left"/>
              <w:rPr>
                <w:rFonts w:ascii="Times New Roman" w:eastAsia="黑体"/>
                <w:snapToGrid w:val="0"/>
                <w:color w:val="auto"/>
                <w:kern w:val="21"/>
                <w:szCs w:val="21"/>
              </w:rPr>
            </w:pPr>
            <w:r>
              <w:rPr>
                <w:rFonts w:ascii="Times New Roman" w:eastAsia="黑体"/>
                <w:snapToGrid w:val="0"/>
                <w:color w:val="auto"/>
                <w:kern w:val="21"/>
                <w:szCs w:val="21"/>
              </w:rPr>
              <w:t>分类</w:t>
            </w:r>
          </w:p>
        </w:tc>
        <w:tc>
          <w:tcPr>
            <w:tcW w:w="1417" w:type="dxa"/>
            <w:tcMar>
              <w:left w:w="28" w:type="dxa"/>
              <w:right w:w="28" w:type="dxa"/>
            </w:tcMar>
            <w:vAlign w:val="center"/>
          </w:tcPr>
          <w:p w14:paraId="4A1545E9">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污染物名称</w:t>
            </w:r>
          </w:p>
        </w:tc>
        <w:tc>
          <w:tcPr>
            <w:tcW w:w="1701" w:type="dxa"/>
            <w:tcMar>
              <w:left w:w="28" w:type="dxa"/>
              <w:right w:w="28" w:type="dxa"/>
            </w:tcMar>
            <w:vAlign w:val="center"/>
          </w:tcPr>
          <w:p w14:paraId="4FDE1AD8">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现有工程</w:t>
            </w:r>
          </w:p>
          <w:p w14:paraId="3A3D4C92">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排放量（固体废物产生量）</w:t>
            </w:r>
            <w:r>
              <w:rPr>
                <w:rFonts w:ascii="Times New Roman" w:eastAsia="黑体"/>
                <w:snapToGrid w:val="0"/>
                <w:color w:val="auto"/>
                <w:kern w:val="21"/>
                <w:szCs w:val="21"/>
              </w:rPr>
              <w:fldChar w:fldCharType="begin"/>
            </w:r>
            <w:r>
              <w:rPr>
                <w:rFonts w:ascii="Times New Roman" w:eastAsia="黑体"/>
                <w:snapToGrid w:val="0"/>
                <w:color w:val="auto"/>
                <w:kern w:val="21"/>
                <w:szCs w:val="21"/>
              </w:rPr>
              <w:instrText xml:space="preserve"> = 1 \* GB3 \* MERGEFORMAT </w:instrText>
            </w:r>
            <w:r>
              <w:rPr>
                <w:rFonts w:ascii="Times New Roman" w:eastAsia="黑体"/>
                <w:snapToGrid w:val="0"/>
                <w:color w:val="auto"/>
                <w:kern w:val="21"/>
                <w:szCs w:val="21"/>
              </w:rPr>
              <w:fldChar w:fldCharType="separate"/>
            </w:r>
            <w:r>
              <w:rPr>
                <w:rFonts w:ascii="Times New Roman" w:eastAsia="黑体"/>
                <w:color w:val="auto"/>
                <w:kern w:val="21"/>
                <w:szCs w:val="21"/>
              </w:rPr>
              <w:t>①</w:t>
            </w:r>
            <w:r>
              <w:rPr>
                <w:rFonts w:ascii="Times New Roman" w:eastAsia="黑体"/>
                <w:snapToGrid w:val="0"/>
                <w:color w:val="auto"/>
                <w:kern w:val="21"/>
                <w:szCs w:val="21"/>
              </w:rPr>
              <w:fldChar w:fldCharType="end"/>
            </w:r>
          </w:p>
        </w:tc>
        <w:tc>
          <w:tcPr>
            <w:tcW w:w="1276" w:type="dxa"/>
            <w:tcMar>
              <w:left w:w="28" w:type="dxa"/>
              <w:right w:w="28" w:type="dxa"/>
            </w:tcMar>
            <w:vAlign w:val="center"/>
          </w:tcPr>
          <w:p w14:paraId="6D359065">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现有工程</w:t>
            </w:r>
          </w:p>
          <w:p w14:paraId="1CC545D0">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许可排放量</w:t>
            </w:r>
          </w:p>
          <w:p w14:paraId="2359C5B0">
            <w:pPr>
              <w:pStyle w:val="70"/>
              <w:spacing w:beforeLines="0" w:afterLines="0"/>
              <w:rPr>
                <w:rFonts w:ascii="Times New Roman" w:eastAsia="黑体"/>
                <w:snapToGrid w:val="0"/>
                <w:color w:val="auto"/>
                <w:kern w:val="21"/>
                <w:szCs w:val="21"/>
              </w:rPr>
            </w:pPr>
            <w:r>
              <w:rPr>
                <w:rFonts w:ascii="Times New Roman" w:eastAsia="黑体"/>
                <w:snapToGrid w:val="0"/>
                <w:color w:val="auto"/>
                <w:kern w:val="21"/>
                <w:szCs w:val="21"/>
              </w:rPr>
              <w:fldChar w:fldCharType="begin"/>
            </w:r>
            <w:r>
              <w:rPr>
                <w:rFonts w:ascii="Times New Roman" w:eastAsia="黑体"/>
                <w:snapToGrid w:val="0"/>
                <w:color w:val="auto"/>
                <w:kern w:val="21"/>
                <w:szCs w:val="21"/>
              </w:rPr>
              <w:instrText xml:space="preserve"> = 2 \* GB3 \* MERGEFORMAT </w:instrText>
            </w:r>
            <w:r>
              <w:rPr>
                <w:rFonts w:ascii="Times New Roman" w:eastAsia="黑体"/>
                <w:snapToGrid w:val="0"/>
                <w:color w:val="auto"/>
                <w:kern w:val="21"/>
                <w:szCs w:val="21"/>
              </w:rPr>
              <w:fldChar w:fldCharType="separate"/>
            </w:r>
            <w:r>
              <w:rPr>
                <w:rFonts w:ascii="Times New Roman" w:eastAsia="黑体"/>
                <w:snapToGrid w:val="0"/>
                <w:color w:val="auto"/>
                <w:kern w:val="21"/>
                <w:szCs w:val="21"/>
              </w:rPr>
              <w:t>②</w:t>
            </w:r>
            <w:r>
              <w:rPr>
                <w:rFonts w:ascii="Times New Roman" w:eastAsia="黑体"/>
                <w:snapToGrid w:val="0"/>
                <w:color w:val="auto"/>
                <w:kern w:val="21"/>
                <w:szCs w:val="21"/>
              </w:rPr>
              <w:fldChar w:fldCharType="end"/>
            </w:r>
          </w:p>
        </w:tc>
        <w:tc>
          <w:tcPr>
            <w:tcW w:w="1701" w:type="dxa"/>
            <w:tcMar>
              <w:left w:w="28" w:type="dxa"/>
              <w:right w:w="28" w:type="dxa"/>
            </w:tcMar>
            <w:vAlign w:val="center"/>
          </w:tcPr>
          <w:p w14:paraId="504D69FA">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在建工程</w:t>
            </w:r>
          </w:p>
          <w:p w14:paraId="50B11A58">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排放量（固体废物产生量）</w:t>
            </w:r>
            <w:r>
              <w:rPr>
                <w:rFonts w:ascii="Times New Roman" w:eastAsia="黑体"/>
                <w:snapToGrid w:val="0"/>
                <w:color w:val="auto"/>
                <w:kern w:val="21"/>
                <w:szCs w:val="21"/>
              </w:rPr>
              <w:fldChar w:fldCharType="begin"/>
            </w:r>
            <w:r>
              <w:rPr>
                <w:rFonts w:ascii="Times New Roman" w:eastAsia="黑体"/>
                <w:snapToGrid w:val="0"/>
                <w:color w:val="auto"/>
                <w:kern w:val="21"/>
                <w:szCs w:val="21"/>
              </w:rPr>
              <w:instrText xml:space="preserve"> = 3 \* GB3 \* MERGEFORMAT </w:instrText>
            </w:r>
            <w:r>
              <w:rPr>
                <w:rFonts w:ascii="Times New Roman" w:eastAsia="黑体"/>
                <w:snapToGrid w:val="0"/>
                <w:color w:val="auto"/>
                <w:kern w:val="21"/>
                <w:szCs w:val="21"/>
              </w:rPr>
              <w:fldChar w:fldCharType="separate"/>
            </w:r>
            <w:r>
              <w:rPr>
                <w:rFonts w:ascii="Times New Roman" w:eastAsia="黑体"/>
                <w:color w:val="auto"/>
                <w:kern w:val="21"/>
                <w:szCs w:val="21"/>
              </w:rPr>
              <w:t>③</w:t>
            </w:r>
            <w:r>
              <w:rPr>
                <w:rFonts w:ascii="Times New Roman" w:eastAsia="黑体"/>
                <w:snapToGrid w:val="0"/>
                <w:color w:val="auto"/>
                <w:kern w:val="21"/>
                <w:szCs w:val="21"/>
              </w:rPr>
              <w:fldChar w:fldCharType="end"/>
            </w:r>
          </w:p>
        </w:tc>
        <w:tc>
          <w:tcPr>
            <w:tcW w:w="1559" w:type="dxa"/>
            <w:tcMar>
              <w:left w:w="28" w:type="dxa"/>
              <w:right w:w="28" w:type="dxa"/>
            </w:tcMar>
            <w:vAlign w:val="center"/>
          </w:tcPr>
          <w:p w14:paraId="26CF7355">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本项目</w:t>
            </w:r>
          </w:p>
          <w:p w14:paraId="57F7BFBD">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排放量（固体废物产生量）</w:t>
            </w:r>
            <w:r>
              <w:rPr>
                <w:rFonts w:ascii="Times New Roman" w:eastAsia="黑体"/>
                <w:snapToGrid w:val="0"/>
                <w:color w:val="auto"/>
                <w:kern w:val="21"/>
                <w:szCs w:val="21"/>
              </w:rPr>
              <w:fldChar w:fldCharType="begin"/>
            </w:r>
            <w:r>
              <w:rPr>
                <w:rFonts w:ascii="Times New Roman" w:eastAsia="黑体"/>
                <w:snapToGrid w:val="0"/>
                <w:color w:val="auto"/>
                <w:kern w:val="21"/>
                <w:szCs w:val="21"/>
              </w:rPr>
              <w:instrText xml:space="preserve"> = 4 \* GB3 \* MERGEFORMAT </w:instrText>
            </w:r>
            <w:r>
              <w:rPr>
                <w:rFonts w:ascii="Times New Roman" w:eastAsia="黑体"/>
                <w:snapToGrid w:val="0"/>
                <w:color w:val="auto"/>
                <w:kern w:val="21"/>
                <w:szCs w:val="21"/>
              </w:rPr>
              <w:fldChar w:fldCharType="separate"/>
            </w:r>
            <w:r>
              <w:rPr>
                <w:rFonts w:ascii="Times New Roman" w:eastAsia="黑体"/>
                <w:color w:val="auto"/>
                <w:kern w:val="21"/>
                <w:szCs w:val="21"/>
              </w:rPr>
              <w:t>④</w:t>
            </w:r>
            <w:r>
              <w:rPr>
                <w:rFonts w:ascii="Times New Roman" w:eastAsia="黑体"/>
                <w:snapToGrid w:val="0"/>
                <w:color w:val="auto"/>
                <w:kern w:val="21"/>
                <w:szCs w:val="21"/>
              </w:rPr>
              <w:fldChar w:fldCharType="end"/>
            </w:r>
          </w:p>
        </w:tc>
        <w:tc>
          <w:tcPr>
            <w:tcW w:w="1541" w:type="dxa"/>
            <w:tcMar>
              <w:left w:w="28" w:type="dxa"/>
              <w:right w:w="28" w:type="dxa"/>
            </w:tcMar>
            <w:vAlign w:val="center"/>
          </w:tcPr>
          <w:p w14:paraId="1D333B68">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以新带老削减量</w:t>
            </w:r>
          </w:p>
          <w:p w14:paraId="0DD67B22">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（新建项目不填）</w:t>
            </w:r>
            <w:r>
              <w:rPr>
                <w:rFonts w:ascii="Times New Roman" w:eastAsia="黑体"/>
                <w:snapToGrid w:val="0"/>
                <w:color w:val="auto"/>
                <w:kern w:val="21"/>
                <w:szCs w:val="21"/>
              </w:rPr>
              <w:fldChar w:fldCharType="begin"/>
            </w:r>
            <w:r>
              <w:rPr>
                <w:rFonts w:ascii="Times New Roman" w:eastAsia="黑体"/>
                <w:snapToGrid w:val="0"/>
                <w:color w:val="auto"/>
                <w:kern w:val="21"/>
                <w:szCs w:val="21"/>
              </w:rPr>
              <w:instrText xml:space="preserve"> = 5 \* GB3 \* MERGEFORMAT </w:instrText>
            </w:r>
            <w:r>
              <w:rPr>
                <w:rFonts w:ascii="Times New Roman" w:eastAsia="黑体"/>
                <w:snapToGrid w:val="0"/>
                <w:color w:val="auto"/>
                <w:kern w:val="21"/>
                <w:szCs w:val="21"/>
              </w:rPr>
              <w:fldChar w:fldCharType="separate"/>
            </w:r>
            <w:r>
              <w:rPr>
                <w:rFonts w:ascii="Times New Roman" w:eastAsia="黑体"/>
                <w:color w:val="auto"/>
                <w:kern w:val="21"/>
                <w:szCs w:val="21"/>
              </w:rPr>
              <w:t>⑤</w:t>
            </w:r>
            <w:r>
              <w:rPr>
                <w:rFonts w:ascii="Times New Roman" w:eastAsia="黑体"/>
                <w:snapToGrid w:val="0"/>
                <w:color w:val="auto"/>
                <w:kern w:val="21"/>
                <w:szCs w:val="21"/>
              </w:rPr>
              <w:fldChar w:fldCharType="end"/>
            </w:r>
          </w:p>
        </w:tc>
        <w:tc>
          <w:tcPr>
            <w:tcW w:w="1719" w:type="dxa"/>
            <w:tcMar>
              <w:left w:w="28" w:type="dxa"/>
              <w:right w:w="28" w:type="dxa"/>
            </w:tcMar>
            <w:vAlign w:val="center"/>
          </w:tcPr>
          <w:p w14:paraId="05FF0933">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本项目建成后</w:t>
            </w:r>
          </w:p>
          <w:p w14:paraId="012948AD">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全厂排放量（固体废物产生量）</w:t>
            </w:r>
            <w:r>
              <w:rPr>
                <w:rFonts w:ascii="Times New Roman" w:eastAsia="黑体"/>
                <w:snapToGrid w:val="0"/>
                <w:color w:val="auto"/>
                <w:kern w:val="21"/>
                <w:szCs w:val="21"/>
              </w:rPr>
              <w:fldChar w:fldCharType="begin"/>
            </w:r>
            <w:r>
              <w:rPr>
                <w:rFonts w:ascii="Times New Roman" w:eastAsia="黑体"/>
                <w:snapToGrid w:val="0"/>
                <w:color w:val="auto"/>
                <w:kern w:val="21"/>
                <w:szCs w:val="21"/>
              </w:rPr>
              <w:instrText xml:space="preserve"> = 6 \* GB3 \* MERGEFORMAT </w:instrText>
            </w:r>
            <w:r>
              <w:rPr>
                <w:rFonts w:ascii="Times New Roman" w:eastAsia="黑体"/>
                <w:snapToGrid w:val="0"/>
                <w:color w:val="auto"/>
                <w:kern w:val="21"/>
                <w:szCs w:val="21"/>
              </w:rPr>
              <w:fldChar w:fldCharType="separate"/>
            </w:r>
            <w:r>
              <w:rPr>
                <w:rFonts w:ascii="Times New Roman" w:eastAsia="黑体"/>
                <w:color w:val="auto"/>
                <w:kern w:val="21"/>
                <w:szCs w:val="21"/>
              </w:rPr>
              <w:t>⑥</w:t>
            </w:r>
            <w:r>
              <w:rPr>
                <w:rFonts w:ascii="Times New Roman" w:eastAsia="黑体"/>
                <w:snapToGrid w:val="0"/>
                <w:color w:val="auto"/>
                <w:kern w:val="21"/>
                <w:szCs w:val="21"/>
              </w:rPr>
              <w:fldChar w:fldCharType="end"/>
            </w:r>
          </w:p>
        </w:tc>
        <w:tc>
          <w:tcPr>
            <w:tcW w:w="1286" w:type="dxa"/>
            <w:tcMar>
              <w:left w:w="28" w:type="dxa"/>
              <w:right w:w="28" w:type="dxa"/>
            </w:tcMar>
            <w:vAlign w:val="center"/>
          </w:tcPr>
          <w:p w14:paraId="1DDDD619">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t>变化量</w:t>
            </w:r>
          </w:p>
          <w:p w14:paraId="635109BB">
            <w:pPr>
              <w:pStyle w:val="70"/>
              <w:spacing w:beforeLines="0" w:afterLines="0" w:line="240" w:lineRule="auto"/>
              <w:rPr>
                <w:rFonts w:ascii="Times New Roman" w:eastAsia="黑体"/>
                <w:snapToGrid w:val="0"/>
                <w:color w:val="auto"/>
                <w:kern w:val="21"/>
                <w:szCs w:val="21"/>
              </w:rPr>
            </w:pPr>
            <w:r>
              <w:rPr>
                <w:rFonts w:ascii="Times New Roman" w:eastAsia="黑体"/>
                <w:snapToGrid w:val="0"/>
                <w:color w:val="auto"/>
                <w:kern w:val="21"/>
                <w:szCs w:val="21"/>
              </w:rPr>
              <w:fldChar w:fldCharType="begin"/>
            </w:r>
            <w:r>
              <w:rPr>
                <w:rFonts w:ascii="Times New Roman" w:eastAsia="黑体"/>
                <w:snapToGrid w:val="0"/>
                <w:color w:val="auto"/>
                <w:kern w:val="21"/>
                <w:szCs w:val="21"/>
              </w:rPr>
              <w:instrText xml:space="preserve"> = 7 \* GB3 \* MERGEFORMAT </w:instrText>
            </w:r>
            <w:r>
              <w:rPr>
                <w:rFonts w:ascii="Times New Roman" w:eastAsia="黑体"/>
                <w:snapToGrid w:val="0"/>
                <w:color w:val="auto"/>
                <w:kern w:val="21"/>
                <w:szCs w:val="21"/>
              </w:rPr>
              <w:fldChar w:fldCharType="separate"/>
            </w:r>
            <w:r>
              <w:rPr>
                <w:rFonts w:ascii="Times New Roman" w:eastAsia="黑体"/>
                <w:color w:val="auto"/>
                <w:kern w:val="21"/>
                <w:szCs w:val="21"/>
              </w:rPr>
              <w:t>⑦</w:t>
            </w:r>
            <w:r>
              <w:rPr>
                <w:rFonts w:ascii="Times New Roman" w:eastAsia="黑体"/>
                <w:snapToGrid w:val="0"/>
                <w:color w:val="auto"/>
                <w:kern w:val="21"/>
                <w:szCs w:val="21"/>
              </w:rPr>
              <w:fldChar w:fldCharType="end"/>
            </w:r>
          </w:p>
        </w:tc>
      </w:tr>
      <w:tr w14:paraId="09993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DA99AE8">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417" w:type="dxa"/>
            <w:vAlign w:val="center"/>
          </w:tcPr>
          <w:p w14:paraId="3CED49D8">
            <w:pPr>
              <w:pStyle w:val="70"/>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颗粒物</w:t>
            </w:r>
          </w:p>
        </w:tc>
        <w:tc>
          <w:tcPr>
            <w:tcW w:w="1701" w:type="dxa"/>
            <w:vAlign w:val="center"/>
          </w:tcPr>
          <w:p w14:paraId="76DFD95F">
            <w:pPr>
              <w:pStyle w:val="70"/>
              <w:spacing w:beforeLines="0" w:afterLines="0" w:line="240" w:lineRule="auto"/>
              <w:rPr>
                <w:rFonts w:ascii="Times New Roman"/>
                <w:snapToGrid w:val="0"/>
                <w:color w:val="auto"/>
                <w:kern w:val="21"/>
                <w:szCs w:val="21"/>
              </w:rPr>
            </w:pPr>
          </w:p>
        </w:tc>
        <w:tc>
          <w:tcPr>
            <w:tcW w:w="1276" w:type="dxa"/>
            <w:vAlign w:val="center"/>
          </w:tcPr>
          <w:p w14:paraId="2AF06039">
            <w:pPr>
              <w:pStyle w:val="70"/>
              <w:spacing w:beforeLines="0" w:afterLines="0" w:line="240" w:lineRule="auto"/>
              <w:rPr>
                <w:rFonts w:ascii="Times New Roman"/>
                <w:snapToGrid w:val="0"/>
                <w:color w:val="auto"/>
                <w:kern w:val="21"/>
                <w:szCs w:val="21"/>
              </w:rPr>
            </w:pPr>
          </w:p>
        </w:tc>
        <w:tc>
          <w:tcPr>
            <w:tcW w:w="1701" w:type="dxa"/>
            <w:vAlign w:val="center"/>
          </w:tcPr>
          <w:p w14:paraId="3F2EAAD6">
            <w:pPr>
              <w:pStyle w:val="70"/>
              <w:spacing w:beforeLines="0" w:afterLines="0" w:line="240" w:lineRule="auto"/>
              <w:rPr>
                <w:rFonts w:ascii="Times New Roman"/>
                <w:snapToGrid w:val="0"/>
                <w:color w:val="auto"/>
                <w:kern w:val="21"/>
                <w:szCs w:val="21"/>
              </w:rPr>
            </w:pPr>
          </w:p>
        </w:tc>
        <w:tc>
          <w:tcPr>
            <w:tcW w:w="1559" w:type="dxa"/>
            <w:vAlign w:val="center"/>
          </w:tcPr>
          <w:p w14:paraId="2310210A">
            <w:pPr>
              <w:jc w:val="center"/>
              <w:rPr>
                <w:color w:val="auto"/>
                <w:kern w:val="0"/>
                <w:szCs w:val="21"/>
              </w:rPr>
            </w:pPr>
            <w:r>
              <w:rPr>
                <w:rFonts w:hint="eastAsia"/>
                <w:color w:val="auto"/>
                <w:kern w:val="0"/>
                <w:szCs w:val="21"/>
                <w:lang w:eastAsia="zh-CN"/>
              </w:rPr>
              <w:t>2.302</w:t>
            </w:r>
            <w:r>
              <w:rPr>
                <w:rFonts w:hint="eastAsia"/>
                <w:color w:val="auto"/>
                <w:kern w:val="0"/>
                <w:szCs w:val="21"/>
              </w:rPr>
              <w:t>t/a</w:t>
            </w:r>
          </w:p>
        </w:tc>
        <w:tc>
          <w:tcPr>
            <w:tcW w:w="1541" w:type="dxa"/>
            <w:vAlign w:val="center"/>
          </w:tcPr>
          <w:p w14:paraId="137127C7">
            <w:pPr>
              <w:pStyle w:val="70"/>
              <w:spacing w:beforeLines="0" w:afterLines="0" w:line="240" w:lineRule="auto"/>
              <w:rPr>
                <w:rFonts w:ascii="Times New Roman"/>
                <w:color w:val="auto"/>
                <w:szCs w:val="21"/>
              </w:rPr>
            </w:pPr>
          </w:p>
        </w:tc>
        <w:tc>
          <w:tcPr>
            <w:tcW w:w="1719" w:type="dxa"/>
            <w:vAlign w:val="center"/>
          </w:tcPr>
          <w:p w14:paraId="130ED3A2">
            <w:pPr>
              <w:jc w:val="center"/>
              <w:rPr>
                <w:color w:val="auto"/>
                <w:kern w:val="0"/>
                <w:szCs w:val="21"/>
              </w:rPr>
            </w:pPr>
            <w:r>
              <w:rPr>
                <w:rFonts w:hint="eastAsia"/>
                <w:color w:val="auto"/>
                <w:kern w:val="0"/>
                <w:szCs w:val="21"/>
                <w:lang w:eastAsia="zh-CN"/>
              </w:rPr>
              <w:t>2.302</w:t>
            </w:r>
            <w:r>
              <w:rPr>
                <w:rFonts w:hint="eastAsia"/>
                <w:color w:val="auto"/>
                <w:kern w:val="0"/>
                <w:szCs w:val="21"/>
              </w:rPr>
              <w:t>t/a</w:t>
            </w:r>
          </w:p>
        </w:tc>
        <w:tc>
          <w:tcPr>
            <w:tcW w:w="1286" w:type="dxa"/>
            <w:vAlign w:val="center"/>
          </w:tcPr>
          <w:p w14:paraId="0A70AF86">
            <w:pPr>
              <w:jc w:val="center"/>
              <w:rPr>
                <w:color w:val="auto"/>
                <w:kern w:val="0"/>
                <w:szCs w:val="21"/>
              </w:rPr>
            </w:pPr>
            <w:r>
              <w:rPr>
                <w:rFonts w:hint="eastAsia"/>
                <w:color w:val="auto"/>
                <w:kern w:val="0"/>
                <w:szCs w:val="21"/>
              </w:rPr>
              <w:t>+</w:t>
            </w:r>
            <w:r>
              <w:rPr>
                <w:rFonts w:hint="eastAsia"/>
                <w:color w:val="auto"/>
                <w:kern w:val="0"/>
                <w:szCs w:val="21"/>
                <w:lang w:eastAsia="zh-CN"/>
              </w:rPr>
              <w:t>2.302</w:t>
            </w:r>
            <w:r>
              <w:rPr>
                <w:rFonts w:hint="eastAsia"/>
                <w:color w:val="auto"/>
                <w:kern w:val="0"/>
                <w:szCs w:val="21"/>
              </w:rPr>
              <w:t>t/a</w:t>
            </w:r>
          </w:p>
        </w:tc>
      </w:tr>
      <w:tr w14:paraId="46DE1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8B9DBC6">
            <w:pPr>
              <w:pStyle w:val="70"/>
              <w:spacing w:beforeLines="0" w:afterLines="0" w:line="240" w:lineRule="auto"/>
              <w:rPr>
                <w:rFonts w:ascii="Times New Roman"/>
                <w:snapToGrid w:val="0"/>
                <w:color w:val="auto"/>
                <w:kern w:val="21"/>
                <w:szCs w:val="21"/>
              </w:rPr>
            </w:pPr>
          </w:p>
        </w:tc>
        <w:tc>
          <w:tcPr>
            <w:tcW w:w="1417" w:type="dxa"/>
            <w:vAlign w:val="center"/>
          </w:tcPr>
          <w:p w14:paraId="48429C18">
            <w:pPr>
              <w:pStyle w:val="70"/>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油烟</w:t>
            </w:r>
          </w:p>
        </w:tc>
        <w:tc>
          <w:tcPr>
            <w:tcW w:w="1701" w:type="dxa"/>
            <w:vAlign w:val="center"/>
          </w:tcPr>
          <w:p w14:paraId="667B37F2">
            <w:pPr>
              <w:pStyle w:val="70"/>
              <w:spacing w:beforeLines="0" w:afterLines="0" w:line="240" w:lineRule="auto"/>
              <w:rPr>
                <w:rFonts w:ascii="Times New Roman"/>
                <w:snapToGrid w:val="0"/>
                <w:color w:val="auto"/>
                <w:kern w:val="21"/>
                <w:szCs w:val="21"/>
              </w:rPr>
            </w:pPr>
          </w:p>
        </w:tc>
        <w:tc>
          <w:tcPr>
            <w:tcW w:w="1276" w:type="dxa"/>
            <w:vAlign w:val="center"/>
          </w:tcPr>
          <w:p w14:paraId="5ABCF0F0">
            <w:pPr>
              <w:pStyle w:val="70"/>
              <w:spacing w:beforeLines="0" w:afterLines="0" w:line="240" w:lineRule="auto"/>
              <w:rPr>
                <w:rFonts w:ascii="Times New Roman"/>
                <w:snapToGrid w:val="0"/>
                <w:color w:val="auto"/>
                <w:kern w:val="21"/>
                <w:szCs w:val="21"/>
              </w:rPr>
            </w:pPr>
          </w:p>
        </w:tc>
        <w:tc>
          <w:tcPr>
            <w:tcW w:w="1701" w:type="dxa"/>
            <w:vAlign w:val="center"/>
          </w:tcPr>
          <w:p w14:paraId="7410DC4D">
            <w:pPr>
              <w:pStyle w:val="70"/>
              <w:spacing w:beforeLines="0" w:afterLines="0" w:line="240" w:lineRule="auto"/>
              <w:rPr>
                <w:rFonts w:ascii="Times New Roman"/>
                <w:snapToGrid w:val="0"/>
                <w:color w:val="auto"/>
                <w:kern w:val="21"/>
                <w:szCs w:val="21"/>
              </w:rPr>
            </w:pPr>
          </w:p>
        </w:tc>
        <w:tc>
          <w:tcPr>
            <w:tcW w:w="1559" w:type="dxa"/>
            <w:vAlign w:val="center"/>
          </w:tcPr>
          <w:p w14:paraId="5757C39C">
            <w:pPr>
              <w:jc w:val="center"/>
              <w:rPr>
                <w:color w:val="auto"/>
                <w:kern w:val="0"/>
                <w:szCs w:val="21"/>
              </w:rPr>
            </w:pPr>
            <w:r>
              <w:rPr>
                <w:rFonts w:hint="eastAsia"/>
                <w:color w:val="auto"/>
                <w:kern w:val="0"/>
                <w:szCs w:val="21"/>
              </w:rPr>
              <w:t>0.004t/a</w:t>
            </w:r>
          </w:p>
        </w:tc>
        <w:tc>
          <w:tcPr>
            <w:tcW w:w="1541" w:type="dxa"/>
            <w:vAlign w:val="center"/>
          </w:tcPr>
          <w:p w14:paraId="44428C3F">
            <w:pPr>
              <w:pStyle w:val="70"/>
              <w:spacing w:beforeLines="0" w:afterLines="0" w:line="240" w:lineRule="auto"/>
              <w:rPr>
                <w:rFonts w:ascii="Times New Roman"/>
                <w:color w:val="auto"/>
                <w:szCs w:val="21"/>
              </w:rPr>
            </w:pPr>
          </w:p>
        </w:tc>
        <w:tc>
          <w:tcPr>
            <w:tcW w:w="1719" w:type="dxa"/>
            <w:vAlign w:val="center"/>
          </w:tcPr>
          <w:p w14:paraId="23D106B1">
            <w:pPr>
              <w:jc w:val="center"/>
              <w:rPr>
                <w:color w:val="auto"/>
                <w:kern w:val="0"/>
                <w:szCs w:val="21"/>
              </w:rPr>
            </w:pPr>
            <w:r>
              <w:rPr>
                <w:rFonts w:hint="eastAsia"/>
                <w:color w:val="auto"/>
                <w:kern w:val="0"/>
                <w:szCs w:val="21"/>
              </w:rPr>
              <w:t>0.004t/a</w:t>
            </w:r>
          </w:p>
        </w:tc>
        <w:tc>
          <w:tcPr>
            <w:tcW w:w="1286" w:type="dxa"/>
            <w:vAlign w:val="center"/>
          </w:tcPr>
          <w:p w14:paraId="2F7872EE">
            <w:pPr>
              <w:jc w:val="center"/>
              <w:rPr>
                <w:color w:val="auto"/>
                <w:kern w:val="0"/>
                <w:szCs w:val="21"/>
              </w:rPr>
            </w:pPr>
            <w:r>
              <w:rPr>
                <w:rFonts w:hint="eastAsia"/>
                <w:color w:val="auto"/>
                <w:kern w:val="0"/>
                <w:szCs w:val="21"/>
              </w:rPr>
              <w:t>+0.004t/a</w:t>
            </w:r>
          </w:p>
        </w:tc>
      </w:tr>
      <w:tr w14:paraId="419EE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0E0C2E9D">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417" w:type="dxa"/>
            <w:vAlign w:val="center"/>
          </w:tcPr>
          <w:p w14:paraId="2528F044">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shd w:val="clear" w:fill="FFFFFF"/>
              </w:rPr>
              <w:t>COD</w:t>
            </w:r>
            <w:r>
              <w:rPr>
                <w:rFonts w:hint="eastAsia" w:ascii="Times New Roman"/>
                <w:snapToGrid w:val="0"/>
                <w:color w:val="auto"/>
                <w:kern w:val="21"/>
                <w:szCs w:val="21"/>
                <w:shd w:val="clear" w:fill="FFFFFF"/>
              </w:rPr>
              <w:t>cr</w:t>
            </w:r>
          </w:p>
        </w:tc>
        <w:tc>
          <w:tcPr>
            <w:tcW w:w="1701" w:type="dxa"/>
            <w:vAlign w:val="center"/>
          </w:tcPr>
          <w:p w14:paraId="76ACEC3B">
            <w:pPr>
              <w:pStyle w:val="70"/>
              <w:spacing w:beforeLines="0" w:afterLines="0" w:line="240" w:lineRule="auto"/>
              <w:rPr>
                <w:rFonts w:ascii="Times New Roman"/>
                <w:snapToGrid w:val="0"/>
                <w:color w:val="auto"/>
                <w:kern w:val="21"/>
                <w:szCs w:val="21"/>
              </w:rPr>
            </w:pPr>
          </w:p>
        </w:tc>
        <w:tc>
          <w:tcPr>
            <w:tcW w:w="1276" w:type="dxa"/>
            <w:vAlign w:val="center"/>
          </w:tcPr>
          <w:p w14:paraId="11C860C4">
            <w:pPr>
              <w:pStyle w:val="70"/>
              <w:spacing w:beforeLines="0" w:afterLines="0" w:line="240" w:lineRule="auto"/>
              <w:rPr>
                <w:rFonts w:ascii="Times New Roman"/>
                <w:snapToGrid w:val="0"/>
                <w:color w:val="auto"/>
                <w:kern w:val="21"/>
                <w:szCs w:val="21"/>
              </w:rPr>
            </w:pPr>
          </w:p>
        </w:tc>
        <w:tc>
          <w:tcPr>
            <w:tcW w:w="1701" w:type="dxa"/>
            <w:vAlign w:val="center"/>
          </w:tcPr>
          <w:p w14:paraId="391488EC">
            <w:pPr>
              <w:pStyle w:val="70"/>
              <w:spacing w:beforeLines="0" w:afterLines="0" w:line="240" w:lineRule="auto"/>
              <w:rPr>
                <w:rFonts w:ascii="Times New Roman"/>
                <w:snapToGrid w:val="0"/>
                <w:color w:val="auto"/>
                <w:kern w:val="21"/>
                <w:szCs w:val="21"/>
              </w:rPr>
            </w:pPr>
          </w:p>
        </w:tc>
        <w:tc>
          <w:tcPr>
            <w:tcW w:w="1559" w:type="dxa"/>
            <w:vAlign w:val="center"/>
          </w:tcPr>
          <w:p w14:paraId="30CAD498">
            <w:pPr>
              <w:widowControl/>
              <w:adjustRightInd/>
              <w:snapToGrid/>
              <w:jc w:val="center"/>
              <w:rPr>
                <w:snapToGrid w:val="0"/>
                <w:color w:val="auto"/>
                <w:kern w:val="21"/>
                <w:szCs w:val="21"/>
              </w:rPr>
            </w:pPr>
            <w:r>
              <w:rPr>
                <w:rFonts w:hint="eastAsia"/>
                <w:snapToGrid w:val="0"/>
                <w:color w:val="auto"/>
                <w:kern w:val="21"/>
              </w:rPr>
              <w:t>0.538t/a</w:t>
            </w:r>
          </w:p>
        </w:tc>
        <w:tc>
          <w:tcPr>
            <w:tcW w:w="1541" w:type="dxa"/>
            <w:vAlign w:val="center"/>
          </w:tcPr>
          <w:p w14:paraId="3D2349A2">
            <w:pPr>
              <w:pStyle w:val="70"/>
              <w:spacing w:beforeLines="0" w:afterLines="0" w:line="240" w:lineRule="auto"/>
              <w:rPr>
                <w:rFonts w:ascii="Times New Roman"/>
                <w:snapToGrid w:val="0"/>
                <w:color w:val="auto"/>
                <w:kern w:val="21"/>
                <w:szCs w:val="21"/>
              </w:rPr>
            </w:pPr>
          </w:p>
        </w:tc>
        <w:tc>
          <w:tcPr>
            <w:tcW w:w="1719" w:type="dxa"/>
            <w:vAlign w:val="center"/>
          </w:tcPr>
          <w:p w14:paraId="1DDD16C7">
            <w:pPr>
              <w:widowControl/>
              <w:adjustRightInd/>
              <w:snapToGrid/>
              <w:jc w:val="center"/>
              <w:rPr>
                <w:snapToGrid w:val="0"/>
                <w:color w:val="auto"/>
                <w:kern w:val="21"/>
                <w:szCs w:val="21"/>
              </w:rPr>
            </w:pPr>
            <w:r>
              <w:rPr>
                <w:rFonts w:hint="eastAsia"/>
                <w:snapToGrid w:val="0"/>
                <w:color w:val="auto"/>
                <w:kern w:val="21"/>
              </w:rPr>
              <w:t>0.538t/a</w:t>
            </w:r>
          </w:p>
        </w:tc>
        <w:tc>
          <w:tcPr>
            <w:tcW w:w="1286" w:type="dxa"/>
            <w:vAlign w:val="center"/>
          </w:tcPr>
          <w:p w14:paraId="02714A6D">
            <w:pPr>
              <w:widowControl/>
              <w:adjustRightInd/>
              <w:snapToGrid/>
              <w:jc w:val="center"/>
              <w:rPr>
                <w:color w:val="auto"/>
              </w:rPr>
            </w:pPr>
            <w:r>
              <w:rPr>
                <w:rFonts w:hint="eastAsia"/>
                <w:snapToGrid w:val="0"/>
                <w:color w:val="auto"/>
                <w:kern w:val="21"/>
              </w:rPr>
              <w:t>+0.538t/a</w:t>
            </w:r>
          </w:p>
        </w:tc>
      </w:tr>
      <w:tr w14:paraId="134FD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61B6705">
            <w:pPr>
              <w:pStyle w:val="70"/>
              <w:spacing w:beforeLines="0" w:afterLines="0" w:line="240" w:lineRule="auto"/>
              <w:rPr>
                <w:rFonts w:ascii="Times New Roman"/>
                <w:snapToGrid w:val="0"/>
                <w:color w:val="auto"/>
                <w:kern w:val="21"/>
                <w:szCs w:val="21"/>
              </w:rPr>
            </w:pPr>
          </w:p>
        </w:tc>
        <w:tc>
          <w:tcPr>
            <w:tcW w:w="1417" w:type="dxa"/>
            <w:vAlign w:val="center"/>
          </w:tcPr>
          <w:p w14:paraId="630EA6E6">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rPr>
              <w:t>BOD</w:t>
            </w:r>
            <w:r>
              <w:rPr>
                <w:rFonts w:ascii="Times New Roman"/>
                <w:snapToGrid w:val="0"/>
                <w:color w:val="auto"/>
                <w:kern w:val="21"/>
                <w:szCs w:val="21"/>
                <w:vertAlign w:val="subscript"/>
              </w:rPr>
              <w:t>5</w:t>
            </w:r>
          </w:p>
        </w:tc>
        <w:tc>
          <w:tcPr>
            <w:tcW w:w="1701" w:type="dxa"/>
            <w:vAlign w:val="center"/>
          </w:tcPr>
          <w:p w14:paraId="5EFCDCA0">
            <w:pPr>
              <w:pStyle w:val="70"/>
              <w:spacing w:beforeLines="0" w:afterLines="0" w:line="240" w:lineRule="auto"/>
              <w:rPr>
                <w:rFonts w:ascii="Times New Roman"/>
                <w:snapToGrid w:val="0"/>
                <w:color w:val="auto"/>
                <w:kern w:val="21"/>
                <w:szCs w:val="21"/>
              </w:rPr>
            </w:pPr>
          </w:p>
        </w:tc>
        <w:tc>
          <w:tcPr>
            <w:tcW w:w="1276" w:type="dxa"/>
            <w:vAlign w:val="center"/>
          </w:tcPr>
          <w:p w14:paraId="58B5E1D9">
            <w:pPr>
              <w:pStyle w:val="70"/>
              <w:spacing w:beforeLines="0" w:afterLines="0" w:line="240" w:lineRule="auto"/>
              <w:rPr>
                <w:rFonts w:ascii="Times New Roman"/>
                <w:snapToGrid w:val="0"/>
                <w:color w:val="auto"/>
                <w:kern w:val="21"/>
                <w:szCs w:val="21"/>
              </w:rPr>
            </w:pPr>
          </w:p>
        </w:tc>
        <w:tc>
          <w:tcPr>
            <w:tcW w:w="1701" w:type="dxa"/>
            <w:vAlign w:val="center"/>
          </w:tcPr>
          <w:p w14:paraId="6415B583">
            <w:pPr>
              <w:pStyle w:val="70"/>
              <w:spacing w:beforeLines="0" w:afterLines="0" w:line="240" w:lineRule="auto"/>
              <w:rPr>
                <w:rFonts w:ascii="Times New Roman"/>
                <w:snapToGrid w:val="0"/>
                <w:color w:val="auto"/>
                <w:kern w:val="21"/>
                <w:szCs w:val="21"/>
              </w:rPr>
            </w:pPr>
          </w:p>
        </w:tc>
        <w:tc>
          <w:tcPr>
            <w:tcW w:w="1559" w:type="dxa"/>
            <w:vAlign w:val="center"/>
          </w:tcPr>
          <w:p w14:paraId="63948607">
            <w:pPr>
              <w:widowControl/>
              <w:adjustRightInd/>
              <w:snapToGrid/>
              <w:jc w:val="center"/>
              <w:rPr>
                <w:snapToGrid w:val="0"/>
                <w:color w:val="auto"/>
                <w:kern w:val="21"/>
                <w:szCs w:val="21"/>
              </w:rPr>
            </w:pPr>
            <w:r>
              <w:rPr>
                <w:rFonts w:hint="eastAsia"/>
                <w:color w:val="auto"/>
              </w:rPr>
              <w:t>0.286</w:t>
            </w:r>
            <w:r>
              <w:rPr>
                <w:rFonts w:hint="eastAsia"/>
                <w:snapToGrid w:val="0"/>
                <w:color w:val="auto"/>
                <w:kern w:val="21"/>
              </w:rPr>
              <w:t>t/a</w:t>
            </w:r>
          </w:p>
        </w:tc>
        <w:tc>
          <w:tcPr>
            <w:tcW w:w="1541" w:type="dxa"/>
            <w:vAlign w:val="center"/>
          </w:tcPr>
          <w:p w14:paraId="1A5991C4">
            <w:pPr>
              <w:pStyle w:val="70"/>
              <w:spacing w:beforeLines="0" w:afterLines="0" w:line="240" w:lineRule="auto"/>
              <w:rPr>
                <w:rFonts w:ascii="Times New Roman"/>
                <w:snapToGrid w:val="0"/>
                <w:color w:val="auto"/>
                <w:kern w:val="21"/>
                <w:szCs w:val="21"/>
              </w:rPr>
            </w:pPr>
          </w:p>
        </w:tc>
        <w:tc>
          <w:tcPr>
            <w:tcW w:w="1719" w:type="dxa"/>
            <w:vAlign w:val="center"/>
          </w:tcPr>
          <w:p w14:paraId="1E54A1A4">
            <w:pPr>
              <w:widowControl/>
              <w:adjustRightInd/>
              <w:snapToGrid/>
              <w:jc w:val="center"/>
              <w:rPr>
                <w:snapToGrid w:val="0"/>
                <w:color w:val="auto"/>
                <w:kern w:val="21"/>
                <w:szCs w:val="21"/>
              </w:rPr>
            </w:pPr>
            <w:r>
              <w:rPr>
                <w:rFonts w:hint="eastAsia"/>
                <w:color w:val="auto"/>
              </w:rPr>
              <w:t>0.286</w:t>
            </w:r>
            <w:r>
              <w:rPr>
                <w:rFonts w:hint="eastAsia"/>
                <w:snapToGrid w:val="0"/>
                <w:color w:val="auto"/>
                <w:kern w:val="21"/>
              </w:rPr>
              <w:t>t/a</w:t>
            </w:r>
          </w:p>
        </w:tc>
        <w:tc>
          <w:tcPr>
            <w:tcW w:w="1286" w:type="dxa"/>
            <w:vAlign w:val="center"/>
          </w:tcPr>
          <w:p w14:paraId="4F6CE42C">
            <w:pPr>
              <w:widowControl/>
              <w:adjustRightInd/>
              <w:snapToGrid/>
              <w:jc w:val="center"/>
              <w:rPr>
                <w:color w:val="auto"/>
              </w:rPr>
            </w:pPr>
            <w:r>
              <w:rPr>
                <w:rFonts w:hint="eastAsia"/>
                <w:color w:val="auto"/>
              </w:rPr>
              <w:t>+0.286</w:t>
            </w:r>
            <w:r>
              <w:rPr>
                <w:rFonts w:hint="eastAsia"/>
                <w:snapToGrid w:val="0"/>
                <w:color w:val="auto"/>
                <w:kern w:val="21"/>
              </w:rPr>
              <w:t>t/a</w:t>
            </w:r>
          </w:p>
        </w:tc>
      </w:tr>
      <w:tr w14:paraId="4C386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ADC71ED">
            <w:pPr>
              <w:pStyle w:val="70"/>
              <w:spacing w:beforeLines="0" w:afterLines="0" w:line="240" w:lineRule="auto"/>
              <w:rPr>
                <w:rFonts w:ascii="Times New Roman"/>
                <w:snapToGrid w:val="0"/>
                <w:color w:val="auto"/>
                <w:kern w:val="21"/>
                <w:szCs w:val="21"/>
              </w:rPr>
            </w:pPr>
          </w:p>
        </w:tc>
        <w:tc>
          <w:tcPr>
            <w:tcW w:w="1417" w:type="dxa"/>
            <w:vAlign w:val="center"/>
          </w:tcPr>
          <w:p w14:paraId="6A6D85E9">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rPr>
              <w:t>SS</w:t>
            </w:r>
          </w:p>
        </w:tc>
        <w:tc>
          <w:tcPr>
            <w:tcW w:w="1701" w:type="dxa"/>
            <w:vAlign w:val="center"/>
          </w:tcPr>
          <w:p w14:paraId="25C614B4">
            <w:pPr>
              <w:pStyle w:val="70"/>
              <w:spacing w:beforeLines="0" w:afterLines="0" w:line="240" w:lineRule="auto"/>
              <w:rPr>
                <w:rFonts w:ascii="Times New Roman"/>
                <w:snapToGrid w:val="0"/>
                <w:color w:val="auto"/>
                <w:kern w:val="21"/>
                <w:szCs w:val="21"/>
              </w:rPr>
            </w:pPr>
          </w:p>
        </w:tc>
        <w:tc>
          <w:tcPr>
            <w:tcW w:w="1276" w:type="dxa"/>
            <w:vAlign w:val="center"/>
          </w:tcPr>
          <w:p w14:paraId="52B33092">
            <w:pPr>
              <w:pStyle w:val="70"/>
              <w:spacing w:beforeLines="0" w:afterLines="0" w:line="240" w:lineRule="auto"/>
              <w:rPr>
                <w:rFonts w:ascii="Times New Roman"/>
                <w:snapToGrid w:val="0"/>
                <w:color w:val="auto"/>
                <w:kern w:val="21"/>
                <w:szCs w:val="21"/>
              </w:rPr>
            </w:pPr>
          </w:p>
        </w:tc>
        <w:tc>
          <w:tcPr>
            <w:tcW w:w="1701" w:type="dxa"/>
            <w:vAlign w:val="center"/>
          </w:tcPr>
          <w:p w14:paraId="79E0098A">
            <w:pPr>
              <w:pStyle w:val="70"/>
              <w:spacing w:beforeLines="0" w:afterLines="0" w:line="240" w:lineRule="auto"/>
              <w:rPr>
                <w:rFonts w:ascii="Times New Roman"/>
                <w:snapToGrid w:val="0"/>
                <w:color w:val="auto"/>
                <w:kern w:val="21"/>
                <w:szCs w:val="21"/>
              </w:rPr>
            </w:pPr>
          </w:p>
        </w:tc>
        <w:tc>
          <w:tcPr>
            <w:tcW w:w="1559" w:type="dxa"/>
            <w:vAlign w:val="center"/>
          </w:tcPr>
          <w:p w14:paraId="66FF8E5E">
            <w:pPr>
              <w:widowControl/>
              <w:adjustRightInd/>
              <w:snapToGrid/>
              <w:jc w:val="center"/>
              <w:rPr>
                <w:snapToGrid w:val="0"/>
                <w:color w:val="auto"/>
                <w:kern w:val="21"/>
                <w:szCs w:val="21"/>
              </w:rPr>
            </w:pPr>
            <w:r>
              <w:rPr>
                <w:rFonts w:hint="eastAsia"/>
                <w:snapToGrid w:val="0"/>
                <w:color w:val="auto"/>
                <w:kern w:val="21"/>
              </w:rPr>
              <w:t>0.259t/a</w:t>
            </w:r>
          </w:p>
        </w:tc>
        <w:tc>
          <w:tcPr>
            <w:tcW w:w="1541" w:type="dxa"/>
            <w:vAlign w:val="center"/>
          </w:tcPr>
          <w:p w14:paraId="184DA1FE">
            <w:pPr>
              <w:pStyle w:val="70"/>
              <w:spacing w:beforeLines="0" w:afterLines="0" w:line="240" w:lineRule="auto"/>
              <w:rPr>
                <w:rFonts w:ascii="Times New Roman"/>
                <w:snapToGrid w:val="0"/>
                <w:color w:val="auto"/>
                <w:kern w:val="21"/>
                <w:szCs w:val="21"/>
              </w:rPr>
            </w:pPr>
          </w:p>
        </w:tc>
        <w:tc>
          <w:tcPr>
            <w:tcW w:w="1719" w:type="dxa"/>
            <w:vAlign w:val="center"/>
          </w:tcPr>
          <w:p w14:paraId="5BCBD1D6">
            <w:pPr>
              <w:widowControl/>
              <w:adjustRightInd/>
              <w:snapToGrid/>
              <w:jc w:val="center"/>
              <w:rPr>
                <w:snapToGrid w:val="0"/>
                <w:color w:val="auto"/>
                <w:kern w:val="21"/>
                <w:szCs w:val="21"/>
              </w:rPr>
            </w:pPr>
            <w:r>
              <w:rPr>
                <w:rFonts w:hint="eastAsia"/>
                <w:snapToGrid w:val="0"/>
                <w:color w:val="auto"/>
                <w:kern w:val="21"/>
              </w:rPr>
              <w:t>0.259t/a</w:t>
            </w:r>
          </w:p>
        </w:tc>
        <w:tc>
          <w:tcPr>
            <w:tcW w:w="1286" w:type="dxa"/>
            <w:vAlign w:val="center"/>
          </w:tcPr>
          <w:p w14:paraId="25681176">
            <w:pPr>
              <w:widowControl/>
              <w:adjustRightInd/>
              <w:snapToGrid/>
              <w:jc w:val="center"/>
              <w:rPr>
                <w:color w:val="auto"/>
              </w:rPr>
            </w:pPr>
            <w:r>
              <w:rPr>
                <w:rFonts w:hint="eastAsia"/>
                <w:snapToGrid w:val="0"/>
                <w:color w:val="auto"/>
                <w:kern w:val="21"/>
              </w:rPr>
              <w:t>+0.259t/a</w:t>
            </w:r>
          </w:p>
        </w:tc>
      </w:tr>
      <w:tr w14:paraId="06CF9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71C1C69">
            <w:pPr>
              <w:pStyle w:val="70"/>
              <w:spacing w:beforeLines="0" w:afterLines="0" w:line="240" w:lineRule="auto"/>
              <w:rPr>
                <w:rFonts w:ascii="Times New Roman"/>
                <w:snapToGrid w:val="0"/>
                <w:color w:val="auto"/>
                <w:kern w:val="21"/>
                <w:szCs w:val="21"/>
              </w:rPr>
            </w:pPr>
          </w:p>
        </w:tc>
        <w:tc>
          <w:tcPr>
            <w:tcW w:w="1417" w:type="dxa"/>
            <w:vAlign w:val="center"/>
          </w:tcPr>
          <w:p w14:paraId="32857C27">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rPr>
              <w:t>NH</w:t>
            </w:r>
            <w:r>
              <w:rPr>
                <w:rFonts w:ascii="Times New Roman"/>
                <w:snapToGrid w:val="0"/>
                <w:color w:val="auto"/>
                <w:kern w:val="21"/>
                <w:szCs w:val="21"/>
                <w:vertAlign w:val="subscript"/>
              </w:rPr>
              <w:t>3</w:t>
            </w:r>
            <w:r>
              <w:rPr>
                <w:rFonts w:ascii="Times New Roman"/>
                <w:snapToGrid w:val="0"/>
                <w:color w:val="auto"/>
                <w:kern w:val="21"/>
                <w:szCs w:val="21"/>
              </w:rPr>
              <w:t>-N</w:t>
            </w:r>
          </w:p>
        </w:tc>
        <w:tc>
          <w:tcPr>
            <w:tcW w:w="1701" w:type="dxa"/>
            <w:vAlign w:val="center"/>
          </w:tcPr>
          <w:p w14:paraId="454148A9">
            <w:pPr>
              <w:pStyle w:val="70"/>
              <w:spacing w:beforeLines="0" w:afterLines="0" w:line="240" w:lineRule="auto"/>
              <w:rPr>
                <w:rFonts w:ascii="Times New Roman"/>
                <w:snapToGrid w:val="0"/>
                <w:color w:val="auto"/>
                <w:kern w:val="21"/>
                <w:szCs w:val="21"/>
              </w:rPr>
            </w:pPr>
          </w:p>
        </w:tc>
        <w:tc>
          <w:tcPr>
            <w:tcW w:w="1276" w:type="dxa"/>
            <w:vAlign w:val="center"/>
          </w:tcPr>
          <w:p w14:paraId="528B2FAF">
            <w:pPr>
              <w:pStyle w:val="70"/>
              <w:spacing w:beforeLines="0" w:afterLines="0" w:line="240" w:lineRule="auto"/>
              <w:rPr>
                <w:rFonts w:ascii="Times New Roman"/>
                <w:snapToGrid w:val="0"/>
                <w:color w:val="auto"/>
                <w:kern w:val="21"/>
                <w:szCs w:val="21"/>
              </w:rPr>
            </w:pPr>
          </w:p>
        </w:tc>
        <w:tc>
          <w:tcPr>
            <w:tcW w:w="1701" w:type="dxa"/>
            <w:vAlign w:val="center"/>
          </w:tcPr>
          <w:p w14:paraId="19B77CA5">
            <w:pPr>
              <w:pStyle w:val="70"/>
              <w:spacing w:beforeLines="0" w:afterLines="0" w:line="240" w:lineRule="auto"/>
              <w:rPr>
                <w:rFonts w:ascii="Times New Roman"/>
                <w:snapToGrid w:val="0"/>
                <w:color w:val="auto"/>
                <w:kern w:val="21"/>
                <w:szCs w:val="21"/>
              </w:rPr>
            </w:pPr>
          </w:p>
        </w:tc>
        <w:tc>
          <w:tcPr>
            <w:tcW w:w="1559" w:type="dxa"/>
            <w:vAlign w:val="center"/>
          </w:tcPr>
          <w:p w14:paraId="11364DD0">
            <w:pPr>
              <w:widowControl/>
              <w:adjustRightInd/>
              <w:snapToGrid/>
              <w:jc w:val="center"/>
              <w:rPr>
                <w:snapToGrid w:val="0"/>
                <w:color w:val="auto"/>
                <w:kern w:val="21"/>
                <w:szCs w:val="21"/>
              </w:rPr>
            </w:pPr>
            <w:r>
              <w:rPr>
                <w:rFonts w:hint="eastAsia"/>
                <w:color w:val="auto"/>
              </w:rPr>
              <w:t>0.059</w:t>
            </w:r>
            <w:r>
              <w:rPr>
                <w:rFonts w:hint="eastAsia"/>
                <w:snapToGrid w:val="0"/>
                <w:color w:val="auto"/>
                <w:kern w:val="21"/>
              </w:rPr>
              <w:t>t/a</w:t>
            </w:r>
          </w:p>
        </w:tc>
        <w:tc>
          <w:tcPr>
            <w:tcW w:w="1541" w:type="dxa"/>
            <w:vAlign w:val="center"/>
          </w:tcPr>
          <w:p w14:paraId="32CB4D77">
            <w:pPr>
              <w:pStyle w:val="70"/>
              <w:spacing w:beforeLines="0" w:afterLines="0" w:line="240" w:lineRule="auto"/>
              <w:rPr>
                <w:rFonts w:ascii="Times New Roman"/>
                <w:snapToGrid w:val="0"/>
                <w:color w:val="auto"/>
                <w:kern w:val="21"/>
                <w:szCs w:val="21"/>
              </w:rPr>
            </w:pPr>
          </w:p>
        </w:tc>
        <w:tc>
          <w:tcPr>
            <w:tcW w:w="1719" w:type="dxa"/>
            <w:vAlign w:val="center"/>
          </w:tcPr>
          <w:p w14:paraId="269FA145">
            <w:pPr>
              <w:widowControl/>
              <w:adjustRightInd/>
              <w:snapToGrid/>
              <w:jc w:val="center"/>
              <w:rPr>
                <w:snapToGrid w:val="0"/>
                <w:color w:val="auto"/>
                <w:kern w:val="21"/>
                <w:szCs w:val="21"/>
              </w:rPr>
            </w:pPr>
            <w:r>
              <w:rPr>
                <w:rFonts w:hint="eastAsia"/>
                <w:color w:val="auto"/>
              </w:rPr>
              <w:t>0.059</w:t>
            </w:r>
            <w:r>
              <w:rPr>
                <w:rFonts w:hint="eastAsia"/>
                <w:snapToGrid w:val="0"/>
                <w:color w:val="auto"/>
                <w:kern w:val="21"/>
              </w:rPr>
              <w:t>t/a</w:t>
            </w:r>
          </w:p>
        </w:tc>
        <w:tc>
          <w:tcPr>
            <w:tcW w:w="1286" w:type="dxa"/>
            <w:vAlign w:val="center"/>
          </w:tcPr>
          <w:p w14:paraId="504626B0">
            <w:pPr>
              <w:widowControl/>
              <w:adjustRightInd/>
              <w:snapToGrid/>
              <w:jc w:val="center"/>
              <w:rPr>
                <w:color w:val="auto"/>
              </w:rPr>
            </w:pPr>
            <w:r>
              <w:rPr>
                <w:rFonts w:hint="eastAsia"/>
                <w:color w:val="auto"/>
              </w:rPr>
              <w:t>+0.059</w:t>
            </w:r>
            <w:r>
              <w:rPr>
                <w:rFonts w:hint="eastAsia"/>
                <w:snapToGrid w:val="0"/>
                <w:color w:val="auto"/>
                <w:kern w:val="21"/>
              </w:rPr>
              <w:t>t/a</w:t>
            </w:r>
          </w:p>
        </w:tc>
      </w:tr>
      <w:tr w14:paraId="1E30F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6E58FEBA">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14:paraId="3FCAC73C">
            <w:pPr>
              <w:pStyle w:val="70"/>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417" w:type="dxa"/>
            <w:vAlign w:val="center"/>
          </w:tcPr>
          <w:p w14:paraId="46AB414C">
            <w:pPr>
              <w:pStyle w:val="71"/>
              <w:rPr>
                <w:snapToGrid w:val="0"/>
                <w:color w:val="auto"/>
                <w:kern w:val="21"/>
              </w:rPr>
            </w:pPr>
            <w:r>
              <w:rPr>
                <w:rFonts w:hint="eastAsia"/>
                <w:snapToGrid w:val="0"/>
                <w:color w:val="auto"/>
                <w:kern w:val="21"/>
              </w:rPr>
              <w:t>沉淀池沉渣</w:t>
            </w:r>
          </w:p>
        </w:tc>
        <w:tc>
          <w:tcPr>
            <w:tcW w:w="1701" w:type="dxa"/>
            <w:vAlign w:val="center"/>
          </w:tcPr>
          <w:p w14:paraId="6AB4518E">
            <w:pPr>
              <w:pStyle w:val="70"/>
              <w:spacing w:beforeLines="0" w:afterLines="0" w:line="240" w:lineRule="auto"/>
              <w:rPr>
                <w:rFonts w:ascii="Times New Roman"/>
                <w:snapToGrid w:val="0"/>
                <w:color w:val="auto"/>
                <w:kern w:val="21"/>
                <w:szCs w:val="21"/>
              </w:rPr>
            </w:pPr>
          </w:p>
        </w:tc>
        <w:tc>
          <w:tcPr>
            <w:tcW w:w="1276" w:type="dxa"/>
            <w:vAlign w:val="center"/>
          </w:tcPr>
          <w:p w14:paraId="4AEA12EF">
            <w:pPr>
              <w:pStyle w:val="70"/>
              <w:spacing w:beforeLines="0" w:afterLines="0" w:line="240" w:lineRule="auto"/>
              <w:rPr>
                <w:rFonts w:ascii="Times New Roman"/>
                <w:snapToGrid w:val="0"/>
                <w:color w:val="auto"/>
                <w:kern w:val="21"/>
                <w:szCs w:val="21"/>
              </w:rPr>
            </w:pPr>
          </w:p>
        </w:tc>
        <w:tc>
          <w:tcPr>
            <w:tcW w:w="1701" w:type="dxa"/>
            <w:vAlign w:val="center"/>
          </w:tcPr>
          <w:p w14:paraId="20A1C789">
            <w:pPr>
              <w:pStyle w:val="70"/>
              <w:spacing w:beforeLines="0" w:afterLines="0" w:line="240" w:lineRule="auto"/>
              <w:rPr>
                <w:rFonts w:ascii="Times New Roman"/>
                <w:snapToGrid w:val="0"/>
                <w:color w:val="auto"/>
                <w:kern w:val="21"/>
                <w:szCs w:val="21"/>
              </w:rPr>
            </w:pPr>
          </w:p>
        </w:tc>
        <w:tc>
          <w:tcPr>
            <w:tcW w:w="1559" w:type="dxa"/>
            <w:shd w:val="clear" w:color="auto" w:fill="auto"/>
            <w:vAlign w:val="center"/>
          </w:tcPr>
          <w:p w14:paraId="0A746FFB">
            <w:pPr>
              <w:pStyle w:val="71"/>
              <w:rPr>
                <w:color w:val="auto"/>
              </w:rPr>
            </w:pPr>
            <w:r>
              <w:rPr>
                <w:rFonts w:hint="eastAsia"/>
                <w:color w:val="auto"/>
              </w:rPr>
              <w:t>15t/a</w:t>
            </w:r>
          </w:p>
        </w:tc>
        <w:tc>
          <w:tcPr>
            <w:tcW w:w="1541" w:type="dxa"/>
            <w:shd w:val="clear" w:color="auto" w:fill="auto"/>
            <w:vAlign w:val="center"/>
          </w:tcPr>
          <w:p w14:paraId="3677E4FF">
            <w:pPr>
              <w:pStyle w:val="70"/>
              <w:spacing w:beforeLines="0" w:afterLines="0" w:line="240" w:lineRule="auto"/>
              <w:rPr>
                <w:rFonts w:ascii="Times New Roman"/>
                <w:snapToGrid w:val="0"/>
                <w:color w:val="auto"/>
                <w:kern w:val="21"/>
                <w:szCs w:val="21"/>
              </w:rPr>
            </w:pPr>
          </w:p>
        </w:tc>
        <w:tc>
          <w:tcPr>
            <w:tcW w:w="1719" w:type="dxa"/>
            <w:shd w:val="clear" w:color="auto" w:fill="auto"/>
            <w:vAlign w:val="center"/>
          </w:tcPr>
          <w:p w14:paraId="07C602FD">
            <w:pPr>
              <w:pStyle w:val="71"/>
              <w:rPr>
                <w:snapToGrid w:val="0"/>
                <w:color w:val="auto"/>
                <w:kern w:val="21"/>
              </w:rPr>
            </w:pPr>
            <w:r>
              <w:rPr>
                <w:rFonts w:hint="eastAsia"/>
                <w:color w:val="auto"/>
              </w:rPr>
              <w:t>15t/a</w:t>
            </w:r>
          </w:p>
        </w:tc>
        <w:tc>
          <w:tcPr>
            <w:tcW w:w="1286" w:type="dxa"/>
            <w:shd w:val="clear" w:color="auto" w:fill="auto"/>
            <w:vAlign w:val="center"/>
          </w:tcPr>
          <w:p w14:paraId="53E9448A">
            <w:pPr>
              <w:pStyle w:val="71"/>
              <w:rPr>
                <w:color w:val="auto"/>
              </w:rPr>
            </w:pPr>
            <w:r>
              <w:rPr>
                <w:rFonts w:hint="eastAsia"/>
                <w:color w:val="auto"/>
              </w:rPr>
              <w:t>+15t/a</w:t>
            </w:r>
          </w:p>
        </w:tc>
      </w:tr>
      <w:tr w14:paraId="2707B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73001B9B">
            <w:pPr>
              <w:pStyle w:val="70"/>
              <w:spacing w:beforeLines="0" w:afterLines="0" w:line="240" w:lineRule="auto"/>
              <w:rPr>
                <w:rFonts w:ascii="Times New Roman"/>
                <w:snapToGrid w:val="0"/>
                <w:color w:val="auto"/>
                <w:kern w:val="21"/>
                <w:szCs w:val="21"/>
              </w:rPr>
            </w:pPr>
          </w:p>
        </w:tc>
        <w:tc>
          <w:tcPr>
            <w:tcW w:w="1417" w:type="dxa"/>
            <w:vAlign w:val="center"/>
          </w:tcPr>
          <w:p w14:paraId="6F357C3E">
            <w:pPr>
              <w:pStyle w:val="71"/>
              <w:rPr>
                <w:color w:val="auto"/>
              </w:rPr>
            </w:pPr>
            <w:r>
              <w:rPr>
                <w:rFonts w:hint="eastAsia"/>
                <w:color w:val="auto"/>
              </w:rPr>
              <w:t>钢筋边角料</w:t>
            </w:r>
          </w:p>
        </w:tc>
        <w:tc>
          <w:tcPr>
            <w:tcW w:w="1701" w:type="dxa"/>
            <w:vAlign w:val="center"/>
          </w:tcPr>
          <w:p w14:paraId="732D1735">
            <w:pPr>
              <w:pStyle w:val="70"/>
              <w:spacing w:beforeLines="0" w:afterLines="0" w:line="240" w:lineRule="auto"/>
              <w:rPr>
                <w:rFonts w:ascii="Times New Roman"/>
                <w:snapToGrid w:val="0"/>
                <w:color w:val="auto"/>
                <w:kern w:val="21"/>
                <w:szCs w:val="21"/>
              </w:rPr>
            </w:pPr>
          </w:p>
        </w:tc>
        <w:tc>
          <w:tcPr>
            <w:tcW w:w="1276" w:type="dxa"/>
            <w:vAlign w:val="center"/>
          </w:tcPr>
          <w:p w14:paraId="24C02923">
            <w:pPr>
              <w:pStyle w:val="70"/>
              <w:spacing w:beforeLines="0" w:afterLines="0" w:line="240" w:lineRule="auto"/>
              <w:rPr>
                <w:rFonts w:ascii="Times New Roman"/>
                <w:snapToGrid w:val="0"/>
                <w:color w:val="auto"/>
                <w:kern w:val="21"/>
                <w:szCs w:val="21"/>
              </w:rPr>
            </w:pPr>
          </w:p>
        </w:tc>
        <w:tc>
          <w:tcPr>
            <w:tcW w:w="1701" w:type="dxa"/>
            <w:vAlign w:val="center"/>
          </w:tcPr>
          <w:p w14:paraId="45BC57CD">
            <w:pPr>
              <w:pStyle w:val="70"/>
              <w:spacing w:beforeLines="0" w:afterLines="0" w:line="240" w:lineRule="auto"/>
              <w:rPr>
                <w:rFonts w:ascii="Times New Roman"/>
                <w:snapToGrid w:val="0"/>
                <w:color w:val="auto"/>
                <w:kern w:val="21"/>
                <w:szCs w:val="21"/>
              </w:rPr>
            </w:pPr>
          </w:p>
        </w:tc>
        <w:tc>
          <w:tcPr>
            <w:tcW w:w="1559" w:type="dxa"/>
            <w:shd w:val="clear" w:color="auto" w:fill="auto"/>
            <w:vAlign w:val="center"/>
          </w:tcPr>
          <w:p w14:paraId="77CE28CB">
            <w:pPr>
              <w:pStyle w:val="71"/>
              <w:rPr>
                <w:color w:val="auto"/>
              </w:rPr>
            </w:pPr>
            <w:r>
              <w:rPr>
                <w:rFonts w:hint="eastAsia"/>
                <w:color w:val="auto"/>
              </w:rPr>
              <w:t>11t/a</w:t>
            </w:r>
          </w:p>
        </w:tc>
        <w:tc>
          <w:tcPr>
            <w:tcW w:w="1541" w:type="dxa"/>
            <w:shd w:val="clear" w:color="auto" w:fill="auto"/>
            <w:vAlign w:val="center"/>
          </w:tcPr>
          <w:p w14:paraId="2F05EDF1">
            <w:pPr>
              <w:pStyle w:val="70"/>
              <w:spacing w:beforeLines="0" w:afterLines="0" w:line="240" w:lineRule="auto"/>
              <w:rPr>
                <w:rFonts w:ascii="Times New Roman"/>
                <w:snapToGrid w:val="0"/>
                <w:color w:val="auto"/>
                <w:kern w:val="21"/>
                <w:szCs w:val="21"/>
              </w:rPr>
            </w:pPr>
          </w:p>
        </w:tc>
        <w:tc>
          <w:tcPr>
            <w:tcW w:w="1719" w:type="dxa"/>
            <w:shd w:val="clear" w:color="auto" w:fill="auto"/>
            <w:vAlign w:val="center"/>
          </w:tcPr>
          <w:p w14:paraId="103B9704">
            <w:pPr>
              <w:pStyle w:val="71"/>
              <w:rPr>
                <w:color w:val="auto"/>
              </w:rPr>
            </w:pPr>
            <w:r>
              <w:rPr>
                <w:rFonts w:hint="eastAsia"/>
                <w:color w:val="auto"/>
              </w:rPr>
              <w:t>11t/a</w:t>
            </w:r>
          </w:p>
        </w:tc>
        <w:tc>
          <w:tcPr>
            <w:tcW w:w="1286" w:type="dxa"/>
            <w:shd w:val="clear" w:color="auto" w:fill="auto"/>
            <w:vAlign w:val="center"/>
          </w:tcPr>
          <w:p w14:paraId="71754704">
            <w:pPr>
              <w:pStyle w:val="71"/>
              <w:rPr>
                <w:color w:val="auto"/>
              </w:rPr>
            </w:pPr>
            <w:r>
              <w:rPr>
                <w:rFonts w:hint="eastAsia"/>
                <w:color w:val="auto"/>
              </w:rPr>
              <w:t>+11t/a</w:t>
            </w:r>
          </w:p>
        </w:tc>
      </w:tr>
      <w:tr w14:paraId="3988F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5F36C6A8">
            <w:pPr>
              <w:pStyle w:val="70"/>
              <w:spacing w:beforeLines="0" w:afterLines="0" w:line="240" w:lineRule="auto"/>
              <w:rPr>
                <w:rFonts w:ascii="Times New Roman"/>
                <w:snapToGrid w:val="0"/>
                <w:color w:val="auto"/>
                <w:kern w:val="21"/>
                <w:szCs w:val="21"/>
              </w:rPr>
            </w:pPr>
          </w:p>
        </w:tc>
        <w:tc>
          <w:tcPr>
            <w:tcW w:w="1417" w:type="dxa"/>
            <w:vAlign w:val="center"/>
          </w:tcPr>
          <w:p w14:paraId="419C82D1">
            <w:pPr>
              <w:pStyle w:val="71"/>
              <w:rPr>
                <w:color w:val="auto"/>
              </w:rPr>
            </w:pPr>
            <w:r>
              <w:rPr>
                <w:rFonts w:hint="eastAsia"/>
                <w:color w:val="auto"/>
              </w:rPr>
              <w:t>焊渣</w:t>
            </w:r>
          </w:p>
        </w:tc>
        <w:tc>
          <w:tcPr>
            <w:tcW w:w="1701" w:type="dxa"/>
            <w:vAlign w:val="center"/>
          </w:tcPr>
          <w:p w14:paraId="1080A91E">
            <w:pPr>
              <w:pStyle w:val="70"/>
              <w:spacing w:beforeLines="0" w:afterLines="0" w:line="240" w:lineRule="auto"/>
              <w:rPr>
                <w:rFonts w:ascii="Times New Roman"/>
                <w:snapToGrid w:val="0"/>
                <w:color w:val="auto"/>
                <w:kern w:val="21"/>
                <w:szCs w:val="21"/>
              </w:rPr>
            </w:pPr>
          </w:p>
        </w:tc>
        <w:tc>
          <w:tcPr>
            <w:tcW w:w="1276" w:type="dxa"/>
            <w:vAlign w:val="center"/>
          </w:tcPr>
          <w:p w14:paraId="0C29685A">
            <w:pPr>
              <w:pStyle w:val="70"/>
              <w:spacing w:beforeLines="0" w:afterLines="0" w:line="240" w:lineRule="auto"/>
              <w:rPr>
                <w:rFonts w:ascii="Times New Roman"/>
                <w:snapToGrid w:val="0"/>
                <w:color w:val="auto"/>
                <w:kern w:val="21"/>
                <w:szCs w:val="21"/>
              </w:rPr>
            </w:pPr>
          </w:p>
        </w:tc>
        <w:tc>
          <w:tcPr>
            <w:tcW w:w="1701" w:type="dxa"/>
            <w:vAlign w:val="center"/>
          </w:tcPr>
          <w:p w14:paraId="725A10BC">
            <w:pPr>
              <w:pStyle w:val="70"/>
              <w:spacing w:beforeLines="0" w:afterLines="0" w:line="240" w:lineRule="auto"/>
              <w:rPr>
                <w:rFonts w:ascii="Times New Roman"/>
                <w:snapToGrid w:val="0"/>
                <w:color w:val="auto"/>
                <w:kern w:val="21"/>
                <w:szCs w:val="21"/>
              </w:rPr>
            </w:pPr>
          </w:p>
        </w:tc>
        <w:tc>
          <w:tcPr>
            <w:tcW w:w="1559" w:type="dxa"/>
            <w:vAlign w:val="center"/>
          </w:tcPr>
          <w:p w14:paraId="569F22C7">
            <w:pPr>
              <w:pStyle w:val="71"/>
              <w:rPr>
                <w:color w:val="auto"/>
              </w:rPr>
            </w:pPr>
            <w:r>
              <w:rPr>
                <w:rFonts w:hint="eastAsia"/>
                <w:color w:val="auto"/>
              </w:rPr>
              <w:t>0.04t/a</w:t>
            </w:r>
          </w:p>
        </w:tc>
        <w:tc>
          <w:tcPr>
            <w:tcW w:w="1541" w:type="dxa"/>
            <w:vAlign w:val="center"/>
          </w:tcPr>
          <w:p w14:paraId="0081E465">
            <w:pPr>
              <w:pStyle w:val="70"/>
              <w:spacing w:beforeLines="0" w:afterLines="0" w:line="240" w:lineRule="auto"/>
              <w:rPr>
                <w:rFonts w:ascii="Times New Roman"/>
                <w:snapToGrid w:val="0"/>
                <w:color w:val="auto"/>
                <w:kern w:val="21"/>
                <w:szCs w:val="21"/>
              </w:rPr>
            </w:pPr>
          </w:p>
        </w:tc>
        <w:tc>
          <w:tcPr>
            <w:tcW w:w="1719" w:type="dxa"/>
            <w:vAlign w:val="center"/>
          </w:tcPr>
          <w:p w14:paraId="656095EE">
            <w:pPr>
              <w:pStyle w:val="71"/>
              <w:rPr>
                <w:color w:val="auto"/>
              </w:rPr>
            </w:pPr>
            <w:r>
              <w:rPr>
                <w:rFonts w:hint="eastAsia"/>
                <w:color w:val="auto"/>
              </w:rPr>
              <w:t>0.04t/a</w:t>
            </w:r>
          </w:p>
        </w:tc>
        <w:tc>
          <w:tcPr>
            <w:tcW w:w="1286" w:type="dxa"/>
            <w:vAlign w:val="center"/>
          </w:tcPr>
          <w:p w14:paraId="1346E45B">
            <w:pPr>
              <w:pStyle w:val="71"/>
              <w:rPr>
                <w:color w:val="auto"/>
              </w:rPr>
            </w:pPr>
            <w:r>
              <w:rPr>
                <w:rFonts w:hint="eastAsia"/>
                <w:color w:val="auto"/>
              </w:rPr>
              <w:t>+0.04t/a</w:t>
            </w:r>
          </w:p>
        </w:tc>
      </w:tr>
      <w:tr w14:paraId="3134E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51025517">
            <w:pPr>
              <w:pStyle w:val="70"/>
              <w:spacing w:beforeLines="0" w:afterLines="0" w:line="240" w:lineRule="auto"/>
              <w:rPr>
                <w:rFonts w:ascii="Times New Roman"/>
                <w:snapToGrid w:val="0"/>
                <w:color w:val="auto"/>
                <w:kern w:val="21"/>
                <w:szCs w:val="21"/>
              </w:rPr>
            </w:pPr>
          </w:p>
        </w:tc>
        <w:tc>
          <w:tcPr>
            <w:tcW w:w="1417" w:type="dxa"/>
            <w:vAlign w:val="center"/>
          </w:tcPr>
          <w:p w14:paraId="48F9E0F0">
            <w:pPr>
              <w:pStyle w:val="71"/>
              <w:rPr>
                <w:rFonts w:hint="eastAsia" w:eastAsia="宋体"/>
                <w:color w:val="auto"/>
                <w:lang w:eastAsia="zh-CN"/>
              </w:rPr>
            </w:pPr>
            <w:r>
              <w:rPr>
                <w:rFonts w:hint="eastAsia"/>
                <w:color w:val="auto"/>
                <w:lang w:eastAsia="zh-CN"/>
              </w:rPr>
              <w:t>破损模具</w:t>
            </w:r>
          </w:p>
        </w:tc>
        <w:tc>
          <w:tcPr>
            <w:tcW w:w="1701" w:type="dxa"/>
            <w:vAlign w:val="center"/>
          </w:tcPr>
          <w:p w14:paraId="460F4437">
            <w:pPr>
              <w:pStyle w:val="70"/>
              <w:spacing w:beforeLines="0" w:afterLines="0" w:line="240" w:lineRule="auto"/>
              <w:rPr>
                <w:rFonts w:ascii="Times New Roman"/>
                <w:snapToGrid w:val="0"/>
                <w:color w:val="auto"/>
                <w:kern w:val="21"/>
                <w:szCs w:val="21"/>
              </w:rPr>
            </w:pPr>
          </w:p>
        </w:tc>
        <w:tc>
          <w:tcPr>
            <w:tcW w:w="1276" w:type="dxa"/>
            <w:vAlign w:val="center"/>
          </w:tcPr>
          <w:p w14:paraId="72932BB8">
            <w:pPr>
              <w:pStyle w:val="70"/>
              <w:spacing w:beforeLines="0" w:afterLines="0" w:line="240" w:lineRule="auto"/>
              <w:rPr>
                <w:rFonts w:ascii="Times New Roman"/>
                <w:snapToGrid w:val="0"/>
                <w:color w:val="auto"/>
                <w:kern w:val="21"/>
                <w:szCs w:val="21"/>
              </w:rPr>
            </w:pPr>
          </w:p>
        </w:tc>
        <w:tc>
          <w:tcPr>
            <w:tcW w:w="1701" w:type="dxa"/>
            <w:vAlign w:val="center"/>
          </w:tcPr>
          <w:p w14:paraId="3A7FC81B">
            <w:pPr>
              <w:pStyle w:val="70"/>
              <w:spacing w:beforeLines="0" w:afterLines="0" w:line="240" w:lineRule="auto"/>
              <w:rPr>
                <w:rFonts w:ascii="Times New Roman"/>
                <w:snapToGrid w:val="0"/>
                <w:color w:val="auto"/>
                <w:kern w:val="21"/>
                <w:szCs w:val="21"/>
              </w:rPr>
            </w:pPr>
          </w:p>
        </w:tc>
        <w:tc>
          <w:tcPr>
            <w:tcW w:w="1559" w:type="dxa"/>
            <w:vAlign w:val="center"/>
          </w:tcPr>
          <w:p w14:paraId="7C3DD397">
            <w:pPr>
              <w:pStyle w:val="71"/>
              <w:rPr>
                <w:rFonts w:hint="default" w:eastAsia="宋体"/>
                <w:color w:val="auto"/>
                <w:lang w:val="en-US" w:eastAsia="zh-CN"/>
              </w:rPr>
            </w:pPr>
            <w:r>
              <w:rPr>
                <w:rFonts w:hint="eastAsia"/>
                <w:color w:val="auto"/>
                <w:lang w:val="en-US" w:eastAsia="zh-CN"/>
              </w:rPr>
              <w:t>5t/a</w:t>
            </w:r>
          </w:p>
        </w:tc>
        <w:tc>
          <w:tcPr>
            <w:tcW w:w="1541" w:type="dxa"/>
            <w:vAlign w:val="center"/>
          </w:tcPr>
          <w:p w14:paraId="3BA018EA">
            <w:pPr>
              <w:pStyle w:val="70"/>
              <w:spacing w:beforeLines="0" w:afterLines="0" w:line="240" w:lineRule="auto"/>
              <w:rPr>
                <w:rFonts w:ascii="Times New Roman"/>
                <w:snapToGrid w:val="0"/>
                <w:color w:val="auto"/>
                <w:kern w:val="21"/>
                <w:szCs w:val="21"/>
              </w:rPr>
            </w:pPr>
          </w:p>
        </w:tc>
        <w:tc>
          <w:tcPr>
            <w:tcW w:w="1719" w:type="dxa"/>
            <w:vAlign w:val="center"/>
          </w:tcPr>
          <w:p w14:paraId="7B472183">
            <w:pPr>
              <w:pStyle w:val="71"/>
              <w:rPr>
                <w:rFonts w:hint="eastAsia"/>
                <w:color w:val="auto"/>
              </w:rPr>
            </w:pPr>
            <w:r>
              <w:rPr>
                <w:rFonts w:hint="eastAsia"/>
                <w:color w:val="auto"/>
                <w:lang w:val="en-US" w:eastAsia="zh-CN"/>
              </w:rPr>
              <w:t>5t/a</w:t>
            </w:r>
          </w:p>
        </w:tc>
        <w:tc>
          <w:tcPr>
            <w:tcW w:w="1286" w:type="dxa"/>
            <w:vAlign w:val="center"/>
          </w:tcPr>
          <w:p w14:paraId="6599824D">
            <w:pPr>
              <w:pStyle w:val="71"/>
              <w:rPr>
                <w:rFonts w:hint="eastAsia" w:eastAsia="宋体"/>
                <w:color w:val="auto"/>
                <w:lang w:val="en-US" w:eastAsia="zh-CN"/>
              </w:rPr>
            </w:pPr>
            <w:r>
              <w:rPr>
                <w:rFonts w:hint="eastAsia"/>
                <w:color w:val="auto"/>
                <w:lang w:val="en-US" w:eastAsia="zh-CN"/>
              </w:rPr>
              <w:t>+5t/a</w:t>
            </w:r>
          </w:p>
        </w:tc>
      </w:tr>
      <w:tr w14:paraId="69948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D0894F4">
            <w:pPr>
              <w:pStyle w:val="70"/>
              <w:spacing w:beforeLines="0" w:afterLines="0" w:line="240" w:lineRule="auto"/>
              <w:rPr>
                <w:rFonts w:ascii="Times New Roman"/>
                <w:snapToGrid w:val="0"/>
                <w:color w:val="auto"/>
                <w:kern w:val="21"/>
                <w:szCs w:val="21"/>
              </w:rPr>
            </w:pPr>
          </w:p>
        </w:tc>
        <w:tc>
          <w:tcPr>
            <w:tcW w:w="1417" w:type="dxa"/>
            <w:vAlign w:val="center"/>
          </w:tcPr>
          <w:p w14:paraId="66939DC4">
            <w:pPr>
              <w:pStyle w:val="71"/>
              <w:rPr>
                <w:rFonts w:hint="eastAsia" w:eastAsia="宋体"/>
                <w:color w:val="auto"/>
                <w:lang w:eastAsia="zh-CN"/>
              </w:rPr>
            </w:pPr>
            <w:r>
              <w:rPr>
                <w:rFonts w:hint="eastAsia"/>
                <w:color w:val="auto"/>
                <w:lang w:eastAsia="zh-CN"/>
              </w:rPr>
              <w:t>不合格品</w:t>
            </w:r>
          </w:p>
        </w:tc>
        <w:tc>
          <w:tcPr>
            <w:tcW w:w="1701" w:type="dxa"/>
            <w:vAlign w:val="center"/>
          </w:tcPr>
          <w:p w14:paraId="7BC3F130">
            <w:pPr>
              <w:pStyle w:val="70"/>
              <w:spacing w:beforeLines="0" w:afterLines="0" w:line="240" w:lineRule="auto"/>
              <w:rPr>
                <w:rFonts w:ascii="Times New Roman"/>
                <w:snapToGrid w:val="0"/>
                <w:color w:val="auto"/>
                <w:kern w:val="21"/>
                <w:szCs w:val="21"/>
              </w:rPr>
            </w:pPr>
          </w:p>
        </w:tc>
        <w:tc>
          <w:tcPr>
            <w:tcW w:w="1276" w:type="dxa"/>
            <w:vAlign w:val="center"/>
          </w:tcPr>
          <w:p w14:paraId="63003FCD">
            <w:pPr>
              <w:pStyle w:val="70"/>
              <w:spacing w:beforeLines="0" w:afterLines="0" w:line="240" w:lineRule="auto"/>
              <w:rPr>
                <w:rFonts w:ascii="Times New Roman"/>
                <w:snapToGrid w:val="0"/>
                <w:color w:val="auto"/>
                <w:kern w:val="21"/>
                <w:szCs w:val="21"/>
              </w:rPr>
            </w:pPr>
          </w:p>
        </w:tc>
        <w:tc>
          <w:tcPr>
            <w:tcW w:w="1701" w:type="dxa"/>
            <w:vAlign w:val="center"/>
          </w:tcPr>
          <w:p w14:paraId="1C03C1C7">
            <w:pPr>
              <w:pStyle w:val="70"/>
              <w:spacing w:beforeLines="0" w:afterLines="0" w:line="240" w:lineRule="auto"/>
              <w:rPr>
                <w:rFonts w:ascii="Times New Roman"/>
                <w:snapToGrid w:val="0"/>
                <w:color w:val="auto"/>
                <w:kern w:val="21"/>
                <w:szCs w:val="21"/>
              </w:rPr>
            </w:pPr>
          </w:p>
        </w:tc>
        <w:tc>
          <w:tcPr>
            <w:tcW w:w="1559" w:type="dxa"/>
            <w:vAlign w:val="center"/>
          </w:tcPr>
          <w:p w14:paraId="0B6373B3">
            <w:pPr>
              <w:pStyle w:val="71"/>
              <w:rPr>
                <w:rFonts w:hint="default" w:eastAsia="宋体"/>
                <w:color w:val="auto"/>
                <w:lang w:val="en-US" w:eastAsia="zh-CN"/>
              </w:rPr>
            </w:pPr>
            <w:r>
              <w:rPr>
                <w:rFonts w:hint="eastAsia"/>
                <w:color w:val="auto"/>
                <w:lang w:val="en-US" w:eastAsia="zh-CN"/>
              </w:rPr>
              <w:t>3480t/a</w:t>
            </w:r>
          </w:p>
        </w:tc>
        <w:tc>
          <w:tcPr>
            <w:tcW w:w="1541" w:type="dxa"/>
            <w:vAlign w:val="center"/>
          </w:tcPr>
          <w:p w14:paraId="1FF461D2">
            <w:pPr>
              <w:pStyle w:val="70"/>
              <w:spacing w:beforeLines="0" w:afterLines="0" w:line="240" w:lineRule="auto"/>
              <w:rPr>
                <w:rFonts w:ascii="Times New Roman"/>
                <w:snapToGrid w:val="0"/>
                <w:color w:val="auto"/>
                <w:kern w:val="21"/>
                <w:szCs w:val="21"/>
              </w:rPr>
            </w:pPr>
          </w:p>
        </w:tc>
        <w:tc>
          <w:tcPr>
            <w:tcW w:w="1719" w:type="dxa"/>
            <w:vAlign w:val="center"/>
          </w:tcPr>
          <w:p w14:paraId="3FC78EB1">
            <w:pPr>
              <w:pStyle w:val="71"/>
              <w:rPr>
                <w:rFonts w:hint="eastAsia"/>
                <w:color w:val="auto"/>
              </w:rPr>
            </w:pPr>
            <w:r>
              <w:rPr>
                <w:rFonts w:hint="eastAsia"/>
                <w:color w:val="auto"/>
                <w:lang w:val="en-US" w:eastAsia="zh-CN"/>
              </w:rPr>
              <w:t>3480t/a</w:t>
            </w:r>
          </w:p>
        </w:tc>
        <w:tc>
          <w:tcPr>
            <w:tcW w:w="1286" w:type="dxa"/>
            <w:vAlign w:val="center"/>
          </w:tcPr>
          <w:p w14:paraId="07587E8B">
            <w:pPr>
              <w:pStyle w:val="71"/>
              <w:rPr>
                <w:rFonts w:hint="eastAsia" w:eastAsia="宋体"/>
                <w:color w:val="auto"/>
                <w:lang w:val="en-US" w:eastAsia="zh-CN"/>
              </w:rPr>
            </w:pPr>
            <w:r>
              <w:rPr>
                <w:rFonts w:hint="eastAsia"/>
                <w:color w:val="auto"/>
                <w:lang w:val="en-US" w:eastAsia="zh-CN"/>
              </w:rPr>
              <w:t>+3480t/a</w:t>
            </w:r>
          </w:p>
        </w:tc>
      </w:tr>
      <w:tr w14:paraId="1F1BE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Align w:val="center"/>
          </w:tcPr>
          <w:p w14:paraId="169632E7">
            <w:pPr>
              <w:pStyle w:val="70"/>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生活垃圾</w:t>
            </w:r>
          </w:p>
        </w:tc>
        <w:tc>
          <w:tcPr>
            <w:tcW w:w="1417" w:type="dxa"/>
            <w:vAlign w:val="center"/>
          </w:tcPr>
          <w:p w14:paraId="4972AF0E">
            <w:pPr>
              <w:pStyle w:val="71"/>
              <w:rPr>
                <w:color w:val="auto"/>
              </w:rPr>
            </w:pPr>
            <w:r>
              <w:rPr>
                <w:rFonts w:hint="eastAsia"/>
                <w:snapToGrid w:val="0"/>
                <w:color w:val="auto"/>
                <w:kern w:val="21"/>
              </w:rPr>
              <w:t>生活垃圾</w:t>
            </w:r>
          </w:p>
        </w:tc>
        <w:tc>
          <w:tcPr>
            <w:tcW w:w="1701" w:type="dxa"/>
            <w:vAlign w:val="center"/>
          </w:tcPr>
          <w:p w14:paraId="6438656B">
            <w:pPr>
              <w:pStyle w:val="70"/>
              <w:spacing w:beforeLines="0" w:afterLines="0" w:line="240" w:lineRule="auto"/>
              <w:rPr>
                <w:rFonts w:ascii="Times New Roman"/>
                <w:snapToGrid w:val="0"/>
                <w:color w:val="auto"/>
                <w:kern w:val="21"/>
                <w:szCs w:val="21"/>
              </w:rPr>
            </w:pPr>
          </w:p>
        </w:tc>
        <w:tc>
          <w:tcPr>
            <w:tcW w:w="1276" w:type="dxa"/>
            <w:vAlign w:val="center"/>
          </w:tcPr>
          <w:p w14:paraId="0F6FA871">
            <w:pPr>
              <w:pStyle w:val="70"/>
              <w:spacing w:beforeLines="0" w:afterLines="0" w:line="240" w:lineRule="auto"/>
              <w:rPr>
                <w:rFonts w:ascii="Times New Roman"/>
                <w:snapToGrid w:val="0"/>
                <w:color w:val="auto"/>
                <w:kern w:val="21"/>
                <w:szCs w:val="21"/>
              </w:rPr>
            </w:pPr>
          </w:p>
        </w:tc>
        <w:tc>
          <w:tcPr>
            <w:tcW w:w="1701" w:type="dxa"/>
            <w:vAlign w:val="center"/>
          </w:tcPr>
          <w:p w14:paraId="7A511207">
            <w:pPr>
              <w:pStyle w:val="70"/>
              <w:spacing w:beforeLines="0" w:afterLines="0" w:line="240" w:lineRule="auto"/>
              <w:rPr>
                <w:rFonts w:ascii="Times New Roman"/>
                <w:snapToGrid w:val="0"/>
                <w:color w:val="auto"/>
                <w:kern w:val="21"/>
                <w:szCs w:val="21"/>
              </w:rPr>
            </w:pPr>
          </w:p>
        </w:tc>
        <w:tc>
          <w:tcPr>
            <w:tcW w:w="1559" w:type="dxa"/>
            <w:vAlign w:val="center"/>
          </w:tcPr>
          <w:p w14:paraId="6998756E">
            <w:pPr>
              <w:pStyle w:val="71"/>
              <w:rPr>
                <w:snapToGrid w:val="0"/>
                <w:color w:val="auto"/>
                <w:kern w:val="18"/>
              </w:rPr>
            </w:pPr>
            <w:r>
              <w:rPr>
                <w:rFonts w:hint="eastAsia"/>
                <w:snapToGrid w:val="0"/>
                <w:color w:val="auto"/>
                <w:kern w:val="18"/>
              </w:rPr>
              <w:t>16.5t/a</w:t>
            </w:r>
          </w:p>
        </w:tc>
        <w:tc>
          <w:tcPr>
            <w:tcW w:w="1541" w:type="dxa"/>
            <w:vAlign w:val="center"/>
          </w:tcPr>
          <w:p w14:paraId="1629C5A9">
            <w:pPr>
              <w:pStyle w:val="70"/>
              <w:spacing w:beforeLines="0" w:afterLines="0" w:line="240" w:lineRule="auto"/>
              <w:rPr>
                <w:rFonts w:ascii="Times New Roman"/>
                <w:snapToGrid w:val="0"/>
                <w:color w:val="auto"/>
                <w:kern w:val="21"/>
                <w:szCs w:val="21"/>
              </w:rPr>
            </w:pPr>
          </w:p>
        </w:tc>
        <w:tc>
          <w:tcPr>
            <w:tcW w:w="1719" w:type="dxa"/>
            <w:vAlign w:val="center"/>
          </w:tcPr>
          <w:p w14:paraId="33CDB0C7">
            <w:pPr>
              <w:pStyle w:val="71"/>
              <w:rPr>
                <w:snapToGrid w:val="0"/>
                <w:color w:val="auto"/>
                <w:kern w:val="21"/>
              </w:rPr>
            </w:pPr>
            <w:r>
              <w:rPr>
                <w:rFonts w:hint="eastAsia"/>
                <w:snapToGrid w:val="0"/>
                <w:color w:val="auto"/>
                <w:kern w:val="18"/>
              </w:rPr>
              <w:t>16.5t/a</w:t>
            </w:r>
          </w:p>
        </w:tc>
        <w:tc>
          <w:tcPr>
            <w:tcW w:w="1286" w:type="dxa"/>
            <w:vAlign w:val="center"/>
          </w:tcPr>
          <w:p w14:paraId="338A941D">
            <w:pPr>
              <w:pStyle w:val="71"/>
              <w:rPr>
                <w:snapToGrid w:val="0"/>
                <w:color w:val="auto"/>
                <w:kern w:val="21"/>
              </w:rPr>
            </w:pPr>
            <w:r>
              <w:rPr>
                <w:rFonts w:hint="eastAsia"/>
                <w:snapToGrid w:val="0"/>
                <w:color w:val="auto"/>
                <w:kern w:val="18"/>
              </w:rPr>
              <w:t>+16.5t/a</w:t>
            </w:r>
          </w:p>
        </w:tc>
      </w:tr>
    </w:tbl>
    <w:p w14:paraId="6CBF2E0C">
      <w:pPr>
        <w:pStyle w:val="70"/>
        <w:spacing w:beforeLines="80" w:after="24"/>
        <w:jc w:val="left"/>
        <w:rPr>
          <w:rFonts w:hAnsi="宋体"/>
          <w:snapToGrid w:val="0"/>
          <w:color w:val="auto"/>
          <w:kern w:val="21"/>
          <w:szCs w:val="21"/>
        </w:rPr>
      </w:pPr>
      <w:r>
        <w:rPr>
          <w:rFonts w:hAnsi="宋体"/>
          <w:snapToGrid w:val="0"/>
          <w:color w:val="auto"/>
          <w:kern w:val="21"/>
          <w:szCs w:val="21"/>
        </w:rPr>
        <w:t>注：</w:t>
      </w:r>
      <w:r>
        <w:rPr>
          <w:rFonts w:hAnsi="宋体"/>
          <w:snapToGrid w:val="0"/>
          <w:color w:val="auto"/>
          <w:kern w:val="21"/>
          <w:szCs w:val="21"/>
        </w:rPr>
        <w:fldChar w:fldCharType="begin"/>
      </w:r>
      <w:r>
        <w:rPr>
          <w:rFonts w:hAnsi="宋体"/>
          <w:snapToGrid w:val="0"/>
          <w:color w:val="auto"/>
          <w:kern w:val="21"/>
          <w:szCs w:val="21"/>
        </w:rPr>
        <w:instrText xml:space="preserve"> = 6 \* GB3 \* MERGEFORMAT </w:instrText>
      </w:r>
      <w:r>
        <w:rPr>
          <w:rFonts w:hAnsi="宋体"/>
          <w:snapToGrid w:val="0"/>
          <w:color w:val="auto"/>
          <w:kern w:val="21"/>
          <w:szCs w:val="21"/>
        </w:rPr>
        <w:fldChar w:fldCharType="separate"/>
      </w:r>
      <w:r>
        <w:rPr>
          <w:rFonts w:hint="eastAsia" w:hAnsi="宋体"/>
          <w:color w:val="auto"/>
          <w:kern w:val="21"/>
          <w:szCs w:val="21"/>
        </w:rPr>
        <w:t>⑥</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1 \* GB3 \* MERGEFORMAT </w:instrText>
      </w:r>
      <w:r>
        <w:rPr>
          <w:rFonts w:hAnsi="宋体"/>
          <w:snapToGrid w:val="0"/>
          <w:color w:val="auto"/>
          <w:kern w:val="21"/>
          <w:szCs w:val="21"/>
        </w:rPr>
        <w:fldChar w:fldCharType="separate"/>
      </w:r>
      <w:r>
        <w:rPr>
          <w:rFonts w:hint="eastAsia" w:hAnsi="宋体"/>
          <w:color w:val="auto"/>
          <w:kern w:val="21"/>
          <w:szCs w:val="21"/>
        </w:rPr>
        <w:t>①</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3 \* GB3 \* MERGEFORMAT </w:instrText>
      </w:r>
      <w:r>
        <w:rPr>
          <w:rFonts w:hAnsi="宋体"/>
          <w:snapToGrid w:val="0"/>
          <w:color w:val="auto"/>
          <w:kern w:val="21"/>
          <w:szCs w:val="21"/>
        </w:rPr>
        <w:fldChar w:fldCharType="separate"/>
      </w:r>
      <w:r>
        <w:rPr>
          <w:rFonts w:hint="eastAsia" w:hAnsi="宋体"/>
          <w:color w:val="auto"/>
          <w:kern w:val="21"/>
          <w:szCs w:val="21"/>
        </w:rPr>
        <w:t>③</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4 \* GB3 \* MERGEFORMAT </w:instrText>
      </w:r>
      <w:r>
        <w:rPr>
          <w:rFonts w:hAnsi="宋体"/>
          <w:snapToGrid w:val="0"/>
          <w:color w:val="auto"/>
          <w:kern w:val="21"/>
          <w:szCs w:val="21"/>
        </w:rPr>
        <w:fldChar w:fldCharType="separate"/>
      </w:r>
      <w:r>
        <w:rPr>
          <w:rFonts w:hint="eastAsia" w:hAnsi="宋体"/>
          <w:color w:val="auto"/>
          <w:kern w:val="21"/>
          <w:szCs w:val="21"/>
        </w:rPr>
        <w:t>④</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5 \* GB3 \* MERGEFORMAT </w:instrText>
      </w:r>
      <w:r>
        <w:rPr>
          <w:rFonts w:hAnsi="宋体"/>
          <w:snapToGrid w:val="0"/>
          <w:color w:val="auto"/>
          <w:kern w:val="21"/>
          <w:szCs w:val="21"/>
        </w:rPr>
        <w:fldChar w:fldCharType="separate"/>
      </w:r>
      <w:r>
        <w:rPr>
          <w:rFonts w:hint="eastAsia" w:hAnsi="宋体"/>
          <w:color w:val="auto"/>
          <w:kern w:val="21"/>
          <w:szCs w:val="21"/>
        </w:rPr>
        <w:t>⑤</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7 \* GB3 \* MERGEFORMAT </w:instrText>
      </w:r>
      <w:r>
        <w:rPr>
          <w:rFonts w:hAnsi="宋体"/>
          <w:snapToGrid w:val="0"/>
          <w:color w:val="auto"/>
          <w:kern w:val="21"/>
          <w:szCs w:val="21"/>
        </w:rPr>
        <w:fldChar w:fldCharType="separate"/>
      </w:r>
      <w:r>
        <w:rPr>
          <w:rFonts w:hint="eastAsia" w:hAnsi="宋体"/>
          <w:color w:val="auto"/>
          <w:kern w:val="21"/>
          <w:szCs w:val="21"/>
        </w:rPr>
        <w:t>⑦</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6 \* GB3 \* MERGEFORMAT </w:instrText>
      </w:r>
      <w:r>
        <w:rPr>
          <w:rFonts w:hAnsi="宋体"/>
          <w:snapToGrid w:val="0"/>
          <w:color w:val="auto"/>
          <w:kern w:val="21"/>
          <w:szCs w:val="21"/>
        </w:rPr>
        <w:fldChar w:fldCharType="separate"/>
      </w:r>
      <w:r>
        <w:rPr>
          <w:rFonts w:hint="eastAsia" w:hAnsi="宋体"/>
          <w:color w:val="auto"/>
          <w:kern w:val="21"/>
          <w:szCs w:val="21"/>
        </w:rPr>
        <w:t>⑥</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1 \* GB3 \* MERGEFORMAT </w:instrText>
      </w:r>
      <w:r>
        <w:rPr>
          <w:rFonts w:hAnsi="宋体"/>
          <w:snapToGrid w:val="0"/>
          <w:color w:val="auto"/>
          <w:kern w:val="21"/>
          <w:szCs w:val="21"/>
        </w:rPr>
        <w:fldChar w:fldCharType="separate"/>
      </w:r>
      <w:r>
        <w:rPr>
          <w:rFonts w:hint="eastAsia" w:hAnsi="宋体"/>
          <w:color w:val="auto"/>
          <w:kern w:val="21"/>
          <w:szCs w:val="21"/>
        </w:rPr>
        <w:t>①</w:t>
      </w:r>
      <w:r>
        <w:rPr>
          <w:rFonts w:hAnsi="宋体"/>
          <w:snapToGrid w:val="0"/>
          <w:color w:val="auto"/>
          <w:kern w:val="21"/>
          <w:szCs w:val="21"/>
        </w:rPr>
        <w:fldChar w:fldCharType="end"/>
      </w:r>
    </w:p>
    <w:p w14:paraId="17F38FC7">
      <w:pPr>
        <w:rPr>
          <w:color w:val="auto"/>
          <w:kern w:val="21"/>
          <w:highlight w:val="yellow"/>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26735308">
      <w:pPr>
        <w:pStyle w:val="2"/>
        <w:ind w:left="0" w:firstLine="0"/>
        <w:rPr>
          <w:rFonts w:hint="default" w:ascii="Times New Roman" w:hAnsi="Times New Roman" w:cs="Times New Roman"/>
          <w:color w:val="auto"/>
          <w:lang w:val="en-US" w:eastAsia="zh-CN"/>
        </w:rPr>
      </w:pPr>
      <w:bookmarkStart w:id="143" w:name="_Toc9425"/>
      <w:bookmarkStart w:id="144" w:name="_Toc13871"/>
      <w:r>
        <w:rPr>
          <w:rFonts w:hint="default" w:ascii="Times New Roman" w:hAnsi="Times New Roman" w:cs="Times New Roman"/>
          <w:color w:val="auto"/>
          <w:sz w:val="28"/>
          <w:szCs w:val="28"/>
          <w:lang w:val="en-US" w:eastAsia="zh-CN"/>
        </w:rPr>
        <w:drawing>
          <wp:anchor distT="0" distB="0" distL="114300" distR="114300" simplePos="0" relativeHeight="251675648" behindDoc="0" locked="0" layoutInCell="1" allowOverlap="1">
            <wp:simplePos x="0" y="0"/>
            <wp:positionH relativeFrom="column">
              <wp:posOffset>-287020</wp:posOffset>
            </wp:positionH>
            <wp:positionV relativeFrom="paragraph">
              <wp:posOffset>648970</wp:posOffset>
            </wp:positionV>
            <wp:extent cx="5838190" cy="8096250"/>
            <wp:effectExtent l="0" t="0" r="0" b="0"/>
            <wp:wrapNone/>
            <wp:docPr id="87" name="图片 87" descr="建设项目环境影响报告表(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建设项目环境影响报告表(2)_04"/>
                    <pic:cNvPicPr>
                      <a:picLocks noChangeAspect="1"/>
                    </pic:cNvPicPr>
                  </pic:nvPicPr>
                  <pic:blipFill>
                    <a:blip r:embed="rId27"/>
                    <a:srcRect l="5214" t="2664" r="3203" b="7854"/>
                    <a:stretch>
                      <a:fillRect/>
                    </a:stretch>
                  </pic:blipFill>
                  <pic:spPr>
                    <a:xfrm>
                      <a:off x="0" y="0"/>
                      <a:ext cx="5838190" cy="8096250"/>
                    </a:xfrm>
                    <a:prstGeom prst="rect">
                      <a:avLst/>
                    </a:prstGeom>
                  </pic:spPr>
                </pic:pic>
              </a:graphicData>
            </a:graphic>
          </wp:anchor>
        </w:drawing>
      </w:r>
      <w:r>
        <w:rPr>
          <w:rFonts w:hint="eastAsia" w:ascii="Times New Roman" w:hAnsi="Times New Roman" w:cs="Times New Roman"/>
          <w:color w:val="auto"/>
          <w:lang w:val="en-US" w:eastAsia="zh-CN"/>
        </w:rPr>
        <w:t>附件</w:t>
      </w:r>
      <w:r>
        <w:rPr>
          <w:rFonts w:hint="eastAsia" w:cs="Times New Roman"/>
          <w:color w:val="auto"/>
          <w:lang w:val="en-US" w:eastAsia="zh-CN"/>
        </w:rPr>
        <w:t>1</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关于环评文件公开文本删除的涉及国家秘密、商业秘密等内容的删除依据和理由说明</w:t>
      </w:r>
      <w:bookmarkEnd w:id="143"/>
      <w:bookmarkEnd w:id="144"/>
    </w:p>
    <w:p w14:paraId="74036E2C">
      <w:pPr>
        <w:pStyle w:val="9"/>
        <w:tabs>
          <w:tab w:val="right" w:pos="8820"/>
        </w:tabs>
        <w:wordWrap w:val="0"/>
        <w:ind w:left="0" w:leftChars="0" w:firstLine="0" w:firstLineChars="0"/>
        <w:jc w:val="both"/>
        <w:rPr>
          <w:rFonts w:hint="default" w:ascii="Times New Roman" w:hAnsi="Times New Roman" w:eastAsia="宋体" w:cs="Times New Roman"/>
          <w:color w:val="auto"/>
          <w:sz w:val="30"/>
          <w:szCs w:val="30"/>
          <w:lang w:val="en-US" w:eastAsia="zh-CN"/>
        </w:rPr>
      </w:pPr>
    </w:p>
    <w:p w14:paraId="6DAA1697">
      <w:pPr>
        <w:bidi w:val="0"/>
        <w:jc w:val="center"/>
        <w:rPr>
          <w:rFonts w:hint="default" w:ascii="Times New Roman" w:hAnsi="Times New Roman" w:cs="Times New Roman"/>
          <w:color w:val="auto"/>
          <w:sz w:val="36"/>
          <w:szCs w:val="36"/>
          <w:lang w:val="en-US" w:eastAsia="zh-CN"/>
        </w:rPr>
      </w:pPr>
      <w:r>
        <w:rPr>
          <w:rFonts w:hint="default" w:ascii="Times New Roman" w:hAnsi="Times New Roman" w:cs="Times New Roman"/>
          <w:color w:val="auto"/>
          <w:sz w:val="36"/>
          <w:szCs w:val="36"/>
          <w:lang w:val="en-US" w:eastAsia="zh-CN"/>
        </w:rPr>
        <w:t>关于环评文件公开文本删除的涉及国家秘密、商业秘密等内容</w:t>
      </w:r>
      <w:bookmarkStart w:id="145" w:name="_Toc19535"/>
      <w:bookmarkStart w:id="146" w:name="_Toc16227"/>
      <w:r>
        <w:rPr>
          <w:rFonts w:hint="default" w:ascii="Times New Roman" w:hAnsi="Times New Roman" w:cs="Times New Roman"/>
          <w:color w:val="auto"/>
          <w:sz w:val="36"/>
          <w:szCs w:val="36"/>
          <w:lang w:val="en-US" w:eastAsia="zh-CN"/>
        </w:rPr>
        <w:t>的删除依据和理由说明</w:t>
      </w:r>
      <w:bookmarkEnd w:id="145"/>
      <w:bookmarkEnd w:id="146"/>
    </w:p>
    <w:p w14:paraId="28FB52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8"/>
          <w:szCs w:val="28"/>
          <w:lang w:val="en-US" w:eastAsia="zh-CN"/>
        </w:rPr>
      </w:pPr>
    </w:p>
    <w:p w14:paraId="1A7F29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福州市福清生态环境局</w:t>
      </w:r>
      <w:r>
        <w:rPr>
          <w:rFonts w:hint="default" w:ascii="Times New Roman" w:hAnsi="Times New Roman" w:cs="Times New Roman"/>
          <w:color w:val="auto"/>
          <w:sz w:val="28"/>
          <w:szCs w:val="28"/>
          <w:shd w:val="clear" w:fill="FFFFFF"/>
          <w:lang w:val="en-US" w:eastAsia="zh-CN"/>
        </w:rPr>
        <w:t>:</w:t>
      </w:r>
    </w:p>
    <w:p w14:paraId="1EEA40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我司</w:t>
      </w:r>
      <w:r>
        <w:rPr>
          <w:rFonts w:hint="eastAsia" w:cs="Times New Roman"/>
          <w:color w:val="auto"/>
          <w:sz w:val="28"/>
          <w:szCs w:val="28"/>
          <w:u w:val="single"/>
          <w:lang w:val="en-US" w:eastAsia="zh-CN"/>
        </w:rPr>
        <w:t>福清市融大水泥制品有限公司年产30万米水泥预制管</w:t>
      </w:r>
      <w:r>
        <w:rPr>
          <w:rFonts w:hint="eastAsia" w:eastAsia="宋体" w:cs="Times New Roman"/>
          <w:color w:val="auto"/>
          <w:sz w:val="28"/>
          <w:szCs w:val="28"/>
          <w:u w:val="single"/>
          <w:lang w:val="en-US" w:eastAsia="zh-CN"/>
        </w:rPr>
        <w:t>项目</w:t>
      </w:r>
      <w:r>
        <w:rPr>
          <w:rFonts w:hint="default" w:ascii="Times New Roman" w:hAnsi="Times New Roman" w:cs="Times New Roman"/>
          <w:color w:val="auto"/>
          <w:sz w:val="28"/>
          <w:szCs w:val="28"/>
          <w:lang w:val="en-US" w:eastAsia="zh-CN"/>
        </w:rPr>
        <w:t>已完成环境影响评价表编制，现报送贵局审批。我司已删除涉及国家秘密、商业密、个人隐私等内容</w:t>
      </w:r>
      <w:r>
        <w:rPr>
          <w:rFonts w:hint="eastAsia" w:cs="Times New Roman"/>
          <w:color w:val="auto"/>
          <w:sz w:val="28"/>
          <w:szCs w:val="28"/>
          <w:shd w:val="clear" w:fill="FFFFFF"/>
          <w:lang w:val="en-US" w:eastAsia="zh-CN"/>
        </w:rPr>
        <w:t>(</w:t>
      </w:r>
      <w:r>
        <w:rPr>
          <w:rFonts w:hint="default" w:ascii="Times New Roman" w:hAnsi="Times New Roman" w:cs="Times New Roman"/>
          <w:color w:val="auto"/>
          <w:sz w:val="28"/>
          <w:szCs w:val="28"/>
          <w:lang w:val="en-US" w:eastAsia="zh-CN"/>
        </w:rPr>
        <w:t>具体删除内容、删除依据详见附件</w:t>
      </w:r>
      <w:r>
        <w:rPr>
          <w:rFonts w:hint="eastAsia" w:cs="Times New Roman"/>
          <w:color w:val="auto"/>
          <w:sz w:val="28"/>
          <w:szCs w:val="28"/>
          <w:shd w:val="clear" w:fill="FFFFFF"/>
          <w:lang w:val="en-US" w:eastAsia="zh-CN"/>
        </w:rPr>
        <w:t>)</w:t>
      </w:r>
      <w:r>
        <w:rPr>
          <w:rFonts w:hint="default" w:ascii="Times New Roman" w:hAnsi="Times New Roman" w:cs="Times New Roman"/>
          <w:color w:val="auto"/>
          <w:sz w:val="28"/>
          <w:szCs w:val="28"/>
          <w:lang w:val="en-US" w:eastAsia="zh-CN"/>
        </w:rPr>
        <w:t>报送贵局的环境影响评价报告表公开文本已经我司审核，删除的内容详见下文：</w:t>
      </w:r>
    </w:p>
    <w:p w14:paraId="74D56334">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8"/>
          <w:szCs w:val="28"/>
          <w:lang w:val="en-US" w:eastAsia="zh-CN"/>
        </w:rPr>
        <w:t>附件附图内容；</w:t>
      </w:r>
    </w:p>
    <w:p w14:paraId="5C0FF63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8"/>
          <w:szCs w:val="28"/>
          <w:lang w:val="en-US" w:eastAsia="zh-CN"/>
        </w:rPr>
        <w:t>联系人和联系方式。</w:t>
      </w:r>
    </w:p>
    <w:p w14:paraId="0586315A">
      <w:pPr>
        <w:bidi w:val="0"/>
        <w:rPr>
          <w:rFonts w:hint="default" w:ascii="Times New Roman" w:hAnsi="Times New Roman" w:cs="Times New Roman"/>
          <w:color w:val="auto"/>
          <w:lang w:val="en-US" w:eastAsia="zh-CN"/>
        </w:rPr>
      </w:pPr>
    </w:p>
    <w:p w14:paraId="0D8FDB54">
      <w:pPr>
        <w:rPr>
          <w:rFonts w:hint="default" w:ascii="Times New Roman" w:hAnsi="Times New Roman" w:eastAsia="宋体" w:cs="Times New Roman"/>
          <w:color w:val="auto"/>
          <w:sz w:val="24"/>
          <w:szCs w:val="24"/>
          <w:lang w:val="en-US" w:eastAsia="zh-CN"/>
        </w:rPr>
      </w:pPr>
    </w:p>
    <w:p w14:paraId="05E3E3DE">
      <w:pPr>
        <w:pStyle w:val="167"/>
        <w:rPr>
          <w:rFonts w:hint="default" w:ascii="Times New Roman" w:hAnsi="Times New Roman" w:eastAsia="宋体" w:cs="Times New Roman"/>
          <w:color w:val="auto"/>
          <w:sz w:val="24"/>
          <w:szCs w:val="24"/>
          <w:lang w:val="en-US" w:eastAsia="zh-CN"/>
        </w:rPr>
      </w:pPr>
    </w:p>
    <w:p w14:paraId="54307F54">
      <w:pPr>
        <w:pStyle w:val="167"/>
        <w:rPr>
          <w:rFonts w:hint="default" w:ascii="Times New Roman" w:hAnsi="Times New Roman" w:eastAsia="宋体" w:cs="Times New Roman"/>
          <w:color w:val="auto"/>
          <w:sz w:val="24"/>
          <w:szCs w:val="24"/>
          <w:lang w:val="en-US" w:eastAsia="zh-CN"/>
        </w:rPr>
      </w:pPr>
    </w:p>
    <w:p w14:paraId="5C7508A9">
      <w:pPr>
        <w:pStyle w:val="167"/>
        <w:rPr>
          <w:rFonts w:hint="default" w:ascii="Times New Roman" w:hAnsi="Times New Roman" w:eastAsia="宋体" w:cs="Times New Roman"/>
          <w:color w:val="auto"/>
          <w:sz w:val="24"/>
          <w:szCs w:val="24"/>
          <w:lang w:val="en-US" w:eastAsia="zh-CN"/>
        </w:rPr>
      </w:pPr>
    </w:p>
    <w:p w14:paraId="1E490393">
      <w:pPr>
        <w:pStyle w:val="167"/>
        <w:rPr>
          <w:rFonts w:hint="default" w:ascii="Times New Roman" w:hAnsi="Times New Roman" w:eastAsia="宋体" w:cs="Times New Roman"/>
          <w:color w:val="auto"/>
          <w:sz w:val="24"/>
          <w:szCs w:val="24"/>
          <w:lang w:val="en-US" w:eastAsia="zh-CN"/>
        </w:rPr>
      </w:pPr>
    </w:p>
    <w:p w14:paraId="092341A9">
      <w:pPr>
        <w:spacing w:line="360" w:lineRule="auto"/>
        <w:jc w:val="right"/>
        <w:rPr>
          <w:rFonts w:hint="default" w:ascii="Times New Roman" w:hAnsi="Times New Roman" w:cs="Times New Roman"/>
          <w:color w:val="auto"/>
          <w:sz w:val="28"/>
        </w:rPr>
      </w:pPr>
    </w:p>
    <w:p w14:paraId="3DEBDB19">
      <w:pPr>
        <w:spacing w:line="360" w:lineRule="auto"/>
        <w:jc w:val="right"/>
        <w:rPr>
          <w:rFonts w:hint="default" w:ascii="Times New Roman" w:hAnsi="Times New Roman" w:cs="Times New Roman"/>
          <w:color w:val="auto"/>
          <w:sz w:val="28"/>
          <w:lang w:eastAsia="zh-CN"/>
        </w:rPr>
      </w:pPr>
      <w:r>
        <w:rPr>
          <w:rFonts w:hint="default" w:ascii="Times New Roman" w:hAnsi="Times New Roman" w:cs="Times New Roman"/>
          <w:color w:val="auto"/>
          <w:sz w:val="28"/>
        </w:rPr>
        <w:t>单位名称</w:t>
      </w:r>
      <w:r>
        <w:rPr>
          <w:rFonts w:hint="eastAsia" w:cs="Times New Roman"/>
          <w:color w:val="auto"/>
          <w:sz w:val="28"/>
          <w:shd w:val="clear" w:fill="FFFFFF"/>
          <w:lang w:eastAsia="zh-CN"/>
        </w:rPr>
        <w:t>(</w:t>
      </w:r>
      <w:r>
        <w:rPr>
          <w:rFonts w:hint="default" w:ascii="Times New Roman" w:hAnsi="Times New Roman" w:cs="Times New Roman"/>
          <w:color w:val="auto"/>
          <w:sz w:val="28"/>
        </w:rPr>
        <w:t>公章</w:t>
      </w:r>
      <w:r>
        <w:rPr>
          <w:rFonts w:hint="eastAsia" w:cs="Times New Roman"/>
          <w:color w:val="auto"/>
          <w:sz w:val="28"/>
          <w:shd w:val="clear" w:fill="FFFFFF"/>
          <w:lang w:eastAsia="zh-CN"/>
        </w:rPr>
        <w:t>)</w:t>
      </w:r>
      <w:r>
        <w:rPr>
          <w:rFonts w:hint="default" w:ascii="Times New Roman" w:hAnsi="Times New Roman" w:cs="Times New Roman"/>
          <w:color w:val="auto"/>
          <w:sz w:val="28"/>
        </w:rPr>
        <w:t>：</w:t>
      </w:r>
      <w:r>
        <w:rPr>
          <w:rFonts w:hint="eastAsia" w:cs="Times New Roman"/>
          <w:color w:val="auto"/>
          <w:sz w:val="28"/>
          <w:lang w:eastAsia="zh-CN"/>
        </w:rPr>
        <w:t>福清市融大水泥制品有限公司</w:t>
      </w:r>
    </w:p>
    <w:p w14:paraId="2EA2D745">
      <w:pPr>
        <w:spacing w:line="360" w:lineRule="auto"/>
        <w:jc w:val="right"/>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val="en-US" w:eastAsia="zh-CN"/>
        </w:rPr>
        <w:t>时间：</w:t>
      </w:r>
      <w:r>
        <w:rPr>
          <w:rFonts w:hint="eastAsia" w:cs="Times New Roman"/>
          <w:color w:val="auto"/>
          <w:sz w:val="28"/>
          <w:lang w:eastAsia="zh-CN"/>
        </w:rPr>
        <w:t>2025年4月14日</w:t>
      </w:r>
    </w:p>
    <w:p w14:paraId="54F2493F">
      <w:pPr>
        <w:bidi w:val="0"/>
        <w:rPr>
          <w:rFonts w:hint="default" w:ascii="Times New Roman" w:hAnsi="Times New Roman" w:cs="Times New Roman"/>
          <w:color w:val="auto"/>
          <w:lang w:eastAsia="zh-CN"/>
        </w:rPr>
      </w:pPr>
    </w:p>
    <w:p w14:paraId="7F48498F">
      <w:pPr>
        <w:bidi w:val="0"/>
        <w:rPr>
          <w:rFonts w:hint="eastAsia"/>
        </w:rPr>
      </w:pPr>
      <w:r>
        <w:rPr>
          <w:rFonts w:hint="default" w:ascii="Times New Roman" w:hAnsi="Times New Roman" w:eastAsia="黑体" w:cs="Times New Roman"/>
          <w:color w:val="auto"/>
          <w:sz w:val="36"/>
          <w:szCs w:val="36"/>
          <w:highlight w:val="none"/>
        </w:rPr>
        <w:drawing>
          <wp:anchor distT="0" distB="0" distL="114300" distR="114300" simplePos="0" relativeHeight="251670528" behindDoc="0" locked="0" layoutInCell="1" allowOverlap="1">
            <wp:simplePos x="0" y="0"/>
            <wp:positionH relativeFrom="column">
              <wp:posOffset>-4091305</wp:posOffset>
            </wp:positionH>
            <wp:positionV relativeFrom="paragraph">
              <wp:posOffset>-816986555</wp:posOffset>
            </wp:positionV>
            <wp:extent cx="635" cy="0"/>
            <wp:effectExtent l="0" t="0" r="0" b="0"/>
            <wp:wrapNone/>
            <wp:docPr id="41" name="图片 2763"/>
            <wp:cNvGraphicFramePr/>
            <a:graphic xmlns:a="http://schemas.openxmlformats.org/drawingml/2006/main">
              <a:graphicData uri="http://schemas.openxmlformats.org/drawingml/2006/picture">
                <pic:pic xmlns:pic="http://schemas.openxmlformats.org/drawingml/2006/picture">
                  <pic:nvPicPr>
                    <pic:cNvPr id="41" name="图片 2763"/>
                    <pic:cNvPicPr/>
                  </pic:nvPicPr>
                  <pic:blipFill>
                    <a:blip r:embed="rId28"/>
                    <a:stretch>
                      <a:fillRect/>
                    </a:stretch>
                  </pic:blipFill>
                  <pic:spPr>
                    <a:xfrm>
                      <a:off x="0" y="0"/>
                      <a:ext cx="635" cy="0"/>
                    </a:xfrm>
                    <a:prstGeom prst="rect">
                      <a:avLst/>
                    </a:prstGeom>
                    <a:noFill/>
                    <a:ln>
                      <a:noFill/>
                    </a:ln>
                  </pic:spPr>
                </pic:pic>
              </a:graphicData>
            </a:graphic>
          </wp:anchor>
        </w:drawing>
      </w:r>
      <w:r>
        <w:rPr>
          <w:rFonts w:hint="default" w:ascii="Times New Roman" w:hAnsi="Times New Roman" w:eastAsia="黑体" w:cs="Times New Roman"/>
          <w:color w:val="auto"/>
          <w:sz w:val="36"/>
          <w:szCs w:val="36"/>
          <w:highlight w:val="none"/>
        </w:rPr>
        <w:drawing>
          <wp:anchor distT="0" distB="0" distL="114300" distR="114300" simplePos="0" relativeHeight="251667456" behindDoc="0" locked="0" layoutInCell="1" allowOverlap="1">
            <wp:simplePos x="0" y="0"/>
            <wp:positionH relativeFrom="column">
              <wp:posOffset>-4091305</wp:posOffset>
            </wp:positionH>
            <wp:positionV relativeFrom="paragraph">
              <wp:posOffset>-816986555</wp:posOffset>
            </wp:positionV>
            <wp:extent cx="635" cy="0"/>
            <wp:effectExtent l="0" t="0" r="0" b="0"/>
            <wp:wrapNone/>
            <wp:docPr id="59" name="图片 2764"/>
            <wp:cNvGraphicFramePr/>
            <a:graphic xmlns:a="http://schemas.openxmlformats.org/drawingml/2006/main">
              <a:graphicData uri="http://schemas.openxmlformats.org/drawingml/2006/picture">
                <pic:pic xmlns:pic="http://schemas.openxmlformats.org/drawingml/2006/picture">
                  <pic:nvPicPr>
                    <pic:cNvPr id="59" name="图片 2764"/>
                    <pic:cNvPicPr/>
                  </pic:nvPicPr>
                  <pic:blipFill>
                    <a:blip r:embed="rId29"/>
                    <a:stretch>
                      <a:fillRect/>
                    </a:stretch>
                  </pic:blipFill>
                  <pic:spPr>
                    <a:xfrm>
                      <a:off x="0" y="0"/>
                      <a:ext cx="635" cy="0"/>
                    </a:xfrm>
                    <a:prstGeom prst="rect">
                      <a:avLst/>
                    </a:prstGeom>
                    <a:noFill/>
                    <a:ln>
                      <a:noFill/>
                    </a:ln>
                  </pic:spPr>
                </pic:pic>
              </a:graphicData>
            </a:graphic>
          </wp:anchor>
        </w:drawing>
      </w:r>
      <w:r>
        <w:rPr>
          <w:rFonts w:hint="default" w:ascii="Times New Roman" w:hAnsi="Times New Roman" w:eastAsia="黑体" w:cs="Times New Roman"/>
          <w:color w:val="auto"/>
          <w:sz w:val="36"/>
          <w:szCs w:val="36"/>
          <w:highlight w:val="none"/>
        </w:rPr>
        <w:drawing>
          <wp:anchor distT="0" distB="0" distL="114300" distR="114300" simplePos="0" relativeHeight="251669504" behindDoc="0" locked="0" layoutInCell="1" allowOverlap="1">
            <wp:simplePos x="0" y="0"/>
            <wp:positionH relativeFrom="column">
              <wp:posOffset>3020060</wp:posOffset>
            </wp:positionH>
            <wp:positionV relativeFrom="paragraph">
              <wp:posOffset>-406573990</wp:posOffset>
            </wp:positionV>
            <wp:extent cx="1800225" cy="2520315"/>
            <wp:effectExtent l="0" t="0" r="9525" b="13335"/>
            <wp:wrapNone/>
            <wp:docPr id="60" name="图片 2765"/>
            <wp:cNvGraphicFramePr/>
            <a:graphic xmlns:a="http://schemas.openxmlformats.org/drawingml/2006/main">
              <a:graphicData uri="http://schemas.openxmlformats.org/drawingml/2006/picture">
                <pic:pic xmlns:pic="http://schemas.openxmlformats.org/drawingml/2006/picture">
                  <pic:nvPicPr>
                    <pic:cNvPr id="60" name="图片 2765"/>
                    <pic:cNvPicPr/>
                  </pic:nvPicPr>
                  <pic:blipFill>
                    <a:blip r:embed="rId30"/>
                    <a:stretch>
                      <a:fillRect/>
                    </a:stretch>
                  </pic:blipFill>
                  <pic:spPr>
                    <a:xfrm>
                      <a:off x="0" y="0"/>
                      <a:ext cx="1800225" cy="2520315"/>
                    </a:xfrm>
                    <a:prstGeom prst="rect">
                      <a:avLst/>
                    </a:prstGeom>
                    <a:noFill/>
                    <a:ln>
                      <a:noFill/>
                    </a:ln>
                  </pic:spPr>
                </pic:pic>
              </a:graphicData>
            </a:graphic>
          </wp:anchor>
        </w:drawing>
      </w:r>
      <w:r>
        <w:rPr>
          <w:rFonts w:hint="default" w:ascii="Times New Roman" w:hAnsi="Times New Roman" w:eastAsia="黑体" w:cs="Times New Roman"/>
          <w:color w:val="auto"/>
          <w:sz w:val="36"/>
          <w:szCs w:val="36"/>
          <w:highlight w:val="none"/>
        </w:rPr>
        <w:drawing>
          <wp:anchor distT="0" distB="0" distL="114300" distR="114300" simplePos="0" relativeHeight="251668480" behindDoc="0" locked="0" layoutInCell="1" allowOverlap="1">
            <wp:simplePos x="0" y="0"/>
            <wp:positionH relativeFrom="column">
              <wp:posOffset>1284605</wp:posOffset>
            </wp:positionH>
            <wp:positionV relativeFrom="paragraph">
              <wp:posOffset>-406591770</wp:posOffset>
            </wp:positionV>
            <wp:extent cx="1723390" cy="2541905"/>
            <wp:effectExtent l="0" t="0" r="10160" b="10795"/>
            <wp:wrapNone/>
            <wp:docPr id="49" name="图片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66"/>
                    <pic:cNvPicPr>
                      <a:picLocks noChangeAspect="1"/>
                    </pic:cNvPicPr>
                  </pic:nvPicPr>
                  <pic:blipFill>
                    <a:blip r:embed="rId28"/>
                    <a:stretch>
                      <a:fillRect/>
                    </a:stretch>
                  </pic:blipFill>
                  <pic:spPr>
                    <a:xfrm>
                      <a:off x="0" y="0"/>
                      <a:ext cx="1723390" cy="2541905"/>
                    </a:xfrm>
                    <a:prstGeom prst="rect">
                      <a:avLst/>
                    </a:prstGeom>
                    <a:noFill/>
                    <a:ln>
                      <a:noFill/>
                    </a:ln>
                  </pic:spPr>
                </pic:pic>
              </a:graphicData>
            </a:graphic>
          </wp:anchor>
        </w:drawing>
      </w:r>
      <w:r>
        <w:rPr>
          <w:rFonts w:hint="default" w:ascii="Times New Roman" w:hAnsi="Times New Roman" w:eastAsia="黑体" w:cs="Times New Roman"/>
          <w:color w:val="auto"/>
          <w:sz w:val="36"/>
          <w:szCs w:val="36"/>
          <w:highlight w:val="none"/>
        </w:rPr>
        <w:drawing>
          <wp:anchor distT="0" distB="0" distL="114300" distR="114300" simplePos="0" relativeHeight="251666432" behindDoc="0" locked="0" layoutInCell="1" allowOverlap="1">
            <wp:simplePos x="0" y="0"/>
            <wp:positionH relativeFrom="column">
              <wp:posOffset>-558165</wp:posOffset>
            </wp:positionH>
            <wp:positionV relativeFrom="paragraph">
              <wp:posOffset>-406576530</wp:posOffset>
            </wp:positionV>
            <wp:extent cx="1800225" cy="2529840"/>
            <wp:effectExtent l="0" t="0" r="9525" b="3810"/>
            <wp:wrapNone/>
            <wp:docPr id="48" name="图片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67"/>
                    <pic:cNvPicPr>
                      <a:picLocks noChangeAspect="1"/>
                    </pic:cNvPicPr>
                  </pic:nvPicPr>
                  <pic:blipFill>
                    <a:blip r:embed="rId29"/>
                    <a:stretch>
                      <a:fillRect/>
                    </a:stretch>
                  </pic:blipFill>
                  <pic:spPr>
                    <a:xfrm>
                      <a:off x="0" y="0"/>
                      <a:ext cx="1800225" cy="2529840"/>
                    </a:xfrm>
                    <a:prstGeom prst="rect">
                      <a:avLst/>
                    </a:prstGeom>
                    <a:noFill/>
                    <a:ln>
                      <a:noFill/>
                    </a:ln>
                  </pic:spPr>
                </pic:pic>
              </a:graphicData>
            </a:graphic>
          </wp:anchor>
        </w:drawing>
      </w:r>
      <w:r>
        <w:rPr>
          <w:rFonts w:hint="default" w:ascii="Times New Roman" w:hAnsi="Times New Roman" w:eastAsia="黑体" w:cs="Times New Roman"/>
          <w:color w:val="auto"/>
          <w:sz w:val="36"/>
          <w:szCs w:val="36"/>
          <w:highlight w:val="none"/>
        </w:rPr>
        <w:pict>
          <v:shape id="文本框 4" o:spid="_x0000_s1361" o:spt="202" type="#_x0000_t202" style="position:absolute;left:0pt;margin-left:-26.65pt;margin-top:-31799.5pt;height:25.2pt;width:387.95pt;z-index:251671552;mso-width-relative:page;mso-height-relative:page;" filled="f" stroked="f" coordsize="21600,21600" o:gfxdata="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yKV8feAAAAEQEAAA8AAAAA&#10;AAAAAQAgAAAAIgAAAGRycy9kb3ducmV2LnhtbFBLAQIUABQAAAAIAIdO4kDnWI8x1QEAAKADAAAO&#10;AAAAAAAAAAEAIAAAAC0BAABkcnMvZTJvRG9jLnhtbFBLBQYAAAAABgAGAFkBAAB0BQAAAAA=&#10;">
            <v:path/>
            <v:fill on="f" focussize="0,0"/>
            <v:stroke on="f"/>
            <v:imagedata o:title=""/>
            <o:lock v:ext="edit" aspectratio="f"/>
            <v:textbox inset="7.19992125984252pt,3.59992125984252pt,7.19992125984252pt,3.59992125984252pt">
              <w:txbxContent>
                <w:p w14:paraId="712E02B6">
                  <w:pPr>
                    <w:jc w:val="center"/>
                    <w:rPr>
                      <w:rFonts w:hint="eastAsia"/>
                      <w:b/>
                      <w:bCs/>
                    </w:rPr>
                  </w:pPr>
                  <w:r>
                    <w:rPr>
                      <w:rFonts w:hint="eastAsia" w:ascii="黑体" w:eastAsia="黑体"/>
                    </w:rPr>
                    <w:t>附图11 项目网络公示与厂区内现场公示截图</w:t>
                  </w:r>
                </w:p>
              </w:txbxContent>
            </v:textbox>
          </v:shape>
        </w:pict>
      </w:r>
      <w:r>
        <w:rPr>
          <w:rFonts w:hint="default" w:ascii="Times New Roman" w:hAnsi="Times New Roman" w:eastAsia="黑体" w:cs="Times New Roman"/>
          <w:color w:val="auto"/>
          <w:sz w:val="36"/>
          <w:szCs w:val="36"/>
          <w:highlight w:val="none"/>
        </w:rPr>
        <w:drawing>
          <wp:anchor distT="0" distB="0" distL="114300" distR="114300" simplePos="0" relativeHeight="251664384" behindDoc="0" locked="0" layoutInCell="1" allowOverlap="1">
            <wp:simplePos x="0" y="0"/>
            <wp:positionH relativeFrom="column">
              <wp:posOffset>-558165</wp:posOffset>
            </wp:positionH>
            <wp:positionV relativeFrom="paragraph">
              <wp:posOffset>-406932765</wp:posOffset>
            </wp:positionV>
            <wp:extent cx="635" cy="0"/>
            <wp:effectExtent l="0" t="0" r="0" b="0"/>
            <wp:wrapNone/>
            <wp:docPr id="62" name="图片 2769"/>
            <wp:cNvGraphicFramePr/>
            <a:graphic xmlns:a="http://schemas.openxmlformats.org/drawingml/2006/main">
              <a:graphicData uri="http://schemas.openxmlformats.org/drawingml/2006/picture">
                <pic:pic xmlns:pic="http://schemas.openxmlformats.org/drawingml/2006/picture">
                  <pic:nvPicPr>
                    <pic:cNvPr id="62" name="图片 2769"/>
                    <pic:cNvPicPr/>
                  </pic:nvPicPr>
                  <pic:blipFill>
                    <a:blip r:embed="rId28"/>
                    <a:stretch>
                      <a:fillRect/>
                    </a:stretch>
                  </pic:blipFill>
                  <pic:spPr>
                    <a:xfrm>
                      <a:off x="0" y="0"/>
                      <a:ext cx="635" cy="0"/>
                    </a:xfrm>
                    <a:prstGeom prst="rect">
                      <a:avLst/>
                    </a:prstGeom>
                    <a:noFill/>
                    <a:ln>
                      <a:noFill/>
                    </a:ln>
                  </pic:spPr>
                </pic:pic>
              </a:graphicData>
            </a:graphic>
          </wp:anchor>
        </w:drawing>
      </w:r>
      <w:r>
        <w:rPr>
          <w:rFonts w:hint="default" w:ascii="Times New Roman" w:hAnsi="Times New Roman" w:eastAsia="黑体" w:cs="Times New Roman"/>
          <w:color w:val="auto"/>
          <w:sz w:val="36"/>
          <w:szCs w:val="36"/>
          <w:highlight w:val="none"/>
        </w:rPr>
        <w:drawing>
          <wp:anchor distT="0" distB="0" distL="114300" distR="114300" simplePos="0" relativeHeight="251665408" behindDoc="0" locked="0" layoutInCell="1" allowOverlap="1">
            <wp:simplePos x="0" y="0"/>
            <wp:positionH relativeFrom="column">
              <wp:posOffset>-558165</wp:posOffset>
            </wp:positionH>
            <wp:positionV relativeFrom="paragraph">
              <wp:posOffset>-406932765</wp:posOffset>
            </wp:positionV>
            <wp:extent cx="635" cy="0"/>
            <wp:effectExtent l="0" t="0" r="0" b="0"/>
            <wp:wrapNone/>
            <wp:docPr id="55" name="图片 2770"/>
            <wp:cNvGraphicFramePr/>
            <a:graphic xmlns:a="http://schemas.openxmlformats.org/drawingml/2006/main">
              <a:graphicData uri="http://schemas.openxmlformats.org/drawingml/2006/picture">
                <pic:pic xmlns:pic="http://schemas.openxmlformats.org/drawingml/2006/picture">
                  <pic:nvPicPr>
                    <pic:cNvPr id="55" name="图片 2770"/>
                    <pic:cNvPicPr/>
                  </pic:nvPicPr>
                  <pic:blipFill>
                    <a:blip r:embed="rId29"/>
                    <a:stretch>
                      <a:fillRect/>
                    </a:stretch>
                  </pic:blipFill>
                  <pic:spPr>
                    <a:xfrm>
                      <a:off x="0" y="0"/>
                      <a:ext cx="635" cy="0"/>
                    </a:xfrm>
                    <a:prstGeom prst="rect">
                      <a:avLst/>
                    </a:prstGeom>
                    <a:noFill/>
                    <a:ln>
                      <a:noFill/>
                    </a:ln>
                  </pic:spPr>
                </pic:pic>
              </a:graphicData>
            </a:graphic>
          </wp:anchor>
        </w:drawing>
      </w:r>
      <w:r>
        <w:rPr>
          <w:rFonts w:hint="default" w:ascii="Times New Roman" w:hAnsi="Times New Roman" w:cs="Times New Roman"/>
          <w:color w:val="auto"/>
          <w:sz w:val="28"/>
          <w:szCs w:val="28"/>
          <w:highlight w:val="none"/>
          <w:lang w:val="en-US" w:eastAsia="zh-CN"/>
        </w:rPr>
        <w:t>生态环境局</w:t>
      </w:r>
      <w:r>
        <w:rPr>
          <w:rFonts w:hint="default" w:ascii="Times New Roman" w:hAnsi="Times New Roman" w:cs="Times New Roman"/>
          <w:color w:val="auto"/>
          <w:sz w:val="28"/>
          <w:szCs w:val="28"/>
          <w:highlight w:val="none"/>
        </w:rPr>
        <w:t>：</w:t>
      </w:r>
    </w:p>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Plotter">
    <w:altName w:val="Lucida Console"/>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TimesNewRoman">
    <w:altName w:val="微软雅黑"/>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Lucida Console">
    <w:panose1 w:val="020B0609040504020204"/>
    <w:charset w:val="00"/>
    <w:family w:val="auto"/>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7DAD0">
    <w:pPr>
      <w:pStyle w:val="2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EE827">
    <w:pPr>
      <w:pStyle w:val="27"/>
      <w:ind w:right="360"/>
    </w:pPr>
    <w:r>
      <w:rPr>
        <w:sz w:val="18"/>
      </w:rPr>
      <w:pict>
        <v:shape id="_x0000_s2054" o:spid="_x0000_s205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dashstyle="longDash" endarrow="block"/>
          <v:imagedata o:title=""/>
          <o:lock v:ext="edit" aspectratio="f"/>
          <v:textbox inset="0mm,0mm,0mm,0mm" style="mso-fit-shape-to-text:t;">
            <w:txbxContent>
              <w:p w14:paraId="7BC19F20">
                <w:pPr>
                  <w:pStyle w:val="27"/>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134A">
    <w:pPr>
      <w:pStyle w:val="27"/>
      <w:ind w:right="360"/>
    </w:pPr>
    <w:r>
      <w:rPr>
        <w:sz w:val="18"/>
      </w:rP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dashstyle="longDash" endarrow="block"/>
          <v:imagedata o:title=""/>
          <o:lock v:ext="edit" aspectratio="f"/>
          <v:textbox inset="0mm,0mm,0mm,0mm" style="mso-fit-shape-to-text:t;">
            <w:txbxContent>
              <w:p w14:paraId="266F3F8E">
                <w:pPr>
                  <w:pStyle w:val="27"/>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0D641">
    <w:pPr>
      <w:pStyle w:val="27"/>
      <w:ind w:right="360" w:firstLine="360"/>
    </w:pPr>
    <w:r>
      <w:rPr>
        <w:sz w:val="18"/>
      </w:rPr>
      <w:pict>
        <v:shape id="_x0000_s2056" o:spid="_x0000_s205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dashstyle="longDash" endarrow="block"/>
          <v:imagedata o:title=""/>
          <o:lock v:ext="edit" aspectratio="f"/>
          <v:textbox inset="0mm,0mm,0mm,0mm" style="mso-fit-shape-to-text:t;">
            <w:txbxContent>
              <w:p w14:paraId="57CC2609">
                <w:pPr>
                  <w:pStyle w:val="27"/>
                </w:pPr>
                <w:r>
                  <w:fldChar w:fldCharType="begin"/>
                </w:r>
                <w:r>
                  <w:instrText xml:space="preserve"> PAGE  \* MERGEFORMAT </w:instrText>
                </w:r>
                <w:r>
                  <w:fldChar w:fldCharType="separate"/>
                </w:r>
                <w:r>
                  <w:t>24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6D7AD">
    <w:pPr>
      <w:pStyle w:val="27"/>
      <w:ind w:right="360" w:firstLine="360"/>
    </w:pPr>
    <w:r>
      <w:rPr>
        <w:sz w:val="18"/>
      </w:rPr>
      <w:pict>
        <v:shape id="_x0000_s2057" o:spid="_x0000_s205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dashstyle="longDash" endarrow="block"/>
          <v:imagedata o:title=""/>
          <o:lock v:ext="edit" aspectratio="f"/>
          <v:textbox inset="0mm,0mm,0mm,0mm" style="mso-fit-shape-to-text:t;">
            <w:txbxContent>
              <w:p w14:paraId="20387B99">
                <w:pPr>
                  <w:pStyle w:val="27"/>
                </w:pPr>
                <w:r>
                  <w:fldChar w:fldCharType="begin"/>
                </w:r>
                <w:r>
                  <w:instrText xml:space="preserve"> PAGE  \* MERGEFORMAT </w:instrText>
                </w:r>
                <w:r>
                  <w:fldChar w:fldCharType="separate"/>
                </w:r>
                <w:r>
                  <w:t>87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F782B">
    <w:pPr>
      <w:pStyle w:val="2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ECF78"/>
    <w:multiLevelType w:val="singleLevel"/>
    <w:tmpl w:val="942ECF78"/>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1">
    <w:nsid w:val="B07FD5B5"/>
    <w:multiLevelType w:val="singleLevel"/>
    <w:tmpl w:val="B07FD5B5"/>
    <w:lvl w:ilvl="0" w:tentative="0">
      <w:start w:val="6"/>
      <w:numFmt w:val="upperLetter"/>
      <w:suff w:val="nothing"/>
      <w:lvlText w:val="%1-"/>
      <w:lvlJc w:val="left"/>
    </w:lvl>
  </w:abstractNum>
  <w:abstractNum w:abstractNumId="2">
    <w:nsid w:val="B824D282"/>
    <w:multiLevelType w:val="singleLevel"/>
    <w:tmpl w:val="B824D282"/>
    <w:lvl w:ilvl="0" w:tentative="0">
      <w:start w:val="2"/>
      <w:numFmt w:val="chineseCounting"/>
      <w:suff w:val="nothing"/>
      <w:lvlText w:val="%1、"/>
      <w:lvlJc w:val="left"/>
      <w:rPr>
        <w:rFonts w:hint="eastAsia"/>
      </w:rPr>
    </w:lvl>
  </w:abstractNum>
  <w:abstractNum w:abstractNumId="3">
    <w:nsid w:val="1D4EFD62"/>
    <w:multiLevelType w:val="singleLevel"/>
    <w:tmpl w:val="1D4EFD62"/>
    <w:lvl w:ilvl="0" w:tentative="0">
      <w:start w:val="2"/>
      <w:numFmt w:val="decimal"/>
      <w:suff w:val="nothing"/>
      <w:lvlText w:val="%1、"/>
      <w:lvlJc w:val="left"/>
    </w:lvl>
  </w:abstractNum>
  <w:abstractNum w:abstractNumId="4">
    <w:nsid w:val="22D266C7"/>
    <w:multiLevelType w:val="singleLevel"/>
    <w:tmpl w:val="22D266C7"/>
    <w:lvl w:ilvl="0" w:tentative="0">
      <w:start w:val="1"/>
      <w:numFmt w:val="decimal"/>
      <w:suff w:val="nothing"/>
      <w:lvlText w:val="%1、"/>
      <w:lvlJc w:val="left"/>
    </w:lvl>
  </w:abstractNum>
  <w:abstractNum w:abstractNumId="5">
    <w:nsid w:val="24772C03"/>
    <w:multiLevelType w:val="singleLevel"/>
    <w:tmpl w:val="24772C03"/>
    <w:lvl w:ilvl="0" w:tentative="0">
      <w:start w:val="1"/>
      <w:numFmt w:val="decimal"/>
      <w:lvlText w:val="%1."/>
      <w:lvlJc w:val="left"/>
      <w:pPr>
        <w:tabs>
          <w:tab w:val="left" w:pos="312"/>
        </w:tabs>
      </w:pPr>
    </w:lvl>
  </w:abstractNum>
  <w:abstractNum w:abstractNumId="6">
    <w:nsid w:val="604689B5"/>
    <w:multiLevelType w:val="singleLevel"/>
    <w:tmpl w:val="604689B5"/>
    <w:lvl w:ilvl="0" w:tentative="0">
      <w:start w:val="1"/>
      <w:numFmt w:val="upperLetter"/>
      <w:lvlText w:val="%1."/>
      <w:lvlJc w:val="left"/>
      <w:pPr>
        <w:tabs>
          <w:tab w:val="left" w:pos="312"/>
        </w:tabs>
      </w:pPr>
    </w:lvl>
  </w:abstractNum>
  <w:abstractNum w:abstractNumId="7">
    <w:nsid w:val="69F0ABAB"/>
    <w:multiLevelType w:val="singleLevel"/>
    <w:tmpl w:val="69F0ABAB"/>
    <w:lvl w:ilvl="0" w:tentative="0">
      <w:start w:val="3"/>
      <w:numFmt w:val="decimal"/>
      <w:lvlText w:val="(%1)"/>
      <w:lvlJc w:val="left"/>
      <w:pPr>
        <w:tabs>
          <w:tab w:val="left" w:pos="312"/>
        </w:tabs>
      </w:p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A4NzIyN2MxYTlmMzQ1NGE2MjU5NWRkMjhlOGMxYTAifQ=="/>
  </w:docVars>
  <w:rsids>
    <w:rsidRoot w:val="00172A27"/>
    <w:rsid w:val="00000233"/>
    <w:rsid w:val="000060B3"/>
    <w:rsid w:val="00006C96"/>
    <w:rsid w:val="00010574"/>
    <w:rsid w:val="0001393A"/>
    <w:rsid w:val="00014027"/>
    <w:rsid w:val="0001705A"/>
    <w:rsid w:val="00017079"/>
    <w:rsid w:val="000207BE"/>
    <w:rsid w:val="00021550"/>
    <w:rsid w:val="000238AE"/>
    <w:rsid w:val="00026023"/>
    <w:rsid w:val="000317F3"/>
    <w:rsid w:val="000320D1"/>
    <w:rsid w:val="000356CC"/>
    <w:rsid w:val="00035969"/>
    <w:rsid w:val="00036CCC"/>
    <w:rsid w:val="0004364B"/>
    <w:rsid w:val="00045339"/>
    <w:rsid w:val="000468B9"/>
    <w:rsid w:val="00052363"/>
    <w:rsid w:val="00061B1F"/>
    <w:rsid w:val="00061F72"/>
    <w:rsid w:val="00063091"/>
    <w:rsid w:val="00067117"/>
    <w:rsid w:val="000733C4"/>
    <w:rsid w:val="0007427A"/>
    <w:rsid w:val="000746E9"/>
    <w:rsid w:val="00074783"/>
    <w:rsid w:val="00077A50"/>
    <w:rsid w:val="0008070B"/>
    <w:rsid w:val="000810AC"/>
    <w:rsid w:val="00081A02"/>
    <w:rsid w:val="00082231"/>
    <w:rsid w:val="00086C70"/>
    <w:rsid w:val="00087300"/>
    <w:rsid w:val="00091EC4"/>
    <w:rsid w:val="00092861"/>
    <w:rsid w:val="00092A83"/>
    <w:rsid w:val="00092D38"/>
    <w:rsid w:val="0009377B"/>
    <w:rsid w:val="000946A2"/>
    <w:rsid w:val="00097B3A"/>
    <w:rsid w:val="000A133E"/>
    <w:rsid w:val="000A1741"/>
    <w:rsid w:val="000A1CEC"/>
    <w:rsid w:val="000A20C9"/>
    <w:rsid w:val="000B058F"/>
    <w:rsid w:val="000B1E8C"/>
    <w:rsid w:val="000B29C4"/>
    <w:rsid w:val="000B36CF"/>
    <w:rsid w:val="000B4467"/>
    <w:rsid w:val="000B4DB9"/>
    <w:rsid w:val="000B4FDA"/>
    <w:rsid w:val="000B5CD4"/>
    <w:rsid w:val="000C09AC"/>
    <w:rsid w:val="000C348A"/>
    <w:rsid w:val="000C767F"/>
    <w:rsid w:val="000D05A0"/>
    <w:rsid w:val="000D55BA"/>
    <w:rsid w:val="000D5A44"/>
    <w:rsid w:val="000D7113"/>
    <w:rsid w:val="000D7786"/>
    <w:rsid w:val="000E0B20"/>
    <w:rsid w:val="000E13B2"/>
    <w:rsid w:val="000E39D2"/>
    <w:rsid w:val="000E3CEE"/>
    <w:rsid w:val="000E3ED2"/>
    <w:rsid w:val="000E5B57"/>
    <w:rsid w:val="000F090A"/>
    <w:rsid w:val="001004A6"/>
    <w:rsid w:val="0010300A"/>
    <w:rsid w:val="0010377A"/>
    <w:rsid w:val="00104476"/>
    <w:rsid w:val="00104A47"/>
    <w:rsid w:val="001105F7"/>
    <w:rsid w:val="001114F7"/>
    <w:rsid w:val="00112405"/>
    <w:rsid w:val="00114178"/>
    <w:rsid w:val="00116A1B"/>
    <w:rsid w:val="001213C1"/>
    <w:rsid w:val="001228B5"/>
    <w:rsid w:val="0012338E"/>
    <w:rsid w:val="00123AEB"/>
    <w:rsid w:val="00124882"/>
    <w:rsid w:val="00126906"/>
    <w:rsid w:val="00126FBB"/>
    <w:rsid w:val="00131F42"/>
    <w:rsid w:val="00132328"/>
    <w:rsid w:val="00134E55"/>
    <w:rsid w:val="001357F1"/>
    <w:rsid w:val="00135866"/>
    <w:rsid w:val="00136743"/>
    <w:rsid w:val="00136E20"/>
    <w:rsid w:val="0014071F"/>
    <w:rsid w:val="00140FA8"/>
    <w:rsid w:val="00142368"/>
    <w:rsid w:val="00142FEB"/>
    <w:rsid w:val="00143A2D"/>
    <w:rsid w:val="00145A41"/>
    <w:rsid w:val="00151675"/>
    <w:rsid w:val="00151A3E"/>
    <w:rsid w:val="001541BD"/>
    <w:rsid w:val="00155453"/>
    <w:rsid w:val="001572EB"/>
    <w:rsid w:val="00157435"/>
    <w:rsid w:val="001606BA"/>
    <w:rsid w:val="00162E17"/>
    <w:rsid w:val="0016419D"/>
    <w:rsid w:val="00165E9B"/>
    <w:rsid w:val="00167FEE"/>
    <w:rsid w:val="00170859"/>
    <w:rsid w:val="00171E70"/>
    <w:rsid w:val="00172A27"/>
    <w:rsid w:val="001740F9"/>
    <w:rsid w:val="00174E68"/>
    <w:rsid w:val="0017504D"/>
    <w:rsid w:val="00175926"/>
    <w:rsid w:val="0017671A"/>
    <w:rsid w:val="00176BB1"/>
    <w:rsid w:val="00177422"/>
    <w:rsid w:val="00177A15"/>
    <w:rsid w:val="00180EA9"/>
    <w:rsid w:val="00184590"/>
    <w:rsid w:val="00184A1F"/>
    <w:rsid w:val="001858E0"/>
    <w:rsid w:val="001870D1"/>
    <w:rsid w:val="0018721B"/>
    <w:rsid w:val="00187476"/>
    <w:rsid w:val="0018781E"/>
    <w:rsid w:val="00192238"/>
    <w:rsid w:val="001923EF"/>
    <w:rsid w:val="0019262D"/>
    <w:rsid w:val="00194051"/>
    <w:rsid w:val="00194E43"/>
    <w:rsid w:val="001950C5"/>
    <w:rsid w:val="001A10B3"/>
    <w:rsid w:val="001A1B35"/>
    <w:rsid w:val="001A48A2"/>
    <w:rsid w:val="001A6F61"/>
    <w:rsid w:val="001A6F6E"/>
    <w:rsid w:val="001A7CF5"/>
    <w:rsid w:val="001B1621"/>
    <w:rsid w:val="001B2850"/>
    <w:rsid w:val="001B417B"/>
    <w:rsid w:val="001B72B8"/>
    <w:rsid w:val="001C0B05"/>
    <w:rsid w:val="001C16E0"/>
    <w:rsid w:val="001C3032"/>
    <w:rsid w:val="001C69B3"/>
    <w:rsid w:val="001D1F48"/>
    <w:rsid w:val="001D4914"/>
    <w:rsid w:val="001D514C"/>
    <w:rsid w:val="001D5595"/>
    <w:rsid w:val="001D6E11"/>
    <w:rsid w:val="001D7874"/>
    <w:rsid w:val="001D7F22"/>
    <w:rsid w:val="001E4062"/>
    <w:rsid w:val="001F03F0"/>
    <w:rsid w:val="001F0F17"/>
    <w:rsid w:val="001F3347"/>
    <w:rsid w:val="001F3FB8"/>
    <w:rsid w:val="001F51BB"/>
    <w:rsid w:val="001F562C"/>
    <w:rsid w:val="001F589E"/>
    <w:rsid w:val="001F69E4"/>
    <w:rsid w:val="001F7280"/>
    <w:rsid w:val="002017D4"/>
    <w:rsid w:val="002024DF"/>
    <w:rsid w:val="00203A8C"/>
    <w:rsid w:val="0021117F"/>
    <w:rsid w:val="00211C2D"/>
    <w:rsid w:val="002125B4"/>
    <w:rsid w:val="00212810"/>
    <w:rsid w:val="00212CEF"/>
    <w:rsid w:val="002155B8"/>
    <w:rsid w:val="00215FE9"/>
    <w:rsid w:val="00220FB7"/>
    <w:rsid w:val="0022170D"/>
    <w:rsid w:val="00224590"/>
    <w:rsid w:val="00224839"/>
    <w:rsid w:val="002249B2"/>
    <w:rsid w:val="002260AE"/>
    <w:rsid w:val="00226574"/>
    <w:rsid w:val="00227298"/>
    <w:rsid w:val="002278EC"/>
    <w:rsid w:val="0023280E"/>
    <w:rsid w:val="00234671"/>
    <w:rsid w:val="00234954"/>
    <w:rsid w:val="00235690"/>
    <w:rsid w:val="00235D2E"/>
    <w:rsid w:val="002377D1"/>
    <w:rsid w:val="002421A3"/>
    <w:rsid w:val="00245126"/>
    <w:rsid w:val="002506BC"/>
    <w:rsid w:val="0025383D"/>
    <w:rsid w:val="00254345"/>
    <w:rsid w:val="00255D65"/>
    <w:rsid w:val="00262B5B"/>
    <w:rsid w:val="002631D5"/>
    <w:rsid w:val="00264557"/>
    <w:rsid w:val="00265164"/>
    <w:rsid w:val="00265A9C"/>
    <w:rsid w:val="00272C92"/>
    <w:rsid w:val="00274081"/>
    <w:rsid w:val="002805AB"/>
    <w:rsid w:val="002835C0"/>
    <w:rsid w:val="00284204"/>
    <w:rsid w:val="00287AA0"/>
    <w:rsid w:val="00291773"/>
    <w:rsid w:val="00296B7E"/>
    <w:rsid w:val="0029721A"/>
    <w:rsid w:val="002A168C"/>
    <w:rsid w:val="002A255A"/>
    <w:rsid w:val="002A2D75"/>
    <w:rsid w:val="002A3DC7"/>
    <w:rsid w:val="002A3F0F"/>
    <w:rsid w:val="002A4E17"/>
    <w:rsid w:val="002A6AA3"/>
    <w:rsid w:val="002B3490"/>
    <w:rsid w:val="002B421B"/>
    <w:rsid w:val="002B49E2"/>
    <w:rsid w:val="002B5324"/>
    <w:rsid w:val="002B6326"/>
    <w:rsid w:val="002B6661"/>
    <w:rsid w:val="002B6C4E"/>
    <w:rsid w:val="002B7943"/>
    <w:rsid w:val="002B7B00"/>
    <w:rsid w:val="002B7C44"/>
    <w:rsid w:val="002C0909"/>
    <w:rsid w:val="002C13B4"/>
    <w:rsid w:val="002C2B17"/>
    <w:rsid w:val="002C5541"/>
    <w:rsid w:val="002D1897"/>
    <w:rsid w:val="002D3C4D"/>
    <w:rsid w:val="002D3DD0"/>
    <w:rsid w:val="002D7354"/>
    <w:rsid w:val="002D7E57"/>
    <w:rsid w:val="002E1F3A"/>
    <w:rsid w:val="002E298A"/>
    <w:rsid w:val="002E4E24"/>
    <w:rsid w:val="002F1A93"/>
    <w:rsid w:val="002F4439"/>
    <w:rsid w:val="002F50C5"/>
    <w:rsid w:val="002F5E6D"/>
    <w:rsid w:val="00301610"/>
    <w:rsid w:val="00301978"/>
    <w:rsid w:val="00302CFC"/>
    <w:rsid w:val="0030332C"/>
    <w:rsid w:val="003051C2"/>
    <w:rsid w:val="00307251"/>
    <w:rsid w:val="00312164"/>
    <w:rsid w:val="00312296"/>
    <w:rsid w:val="00314F0E"/>
    <w:rsid w:val="0032139B"/>
    <w:rsid w:val="00321D8E"/>
    <w:rsid w:val="00325928"/>
    <w:rsid w:val="00327A07"/>
    <w:rsid w:val="00330FD8"/>
    <w:rsid w:val="00332863"/>
    <w:rsid w:val="0033684D"/>
    <w:rsid w:val="00337B42"/>
    <w:rsid w:val="00340321"/>
    <w:rsid w:val="00341210"/>
    <w:rsid w:val="00341B42"/>
    <w:rsid w:val="0034348F"/>
    <w:rsid w:val="0034578A"/>
    <w:rsid w:val="00346A65"/>
    <w:rsid w:val="00347C19"/>
    <w:rsid w:val="003514DA"/>
    <w:rsid w:val="00352E51"/>
    <w:rsid w:val="00355D90"/>
    <w:rsid w:val="00356032"/>
    <w:rsid w:val="00356653"/>
    <w:rsid w:val="0035743F"/>
    <w:rsid w:val="00357BE2"/>
    <w:rsid w:val="0036170C"/>
    <w:rsid w:val="00362B3F"/>
    <w:rsid w:val="00362E5D"/>
    <w:rsid w:val="0036669D"/>
    <w:rsid w:val="003669C5"/>
    <w:rsid w:val="00366E0F"/>
    <w:rsid w:val="00367CAB"/>
    <w:rsid w:val="00374C7B"/>
    <w:rsid w:val="00374CCE"/>
    <w:rsid w:val="00374E87"/>
    <w:rsid w:val="003757F6"/>
    <w:rsid w:val="003810D2"/>
    <w:rsid w:val="00381A72"/>
    <w:rsid w:val="00384676"/>
    <w:rsid w:val="003855A6"/>
    <w:rsid w:val="003879CD"/>
    <w:rsid w:val="00387CCD"/>
    <w:rsid w:val="00390857"/>
    <w:rsid w:val="003915DB"/>
    <w:rsid w:val="00394893"/>
    <w:rsid w:val="00397AAE"/>
    <w:rsid w:val="00397D0E"/>
    <w:rsid w:val="003A23AC"/>
    <w:rsid w:val="003A4BF3"/>
    <w:rsid w:val="003A527A"/>
    <w:rsid w:val="003A5FC5"/>
    <w:rsid w:val="003B1352"/>
    <w:rsid w:val="003B420D"/>
    <w:rsid w:val="003C0B9A"/>
    <w:rsid w:val="003C3F23"/>
    <w:rsid w:val="003C4660"/>
    <w:rsid w:val="003C51F8"/>
    <w:rsid w:val="003C6948"/>
    <w:rsid w:val="003C6C16"/>
    <w:rsid w:val="003C7A21"/>
    <w:rsid w:val="003D1D45"/>
    <w:rsid w:val="003D3C09"/>
    <w:rsid w:val="003D4C4A"/>
    <w:rsid w:val="003D794D"/>
    <w:rsid w:val="003D7DD9"/>
    <w:rsid w:val="003E12CD"/>
    <w:rsid w:val="003E14AD"/>
    <w:rsid w:val="003E3058"/>
    <w:rsid w:val="003E30A4"/>
    <w:rsid w:val="003E3F7A"/>
    <w:rsid w:val="003E4EBB"/>
    <w:rsid w:val="003E6994"/>
    <w:rsid w:val="003E76A9"/>
    <w:rsid w:val="003F0809"/>
    <w:rsid w:val="003F6A8C"/>
    <w:rsid w:val="003F755C"/>
    <w:rsid w:val="0040051C"/>
    <w:rsid w:val="0040168A"/>
    <w:rsid w:val="0040439B"/>
    <w:rsid w:val="00406F01"/>
    <w:rsid w:val="00406FC5"/>
    <w:rsid w:val="0041181A"/>
    <w:rsid w:val="00416D50"/>
    <w:rsid w:val="00416FD5"/>
    <w:rsid w:val="00417772"/>
    <w:rsid w:val="00417D2B"/>
    <w:rsid w:val="00420E6A"/>
    <w:rsid w:val="00425A9E"/>
    <w:rsid w:val="00426D6B"/>
    <w:rsid w:val="00431E6C"/>
    <w:rsid w:val="00433CE7"/>
    <w:rsid w:val="004349D0"/>
    <w:rsid w:val="00435923"/>
    <w:rsid w:val="00437CEB"/>
    <w:rsid w:val="00440588"/>
    <w:rsid w:val="004405E9"/>
    <w:rsid w:val="00441D98"/>
    <w:rsid w:val="00446FF7"/>
    <w:rsid w:val="00447AE0"/>
    <w:rsid w:val="00450019"/>
    <w:rsid w:val="00452118"/>
    <w:rsid w:val="00452738"/>
    <w:rsid w:val="004537D1"/>
    <w:rsid w:val="004549BD"/>
    <w:rsid w:val="00456091"/>
    <w:rsid w:val="00456E28"/>
    <w:rsid w:val="00457646"/>
    <w:rsid w:val="00457B94"/>
    <w:rsid w:val="00460522"/>
    <w:rsid w:val="004605A6"/>
    <w:rsid w:val="004608B1"/>
    <w:rsid w:val="0046091B"/>
    <w:rsid w:val="00462C08"/>
    <w:rsid w:val="004643CC"/>
    <w:rsid w:val="00464E19"/>
    <w:rsid w:val="00465086"/>
    <w:rsid w:val="00466321"/>
    <w:rsid w:val="00467595"/>
    <w:rsid w:val="00471E6A"/>
    <w:rsid w:val="0047264D"/>
    <w:rsid w:val="00473EC7"/>
    <w:rsid w:val="004757B4"/>
    <w:rsid w:val="004816AD"/>
    <w:rsid w:val="00484B9B"/>
    <w:rsid w:val="004855F6"/>
    <w:rsid w:val="00485B4A"/>
    <w:rsid w:val="0048661E"/>
    <w:rsid w:val="00493D6A"/>
    <w:rsid w:val="00494670"/>
    <w:rsid w:val="004A0DFE"/>
    <w:rsid w:val="004A0FD5"/>
    <w:rsid w:val="004A3823"/>
    <w:rsid w:val="004A3ACC"/>
    <w:rsid w:val="004A7C8A"/>
    <w:rsid w:val="004B2CC6"/>
    <w:rsid w:val="004B2EE1"/>
    <w:rsid w:val="004B45E7"/>
    <w:rsid w:val="004B602B"/>
    <w:rsid w:val="004B7964"/>
    <w:rsid w:val="004B7C05"/>
    <w:rsid w:val="004C3B44"/>
    <w:rsid w:val="004C3BD6"/>
    <w:rsid w:val="004C53EA"/>
    <w:rsid w:val="004C7BA9"/>
    <w:rsid w:val="004D06ED"/>
    <w:rsid w:val="004D1B13"/>
    <w:rsid w:val="004D22DB"/>
    <w:rsid w:val="004D4AEB"/>
    <w:rsid w:val="004D52A6"/>
    <w:rsid w:val="004D7C80"/>
    <w:rsid w:val="004E24A2"/>
    <w:rsid w:val="004E2597"/>
    <w:rsid w:val="004E448C"/>
    <w:rsid w:val="004E6946"/>
    <w:rsid w:val="004F0803"/>
    <w:rsid w:val="004F13C0"/>
    <w:rsid w:val="004F1AD8"/>
    <w:rsid w:val="004F259E"/>
    <w:rsid w:val="004F2629"/>
    <w:rsid w:val="004F362B"/>
    <w:rsid w:val="004F6AE5"/>
    <w:rsid w:val="004F7496"/>
    <w:rsid w:val="005003B6"/>
    <w:rsid w:val="005039CB"/>
    <w:rsid w:val="00504EDE"/>
    <w:rsid w:val="005053C9"/>
    <w:rsid w:val="0050558F"/>
    <w:rsid w:val="00506286"/>
    <w:rsid w:val="00510813"/>
    <w:rsid w:val="005108DE"/>
    <w:rsid w:val="005117F1"/>
    <w:rsid w:val="00511990"/>
    <w:rsid w:val="00511DE0"/>
    <w:rsid w:val="005144F9"/>
    <w:rsid w:val="0051480B"/>
    <w:rsid w:val="00514870"/>
    <w:rsid w:val="00514B9B"/>
    <w:rsid w:val="00515864"/>
    <w:rsid w:val="00517F02"/>
    <w:rsid w:val="00521FCE"/>
    <w:rsid w:val="00524303"/>
    <w:rsid w:val="0052586B"/>
    <w:rsid w:val="005258A2"/>
    <w:rsid w:val="0053398D"/>
    <w:rsid w:val="005360ED"/>
    <w:rsid w:val="00537183"/>
    <w:rsid w:val="005401AE"/>
    <w:rsid w:val="00540395"/>
    <w:rsid w:val="00541D09"/>
    <w:rsid w:val="00542E07"/>
    <w:rsid w:val="00543C20"/>
    <w:rsid w:val="00545424"/>
    <w:rsid w:val="00546220"/>
    <w:rsid w:val="00554A7B"/>
    <w:rsid w:val="00554DDC"/>
    <w:rsid w:val="0055572C"/>
    <w:rsid w:val="005564FD"/>
    <w:rsid w:val="00556D47"/>
    <w:rsid w:val="0055743C"/>
    <w:rsid w:val="00560658"/>
    <w:rsid w:val="00560DB6"/>
    <w:rsid w:val="0056106A"/>
    <w:rsid w:val="005614C0"/>
    <w:rsid w:val="0056384B"/>
    <w:rsid w:val="00564992"/>
    <w:rsid w:val="00566ABD"/>
    <w:rsid w:val="005709EC"/>
    <w:rsid w:val="005720AE"/>
    <w:rsid w:val="00574761"/>
    <w:rsid w:val="00574A77"/>
    <w:rsid w:val="00575DAD"/>
    <w:rsid w:val="00576C85"/>
    <w:rsid w:val="00577203"/>
    <w:rsid w:val="005828EE"/>
    <w:rsid w:val="005833DE"/>
    <w:rsid w:val="005863A9"/>
    <w:rsid w:val="00587B24"/>
    <w:rsid w:val="00590C8F"/>
    <w:rsid w:val="00594B57"/>
    <w:rsid w:val="00594D77"/>
    <w:rsid w:val="00595CBF"/>
    <w:rsid w:val="00596595"/>
    <w:rsid w:val="005969E4"/>
    <w:rsid w:val="005A06B7"/>
    <w:rsid w:val="005A1759"/>
    <w:rsid w:val="005A2288"/>
    <w:rsid w:val="005A4A00"/>
    <w:rsid w:val="005A68A7"/>
    <w:rsid w:val="005B0524"/>
    <w:rsid w:val="005B1BE2"/>
    <w:rsid w:val="005B2445"/>
    <w:rsid w:val="005B2FA8"/>
    <w:rsid w:val="005B40F2"/>
    <w:rsid w:val="005B75B0"/>
    <w:rsid w:val="005C15A7"/>
    <w:rsid w:val="005C2788"/>
    <w:rsid w:val="005C2B3B"/>
    <w:rsid w:val="005C3732"/>
    <w:rsid w:val="005D2ED0"/>
    <w:rsid w:val="005D36AB"/>
    <w:rsid w:val="005D56A4"/>
    <w:rsid w:val="005D6605"/>
    <w:rsid w:val="005E23AE"/>
    <w:rsid w:val="005E2757"/>
    <w:rsid w:val="005F5277"/>
    <w:rsid w:val="005F6616"/>
    <w:rsid w:val="00605AFE"/>
    <w:rsid w:val="00615135"/>
    <w:rsid w:val="00616B3C"/>
    <w:rsid w:val="00616D25"/>
    <w:rsid w:val="0061704D"/>
    <w:rsid w:val="00617CC3"/>
    <w:rsid w:val="00621939"/>
    <w:rsid w:val="00622D68"/>
    <w:rsid w:val="00626D43"/>
    <w:rsid w:val="0063430F"/>
    <w:rsid w:val="006377A6"/>
    <w:rsid w:val="006379C0"/>
    <w:rsid w:val="00637A3D"/>
    <w:rsid w:val="006411EF"/>
    <w:rsid w:val="006417CF"/>
    <w:rsid w:val="00641E60"/>
    <w:rsid w:val="00641FCA"/>
    <w:rsid w:val="00642743"/>
    <w:rsid w:val="00644A8C"/>
    <w:rsid w:val="00644C98"/>
    <w:rsid w:val="00647B6C"/>
    <w:rsid w:val="006513C1"/>
    <w:rsid w:val="006514F8"/>
    <w:rsid w:val="00651B0D"/>
    <w:rsid w:val="0066210D"/>
    <w:rsid w:val="006629D8"/>
    <w:rsid w:val="00664285"/>
    <w:rsid w:val="00664E3A"/>
    <w:rsid w:val="00665907"/>
    <w:rsid w:val="00667278"/>
    <w:rsid w:val="00674844"/>
    <w:rsid w:val="006748B8"/>
    <w:rsid w:val="006775C3"/>
    <w:rsid w:val="00692079"/>
    <w:rsid w:val="0069290A"/>
    <w:rsid w:val="0069391E"/>
    <w:rsid w:val="0069549E"/>
    <w:rsid w:val="00696FF8"/>
    <w:rsid w:val="0069775A"/>
    <w:rsid w:val="00697813"/>
    <w:rsid w:val="006A0DC0"/>
    <w:rsid w:val="006A1CEF"/>
    <w:rsid w:val="006A3417"/>
    <w:rsid w:val="006A3EE8"/>
    <w:rsid w:val="006A72BF"/>
    <w:rsid w:val="006A7BBE"/>
    <w:rsid w:val="006B03F2"/>
    <w:rsid w:val="006B0AB4"/>
    <w:rsid w:val="006B37DC"/>
    <w:rsid w:val="006B4F68"/>
    <w:rsid w:val="006B51B6"/>
    <w:rsid w:val="006C0592"/>
    <w:rsid w:val="006C0FEB"/>
    <w:rsid w:val="006C13E0"/>
    <w:rsid w:val="006C272E"/>
    <w:rsid w:val="006C5479"/>
    <w:rsid w:val="006C7543"/>
    <w:rsid w:val="006D13B5"/>
    <w:rsid w:val="006D1859"/>
    <w:rsid w:val="006D2A84"/>
    <w:rsid w:val="006D3B98"/>
    <w:rsid w:val="006D7EA1"/>
    <w:rsid w:val="006E12FF"/>
    <w:rsid w:val="006E49B3"/>
    <w:rsid w:val="006E607E"/>
    <w:rsid w:val="006E68EB"/>
    <w:rsid w:val="006F0DEB"/>
    <w:rsid w:val="006F1B81"/>
    <w:rsid w:val="006F1E37"/>
    <w:rsid w:val="00701891"/>
    <w:rsid w:val="007030A5"/>
    <w:rsid w:val="007037C5"/>
    <w:rsid w:val="0070410E"/>
    <w:rsid w:val="007058D1"/>
    <w:rsid w:val="00706445"/>
    <w:rsid w:val="00706C5D"/>
    <w:rsid w:val="00707BED"/>
    <w:rsid w:val="00707CB0"/>
    <w:rsid w:val="00716A65"/>
    <w:rsid w:val="00720173"/>
    <w:rsid w:val="00720D50"/>
    <w:rsid w:val="0072246B"/>
    <w:rsid w:val="00723A1A"/>
    <w:rsid w:val="00723FA6"/>
    <w:rsid w:val="0072779E"/>
    <w:rsid w:val="007304A1"/>
    <w:rsid w:val="007304A7"/>
    <w:rsid w:val="00732540"/>
    <w:rsid w:val="00732922"/>
    <w:rsid w:val="007345AD"/>
    <w:rsid w:val="0074031F"/>
    <w:rsid w:val="00741B08"/>
    <w:rsid w:val="007432DF"/>
    <w:rsid w:val="007470FB"/>
    <w:rsid w:val="00750EC1"/>
    <w:rsid w:val="0075162E"/>
    <w:rsid w:val="00752966"/>
    <w:rsid w:val="00754034"/>
    <w:rsid w:val="007544A6"/>
    <w:rsid w:val="00756556"/>
    <w:rsid w:val="00757508"/>
    <w:rsid w:val="0075790B"/>
    <w:rsid w:val="00757C2F"/>
    <w:rsid w:val="00757C39"/>
    <w:rsid w:val="00760847"/>
    <w:rsid w:val="00760B1A"/>
    <w:rsid w:val="007618C4"/>
    <w:rsid w:val="0076665A"/>
    <w:rsid w:val="00767980"/>
    <w:rsid w:val="0077000F"/>
    <w:rsid w:val="00770891"/>
    <w:rsid w:val="00770B19"/>
    <w:rsid w:val="00770F10"/>
    <w:rsid w:val="00773DF2"/>
    <w:rsid w:val="0077463F"/>
    <w:rsid w:val="00780739"/>
    <w:rsid w:val="00780C79"/>
    <w:rsid w:val="00780F69"/>
    <w:rsid w:val="007836EA"/>
    <w:rsid w:val="00784CDA"/>
    <w:rsid w:val="00786252"/>
    <w:rsid w:val="00786484"/>
    <w:rsid w:val="007906C4"/>
    <w:rsid w:val="00792B2F"/>
    <w:rsid w:val="007936A5"/>
    <w:rsid w:val="007940EA"/>
    <w:rsid w:val="00794921"/>
    <w:rsid w:val="00795EA0"/>
    <w:rsid w:val="007967E8"/>
    <w:rsid w:val="007A2170"/>
    <w:rsid w:val="007A22BF"/>
    <w:rsid w:val="007A26AB"/>
    <w:rsid w:val="007A3323"/>
    <w:rsid w:val="007A3E0A"/>
    <w:rsid w:val="007A65BC"/>
    <w:rsid w:val="007B0381"/>
    <w:rsid w:val="007B049F"/>
    <w:rsid w:val="007B216D"/>
    <w:rsid w:val="007B333E"/>
    <w:rsid w:val="007B4041"/>
    <w:rsid w:val="007B4F43"/>
    <w:rsid w:val="007B72B8"/>
    <w:rsid w:val="007B7A58"/>
    <w:rsid w:val="007C08E8"/>
    <w:rsid w:val="007C15DE"/>
    <w:rsid w:val="007C21B5"/>
    <w:rsid w:val="007D00E1"/>
    <w:rsid w:val="007D0379"/>
    <w:rsid w:val="007D0DC2"/>
    <w:rsid w:val="007D43D5"/>
    <w:rsid w:val="007D4A7D"/>
    <w:rsid w:val="007D6757"/>
    <w:rsid w:val="007D71CF"/>
    <w:rsid w:val="007E2A68"/>
    <w:rsid w:val="007E4BD2"/>
    <w:rsid w:val="007F2D1E"/>
    <w:rsid w:val="007F36B7"/>
    <w:rsid w:val="007F3896"/>
    <w:rsid w:val="007F5F94"/>
    <w:rsid w:val="007F7F72"/>
    <w:rsid w:val="00801393"/>
    <w:rsid w:val="00802F88"/>
    <w:rsid w:val="00804DA3"/>
    <w:rsid w:val="00806BFA"/>
    <w:rsid w:val="0081293E"/>
    <w:rsid w:val="00815465"/>
    <w:rsid w:val="008169BA"/>
    <w:rsid w:val="00817E9A"/>
    <w:rsid w:val="00821B34"/>
    <w:rsid w:val="0082257E"/>
    <w:rsid w:val="00822FE8"/>
    <w:rsid w:val="00824A18"/>
    <w:rsid w:val="008274DE"/>
    <w:rsid w:val="008306BD"/>
    <w:rsid w:val="00831A80"/>
    <w:rsid w:val="00833743"/>
    <w:rsid w:val="008340A4"/>
    <w:rsid w:val="00837A28"/>
    <w:rsid w:val="0084058F"/>
    <w:rsid w:val="00840915"/>
    <w:rsid w:val="00845B05"/>
    <w:rsid w:val="00845B6C"/>
    <w:rsid w:val="00851910"/>
    <w:rsid w:val="00860041"/>
    <w:rsid w:val="008613B5"/>
    <w:rsid w:val="008641E0"/>
    <w:rsid w:val="00864404"/>
    <w:rsid w:val="00864FD0"/>
    <w:rsid w:val="00866B4D"/>
    <w:rsid w:val="008707C2"/>
    <w:rsid w:val="0087135F"/>
    <w:rsid w:val="00871C5D"/>
    <w:rsid w:val="00872D94"/>
    <w:rsid w:val="00880364"/>
    <w:rsid w:val="00882D8D"/>
    <w:rsid w:val="00891592"/>
    <w:rsid w:val="00891E9E"/>
    <w:rsid w:val="008926BA"/>
    <w:rsid w:val="00892E93"/>
    <w:rsid w:val="00892F0D"/>
    <w:rsid w:val="008A0C79"/>
    <w:rsid w:val="008A1A33"/>
    <w:rsid w:val="008A2F68"/>
    <w:rsid w:val="008A5B7A"/>
    <w:rsid w:val="008B0EA3"/>
    <w:rsid w:val="008B4C3F"/>
    <w:rsid w:val="008B4FA6"/>
    <w:rsid w:val="008B5282"/>
    <w:rsid w:val="008B7C17"/>
    <w:rsid w:val="008C072F"/>
    <w:rsid w:val="008C2D01"/>
    <w:rsid w:val="008C3986"/>
    <w:rsid w:val="008C40E6"/>
    <w:rsid w:val="008C54D1"/>
    <w:rsid w:val="008C6277"/>
    <w:rsid w:val="008D0B16"/>
    <w:rsid w:val="008D0F7A"/>
    <w:rsid w:val="008D4A90"/>
    <w:rsid w:val="008D68E4"/>
    <w:rsid w:val="008E0506"/>
    <w:rsid w:val="008E0CFF"/>
    <w:rsid w:val="008E1035"/>
    <w:rsid w:val="008E2851"/>
    <w:rsid w:val="008E4E09"/>
    <w:rsid w:val="008E5D6B"/>
    <w:rsid w:val="008E76F0"/>
    <w:rsid w:val="008F0816"/>
    <w:rsid w:val="008F0854"/>
    <w:rsid w:val="008F15FE"/>
    <w:rsid w:val="008F245A"/>
    <w:rsid w:val="008F2B41"/>
    <w:rsid w:val="008F2D29"/>
    <w:rsid w:val="008F2ED0"/>
    <w:rsid w:val="008F4454"/>
    <w:rsid w:val="008F5187"/>
    <w:rsid w:val="008F60D8"/>
    <w:rsid w:val="008F7B97"/>
    <w:rsid w:val="009005F9"/>
    <w:rsid w:val="00902727"/>
    <w:rsid w:val="00902A20"/>
    <w:rsid w:val="00902E6D"/>
    <w:rsid w:val="0090312B"/>
    <w:rsid w:val="00910A3F"/>
    <w:rsid w:val="00915080"/>
    <w:rsid w:val="009167F1"/>
    <w:rsid w:val="0091736D"/>
    <w:rsid w:val="00917519"/>
    <w:rsid w:val="00922B9D"/>
    <w:rsid w:val="00924FD7"/>
    <w:rsid w:val="0093037A"/>
    <w:rsid w:val="00930421"/>
    <w:rsid w:val="00930AB5"/>
    <w:rsid w:val="00936218"/>
    <w:rsid w:val="00937970"/>
    <w:rsid w:val="0094154D"/>
    <w:rsid w:val="0094522B"/>
    <w:rsid w:val="00950A69"/>
    <w:rsid w:val="0095155F"/>
    <w:rsid w:val="009530D7"/>
    <w:rsid w:val="009541AB"/>
    <w:rsid w:val="00954429"/>
    <w:rsid w:val="009563CE"/>
    <w:rsid w:val="00956ABB"/>
    <w:rsid w:val="00960A5F"/>
    <w:rsid w:val="00964FB8"/>
    <w:rsid w:val="00966BBB"/>
    <w:rsid w:val="00967AD0"/>
    <w:rsid w:val="00970C4F"/>
    <w:rsid w:val="00970E38"/>
    <w:rsid w:val="00975AF0"/>
    <w:rsid w:val="00976328"/>
    <w:rsid w:val="0097680D"/>
    <w:rsid w:val="009802D3"/>
    <w:rsid w:val="00982438"/>
    <w:rsid w:val="0098404C"/>
    <w:rsid w:val="00985283"/>
    <w:rsid w:val="0098730C"/>
    <w:rsid w:val="009907C0"/>
    <w:rsid w:val="0099142C"/>
    <w:rsid w:val="00993168"/>
    <w:rsid w:val="00995992"/>
    <w:rsid w:val="009A029C"/>
    <w:rsid w:val="009A03C6"/>
    <w:rsid w:val="009A03E5"/>
    <w:rsid w:val="009A0F3B"/>
    <w:rsid w:val="009A1BB4"/>
    <w:rsid w:val="009A2628"/>
    <w:rsid w:val="009A3200"/>
    <w:rsid w:val="009A4ABA"/>
    <w:rsid w:val="009A4D14"/>
    <w:rsid w:val="009A4FF5"/>
    <w:rsid w:val="009A51F9"/>
    <w:rsid w:val="009A55EE"/>
    <w:rsid w:val="009A5790"/>
    <w:rsid w:val="009A585A"/>
    <w:rsid w:val="009B0897"/>
    <w:rsid w:val="009B2B80"/>
    <w:rsid w:val="009B2BAE"/>
    <w:rsid w:val="009B55BC"/>
    <w:rsid w:val="009B7BD9"/>
    <w:rsid w:val="009C0CA3"/>
    <w:rsid w:val="009C40BA"/>
    <w:rsid w:val="009C76E2"/>
    <w:rsid w:val="009C7DD5"/>
    <w:rsid w:val="009D040D"/>
    <w:rsid w:val="009D2AFA"/>
    <w:rsid w:val="009D2CE7"/>
    <w:rsid w:val="009D3885"/>
    <w:rsid w:val="009D4B9F"/>
    <w:rsid w:val="009D53E8"/>
    <w:rsid w:val="009D7894"/>
    <w:rsid w:val="009D7A7D"/>
    <w:rsid w:val="009E227D"/>
    <w:rsid w:val="009E5019"/>
    <w:rsid w:val="009E57A6"/>
    <w:rsid w:val="009E5CFB"/>
    <w:rsid w:val="009F44C8"/>
    <w:rsid w:val="00A0078F"/>
    <w:rsid w:val="00A049FC"/>
    <w:rsid w:val="00A04F1B"/>
    <w:rsid w:val="00A0501B"/>
    <w:rsid w:val="00A060E1"/>
    <w:rsid w:val="00A07580"/>
    <w:rsid w:val="00A14734"/>
    <w:rsid w:val="00A14947"/>
    <w:rsid w:val="00A15E01"/>
    <w:rsid w:val="00A179AC"/>
    <w:rsid w:val="00A20FD1"/>
    <w:rsid w:val="00A22BDD"/>
    <w:rsid w:val="00A254E2"/>
    <w:rsid w:val="00A3194D"/>
    <w:rsid w:val="00A31C5B"/>
    <w:rsid w:val="00A32A83"/>
    <w:rsid w:val="00A32EEF"/>
    <w:rsid w:val="00A335DE"/>
    <w:rsid w:val="00A34A8E"/>
    <w:rsid w:val="00A353B8"/>
    <w:rsid w:val="00A368DB"/>
    <w:rsid w:val="00A423AA"/>
    <w:rsid w:val="00A42AA8"/>
    <w:rsid w:val="00A43245"/>
    <w:rsid w:val="00A433E9"/>
    <w:rsid w:val="00A467DE"/>
    <w:rsid w:val="00A50E99"/>
    <w:rsid w:val="00A5120C"/>
    <w:rsid w:val="00A533F3"/>
    <w:rsid w:val="00A53EC6"/>
    <w:rsid w:val="00A55C0F"/>
    <w:rsid w:val="00A57CAA"/>
    <w:rsid w:val="00A6796E"/>
    <w:rsid w:val="00A67F88"/>
    <w:rsid w:val="00A710EF"/>
    <w:rsid w:val="00A71311"/>
    <w:rsid w:val="00A76C8C"/>
    <w:rsid w:val="00A77893"/>
    <w:rsid w:val="00A800EC"/>
    <w:rsid w:val="00A8051E"/>
    <w:rsid w:val="00A823B4"/>
    <w:rsid w:val="00A8279D"/>
    <w:rsid w:val="00A840EB"/>
    <w:rsid w:val="00A8713F"/>
    <w:rsid w:val="00A90BA1"/>
    <w:rsid w:val="00A928FD"/>
    <w:rsid w:val="00A936D2"/>
    <w:rsid w:val="00A97A9A"/>
    <w:rsid w:val="00AA0500"/>
    <w:rsid w:val="00AA0671"/>
    <w:rsid w:val="00AA2531"/>
    <w:rsid w:val="00AA743C"/>
    <w:rsid w:val="00AB1E09"/>
    <w:rsid w:val="00AB5330"/>
    <w:rsid w:val="00AB7747"/>
    <w:rsid w:val="00AC14CE"/>
    <w:rsid w:val="00AC15FF"/>
    <w:rsid w:val="00AC2A56"/>
    <w:rsid w:val="00AC4EB8"/>
    <w:rsid w:val="00AC60AA"/>
    <w:rsid w:val="00AC7E61"/>
    <w:rsid w:val="00AD055E"/>
    <w:rsid w:val="00AD12ED"/>
    <w:rsid w:val="00AD47A7"/>
    <w:rsid w:val="00AD580C"/>
    <w:rsid w:val="00AD7112"/>
    <w:rsid w:val="00AD7954"/>
    <w:rsid w:val="00AE3D1E"/>
    <w:rsid w:val="00AE3FD0"/>
    <w:rsid w:val="00AE4C30"/>
    <w:rsid w:val="00AE51DF"/>
    <w:rsid w:val="00AE6EEF"/>
    <w:rsid w:val="00AF0391"/>
    <w:rsid w:val="00AF0396"/>
    <w:rsid w:val="00AF0CBF"/>
    <w:rsid w:val="00AF257F"/>
    <w:rsid w:val="00AF33CF"/>
    <w:rsid w:val="00AF4D50"/>
    <w:rsid w:val="00AF53B8"/>
    <w:rsid w:val="00AF6179"/>
    <w:rsid w:val="00AF7F17"/>
    <w:rsid w:val="00B0062E"/>
    <w:rsid w:val="00B037E9"/>
    <w:rsid w:val="00B07E2F"/>
    <w:rsid w:val="00B10E19"/>
    <w:rsid w:val="00B1295A"/>
    <w:rsid w:val="00B20A45"/>
    <w:rsid w:val="00B22C5C"/>
    <w:rsid w:val="00B230A1"/>
    <w:rsid w:val="00B24F30"/>
    <w:rsid w:val="00B3053D"/>
    <w:rsid w:val="00B31978"/>
    <w:rsid w:val="00B31ABF"/>
    <w:rsid w:val="00B32946"/>
    <w:rsid w:val="00B33BE3"/>
    <w:rsid w:val="00B33C8D"/>
    <w:rsid w:val="00B40214"/>
    <w:rsid w:val="00B409CE"/>
    <w:rsid w:val="00B42C77"/>
    <w:rsid w:val="00B44E8A"/>
    <w:rsid w:val="00B46B0C"/>
    <w:rsid w:val="00B53B5D"/>
    <w:rsid w:val="00B54D90"/>
    <w:rsid w:val="00B5536A"/>
    <w:rsid w:val="00B55474"/>
    <w:rsid w:val="00B560BB"/>
    <w:rsid w:val="00B57D3E"/>
    <w:rsid w:val="00B6055E"/>
    <w:rsid w:val="00B605C9"/>
    <w:rsid w:val="00B62B02"/>
    <w:rsid w:val="00B62CCB"/>
    <w:rsid w:val="00B6317D"/>
    <w:rsid w:val="00B648E0"/>
    <w:rsid w:val="00B6507B"/>
    <w:rsid w:val="00B7095E"/>
    <w:rsid w:val="00B72210"/>
    <w:rsid w:val="00B72D31"/>
    <w:rsid w:val="00B73801"/>
    <w:rsid w:val="00B7723F"/>
    <w:rsid w:val="00B778CA"/>
    <w:rsid w:val="00B80534"/>
    <w:rsid w:val="00B81E71"/>
    <w:rsid w:val="00B832C2"/>
    <w:rsid w:val="00B8433C"/>
    <w:rsid w:val="00B84389"/>
    <w:rsid w:val="00B87491"/>
    <w:rsid w:val="00B93308"/>
    <w:rsid w:val="00B93566"/>
    <w:rsid w:val="00B93611"/>
    <w:rsid w:val="00B95124"/>
    <w:rsid w:val="00B96327"/>
    <w:rsid w:val="00B96C72"/>
    <w:rsid w:val="00B97AB4"/>
    <w:rsid w:val="00BA0F6E"/>
    <w:rsid w:val="00BA175F"/>
    <w:rsid w:val="00BA2962"/>
    <w:rsid w:val="00BA29E9"/>
    <w:rsid w:val="00BA6560"/>
    <w:rsid w:val="00BA6DC8"/>
    <w:rsid w:val="00BA7142"/>
    <w:rsid w:val="00BB237C"/>
    <w:rsid w:val="00BB34EA"/>
    <w:rsid w:val="00BB3A2D"/>
    <w:rsid w:val="00BB41A3"/>
    <w:rsid w:val="00BB4861"/>
    <w:rsid w:val="00BB49CB"/>
    <w:rsid w:val="00BC32DC"/>
    <w:rsid w:val="00BC35B6"/>
    <w:rsid w:val="00BC6E80"/>
    <w:rsid w:val="00BC750B"/>
    <w:rsid w:val="00BC7D6A"/>
    <w:rsid w:val="00BD12E8"/>
    <w:rsid w:val="00BD132B"/>
    <w:rsid w:val="00BD1B51"/>
    <w:rsid w:val="00BD4596"/>
    <w:rsid w:val="00BD4689"/>
    <w:rsid w:val="00BD48B9"/>
    <w:rsid w:val="00BD5894"/>
    <w:rsid w:val="00BE0B5C"/>
    <w:rsid w:val="00BE1405"/>
    <w:rsid w:val="00BE29B7"/>
    <w:rsid w:val="00BE312D"/>
    <w:rsid w:val="00BE68AE"/>
    <w:rsid w:val="00BF1C20"/>
    <w:rsid w:val="00BF23F2"/>
    <w:rsid w:val="00BF44E4"/>
    <w:rsid w:val="00C006FB"/>
    <w:rsid w:val="00C01551"/>
    <w:rsid w:val="00C019F7"/>
    <w:rsid w:val="00C063AE"/>
    <w:rsid w:val="00C06A6E"/>
    <w:rsid w:val="00C10578"/>
    <w:rsid w:val="00C12470"/>
    <w:rsid w:val="00C135BC"/>
    <w:rsid w:val="00C13C92"/>
    <w:rsid w:val="00C15C95"/>
    <w:rsid w:val="00C2228B"/>
    <w:rsid w:val="00C230F6"/>
    <w:rsid w:val="00C244B2"/>
    <w:rsid w:val="00C2596A"/>
    <w:rsid w:val="00C27397"/>
    <w:rsid w:val="00C27537"/>
    <w:rsid w:val="00C27F1B"/>
    <w:rsid w:val="00C31476"/>
    <w:rsid w:val="00C328FE"/>
    <w:rsid w:val="00C33507"/>
    <w:rsid w:val="00C34CB9"/>
    <w:rsid w:val="00C43AFD"/>
    <w:rsid w:val="00C4409D"/>
    <w:rsid w:val="00C44395"/>
    <w:rsid w:val="00C4497A"/>
    <w:rsid w:val="00C44E72"/>
    <w:rsid w:val="00C456CF"/>
    <w:rsid w:val="00C45A06"/>
    <w:rsid w:val="00C4777F"/>
    <w:rsid w:val="00C47E5B"/>
    <w:rsid w:val="00C60A25"/>
    <w:rsid w:val="00C61E4B"/>
    <w:rsid w:val="00C61FDB"/>
    <w:rsid w:val="00C64BFF"/>
    <w:rsid w:val="00C67FAF"/>
    <w:rsid w:val="00C704E9"/>
    <w:rsid w:val="00C71084"/>
    <w:rsid w:val="00C74EE5"/>
    <w:rsid w:val="00C7565D"/>
    <w:rsid w:val="00C763C9"/>
    <w:rsid w:val="00C80057"/>
    <w:rsid w:val="00C81443"/>
    <w:rsid w:val="00C81642"/>
    <w:rsid w:val="00C82034"/>
    <w:rsid w:val="00C82232"/>
    <w:rsid w:val="00C82913"/>
    <w:rsid w:val="00C85FC1"/>
    <w:rsid w:val="00C92B8F"/>
    <w:rsid w:val="00C9313E"/>
    <w:rsid w:val="00C972B1"/>
    <w:rsid w:val="00CA0DF7"/>
    <w:rsid w:val="00CA2AFD"/>
    <w:rsid w:val="00CA2CCE"/>
    <w:rsid w:val="00CA43FD"/>
    <w:rsid w:val="00CA4901"/>
    <w:rsid w:val="00CA7083"/>
    <w:rsid w:val="00CA7EF8"/>
    <w:rsid w:val="00CB391A"/>
    <w:rsid w:val="00CC2AD4"/>
    <w:rsid w:val="00CC2E0F"/>
    <w:rsid w:val="00CC489B"/>
    <w:rsid w:val="00CC7719"/>
    <w:rsid w:val="00CC7D0B"/>
    <w:rsid w:val="00CD2BCD"/>
    <w:rsid w:val="00CD3A4C"/>
    <w:rsid w:val="00CD3F6B"/>
    <w:rsid w:val="00CD62A5"/>
    <w:rsid w:val="00CD75C1"/>
    <w:rsid w:val="00CE10E9"/>
    <w:rsid w:val="00CE2910"/>
    <w:rsid w:val="00CE2EE0"/>
    <w:rsid w:val="00CE5393"/>
    <w:rsid w:val="00CE6B07"/>
    <w:rsid w:val="00CE71A4"/>
    <w:rsid w:val="00CF0338"/>
    <w:rsid w:val="00CF096F"/>
    <w:rsid w:val="00CF10B7"/>
    <w:rsid w:val="00CF27CB"/>
    <w:rsid w:val="00CF2D29"/>
    <w:rsid w:val="00CF36BE"/>
    <w:rsid w:val="00CF514D"/>
    <w:rsid w:val="00CF6000"/>
    <w:rsid w:val="00D003F3"/>
    <w:rsid w:val="00D0364F"/>
    <w:rsid w:val="00D04D9E"/>
    <w:rsid w:val="00D05F0D"/>
    <w:rsid w:val="00D06655"/>
    <w:rsid w:val="00D06834"/>
    <w:rsid w:val="00D07B9A"/>
    <w:rsid w:val="00D211D5"/>
    <w:rsid w:val="00D22A2F"/>
    <w:rsid w:val="00D239AB"/>
    <w:rsid w:val="00D278EB"/>
    <w:rsid w:val="00D308D7"/>
    <w:rsid w:val="00D308ED"/>
    <w:rsid w:val="00D311AF"/>
    <w:rsid w:val="00D36D86"/>
    <w:rsid w:val="00D375E9"/>
    <w:rsid w:val="00D4208E"/>
    <w:rsid w:val="00D428AA"/>
    <w:rsid w:val="00D43304"/>
    <w:rsid w:val="00D50A34"/>
    <w:rsid w:val="00D530DB"/>
    <w:rsid w:val="00D53EFA"/>
    <w:rsid w:val="00D563DE"/>
    <w:rsid w:val="00D6160D"/>
    <w:rsid w:val="00D638B3"/>
    <w:rsid w:val="00D63D6C"/>
    <w:rsid w:val="00D641CA"/>
    <w:rsid w:val="00D65816"/>
    <w:rsid w:val="00D71555"/>
    <w:rsid w:val="00D74B27"/>
    <w:rsid w:val="00D80856"/>
    <w:rsid w:val="00D84444"/>
    <w:rsid w:val="00D86DD9"/>
    <w:rsid w:val="00D87A6E"/>
    <w:rsid w:val="00D94A7C"/>
    <w:rsid w:val="00D95896"/>
    <w:rsid w:val="00DA506C"/>
    <w:rsid w:val="00DB01F4"/>
    <w:rsid w:val="00DB2983"/>
    <w:rsid w:val="00DB309E"/>
    <w:rsid w:val="00DB59B3"/>
    <w:rsid w:val="00DB634D"/>
    <w:rsid w:val="00DB6526"/>
    <w:rsid w:val="00DB674F"/>
    <w:rsid w:val="00DC1257"/>
    <w:rsid w:val="00DC2978"/>
    <w:rsid w:val="00DC3DC0"/>
    <w:rsid w:val="00DC3DFF"/>
    <w:rsid w:val="00DC5B2B"/>
    <w:rsid w:val="00DC5B36"/>
    <w:rsid w:val="00DC7F7A"/>
    <w:rsid w:val="00DD033A"/>
    <w:rsid w:val="00DD318D"/>
    <w:rsid w:val="00DD32D0"/>
    <w:rsid w:val="00DE02CA"/>
    <w:rsid w:val="00DE0EC1"/>
    <w:rsid w:val="00DE27D6"/>
    <w:rsid w:val="00DE4352"/>
    <w:rsid w:val="00DE6425"/>
    <w:rsid w:val="00DF282B"/>
    <w:rsid w:val="00DF2E12"/>
    <w:rsid w:val="00DF514A"/>
    <w:rsid w:val="00DF65D7"/>
    <w:rsid w:val="00DF6690"/>
    <w:rsid w:val="00DF6804"/>
    <w:rsid w:val="00E0037D"/>
    <w:rsid w:val="00E01EC8"/>
    <w:rsid w:val="00E020AE"/>
    <w:rsid w:val="00E021E0"/>
    <w:rsid w:val="00E02BAE"/>
    <w:rsid w:val="00E0358D"/>
    <w:rsid w:val="00E042E3"/>
    <w:rsid w:val="00E04323"/>
    <w:rsid w:val="00E04B7E"/>
    <w:rsid w:val="00E070A2"/>
    <w:rsid w:val="00E14BE3"/>
    <w:rsid w:val="00E151A9"/>
    <w:rsid w:val="00E22419"/>
    <w:rsid w:val="00E22D65"/>
    <w:rsid w:val="00E25AB0"/>
    <w:rsid w:val="00E2656A"/>
    <w:rsid w:val="00E412D0"/>
    <w:rsid w:val="00E42310"/>
    <w:rsid w:val="00E434D2"/>
    <w:rsid w:val="00E47A3E"/>
    <w:rsid w:val="00E47C47"/>
    <w:rsid w:val="00E51D3A"/>
    <w:rsid w:val="00E53EBD"/>
    <w:rsid w:val="00E53FCD"/>
    <w:rsid w:val="00E54964"/>
    <w:rsid w:val="00E56322"/>
    <w:rsid w:val="00E60982"/>
    <w:rsid w:val="00E62C62"/>
    <w:rsid w:val="00E654C1"/>
    <w:rsid w:val="00E65832"/>
    <w:rsid w:val="00E65D97"/>
    <w:rsid w:val="00E66E16"/>
    <w:rsid w:val="00E71D38"/>
    <w:rsid w:val="00E71DB3"/>
    <w:rsid w:val="00E72A5A"/>
    <w:rsid w:val="00E73354"/>
    <w:rsid w:val="00E73D1C"/>
    <w:rsid w:val="00E762E6"/>
    <w:rsid w:val="00E9242D"/>
    <w:rsid w:val="00E96E27"/>
    <w:rsid w:val="00EA297C"/>
    <w:rsid w:val="00EA2CE2"/>
    <w:rsid w:val="00EB28D4"/>
    <w:rsid w:val="00EB3125"/>
    <w:rsid w:val="00EB4844"/>
    <w:rsid w:val="00EB5255"/>
    <w:rsid w:val="00EB5C47"/>
    <w:rsid w:val="00EC1958"/>
    <w:rsid w:val="00EC20A5"/>
    <w:rsid w:val="00EC31B1"/>
    <w:rsid w:val="00EC4056"/>
    <w:rsid w:val="00EC493C"/>
    <w:rsid w:val="00ED0639"/>
    <w:rsid w:val="00ED12D3"/>
    <w:rsid w:val="00ED1CB8"/>
    <w:rsid w:val="00ED4D10"/>
    <w:rsid w:val="00ED5698"/>
    <w:rsid w:val="00ED6E45"/>
    <w:rsid w:val="00EE42D3"/>
    <w:rsid w:val="00EE5FD3"/>
    <w:rsid w:val="00EF055F"/>
    <w:rsid w:val="00EF2907"/>
    <w:rsid w:val="00EF3555"/>
    <w:rsid w:val="00EF4755"/>
    <w:rsid w:val="00EF54FE"/>
    <w:rsid w:val="00EF57D8"/>
    <w:rsid w:val="00EF7135"/>
    <w:rsid w:val="00EF71DB"/>
    <w:rsid w:val="00F027DB"/>
    <w:rsid w:val="00F10CF2"/>
    <w:rsid w:val="00F14261"/>
    <w:rsid w:val="00F14A7A"/>
    <w:rsid w:val="00F15731"/>
    <w:rsid w:val="00F15FC7"/>
    <w:rsid w:val="00F21A69"/>
    <w:rsid w:val="00F22985"/>
    <w:rsid w:val="00F24406"/>
    <w:rsid w:val="00F25F6C"/>
    <w:rsid w:val="00F26790"/>
    <w:rsid w:val="00F3083C"/>
    <w:rsid w:val="00F3383E"/>
    <w:rsid w:val="00F33A7F"/>
    <w:rsid w:val="00F35DDA"/>
    <w:rsid w:val="00F36491"/>
    <w:rsid w:val="00F40708"/>
    <w:rsid w:val="00F465A7"/>
    <w:rsid w:val="00F50B7C"/>
    <w:rsid w:val="00F52ADF"/>
    <w:rsid w:val="00F54E6D"/>
    <w:rsid w:val="00F550E6"/>
    <w:rsid w:val="00F6303B"/>
    <w:rsid w:val="00F679FE"/>
    <w:rsid w:val="00F67E71"/>
    <w:rsid w:val="00F70A8E"/>
    <w:rsid w:val="00F730F1"/>
    <w:rsid w:val="00F7370E"/>
    <w:rsid w:val="00F74345"/>
    <w:rsid w:val="00F74C6F"/>
    <w:rsid w:val="00F7534E"/>
    <w:rsid w:val="00F75827"/>
    <w:rsid w:val="00F809CF"/>
    <w:rsid w:val="00F80A0A"/>
    <w:rsid w:val="00F82B19"/>
    <w:rsid w:val="00F82F01"/>
    <w:rsid w:val="00F8305F"/>
    <w:rsid w:val="00F8585A"/>
    <w:rsid w:val="00F870E4"/>
    <w:rsid w:val="00F9212D"/>
    <w:rsid w:val="00F9487B"/>
    <w:rsid w:val="00F9513F"/>
    <w:rsid w:val="00F95488"/>
    <w:rsid w:val="00F965DA"/>
    <w:rsid w:val="00F96786"/>
    <w:rsid w:val="00F96957"/>
    <w:rsid w:val="00F97E1B"/>
    <w:rsid w:val="00FA3A9D"/>
    <w:rsid w:val="00FA406A"/>
    <w:rsid w:val="00FA470E"/>
    <w:rsid w:val="00FA6869"/>
    <w:rsid w:val="00FA780A"/>
    <w:rsid w:val="00FB503A"/>
    <w:rsid w:val="00FB516C"/>
    <w:rsid w:val="00FB51ED"/>
    <w:rsid w:val="00FC1B9A"/>
    <w:rsid w:val="00FC2C3A"/>
    <w:rsid w:val="00FC3F6B"/>
    <w:rsid w:val="00FD0236"/>
    <w:rsid w:val="00FD18F4"/>
    <w:rsid w:val="00FD33BE"/>
    <w:rsid w:val="00FD492D"/>
    <w:rsid w:val="00FD5212"/>
    <w:rsid w:val="00FD54DB"/>
    <w:rsid w:val="00FD619F"/>
    <w:rsid w:val="00FE0382"/>
    <w:rsid w:val="00FE1B10"/>
    <w:rsid w:val="00FE1FA5"/>
    <w:rsid w:val="00FE2CA8"/>
    <w:rsid w:val="00FE2F09"/>
    <w:rsid w:val="00FE679C"/>
    <w:rsid w:val="00FE740C"/>
    <w:rsid w:val="00FF2FCA"/>
    <w:rsid w:val="00FF33A8"/>
    <w:rsid w:val="00FF39B7"/>
    <w:rsid w:val="00FF4068"/>
    <w:rsid w:val="00FF4DD5"/>
    <w:rsid w:val="01290F7E"/>
    <w:rsid w:val="012A6BDB"/>
    <w:rsid w:val="012D2A2A"/>
    <w:rsid w:val="0150576A"/>
    <w:rsid w:val="015D1E09"/>
    <w:rsid w:val="01B32343"/>
    <w:rsid w:val="02367390"/>
    <w:rsid w:val="024D63AB"/>
    <w:rsid w:val="024E686E"/>
    <w:rsid w:val="02540839"/>
    <w:rsid w:val="02697903"/>
    <w:rsid w:val="02904770"/>
    <w:rsid w:val="02DA26BE"/>
    <w:rsid w:val="02F96569"/>
    <w:rsid w:val="03144F12"/>
    <w:rsid w:val="03EA7B21"/>
    <w:rsid w:val="03EB4B18"/>
    <w:rsid w:val="041673AC"/>
    <w:rsid w:val="04275CE4"/>
    <w:rsid w:val="044B5A13"/>
    <w:rsid w:val="04883E48"/>
    <w:rsid w:val="04A07544"/>
    <w:rsid w:val="04A743F6"/>
    <w:rsid w:val="04B62C72"/>
    <w:rsid w:val="04C3540B"/>
    <w:rsid w:val="04E616FC"/>
    <w:rsid w:val="050D5D21"/>
    <w:rsid w:val="05133111"/>
    <w:rsid w:val="059535D7"/>
    <w:rsid w:val="05BF53AB"/>
    <w:rsid w:val="05F11A75"/>
    <w:rsid w:val="05F83EAE"/>
    <w:rsid w:val="060132A5"/>
    <w:rsid w:val="063E7D85"/>
    <w:rsid w:val="06D73361"/>
    <w:rsid w:val="0708572D"/>
    <w:rsid w:val="07293586"/>
    <w:rsid w:val="07295285"/>
    <w:rsid w:val="076334A9"/>
    <w:rsid w:val="07636392"/>
    <w:rsid w:val="076D2AFB"/>
    <w:rsid w:val="07770C56"/>
    <w:rsid w:val="078D2B6C"/>
    <w:rsid w:val="08125054"/>
    <w:rsid w:val="081A528B"/>
    <w:rsid w:val="08310E91"/>
    <w:rsid w:val="08580C08"/>
    <w:rsid w:val="092217DD"/>
    <w:rsid w:val="093A7294"/>
    <w:rsid w:val="09630A37"/>
    <w:rsid w:val="0971462B"/>
    <w:rsid w:val="098510E9"/>
    <w:rsid w:val="09B91E5B"/>
    <w:rsid w:val="0A1149C0"/>
    <w:rsid w:val="0A263993"/>
    <w:rsid w:val="0A2D3AC2"/>
    <w:rsid w:val="0A491FAC"/>
    <w:rsid w:val="0A5F357B"/>
    <w:rsid w:val="0AA755DF"/>
    <w:rsid w:val="0AF727AB"/>
    <w:rsid w:val="0B035CFD"/>
    <w:rsid w:val="0B120D44"/>
    <w:rsid w:val="0B304DED"/>
    <w:rsid w:val="0BB14DA8"/>
    <w:rsid w:val="0BD27BF6"/>
    <w:rsid w:val="0BF945B1"/>
    <w:rsid w:val="0C3B3C7D"/>
    <w:rsid w:val="0C430E64"/>
    <w:rsid w:val="0C9A7529"/>
    <w:rsid w:val="0CAB2EAE"/>
    <w:rsid w:val="0CAD024B"/>
    <w:rsid w:val="0CB72D13"/>
    <w:rsid w:val="0CE14EC2"/>
    <w:rsid w:val="0D000AE0"/>
    <w:rsid w:val="0D621C7D"/>
    <w:rsid w:val="0D68674F"/>
    <w:rsid w:val="0D752A99"/>
    <w:rsid w:val="0DB10079"/>
    <w:rsid w:val="0E100F06"/>
    <w:rsid w:val="0E5A1395"/>
    <w:rsid w:val="0E6321B2"/>
    <w:rsid w:val="0E73034D"/>
    <w:rsid w:val="0EA32032"/>
    <w:rsid w:val="0EFD76F2"/>
    <w:rsid w:val="0F13775A"/>
    <w:rsid w:val="0F225B97"/>
    <w:rsid w:val="0F573383"/>
    <w:rsid w:val="0F585CB3"/>
    <w:rsid w:val="0F5F45FE"/>
    <w:rsid w:val="0F6B5738"/>
    <w:rsid w:val="0F77299F"/>
    <w:rsid w:val="0F8B02F8"/>
    <w:rsid w:val="0F95746B"/>
    <w:rsid w:val="0F9A112B"/>
    <w:rsid w:val="0FE51C4F"/>
    <w:rsid w:val="0FE97C61"/>
    <w:rsid w:val="101C181D"/>
    <w:rsid w:val="10327341"/>
    <w:rsid w:val="10657382"/>
    <w:rsid w:val="106D2F64"/>
    <w:rsid w:val="10B63710"/>
    <w:rsid w:val="10C76BB2"/>
    <w:rsid w:val="10F10820"/>
    <w:rsid w:val="1109528C"/>
    <w:rsid w:val="111C2F7A"/>
    <w:rsid w:val="11665CA1"/>
    <w:rsid w:val="116B7817"/>
    <w:rsid w:val="11757502"/>
    <w:rsid w:val="11DC6DA7"/>
    <w:rsid w:val="13741F37"/>
    <w:rsid w:val="13951726"/>
    <w:rsid w:val="13BA5EAA"/>
    <w:rsid w:val="13F34F01"/>
    <w:rsid w:val="13FA0329"/>
    <w:rsid w:val="14396509"/>
    <w:rsid w:val="145722C0"/>
    <w:rsid w:val="14BA600C"/>
    <w:rsid w:val="14DD2C3C"/>
    <w:rsid w:val="14FA73A9"/>
    <w:rsid w:val="16087E1D"/>
    <w:rsid w:val="162639BD"/>
    <w:rsid w:val="168F0173"/>
    <w:rsid w:val="16910069"/>
    <w:rsid w:val="16FA3301"/>
    <w:rsid w:val="170554EC"/>
    <w:rsid w:val="174E5DF2"/>
    <w:rsid w:val="17654071"/>
    <w:rsid w:val="17701D14"/>
    <w:rsid w:val="17735226"/>
    <w:rsid w:val="18717F69"/>
    <w:rsid w:val="189F624C"/>
    <w:rsid w:val="18E226B4"/>
    <w:rsid w:val="1940748A"/>
    <w:rsid w:val="19AA6313"/>
    <w:rsid w:val="19B77BA2"/>
    <w:rsid w:val="19D41C1B"/>
    <w:rsid w:val="1A1C66C0"/>
    <w:rsid w:val="1A42393B"/>
    <w:rsid w:val="1AAD45DE"/>
    <w:rsid w:val="1B046F80"/>
    <w:rsid w:val="1B1825F6"/>
    <w:rsid w:val="1B1C0922"/>
    <w:rsid w:val="1B3267B5"/>
    <w:rsid w:val="1B40161D"/>
    <w:rsid w:val="1B441859"/>
    <w:rsid w:val="1B5C7143"/>
    <w:rsid w:val="1B6606B1"/>
    <w:rsid w:val="1B860E42"/>
    <w:rsid w:val="1BA84A19"/>
    <w:rsid w:val="1BAB5405"/>
    <w:rsid w:val="1BF20668"/>
    <w:rsid w:val="1C5E7925"/>
    <w:rsid w:val="1CD75A11"/>
    <w:rsid w:val="1CFD070F"/>
    <w:rsid w:val="1D0F1DF3"/>
    <w:rsid w:val="1D5F6196"/>
    <w:rsid w:val="1D6132A5"/>
    <w:rsid w:val="1D8E56D5"/>
    <w:rsid w:val="1DAF6207"/>
    <w:rsid w:val="1DD35FEF"/>
    <w:rsid w:val="1DDD7D99"/>
    <w:rsid w:val="1E5E766A"/>
    <w:rsid w:val="1E7A43DA"/>
    <w:rsid w:val="1E7E36AB"/>
    <w:rsid w:val="1E900C2C"/>
    <w:rsid w:val="1EA43838"/>
    <w:rsid w:val="1EDE6770"/>
    <w:rsid w:val="1FAE057F"/>
    <w:rsid w:val="1FE16E37"/>
    <w:rsid w:val="1FE7539E"/>
    <w:rsid w:val="2001351B"/>
    <w:rsid w:val="200A063F"/>
    <w:rsid w:val="2046754D"/>
    <w:rsid w:val="20671BE0"/>
    <w:rsid w:val="20963CB8"/>
    <w:rsid w:val="209A66E1"/>
    <w:rsid w:val="20A4696D"/>
    <w:rsid w:val="20A81A1B"/>
    <w:rsid w:val="20B07FB6"/>
    <w:rsid w:val="20B646FB"/>
    <w:rsid w:val="20FF70FF"/>
    <w:rsid w:val="211F197D"/>
    <w:rsid w:val="212A1E87"/>
    <w:rsid w:val="213B74B1"/>
    <w:rsid w:val="215A2310"/>
    <w:rsid w:val="2161556B"/>
    <w:rsid w:val="21C565C2"/>
    <w:rsid w:val="21D27FE9"/>
    <w:rsid w:val="21DE318A"/>
    <w:rsid w:val="21EF5B80"/>
    <w:rsid w:val="220D5C32"/>
    <w:rsid w:val="22552496"/>
    <w:rsid w:val="22576990"/>
    <w:rsid w:val="2282237C"/>
    <w:rsid w:val="22AC1FCB"/>
    <w:rsid w:val="22C96B94"/>
    <w:rsid w:val="22F47480"/>
    <w:rsid w:val="23935C7E"/>
    <w:rsid w:val="23BD5497"/>
    <w:rsid w:val="23C50D2A"/>
    <w:rsid w:val="23DE1C48"/>
    <w:rsid w:val="23E816BF"/>
    <w:rsid w:val="240210CD"/>
    <w:rsid w:val="24BF09F7"/>
    <w:rsid w:val="24D20223"/>
    <w:rsid w:val="252D53FE"/>
    <w:rsid w:val="25BC4129"/>
    <w:rsid w:val="25CE430C"/>
    <w:rsid w:val="25D010D8"/>
    <w:rsid w:val="25EC2D81"/>
    <w:rsid w:val="25F211C5"/>
    <w:rsid w:val="260E7FC9"/>
    <w:rsid w:val="26406ACF"/>
    <w:rsid w:val="26655897"/>
    <w:rsid w:val="269B60B2"/>
    <w:rsid w:val="273C35D0"/>
    <w:rsid w:val="275D221F"/>
    <w:rsid w:val="277057A2"/>
    <w:rsid w:val="278048A6"/>
    <w:rsid w:val="279A1B15"/>
    <w:rsid w:val="27C5489A"/>
    <w:rsid w:val="283B207E"/>
    <w:rsid w:val="286B1BB5"/>
    <w:rsid w:val="2885352B"/>
    <w:rsid w:val="28BC00F7"/>
    <w:rsid w:val="28F463CD"/>
    <w:rsid w:val="29011BCA"/>
    <w:rsid w:val="29206EB8"/>
    <w:rsid w:val="29595666"/>
    <w:rsid w:val="297D72A0"/>
    <w:rsid w:val="29874881"/>
    <w:rsid w:val="29890093"/>
    <w:rsid w:val="29B13146"/>
    <w:rsid w:val="29E325E0"/>
    <w:rsid w:val="29F97C5F"/>
    <w:rsid w:val="2A1D4C7F"/>
    <w:rsid w:val="2A452503"/>
    <w:rsid w:val="2A45762F"/>
    <w:rsid w:val="2A587A65"/>
    <w:rsid w:val="2A5F094B"/>
    <w:rsid w:val="2B265FFB"/>
    <w:rsid w:val="2BA936A8"/>
    <w:rsid w:val="2C315A5A"/>
    <w:rsid w:val="2C4B1C25"/>
    <w:rsid w:val="2C815051"/>
    <w:rsid w:val="2C861CCC"/>
    <w:rsid w:val="2CC55DD5"/>
    <w:rsid w:val="2D6C6E43"/>
    <w:rsid w:val="2D9E56F5"/>
    <w:rsid w:val="2DBD1075"/>
    <w:rsid w:val="2DC94839"/>
    <w:rsid w:val="2DD5492E"/>
    <w:rsid w:val="2DFD1E2C"/>
    <w:rsid w:val="2E667F96"/>
    <w:rsid w:val="2E8226AB"/>
    <w:rsid w:val="2EFF4E4D"/>
    <w:rsid w:val="2F02414A"/>
    <w:rsid w:val="2F5E6132"/>
    <w:rsid w:val="2FD065E6"/>
    <w:rsid w:val="2FD96870"/>
    <w:rsid w:val="2FE57FED"/>
    <w:rsid w:val="2FE83639"/>
    <w:rsid w:val="300456D0"/>
    <w:rsid w:val="304E7940"/>
    <w:rsid w:val="30580BC9"/>
    <w:rsid w:val="30A423FB"/>
    <w:rsid w:val="31012C04"/>
    <w:rsid w:val="311E2ED7"/>
    <w:rsid w:val="31264419"/>
    <w:rsid w:val="315619EE"/>
    <w:rsid w:val="315C449C"/>
    <w:rsid w:val="315E0057"/>
    <w:rsid w:val="31B82709"/>
    <w:rsid w:val="31D05482"/>
    <w:rsid w:val="31E5313B"/>
    <w:rsid w:val="31F42769"/>
    <w:rsid w:val="31F64758"/>
    <w:rsid w:val="31F849B6"/>
    <w:rsid w:val="32156DD9"/>
    <w:rsid w:val="32400B34"/>
    <w:rsid w:val="329464F9"/>
    <w:rsid w:val="329E6876"/>
    <w:rsid w:val="32AC69A4"/>
    <w:rsid w:val="32F52373"/>
    <w:rsid w:val="333015F2"/>
    <w:rsid w:val="334B6320"/>
    <w:rsid w:val="33635DA1"/>
    <w:rsid w:val="33BD1455"/>
    <w:rsid w:val="33D934D4"/>
    <w:rsid w:val="33FE2F6A"/>
    <w:rsid w:val="340E07E5"/>
    <w:rsid w:val="34235BF7"/>
    <w:rsid w:val="34295EF5"/>
    <w:rsid w:val="34314A39"/>
    <w:rsid w:val="34926C13"/>
    <w:rsid w:val="35156C7E"/>
    <w:rsid w:val="356F5BCF"/>
    <w:rsid w:val="358C5FA8"/>
    <w:rsid w:val="35AD4F53"/>
    <w:rsid w:val="35C15DF1"/>
    <w:rsid w:val="35E4182E"/>
    <w:rsid w:val="35EB3E55"/>
    <w:rsid w:val="36074A7F"/>
    <w:rsid w:val="367E15B8"/>
    <w:rsid w:val="36923549"/>
    <w:rsid w:val="36B75FBF"/>
    <w:rsid w:val="36BD0C45"/>
    <w:rsid w:val="3720190B"/>
    <w:rsid w:val="373F7FE3"/>
    <w:rsid w:val="378533C6"/>
    <w:rsid w:val="37E00298"/>
    <w:rsid w:val="38212B86"/>
    <w:rsid w:val="38B302F9"/>
    <w:rsid w:val="38F12CD3"/>
    <w:rsid w:val="38F94775"/>
    <w:rsid w:val="39275AE1"/>
    <w:rsid w:val="392971ED"/>
    <w:rsid w:val="39325651"/>
    <w:rsid w:val="39F56939"/>
    <w:rsid w:val="39F91761"/>
    <w:rsid w:val="39FA7D2B"/>
    <w:rsid w:val="3A273DAB"/>
    <w:rsid w:val="3A63048C"/>
    <w:rsid w:val="3A872856"/>
    <w:rsid w:val="3AAF56B5"/>
    <w:rsid w:val="3AB75076"/>
    <w:rsid w:val="3B3763D1"/>
    <w:rsid w:val="3B563BA8"/>
    <w:rsid w:val="3B626CC4"/>
    <w:rsid w:val="3B967866"/>
    <w:rsid w:val="3BBB42F1"/>
    <w:rsid w:val="3C2F6E1E"/>
    <w:rsid w:val="3C4F64BA"/>
    <w:rsid w:val="3C5B2BB9"/>
    <w:rsid w:val="3C614F2B"/>
    <w:rsid w:val="3C942B7F"/>
    <w:rsid w:val="3CAE1102"/>
    <w:rsid w:val="3CB6466C"/>
    <w:rsid w:val="3CDA245A"/>
    <w:rsid w:val="3CEA28CC"/>
    <w:rsid w:val="3D1E06B7"/>
    <w:rsid w:val="3DAF651E"/>
    <w:rsid w:val="3E2674B5"/>
    <w:rsid w:val="3E646581"/>
    <w:rsid w:val="3E806DD1"/>
    <w:rsid w:val="3E874641"/>
    <w:rsid w:val="3EDA0523"/>
    <w:rsid w:val="3F1D222A"/>
    <w:rsid w:val="3F336634"/>
    <w:rsid w:val="3FA30C9E"/>
    <w:rsid w:val="3FEA465E"/>
    <w:rsid w:val="3FF54D77"/>
    <w:rsid w:val="405002F8"/>
    <w:rsid w:val="406256B2"/>
    <w:rsid w:val="407A6407"/>
    <w:rsid w:val="407D64C1"/>
    <w:rsid w:val="40821BE4"/>
    <w:rsid w:val="40A315E2"/>
    <w:rsid w:val="40ED0C87"/>
    <w:rsid w:val="41332ABD"/>
    <w:rsid w:val="41421944"/>
    <w:rsid w:val="41662416"/>
    <w:rsid w:val="416F6CA8"/>
    <w:rsid w:val="41B9630E"/>
    <w:rsid w:val="4200449D"/>
    <w:rsid w:val="42270CEC"/>
    <w:rsid w:val="423A3BCC"/>
    <w:rsid w:val="424E57D2"/>
    <w:rsid w:val="4269756B"/>
    <w:rsid w:val="426E3AE8"/>
    <w:rsid w:val="42755FD2"/>
    <w:rsid w:val="428D386D"/>
    <w:rsid w:val="42B26C49"/>
    <w:rsid w:val="42C90675"/>
    <w:rsid w:val="432A01C1"/>
    <w:rsid w:val="433A6FE6"/>
    <w:rsid w:val="43480868"/>
    <w:rsid w:val="4350713C"/>
    <w:rsid w:val="436653E0"/>
    <w:rsid w:val="43C4431A"/>
    <w:rsid w:val="4416656F"/>
    <w:rsid w:val="446172CD"/>
    <w:rsid w:val="446948F1"/>
    <w:rsid w:val="44AC6468"/>
    <w:rsid w:val="44B951CC"/>
    <w:rsid w:val="44CD14E0"/>
    <w:rsid w:val="44F20B0B"/>
    <w:rsid w:val="452E5F4C"/>
    <w:rsid w:val="45612018"/>
    <w:rsid w:val="457E0985"/>
    <w:rsid w:val="458946E9"/>
    <w:rsid w:val="45A47C0E"/>
    <w:rsid w:val="45DC7BC1"/>
    <w:rsid w:val="461E170B"/>
    <w:rsid w:val="46577FD6"/>
    <w:rsid w:val="469736C4"/>
    <w:rsid w:val="469C05C0"/>
    <w:rsid w:val="46D955A7"/>
    <w:rsid w:val="46E17659"/>
    <w:rsid w:val="46E87AAC"/>
    <w:rsid w:val="47032078"/>
    <w:rsid w:val="4707615E"/>
    <w:rsid w:val="47133957"/>
    <w:rsid w:val="47632DE6"/>
    <w:rsid w:val="47A07E0C"/>
    <w:rsid w:val="47E250E6"/>
    <w:rsid w:val="481C620A"/>
    <w:rsid w:val="4837251E"/>
    <w:rsid w:val="483B778E"/>
    <w:rsid w:val="484726B8"/>
    <w:rsid w:val="48677399"/>
    <w:rsid w:val="4870272E"/>
    <w:rsid w:val="490E0416"/>
    <w:rsid w:val="49DC7715"/>
    <w:rsid w:val="4A023139"/>
    <w:rsid w:val="4A520A07"/>
    <w:rsid w:val="4A7B576F"/>
    <w:rsid w:val="4AC60109"/>
    <w:rsid w:val="4AF2320F"/>
    <w:rsid w:val="4AF561A9"/>
    <w:rsid w:val="4B217660"/>
    <w:rsid w:val="4B431B7A"/>
    <w:rsid w:val="4B495A58"/>
    <w:rsid w:val="4BC66843"/>
    <w:rsid w:val="4BC724F8"/>
    <w:rsid w:val="4BC93EC7"/>
    <w:rsid w:val="4C4A0649"/>
    <w:rsid w:val="4C7E5ECA"/>
    <w:rsid w:val="4C876AA5"/>
    <w:rsid w:val="4CA706AC"/>
    <w:rsid w:val="4CD314A1"/>
    <w:rsid w:val="4D0E00FB"/>
    <w:rsid w:val="4D1350D4"/>
    <w:rsid w:val="4D176606"/>
    <w:rsid w:val="4D59036B"/>
    <w:rsid w:val="4D9647B6"/>
    <w:rsid w:val="4DEC4FB0"/>
    <w:rsid w:val="4E075D8A"/>
    <w:rsid w:val="4E0B43F1"/>
    <w:rsid w:val="4E197A55"/>
    <w:rsid w:val="4E235706"/>
    <w:rsid w:val="4E483DF6"/>
    <w:rsid w:val="4EC00FAD"/>
    <w:rsid w:val="4F451F5D"/>
    <w:rsid w:val="4F81157A"/>
    <w:rsid w:val="4F9843DC"/>
    <w:rsid w:val="4FC62A8C"/>
    <w:rsid w:val="4FCB0677"/>
    <w:rsid w:val="4FE20F0D"/>
    <w:rsid w:val="4FE51552"/>
    <w:rsid w:val="50091D29"/>
    <w:rsid w:val="50504C4B"/>
    <w:rsid w:val="505B2914"/>
    <w:rsid w:val="50693B44"/>
    <w:rsid w:val="509C6E7C"/>
    <w:rsid w:val="50A17FF1"/>
    <w:rsid w:val="50AA6921"/>
    <w:rsid w:val="50C50E7D"/>
    <w:rsid w:val="50C76EAB"/>
    <w:rsid w:val="50CA3310"/>
    <w:rsid w:val="51087240"/>
    <w:rsid w:val="515B2080"/>
    <w:rsid w:val="5162104E"/>
    <w:rsid w:val="519F2752"/>
    <w:rsid w:val="51C23892"/>
    <w:rsid w:val="52023E49"/>
    <w:rsid w:val="5223111D"/>
    <w:rsid w:val="523E7C1D"/>
    <w:rsid w:val="52662470"/>
    <w:rsid w:val="528E37DC"/>
    <w:rsid w:val="52A05DB8"/>
    <w:rsid w:val="53A039CC"/>
    <w:rsid w:val="53A1505A"/>
    <w:rsid w:val="53C208DB"/>
    <w:rsid w:val="53CE7499"/>
    <w:rsid w:val="54063E08"/>
    <w:rsid w:val="543437E8"/>
    <w:rsid w:val="54A749AC"/>
    <w:rsid w:val="54DE09E3"/>
    <w:rsid w:val="54F73313"/>
    <w:rsid w:val="54F80955"/>
    <w:rsid w:val="555170A7"/>
    <w:rsid w:val="55703974"/>
    <w:rsid w:val="5587536D"/>
    <w:rsid w:val="559B174B"/>
    <w:rsid w:val="55B60C59"/>
    <w:rsid w:val="55CE0CF4"/>
    <w:rsid w:val="55CE7EBE"/>
    <w:rsid w:val="55DE70F5"/>
    <w:rsid w:val="562224A8"/>
    <w:rsid w:val="56300A26"/>
    <w:rsid w:val="569A6E3F"/>
    <w:rsid w:val="56B22A9C"/>
    <w:rsid w:val="572F215E"/>
    <w:rsid w:val="57757D1E"/>
    <w:rsid w:val="57AF00A0"/>
    <w:rsid w:val="57B72A76"/>
    <w:rsid w:val="57C3426C"/>
    <w:rsid w:val="57CE1F93"/>
    <w:rsid w:val="582726A1"/>
    <w:rsid w:val="58386F93"/>
    <w:rsid w:val="588743D1"/>
    <w:rsid w:val="5887701A"/>
    <w:rsid w:val="589065D8"/>
    <w:rsid w:val="58B74CBC"/>
    <w:rsid w:val="58CB3A2F"/>
    <w:rsid w:val="58E67648"/>
    <w:rsid w:val="594C2BCF"/>
    <w:rsid w:val="59617EAA"/>
    <w:rsid w:val="59A234BF"/>
    <w:rsid w:val="59C0439F"/>
    <w:rsid w:val="59F36487"/>
    <w:rsid w:val="5A642303"/>
    <w:rsid w:val="5A7A2181"/>
    <w:rsid w:val="5AA60922"/>
    <w:rsid w:val="5AB87F28"/>
    <w:rsid w:val="5ABE2233"/>
    <w:rsid w:val="5B353327"/>
    <w:rsid w:val="5BA64E35"/>
    <w:rsid w:val="5BAE57EB"/>
    <w:rsid w:val="5BC07A19"/>
    <w:rsid w:val="5BDF5D95"/>
    <w:rsid w:val="5BFE7528"/>
    <w:rsid w:val="5CA93FCD"/>
    <w:rsid w:val="5CDC0047"/>
    <w:rsid w:val="5DCA5FA9"/>
    <w:rsid w:val="5DEE1A0E"/>
    <w:rsid w:val="5DFB7343"/>
    <w:rsid w:val="5E0652C3"/>
    <w:rsid w:val="5E2467F1"/>
    <w:rsid w:val="5E273154"/>
    <w:rsid w:val="5E3700ED"/>
    <w:rsid w:val="5EF838EC"/>
    <w:rsid w:val="5F1A2B43"/>
    <w:rsid w:val="5F3245FF"/>
    <w:rsid w:val="5F5A1152"/>
    <w:rsid w:val="5FB61D20"/>
    <w:rsid w:val="5FB837BB"/>
    <w:rsid w:val="5FE5411F"/>
    <w:rsid w:val="5FE91459"/>
    <w:rsid w:val="602E453F"/>
    <w:rsid w:val="60533491"/>
    <w:rsid w:val="60630DE6"/>
    <w:rsid w:val="606A3F3D"/>
    <w:rsid w:val="6079674C"/>
    <w:rsid w:val="60B562CA"/>
    <w:rsid w:val="60CC405A"/>
    <w:rsid w:val="60ED4BF0"/>
    <w:rsid w:val="611749DF"/>
    <w:rsid w:val="6138446C"/>
    <w:rsid w:val="61D23532"/>
    <w:rsid w:val="61E215D8"/>
    <w:rsid w:val="621B3775"/>
    <w:rsid w:val="62364782"/>
    <w:rsid w:val="62890B0B"/>
    <w:rsid w:val="629F6FB6"/>
    <w:rsid w:val="62AC6566"/>
    <w:rsid w:val="62B15989"/>
    <w:rsid w:val="630D7B05"/>
    <w:rsid w:val="635E29CD"/>
    <w:rsid w:val="63725B5A"/>
    <w:rsid w:val="6389364A"/>
    <w:rsid w:val="6394356A"/>
    <w:rsid w:val="63B32096"/>
    <w:rsid w:val="63C61B2C"/>
    <w:rsid w:val="63D40BE9"/>
    <w:rsid w:val="64102431"/>
    <w:rsid w:val="64340073"/>
    <w:rsid w:val="643418BF"/>
    <w:rsid w:val="6439070D"/>
    <w:rsid w:val="643A3DB8"/>
    <w:rsid w:val="645910F4"/>
    <w:rsid w:val="645B5FD7"/>
    <w:rsid w:val="646808EA"/>
    <w:rsid w:val="64680E3C"/>
    <w:rsid w:val="64A5243A"/>
    <w:rsid w:val="64A61FFE"/>
    <w:rsid w:val="64E5191A"/>
    <w:rsid w:val="64F531DE"/>
    <w:rsid w:val="65312BDC"/>
    <w:rsid w:val="65373578"/>
    <w:rsid w:val="65A75ABB"/>
    <w:rsid w:val="65D7623F"/>
    <w:rsid w:val="65F84E82"/>
    <w:rsid w:val="663B2D7B"/>
    <w:rsid w:val="667473F9"/>
    <w:rsid w:val="67164612"/>
    <w:rsid w:val="671F124A"/>
    <w:rsid w:val="677A33C6"/>
    <w:rsid w:val="67AB5A2C"/>
    <w:rsid w:val="681F6961"/>
    <w:rsid w:val="68523F50"/>
    <w:rsid w:val="68610A2F"/>
    <w:rsid w:val="68712FA8"/>
    <w:rsid w:val="68805514"/>
    <w:rsid w:val="68B44968"/>
    <w:rsid w:val="69316E2F"/>
    <w:rsid w:val="694E2071"/>
    <w:rsid w:val="695F3822"/>
    <w:rsid w:val="6964112D"/>
    <w:rsid w:val="69766163"/>
    <w:rsid w:val="697A3B33"/>
    <w:rsid w:val="69D44760"/>
    <w:rsid w:val="6A46768E"/>
    <w:rsid w:val="6A520EC7"/>
    <w:rsid w:val="6A726B41"/>
    <w:rsid w:val="6AF87E20"/>
    <w:rsid w:val="6B2B0324"/>
    <w:rsid w:val="6B322639"/>
    <w:rsid w:val="6B5644A3"/>
    <w:rsid w:val="6BCE2E4D"/>
    <w:rsid w:val="6C636C38"/>
    <w:rsid w:val="6C934F86"/>
    <w:rsid w:val="6DB34098"/>
    <w:rsid w:val="6DB545B6"/>
    <w:rsid w:val="6DC27269"/>
    <w:rsid w:val="6DE02FB4"/>
    <w:rsid w:val="6DE84C7F"/>
    <w:rsid w:val="6DF930AE"/>
    <w:rsid w:val="6E514CED"/>
    <w:rsid w:val="6EB563D5"/>
    <w:rsid w:val="6EC12E29"/>
    <w:rsid w:val="6ED92677"/>
    <w:rsid w:val="6F02547F"/>
    <w:rsid w:val="6F055FB3"/>
    <w:rsid w:val="6F225983"/>
    <w:rsid w:val="6F40256E"/>
    <w:rsid w:val="6FDB0577"/>
    <w:rsid w:val="6FFC5590"/>
    <w:rsid w:val="700953A5"/>
    <w:rsid w:val="705D39B8"/>
    <w:rsid w:val="706D1DD0"/>
    <w:rsid w:val="7075449A"/>
    <w:rsid w:val="70856B87"/>
    <w:rsid w:val="70B633E4"/>
    <w:rsid w:val="70D527EE"/>
    <w:rsid w:val="7103290C"/>
    <w:rsid w:val="7131570E"/>
    <w:rsid w:val="713B5B7B"/>
    <w:rsid w:val="715B5300"/>
    <w:rsid w:val="71D27F8A"/>
    <w:rsid w:val="720D4B64"/>
    <w:rsid w:val="72545047"/>
    <w:rsid w:val="72553024"/>
    <w:rsid w:val="725B07ED"/>
    <w:rsid w:val="727B545A"/>
    <w:rsid w:val="73122968"/>
    <w:rsid w:val="73126768"/>
    <w:rsid w:val="731F5D5E"/>
    <w:rsid w:val="73C51AD5"/>
    <w:rsid w:val="73E443E6"/>
    <w:rsid w:val="73FB5021"/>
    <w:rsid w:val="740C66F7"/>
    <w:rsid w:val="741E793C"/>
    <w:rsid w:val="745E3944"/>
    <w:rsid w:val="7483700E"/>
    <w:rsid w:val="749432B8"/>
    <w:rsid w:val="74D476E4"/>
    <w:rsid w:val="75094696"/>
    <w:rsid w:val="752779A3"/>
    <w:rsid w:val="75EA6770"/>
    <w:rsid w:val="761361C2"/>
    <w:rsid w:val="7635099D"/>
    <w:rsid w:val="76B9143D"/>
    <w:rsid w:val="770800AD"/>
    <w:rsid w:val="774A73FA"/>
    <w:rsid w:val="77633904"/>
    <w:rsid w:val="77762421"/>
    <w:rsid w:val="77B56B1F"/>
    <w:rsid w:val="780F09F4"/>
    <w:rsid w:val="78867C55"/>
    <w:rsid w:val="78997A19"/>
    <w:rsid w:val="78A90480"/>
    <w:rsid w:val="78FB12B4"/>
    <w:rsid w:val="790032BC"/>
    <w:rsid w:val="797177C8"/>
    <w:rsid w:val="797615C8"/>
    <w:rsid w:val="7A364017"/>
    <w:rsid w:val="7A8265E1"/>
    <w:rsid w:val="7A844304"/>
    <w:rsid w:val="7A8E6B48"/>
    <w:rsid w:val="7B2C1BF9"/>
    <w:rsid w:val="7B686D42"/>
    <w:rsid w:val="7B841746"/>
    <w:rsid w:val="7B9D6439"/>
    <w:rsid w:val="7BCA0684"/>
    <w:rsid w:val="7BCC2C40"/>
    <w:rsid w:val="7C301754"/>
    <w:rsid w:val="7C434255"/>
    <w:rsid w:val="7C6C5AC7"/>
    <w:rsid w:val="7C6F042B"/>
    <w:rsid w:val="7CC6544B"/>
    <w:rsid w:val="7D0239FF"/>
    <w:rsid w:val="7D302E5A"/>
    <w:rsid w:val="7D3D6B05"/>
    <w:rsid w:val="7D5E40CD"/>
    <w:rsid w:val="7DCD56F2"/>
    <w:rsid w:val="7E326B90"/>
    <w:rsid w:val="7E510931"/>
    <w:rsid w:val="7E5A73CA"/>
    <w:rsid w:val="7EBA03E1"/>
    <w:rsid w:val="7EDC56E4"/>
    <w:rsid w:val="7F001CE7"/>
    <w:rsid w:val="7F1C02DC"/>
    <w:rsid w:val="7F64745E"/>
    <w:rsid w:val="7FCB1AD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7030A0" joinstyle="miter" dashstyle="longDash" endarrow="block"/>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qFormat/>
    <w:locked/>
    <w:uiPriority w:val="9"/>
    <w:pPr>
      <w:keepNext/>
      <w:keepLines/>
      <w:spacing w:line="360" w:lineRule="auto"/>
      <w:outlineLvl w:val="1"/>
    </w:pPr>
    <w:rPr>
      <w:b/>
      <w:bCs/>
      <w:sz w:val="32"/>
      <w:szCs w:val="30"/>
    </w:rPr>
  </w:style>
  <w:style w:type="paragraph" w:styleId="5">
    <w:name w:val="heading 3"/>
    <w:basedOn w:val="1"/>
    <w:next w:val="1"/>
    <w:qFormat/>
    <w:locked/>
    <w:uiPriority w:val="0"/>
    <w:pPr>
      <w:outlineLvl w:val="2"/>
    </w:pPr>
    <w:rPr>
      <w:sz w:val="30"/>
    </w:rPr>
  </w:style>
  <w:style w:type="paragraph" w:styleId="6">
    <w:name w:val="heading 4"/>
    <w:basedOn w:val="1"/>
    <w:next w:val="7"/>
    <w:qFormat/>
    <w:locked/>
    <w:uiPriority w:val="0"/>
    <w:pPr>
      <w:keepNext/>
      <w:keepLines/>
      <w:spacing w:before="280" w:after="290" w:line="376" w:lineRule="auto"/>
      <w:outlineLvl w:val="3"/>
    </w:pPr>
    <w:rPr>
      <w:rFonts w:ascii="等线 Light" w:hAnsi="等线 Light" w:eastAsia="等线 Light"/>
      <w:b/>
      <w:bCs/>
      <w:sz w:val="28"/>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4">
    <w:name w:val="报告-正文"/>
    <w:autoRedefine/>
    <w:qFormat/>
    <w:uiPriority w:val="3"/>
    <w:pPr>
      <w:spacing w:line="360" w:lineRule="auto"/>
      <w:ind w:firstLine="480"/>
    </w:pPr>
    <w:rPr>
      <w:rFonts w:ascii="Times New Roman" w:hAnsi="Times New Roman" w:eastAsia="宋体" w:cs="Times New Roman"/>
      <w:kern w:val="2"/>
      <w:sz w:val="24"/>
      <w:lang w:val="en-US" w:eastAsia="zh-CN" w:bidi="ar-SA"/>
    </w:rPr>
  </w:style>
  <w:style w:type="paragraph" w:customStyle="1" w:styleId="7">
    <w:name w:val="正文样式1"/>
    <w:basedOn w:val="1"/>
    <w:autoRedefine/>
    <w:semiHidden/>
    <w:qFormat/>
    <w:uiPriority w:val="0"/>
    <w:pPr>
      <w:spacing w:line="288" w:lineRule="auto"/>
      <w:ind w:firstLine="360" w:firstLineChars="150"/>
      <w:textAlignment w:val="baseline"/>
    </w:pPr>
    <w:rPr>
      <w:kern w:val="0"/>
      <w:sz w:val="24"/>
      <w:szCs w:val="20"/>
    </w:rPr>
  </w:style>
  <w:style w:type="paragraph" w:styleId="8">
    <w:name w:val="toc 7"/>
    <w:basedOn w:val="1"/>
    <w:next w:val="1"/>
    <w:autoRedefine/>
    <w:qFormat/>
    <w:locked/>
    <w:uiPriority w:val="0"/>
    <w:pPr>
      <w:ind w:left="1260"/>
      <w:jc w:val="left"/>
    </w:pPr>
    <w:rPr>
      <w:rFonts w:ascii="Calibri" w:hAnsi="Calibri" w:cs="Calibri"/>
      <w:sz w:val="18"/>
      <w:szCs w:val="18"/>
    </w:rPr>
  </w:style>
  <w:style w:type="paragraph" w:styleId="9">
    <w:name w:val="Note Heading"/>
    <w:basedOn w:val="1"/>
    <w:next w:val="1"/>
    <w:autoRedefine/>
    <w:qFormat/>
    <w:locked/>
    <w:uiPriority w:val="0"/>
    <w:pPr>
      <w:jc w:val="center"/>
    </w:pPr>
  </w:style>
  <w:style w:type="paragraph" w:styleId="10">
    <w:name w:val="E-mail Signature"/>
    <w:basedOn w:val="1"/>
    <w:next w:val="11"/>
    <w:autoRedefine/>
    <w:unhideWhenUsed/>
    <w:qFormat/>
    <w:locked/>
    <w:uiPriority w:val="99"/>
    <w:pPr>
      <w:spacing w:line="460" w:lineRule="exact"/>
      <w:ind w:firstLine="200"/>
    </w:pPr>
    <w:rPr>
      <w:szCs w:val="144"/>
    </w:rPr>
  </w:style>
  <w:style w:type="paragraph" w:customStyle="1" w:styleId="11">
    <w:name w:val="文章"/>
    <w:next w:val="12"/>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2">
    <w:name w:val="List"/>
    <w:basedOn w:val="1"/>
    <w:next w:val="13"/>
    <w:autoRedefine/>
    <w:qFormat/>
    <w:locked/>
    <w:uiPriority w:val="0"/>
    <w:pPr>
      <w:ind w:left="200" w:hanging="200" w:hangingChars="200"/>
    </w:pPr>
    <w:rPr>
      <w:rFonts w:ascii="Calibri" w:hAnsi="Calibri"/>
      <w:sz w:val="24"/>
      <w:szCs w:val="144"/>
    </w:rPr>
  </w:style>
  <w:style w:type="paragraph" w:styleId="13">
    <w:name w:val="List Bullet 2"/>
    <w:basedOn w:val="1"/>
    <w:next w:val="14"/>
    <w:autoRedefine/>
    <w:qFormat/>
    <w:locked/>
    <w:uiPriority w:val="0"/>
    <w:pPr>
      <w:numPr>
        <w:ilvl w:val="0"/>
        <w:numId w:val="1"/>
      </w:numPr>
    </w:pPr>
  </w:style>
  <w:style w:type="paragraph" w:customStyle="1" w:styleId="14">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styleId="15">
    <w:name w:val="Normal Indent"/>
    <w:basedOn w:val="1"/>
    <w:next w:val="1"/>
    <w:link w:val="48"/>
    <w:autoRedefine/>
    <w:qFormat/>
    <w:locked/>
    <w:uiPriority w:val="0"/>
    <w:pPr>
      <w:spacing w:beforeLines="50"/>
      <w:jc w:val="center"/>
    </w:pPr>
    <w:rPr>
      <w:rFonts w:ascii="黑体" w:eastAsia="黑体"/>
      <w:sz w:val="24"/>
      <w:szCs w:val="20"/>
    </w:rPr>
  </w:style>
  <w:style w:type="paragraph" w:styleId="16">
    <w:name w:val="Document Map"/>
    <w:basedOn w:val="1"/>
    <w:link w:val="49"/>
    <w:autoRedefine/>
    <w:qFormat/>
    <w:locked/>
    <w:uiPriority w:val="0"/>
    <w:rPr>
      <w:rFonts w:ascii="宋体"/>
      <w:sz w:val="18"/>
      <w:szCs w:val="18"/>
    </w:rPr>
  </w:style>
  <w:style w:type="paragraph" w:styleId="17">
    <w:name w:val="annotation text"/>
    <w:basedOn w:val="1"/>
    <w:link w:val="50"/>
    <w:autoRedefine/>
    <w:semiHidden/>
    <w:qFormat/>
    <w:uiPriority w:val="0"/>
    <w:pPr>
      <w:jc w:val="left"/>
    </w:pPr>
    <w:rPr>
      <w:kern w:val="0"/>
      <w:sz w:val="24"/>
      <w:szCs w:val="20"/>
    </w:rPr>
  </w:style>
  <w:style w:type="paragraph" w:styleId="18">
    <w:name w:val="Salutation"/>
    <w:next w:val="1"/>
    <w:autoRedefine/>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9">
    <w:name w:val="Body Text"/>
    <w:basedOn w:val="1"/>
    <w:next w:val="1"/>
    <w:link w:val="51"/>
    <w:autoRedefine/>
    <w:qFormat/>
    <w:uiPriority w:val="0"/>
    <w:pPr>
      <w:widowControl/>
      <w:spacing w:before="60" w:after="160" w:line="259" w:lineRule="auto"/>
      <w:ind w:right="113"/>
    </w:pPr>
    <w:rPr>
      <w:kern w:val="0"/>
      <w:sz w:val="18"/>
      <w:szCs w:val="20"/>
    </w:rPr>
  </w:style>
  <w:style w:type="paragraph" w:styleId="20">
    <w:name w:val="Body Text Indent"/>
    <w:basedOn w:val="1"/>
    <w:next w:val="21"/>
    <w:link w:val="52"/>
    <w:autoRedefine/>
    <w:qFormat/>
    <w:uiPriority w:val="0"/>
    <w:pPr>
      <w:spacing w:after="120"/>
      <w:ind w:left="420" w:leftChars="200"/>
    </w:pPr>
    <w:rPr>
      <w:kern w:val="0"/>
      <w:sz w:val="24"/>
      <w:szCs w:val="20"/>
    </w:rPr>
  </w:style>
  <w:style w:type="paragraph" w:customStyle="1" w:styleId="21">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22">
    <w:name w:val="Block Text"/>
    <w:basedOn w:val="1"/>
    <w:autoRedefine/>
    <w:qFormat/>
    <w:locked/>
    <w:uiPriority w:val="0"/>
    <w:pPr>
      <w:adjustRightInd/>
      <w:snapToGrid/>
      <w:spacing w:line="440" w:lineRule="exact"/>
      <w:ind w:left="113" w:right="113" w:firstLine="567"/>
    </w:pPr>
    <w:rPr>
      <w:rFonts w:ascii="仿宋_GB2312" w:eastAsia="仿宋_GB2312"/>
      <w:sz w:val="28"/>
    </w:rPr>
  </w:style>
  <w:style w:type="paragraph" w:styleId="23">
    <w:name w:val="toc 3"/>
    <w:basedOn w:val="1"/>
    <w:next w:val="1"/>
    <w:qFormat/>
    <w:locked/>
    <w:uiPriority w:val="0"/>
    <w:pPr>
      <w:ind w:left="840" w:leftChars="400"/>
    </w:pPr>
  </w:style>
  <w:style w:type="paragraph" w:styleId="24">
    <w:name w:val="Plain Text"/>
    <w:basedOn w:val="1"/>
    <w:link w:val="53"/>
    <w:autoRedefine/>
    <w:qFormat/>
    <w:locked/>
    <w:uiPriority w:val="0"/>
    <w:pPr>
      <w:spacing w:line="240" w:lineRule="exact"/>
      <w:jc w:val="center"/>
    </w:pPr>
    <w:rPr>
      <w:rFonts w:ascii="宋体" w:hAnsi="Courier New"/>
      <w:szCs w:val="20"/>
    </w:rPr>
  </w:style>
  <w:style w:type="paragraph" w:styleId="25">
    <w:name w:val="Date"/>
    <w:basedOn w:val="1"/>
    <w:next w:val="1"/>
    <w:link w:val="54"/>
    <w:autoRedefine/>
    <w:qFormat/>
    <w:uiPriority w:val="0"/>
    <w:pPr>
      <w:ind w:left="100" w:leftChars="2500"/>
    </w:pPr>
    <w:rPr>
      <w:kern w:val="0"/>
      <w:sz w:val="24"/>
      <w:szCs w:val="20"/>
    </w:rPr>
  </w:style>
  <w:style w:type="paragraph" w:styleId="26">
    <w:name w:val="Balloon Text"/>
    <w:basedOn w:val="1"/>
    <w:link w:val="55"/>
    <w:autoRedefine/>
    <w:semiHidden/>
    <w:qFormat/>
    <w:uiPriority w:val="0"/>
    <w:rPr>
      <w:kern w:val="0"/>
      <w:sz w:val="18"/>
      <w:szCs w:val="20"/>
    </w:rPr>
  </w:style>
  <w:style w:type="paragraph" w:styleId="27">
    <w:name w:val="footer"/>
    <w:basedOn w:val="1"/>
    <w:link w:val="56"/>
    <w:autoRedefine/>
    <w:qFormat/>
    <w:uiPriority w:val="99"/>
    <w:pPr>
      <w:tabs>
        <w:tab w:val="center" w:pos="4153"/>
        <w:tab w:val="right" w:pos="8306"/>
      </w:tabs>
      <w:jc w:val="left"/>
    </w:pPr>
    <w:rPr>
      <w:kern w:val="0"/>
      <w:sz w:val="18"/>
      <w:szCs w:val="20"/>
    </w:rPr>
  </w:style>
  <w:style w:type="paragraph" w:styleId="28">
    <w:name w:val="header"/>
    <w:basedOn w:val="1"/>
    <w:link w:val="57"/>
    <w:autoRedefine/>
    <w:qFormat/>
    <w:uiPriority w:val="0"/>
    <w:pPr>
      <w:pBdr>
        <w:bottom w:val="single" w:color="auto" w:sz="6" w:space="1"/>
      </w:pBdr>
      <w:tabs>
        <w:tab w:val="center" w:pos="4153"/>
        <w:tab w:val="right" w:pos="8306"/>
      </w:tabs>
      <w:jc w:val="center"/>
    </w:pPr>
    <w:rPr>
      <w:kern w:val="0"/>
      <w:sz w:val="18"/>
      <w:szCs w:val="20"/>
    </w:rPr>
  </w:style>
  <w:style w:type="paragraph" w:styleId="29">
    <w:name w:val="toc 1"/>
    <w:basedOn w:val="1"/>
    <w:next w:val="1"/>
    <w:link w:val="155"/>
    <w:autoRedefine/>
    <w:unhideWhenUsed/>
    <w:qFormat/>
    <w:locked/>
    <w:uiPriority w:val="39"/>
  </w:style>
  <w:style w:type="paragraph" w:styleId="30">
    <w:name w:val="toc 2"/>
    <w:basedOn w:val="1"/>
    <w:next w:val="10"/>
    <w:autoRedefine/>
    <w:qFormat/>
    <w:locked/>
    <w:uiPriority w:val="0"/>
    <w:pPr>
      <w:tabs>
        <w:tab w:val="right" w:leader="dot" w:pos="9060"/>
      </w:tabs>
      <w:spacing w:line="360" w:lineRule="auto"/>
      <w:ind w:left="420" w:leftChars="200"/>
    </w:pPr>
    <w:rPr>
      <w:rFonts w:ascii="Calibri" w:hAnsi="Calibri"/>
      <w:szCs w:val="144"/>
    </w:rPr>
  </w:style>
  <w:style w:type="paragraph" w:styleId="31">
    <w:name w:val="Normal (Web)"/>
    <w:basedOn w:val="1"/>
    <w:link w:val="58"/>
    <w:autoRedefine/>
    <w:qFormat/>
    <w:uiPriority w:val="0"/>
    <w:pPr>
      <w:widowControl/>
      <w:spacing w:before="100" w:beforeAutospacing="1" w:after="100" w:afterAutospacing="1"/>
      <w:jc w:val="left"/>
    </w:pPr>
    <w:rPr>
      <w:rFonts w:ascii="宋体" w:hAnsi="宋体"/>
      <w:kern w:val="0"/>
      <w:sz w:val="24"/>
      <w:szCs w:val="20"/>
    </w:rPr>
  </w:style>
  <w:style w:type="paragraph" w:styleId="32">
    <w:name w:val="Title"/>
    <w:basedOn w:val="1"/>
    <w:next w:val="1"/>
    <w:link w:val="59"/>
    <w:autoRedefine/>
    <w:qFormat/>
    <w:locked/>
    <w:uiPriority w:val="0"/>
    <w:pPr>
      <w:adjustRightInd/>
      <w:snapToGrid/>
      <w:spacing w:before="240" w:after="60" w:line="360" w:lineRule="auto"/>
      <w:ind w:firstLine="200" w:firstLineChars="200"/>
      <w:jc w:val="center"/>
      <w:outlineLvl w:val="0"/>
    </w:pPr>
    <w:rPr>
      <w:rFonts w:ascii="等线 Light" w:hAnsi="等线 Light"/>
      <w:b/>
      <w:bCs/>
      <w:sz w:val="32"/>
      <w:szCs w:val="32"/>
    </w:rPr>
  </w:style>
  <w:style w:type="paragraph" w:styleId="33">
    <w:name w:val="annotation subject"/>
    <w:basedOn w:val="17"/>
    <w:next w:val="17"/>
    <w:link w:val="60"/>
    <w:autoRedefine/>
    <w:semiHidden/>
    <w:qFormat/>
    <w:uiPriority w:val="0"/>
    <w:rPr>
      <w:b/>
      <w:kern w:val="2"/>
    </w:rPr>
  </w:style>
  <w:style w:type="paragraph" w:styleId="34">
    <w:name w:val="Body Text First Indent"/>
    <w:basedOn w:val="19"/>
    <w:next w:val="1"/>
    <w:autoRedefine/>
    <w:qFormat/>
    <w:locked/>
    <w:uiPriority w:val="0"/>
    <w:pPr>
      <w:widowControl w:val="0"/>
      <w:tabs>
        <w:tab w:val="left" w:pos="1620"/>
        <w:tab w:val="left" w:pos="2700"/>
      </w:tabs>
      <w:spacing w:line="240" w:lineRule="exact"/>
      <w:ind w:firstLine="420" w:firstLineChars="100"/>
      <w:jc w:val="center"/>
    </w:pPr>
    <w:rPr>
      <w:kern w:val="2"/>
      <w:sz w:val="28"/>
    </w:rPr>
  </w:style>
  <w:style w:type="paragraph" w:styleId="35">
    <w:name w:val="Body Text First Indent 2"/>
    <w:basedOn w:val="20"/>
    <w:next w:val="1"/>
    <w:autoRedefine/>
    <w:qFormat/>
    <w:locked/>
    <w:uiPriority w:val="0"/>
    <w:pPr>
      <w:spacing w:after="0" w:line="360" w:lineRule="auto"/>
      <w:ind w:left="0" w:firstLine="420" w:firstLineChars="200"/>
    </w:pPr>
    <w:rPr>
      <w:kern w:val="2"/>
      <w:szCs w:val="24"/>
    </w:rPr>
  </w:style>
  <w:style w:type="table" w:styleId="37">
    <w:name w:val="Table Grid"/>
    <w:basedOn w:val="3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autoRedefine/>
    <w:qFormat/>
    <w:locked/>
    <w:uiPriority w:val="0"/>
    <w:rPr>
      <w:b/>
    </w:rPr>
  </w:style>
  <w:style w:type="character" w:styleId="40">
    <w:name w:val="page number"/>
    <w:autoRedefine/>
    <w:qFormat/>
    <w:locked/>
    <w:uiPriority w:val="0"/>
  </w:style>
  <w:style w:type="character" w:styleId="41">
    <w:name w:val="Hyperlink"/>
    <w:basedOn w:val="38"/>
    <w:autoRedefine/>
    <w:qFormat/>
    <w:locked/>
    <w:uiPriority w:val="0"/>
    <w:rPr>
      <w:color w:val="0000FF"/>
      <w:u w:val="single"/>
    </w:rPr>
  </w:style>
  <w:style w:type="character" w:styleId="42">
    <w:name w:val="annotation reference"/>
    <w:autoRedefine/>
    <w:semiHidden/>
    <w:qFormat/>
    <w:uiPriority w:val="0"/>
    <w:rPr>
      <w:sz w:val="21"/>
    </w:rPr>
  </w:style>
  <w:style w:type="paragraph" w:customStyle="1" w:styleId="43">
    <w:name w:val="报告表正文"/>
    <w:basedOn w:val="1"/>
    <w:autoRedefine/>
    <w:qFormat/>
    <w:uiPriority w:val="0"/>
  </w:style>
  <w:style w:type="paragraph" w:customStyle="1" w:styleId="44">
    <w:name w:val="Default"/>
    <w:basedOn w:val="45"/>
    <w:autoRedefine/>
    <w:qFormat/>
    <w:uiPriority w:val="0"/>
    <w:pPr>
      <w:autoSpaceDE w:val="0"/>
      <w:autoSpaceDN w:val="0"/>
    </w:pPr>
    <w:rPr>
      <w:rFonts w:hAnsi="等线" w:cs="宋体"/>
      <w:color w:val="000000"/>
      <w:sz w:val="24"/>
    </w:rPr>
  </w:style>
  <w:style w:type="paragraph" w:customStyle="1" w:styleId="45">
    <w:name w:val="纯文本1"/>
    <w:basedOn w:val="1"/>
    <w:autoRedefine/>
    <w:qFormat/>
    <w:uiPriority w:val="0"/>
    <w:rPr>
      <w:rFonts w:ascii="宋体" w:hAnsi="Courier New"/>
    </w:rPr>
  </w:style>
  <w:style w:type="paragraph" w:customStyle="1" w:styleId="46">
    <w:name w:val="样式35"/>
    <w:next w:val="47"/>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47">
    <w:name w:val="font6"/>
    <w:next w:val="30"/>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48">
    <w:name w:val="正文缩进 Char"/>
    <w:link w:val="15"/>
    <w:autoRedefine/>
    <w:qFormat/>
    <w:uiPriority w:val="0"/>
    <w:rPr>
      <w:rFonts w:ascii="黑体" w:eastAsia="黑体" w:cs="Plotter"/>
      <w:kern w:val="2"/>
      <w:sz w:val="24"/>
    </w:rPr>
  </w:style>
  <w:style w:type="character" w:customStyle="1" w:styleId="49">
    <w:name w:val="文档结构图 Char"/>
    <w:link w:val="16"/>
    <w:autoRedefine/>
    <w:qFormat/>
    <w:uiPriority w:val="0"/>
    <w:rPr>
      <w:rFonts w:ascii="宋体"/>
      <w:kern w:val="2"/>
      <w:sz w:val="18"/>
      <w:szCs w:val="18"/>
    </w:rPr>
  </w:style>
  <w:style w:type="character" w:customStyle="1" w:styleId="50">
    <w:name w:val="批注文字 Char"/>
    <w:link w:val="17"/>
    <w:autoRedefine/>
    <w:qFormat/>
    <w:locked/>
    <w:uiPriority w:val="0"/>
    <w:rPr>
      <w:rFonts w:ascii="Times New Roman" w:hAnsi="Times New Roman" w:eastAsia="宋体"/>
      <w:sz w:val="24"/>
    </w:rPr>
  </w:style>
  <w:style w:type="character" w:customStyle="1" w:styleId="51">
    <w:name w:val="正文文本 Char"/>
    <w:link w:val="19"/>
    <w:autoRedefine/>
    <w:qFormat/>
    <w:locked/>
    <w:uiPriority w:val="0"/>
    <w:rPr>
      <w:sz w:val="18"/>
    </w:rPr>
  </w:style>
  <w:style w:type="character" w:customStyle="1" w:styleId="52">
    <w:name w:val="正文文本缩进 Char"/>
    <w:link w:val="20"/>
    <w:autoRedefine/>
    <w:semiHidden/>
    <w:qFormat/>
    <w:locked/>
    <w:uiPriority w:val="0"/>
    <w:rPr>
      <w:rFonts w:ascii="Times New Roman" w:hAnsi="Times New Roman" w:eastAsia="宋体"/>
      <w:sz w:val="24"/>
    </w:rPr>
  </w:style>
  <w:style w:type="character" w:customStyle="1" w:styleId="53">
    <w:name w:val="纯文本 Char"/>
    <w:link w:val="24"/>
    <w:autoRedefine/>
    <w:qFormat/>
    <w:uiPriority w:val="0"/>
    <w:rPr>
      <w:rFonts w:ascii="宋体" w:hAnsi="Courier New"/>
      <w:kern w:val="2"/>
      <w:sz w:val="21"/>
    </w:rPr>
  </w:style>
  <w:style w:type="character" w:customStyle="1" w:styleId="54">
    <w:name w:val="日期 Char"/>
    <w:link w:val="25"/>
    <w:autoRedefine/>
    <w:qFormat/>
    <w:locked/>
    <w:uiPriority w:val="0"/>
    <w:rPr>
      <w:rFonts w:ascii="Times New Roman" w:hAnsi="Times New Roman" w:eastAsia="宋体"/>
      <w:sz w:val="24"/>
    </w:rPr>
  </w:style>
  <w:style w:type="character" w:customStyle="1" w:styleId="55">
    <w:name w:val="批注框文本 Char"/>
    <w:link w:val="26"/>
    <w:autoRedefine/>
    <w:semiHidden/>
    <w:qFormat/>
    <w:locked/>
    <w:uiPriority w:val="0"/>
    <w:rPr>
      <w:rFonts w:ascii="Times New Roman" w:hAnsi="Times New Roman" w:eastAsia="宋体"/>
      <w:sz w:val="18"/>
    </w:rPr>
  </w:style>
  <w:style w:type="character" w:customStyle="1" w:styleId="56">
    <w:name w:val="页脚 Char"/>
    <w:link w:val="27"/>
    <w:autoRedefine/>
    <w:qFormat/>
    <w:locked/>
    <w:uiPriority w:val="99"/>
    <w:rPr>
      <w:sz w:val="18"/>
    </w:rPr>
  </w:style>
  <w:style w:type="character" w:customStyle="1" w:styleId="57">
    <w:name w:val="页眉 Char"/>
    <w:link w:val="28"/>
    <w:autoRedefine/>
    <w:qFormat/>
    <w:locked/>
    <w:uiPriority w:val="0"/>
    <w:rPr>
      <w:sz w:val="18"/>
    </w:rPr>
  </w:style>
  <w:style w:type="character" w:customStyle="1" w:styleId="58">
    <w:name w:val="普通(网站) Char"/>
    <w:link w:val="31"/>
    <w:autoRedefine/>
    <w:qFormat/>
    <w:locked/>
    <w:uiPriority w:val="0"/>
    <w:rPr>
      <w:rFonts w:ascii="宋体" w:hAnsi="宋体" w:eastAsia="宋体"/>
      <w:sz w:val="24"/>
    </w:rPr>
  </w:style>
  <w:style w:type="character" w:customStyle="1" w:styleId="59">
    <w:name w:val="标题 Char"/>
    <w:link w:val="32"/>
    <w:autoRedefine/>
    <w:qFormat/>
    <w:uiPriority w:val="0"/>
    <w:rPr>
      <w:rFonts w:ascii="等线 Light" w:hAnsi="等线 Light"/>
      <w:b/>
      <w:bCs/>
      <w:kern w:val="2"/>
      <w:sz w:val="32"/>
      <w:szCs w:val="32"/>
    </w:rPr>
  </w:style>
  <w:style w:type="character" w:customStyle="1" w:styleId="60">
    <w:name w:val="批注主题 Char"/>
    <w:link w:val="33"/>
    <w:autoRedefine/>
    <w:semiHidden/>
    <w:qFormat/>
    <w:locked/>
    <w:uiPriority w:val="0"/>
    <w:rPr>
      <w:rFonts w:ascii="Times New Roman" w:hAnsi="Times New Roman" w:eastAsia="宋体"/>
      <w:b/>
      <w:kern w:val="2"/>
      <w:sz w:val="24"/>
    </w:rPr>
  </w:style>
  <w:style w:type="paragraph" w:customStyle="1" w:styleId="61">
    <w:name w:val="样式 标题 1 + 首行缩进:  0 字符"/>
    <w:basedOn w:val="2"/>
    <w:next w:val="62"/>
    <w:autoRedefine/>
    <w:qFormat/>
    <w:uiPriority w:val="0"/>
    <w:pPr>
      <w:adjustRightInd/>
      <w:spacing w:before="0" w:after="0" w:line="520" w:lineRule="exact"/>
      <w:ind w:firstLine="0"/>
    </w:pPr>
    <w:rPr>
      <w:rFonts w:ascii="Arial" w:hAnsi="Arial" w:cs="宋体"/>
      <w:color w:val="auto"/>
      <w:szCs w:val="20"/>
    </w:rPr>
  </w:style>
  <w:style w:type="paragraph" w:customStyle="1" w:styleId="62">
    <w:name w:val="xl57"/>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textAlignment w:val="center"/>
    </w:pPr>
    <w:rPr>
      <w:b/>
      <w:bCs/>
      <w:kern w:val="0"/>
      <w:sz w:val="20"/>
      <w:szCs w:val="20"/>
    </w:rPr>
  </w:style>
  <w:style w:type="character" w:customStyle="1" w:styleId="63">
    <w:name w:val="页脚 字符"/>
    <w:autoRedefine/>
    <w:qFormat/>
    <w:uiPriority w:val="99"/>
  </w:style>
  <w:style w:type="character" w:customStyle="1" w:styleId="64">
    <w:name w:val="批注文字 字符1"/>
    <w:autoRedefine/>
    <w:semiHidden/>
    <w:qFormat/>
    <w:uiPriority w:val="0"/>
    <w:rPr>
      <w:rFonts w:ascii="Times New Roman" w:hAnsi="Times New Roman" w:eastAsia="宋体"/>
      <w:sz w:val="24"/>
    </w:rPr>
  </w:style>
  <w:style w:type="character" w:customStyle="1" w:styleId="65">
    <w:name w:val="正文文本 字符1"/>
    <w:autoRedefine/>
    <w:semiHidden/>
    <w:qFormat/>
    <w:uiPriority w:val="0"/>
    <w:rPr>
      <w:rFonts w:ascii="Times New Roman" w:hAnsi="Times New Roman" w:eastAsia="宋体"/>
      <w:sz w:val="24"/>
    </w:rPr>
  </w:style>
  <w:style w:type="character" w:customStyle="1" w:styleId="66">
    <w:name w:val="日期 字符"/>
    <w:autoRedefine/>
    <w:semiHidden/>
    <w:qFormat/>
    <w:uiPriority w:val="0"/>
    <w:rPr>
      <w:rFonts w:ascii="Times New Roman" w:hAnsi="Times New Roman" w:eastAsia="宋体"/>
      <w:sz w:val="24"/>
    </w:rPr>
  </w:style>
  <w:style w:type="character" w:customStyle="1" w:styleId="67">
    <w:name w:val="足乐正文 Char"/>
    <w:link w:val="68"/>
    <w:autoRedefine/>
    <w:qFormat/>
    <w:uiPriority w:val="0"/>
    <w:rPr>
      <w:rFonts w:ascii="Times New Roman" w:hAnsi="Times New Roman"/>
    </w:rPr>
  </w:style>
  <w:style w:type="paragraph" w:customStyle="1" w:styleId="68">
    <w:name w:val="足乐正文"/>
    <w:basedOn w:val="1"/>
    <w:link w:val="67"/>
    <w:autoRedefine/>
    <w:qFormat/>
    <w:uiPriority w:val="0"/>
    <w:pPr>
      <w:spacing w:line="360" w:lineRule="auto"/>
      <w:ind w:firstLine="720" w:firstLineChars="200"/>
    </w:pPr>
    <w:rPr>
      <w:kern w:val="0"/>
      <w:sz w:val="20"/>
      <w:szCs w:val="20"/>
    </w:rPr>
  </w:style>
  <w:style w:type="character" w:customStyle="1" w:styleId="69">
    <w:name w:val="表格 Char"/>
    <w:link w:val="70"/>
    <w:autoRedefine/>
    <w:qFormat/>
    <w:locked/>
    <w:uiPriority w:val="0"/>
    <w:rPr>
      <w:rFonts w:ascii="宋体"/>
      <w:sz w:val="21"/>
    </w:rPr>
  </w:style>
  <w:style w:type="paragraph" w:customStyle="1" w:styleId="70">
    <w:name w:val="表格"/>
    <w:basedOn w:val="1"/>
    <w:next w:val="1"/>
    <w:link w:val="69"/>
    <w:autoRedefine/>
    <w:qFormat/>
    <w:uiPriority w:val="0"/>
    <w:pPr>
      <w:spacing w:beforeLines="10" w:afterLines="10" w:line="259" w:lineRule="auto"/>
      <w:jc w:val="center"/>
    </w:pPr>
    <w:rPr>
      <w:rFonts w:ascii="宋体"/>
      <w:kern w:val="0"/>
      <w:szCs w:val="20"/>
    </w:rPr>
  </w:style>
  <w:style w:type="paragraph" w:customStyle="1" w:styleId="71">
    <w:name w:val="表内容"/>
    <w:basedOn w:val="1"/>
    <w:autoRedefine/>
    <w:qFormat/>
    <w:uiPriority w:val="0"/>
    <w:pPr>
      <w:jc w:val="center"/>
    </w:pPr>
    <w:rPr>
      <w:szCs w:val="21"/>
    </w:rPr>
  </w:style>
  <w:style w:type="paragraph" w:customStyle="1" w:styleId="72">
    <w:name w:val="规范正文L"/>
    <w:basedOn w:val="1"/>
    <w:autoRedefine/>
    <w:qFormat/>
    <w:uiPriority w:val="0"/>
    <w:pPr>
      <w:topLinePunct/>
      <w:spacing w:line="420" w:lineRule="auto"/>
      <w:ind w:firstLine="480" w:firstLineChars="200"/>
      <w:textAlignment w:val="baseline"/>
    </w:pPr>
    <w:rPr>
      <w:rFonts w:cs="宋体"/>
      <w:color w:val="000000"/>
    </w:rPr>
  </w:style>
  <w:style w:type="paragraph" w:customStyle="1" w:styleId="73">
    <w:name w:val="表格内容"/>
    <w:basedOn w:val="74"/>
    <w:next w:val="1"/>
    <w:link w:val="75"/>
    <w:autoRedefine/>
    <w:qFormat/>
    <w:uiPriority w:val="0"/>
    <w:pPr>
      <w:jc w:val="center"/>
    </w:pPr>
    <w:rPr>
      <w:iCs/>
      <w:szCs w:val="21"/>
    </w:rPr>
  </w:style>
  <w:style w:type="paragraph" w:customStyle="1" w:styleId="74">
    <w:name w:val="表格内文字"/>
    <w:autoRedefine/>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character" w:customStyle="1" w:styleId="75">
    <w:name w:val="表格内容 字符"/>
    <w:link w:val="73"/>
    <w:autoRedefine/>
    <w:qFormat/>
    <w:uiPriority w:val="0"/>
    <w:rPr>
      <w:iCs/>
      <w:kern w:val="2"/>
      <w:sz w:val="21"/>
      <w:szCs w:val="21"/>
    </w:rPr>
  </w:style>
  <w:style w:type="paragraph" w:customStyle="1" w:styleId="7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
    <w:name w:val="表格名称1"/>
    <w:basedOn w:val="1"/>
    <w:autoRedefine/>
    <w:qFormat/>
    <w:uiPriority w:val="0"/>
    <w:pPr>
      <w:jc w:val="center"/>
    </w:pPr>
    <w:rPr>
      <w:b/>
    </w:rPr>
  </w:style>
  <w:style w:type="paragraph" w:customStyle="1" w:styleId="78">
    <w:name w:val="样式6"/>
    <w:basedOn w:val="24"/>
    <w:autoRedefine/>
    <w:qFormat/>
    <w:uiPriority w:val="0"/>
    <w:pPr>
      <w:autoSpaceDE w:val="0"/>
      <w:autoSpaceDN w:val="0"/>
      <w:spacing w:line="500" w:lineRule="exact"/>
      <w:jc w:val="left"/>
      <w:outlineLvl w:val="0"/>
    </w:pPr>
    <w:rPr>
      <w:color w:val="000000"/>
      <w:szCs w:val="24"/>
    </w:rPr>
  </w:style>
  <w:style w:type="paragraph" w:customStyle="1" w:styleId="7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0">
    <w:name w:val="表格名称"/>
    <w:basedOn w:val="1"/>
    <w:next w:val="1"/>
    <w:autoRedefine/>
    <w:qFormat/>
    <w:uiPriority w:val="0"/>
    <w:pPr>
      <w:jc w:val="center"/>
    </w:pPr>
    <w:rPr>
      <w:b/>
      <w:kern w:val="0"/>
      <w:szCs w:val="21"/>
    </w:rPr>
  </w:style>
  <w:style w:type="paragraph" w:customStyle="1" w:styleId="81">
    <w:name w:val="足乐表格"/>
    <w:basedOn w:val="1"/>
    <w:autoRedefine/>
    <w:qFormat/>
    <w:uiPriority w:val="0"/>
    <w:pPr>
      <w:jc w:val="center"/>
    </w:pPr>
  </w:style>
  <w:style w:type="paragraph" w:customStyle="1" w:styleId="82">
    <w:name w:val="样式 样式 样式 首行缩进:  2 字符 + 居中 + 行距: 固定值 17 磅"/>
    <w:basedOn w:val="1"/>
    <w:autoRedefine/>
    <w:qFormat/>
    <w:uiPriority w:val="0"/>
    <w:pPr>
      <w:spacing w:line="340" w:lineRule="exact"/>
      <w:jc w:val="center"/>
    </w:pPr>
    <w:rPr>
      <w:rFonts w:cs="宋体"/>
      <w:color w:val="000000"/>
    </w:rPr>
  </w:style>
  <w:style w:type="paragraph" w:customStyle="1" w:styleId="83">
    <w:name w:val="Table Paragraph"/>
    <w:basedOn w:val="1"/>
    <w:autoRedefine/>
    <w:qFormat/>
    <w:uiPriority w:val="0"/>
    <w:pPr>
      <w:widowControl/>
      <w:jc w:val="left"/>
    </w:pPr>
    <w:rPr>
      <w:rFonts w:ascii="Calibri" w:hAnsi="Calibri"/>
      <w:kern w:val="0"/>
      <w:sz w:val="22"/>
      <w:szCs w:val="22"/>
    </w:rPr>
  </w:style>
  <w:style w:type="paragraph" w:customStyle="1" w:styleId="84">
    <w:name w:val="zhang正文"/>
    <w:basedOn w:val="20"/>
    <w:link w:val="85"/>
    <w:autoRedefine/>
    <w:qFormat/>
    <w:uiPriority w:val="0"/>
    <w:pPr>
      <w:autoSpaceDE w:val="0"/>
      <w:autoSpaceDN w:val="0"/>
      <w:spacing w:line="500" w:lineRule="exact"/>
      <w:ind w:firstLine="539"/>
      <w:textAlignment w:val="baseline"/>
    </w:pPr>
    <w:rPr>
      <w:rFonts w:eastAsia="楷体_GB2312"/>
    </w:rPr>
  </w:style>
  <w:style w:type="character" w:customStyle="1" w:styleId="85">
    <w:name w:val="zhang正文 Char1"/>
    <w:link w:val="84"/>
    <w:autoRedefine/>
    <w:qFormat/>
    <w:locked/>
    <w:uiPriority w:val="0"/>
    <w:rPr>
      <w:rFonts w:eastAsia="楷体_GB2312"/>
      <w:sz w:val="24"/>
    </w:rPr>
  </w:style>
  <w:style w:type="paragraph" w:customStyle="1" w:styleId="86">
    <w:name w:val="图表标题"/>
    <w:basedOn w:val="1"/>
    <w:autoRedefine/>
    <w:qFormat/>
    <w:uiPriority w:val="0"/>
    <w:pPr>
      <w:jc w:val="center"/>
    </w:pPr>
    <w:rPr>
      <w:b/>
      <w:bCs/>
    </w:rPr>
  </w:style>
  <w:style w:type="paragraph" w:customStyle="1" w:styleId="87">
    <w:name w:val="a表格"/>
    <w:basedOn w:val="1"/>
    <w:autoRedefine/>
    <w:qFormat/>
    <w:uiPriority w:val="0"/>
    <w:pPr>
      <w:jc w:val="center"/>
    </w:pPr>
  </w:style>
  <w:style w:type="paragraph" w:customStyle="1" w:styleId="88">
    <w:name w:val="表名"/>
    <w:basedOn w:val="1"/>
    <w:autoRedefine/>
    <w:qFormat/>
    <w:uiPriority w:val="0"/>
    <w:pPr>
      <w:jc w:val="center"/>
    </w:pPr>
    <w:rPr>
      <w:b/>
      <w:bCs/>
      <w:sz w:val="24"/>
    </w:rPr>
  </w:style>
  <w:style w:type="paragraph" w:customStyle="1" w:styleId="89">
    <w:name w:val="表格5号居中"/>
    <w:next w:val="1"/>
    <w:autoRedefine/>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table" w:customStyle="1" w:styleId="90">
    <w:name w:val="sungp"/>
    <w:basedOn w:val="36"/>
    <w:autoRedefine/>
    <w:qFormat/>
    <w:uiPriority w:val="0"/>
    <w:pPr>
      <w:jc w:val="center"/>
    </w:pPr>
    <w:rPr>
      <w:color w:val="000000"/>
    </w:rPr>
    <w:tblPr>
      <w:jc w:val="center"/>
      <w:tblBorders>
        <w:top w:val="single" w:color="auto" w:sz="12" w:space="0"/>
        <w:bottom w:val="single" w:color="auto" w:sz="12" w:space="0"/>
        <w:insideH w:val="single" w:color="auto" w:sz="4" w:space="0"/>
        <w:insideV w:val="single" w:color="auto" w:sz="4" w:space="0"/>
      </w:tblBorders>
      <w:tblCellMar>
        <w:top w:w="0" w:type="dxa"/>
        <w:left w:w="57" w:type="dxa"/>
        <w:bottom w:w="0" w:type="dxa"/>
        <w:right w:w="57" w:type="dxa"/>
      </w:tblCellMar>
    </w:tblPr>
    <w:trPr>
      <w:jc w:val="center"/>
    </w:trPr>
    <w:tcPr>
      <w:vAlign w:val="center"/>
    </w:tcPr>
  </w:style>
  <w:style w:type="paragraph" w:customStyle="1" w:styleId="91">
    <w:name w:val="样式 样式 样式 样式 首行缩进:  2 字符 + 居中 + (中文) 黑体 五号 首行缩进:  2 字符 + 首行缩进:  2..."/>
    <w:basedOn w:val="1"/>
    <w:autoRedefine/>
    <w:qFormat/>
    <w:uiPriority w:val="0"/>
    <w:pPr>
      <w:spacing w:beforeLines="50" w:line="360" w:lineRule="auto"/>
      <w:jc w:val="center"/>
    </w:pPr>
    <w:rPr>
      <w:rFonts w:eastAsia="黑体" w:cs="宋体"/>
      <w:sz w:val="24"/>
    </w:rPr>
  </w:style>
  <w:style w:type="paragraph" w:customStyle="1" w:styleId="92">
    <w:name w:val="环评 表格"/>
    <w:basedOn w:val="93"/>
    <w:autoRedefine/>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93">
    <w:name w:val="无间隔1"/>
    <w:autoRedefine/>
    <w:qFormat/>
    <w:uiPriority w:val="1"/>
    <w:pPr>
      <w:widowControl w:val="0"/>
      <w:ind w:firstLine="200" w:firstLineChars="200"/>
      <w:jc w:val="both"/>
    </w:pPr>
    <w:rPr>
      <w:rFonts w:ascii="Calibri" w:hAnsi="Calibri" w:eastAsia="宋体" w:cs="Calibri"/>
      <w:kern w:val="2"/>
      <w:sz w:val="24"/>
      <w:szCs w:val="24"/>
      <w:lang w:val="en-US" w:eastAsia="zh-CN" w:bidi="ar-SA"/>
    </w:rPr>
  </w:style>
  <w:style w:type="character" w:customStyle="1" w:styleId="94">
    <w:name w:val="表格标题 Char"/>
    <w:link w:val="95"/>
    <w:autoRedefine/>
    <w:qFormat/>
    <w:uiPriority w:val="0"/>
    <w:rPr>
      <w:rFonts w:eastAsia="黑体"/>
      <w:b/>
      <w:sz w:val="24"/>
    </w:rPr>
  </w:style>
  <w:style w:type="paragraph" w:customStyle="1" w:styleId="95">
    <w:name w:val="表格标题"/>
    <w:basedOn w:val="1"/>
    <w:next w:val="1"/>
    <w:link w:val="94"/>
    <w:autoRedefine/>
    <w:qFormat/>
    <w:uiPriority w:val="0"/>
    <w:pPr>
      <w:adjustRightInd/>
      <w:snapToGrid/>
      <w:spacing w:line="360" w:lineRule="auto"/>
      <w:jc w:val="center"/>
    </w:pPr>
    <w:rPr>
      <w:rFonts w:eastAsia="黑体"/>
      <w:b/>
      <w:kern w:val="0"/>
      <w:sz w:val="24"/>
      <w:szCs w:val="20"/>
    </w:rPr>
  </w:style>
  <w:style w:type="paragraph" w:customStyle="1" w:styleId="96">
    <w:name w:val="Char Char Char Char Char Char Char Char Char1 Char"/>
    <w:basedOn w:val="1"/>
    <w:autoRedefine/>
    <w:semiHidden/>
    <w:qFormat/>
    <w:uiPriority w:val="0"/>
    <w:pPr>
      <w:adjustRightInd/>
      <w:snapToGrid/>
    </w:pPr>
    <w:rPr>
      <w:rFonts w:ascii="宋体" w:hAnsi="宋体" w:cs="Courier New"/>
      <w:sz w:val="32"/>
      <w:szCs w:val="32"/>
    </w:rPr>
  </w:style>
  <w:style w:type="paragraph" w:customStyle="1" w:styleId="97">
    <w:name w:val="_Style 75"/>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98">
    <w:name w:val="表格内容Q Char"/>
    <w:link w:val="99"/>
    <w:autoRedefine/>
    <w:qFormat/>
    <w:uiPriority w:val="0"/>
    <w:rPr>
      <w:sz w:val="21"/>
      <w:szCs w:val="21"/>
    </w:rPr>
  </w:style>
  <w:style w:type="paragraph" w:customStyle="1" w:styleId="99">
    <w:name w:val="表格内容Q"/>
    <w:basedOn w:val="1"/>
    <w:link w:val="98"/>
    <w:autoRedefine/>
    <w:qFormat/>
    <w:uiPriority w:val="0"/>
    <w:pPr>
      <w:adjustRightInd/>
      <w:snapToGrid/>
      <w:jc w:val="center"/>
    </w:pPr>
    <w:rPr>
      <w:kern w:val="0"/>
      <w:szCs w:val="21"/>
    </w:rPr>
  </w:style>
  <w:style w:type="character" w:customStyle="1" w:styleId="100">
    <w:name w:val="表格标题CCW Char"/>
    <w:link w:val="101"/>
    <w:autoRedefine/>
    <w:qFormat/>
    <w:locked/>
    <w:uiPriority w:val="0"/>
    <w:rPr>
      <w:b/>
      <w:sz w:val="24"/>
      <w:lang w:val="en-US" w:eastAsia="zh-CN" w:bidi="ar-SA"/>
    </w:rPr>
  </w:style>
  <w:style w:type="paragraph" w:customStyle="1" w:styleId="101">
    <w:name w:val="表格标题CCW"/>
    <w:link w:val="100"/>
    <w:autoRedefine/>
    <w:qFormat/>
    <w:uiPriority w:val="0"/>
    <w:pPr>
      <w:jc w:val="center"/>
    </w:pPr>
    <w:rPr>
      <w:rFonts w:ascii="Times New Roman" w:hAnsi="Times New Roman" w:eastAsia="宋体" w:cs="Times New Roman"/>
      <w:b/>
      <w:sz w:val="24"/>
      <w:lang w:val="en-US" w:eastAsia="zh-CN" w:bidi="ar-SA"/>
    </w:rPr>
  </w:style>
  <w:style w:type="paragraph" w:customStyle="1" w:styleId="102">
    <w:name w:val="表头（图表题）"/>
    <w:basedOn w:val="1"/>
    <w:next w:val="1"/>
    <w:autoRedefine/>
    <w:qFormat/>
    <w:uiPriority w:val="9"/>
    <w:pPr>
      <w:adjustRightInd/>
      <w:snapToGrid/>
      <w:jc w:val="center"/>
    </w:pPr>
    <w:rPr>
      <w:b/>
      <w:sz w:val="24"/>
      <w:szCs w:val="21"/>
    </w:rPr>
  </w:style>
  <w:style w:type="paragraph" w:customStyle="1" w:styleId="103">
    <w:name w:val="样式 Arial 小四 行距: 固定值 30 磅 首行缩进:  2 字符"/>
    <w:basedOn w:val="1"/>
    <w:autoRedefine/>
    <w:qFormat/>
    <w:uiPriority w:val="0"/>
    <w:pPr>
      <w:adjustRightInd/>
      <w:snapToGrid/>
      <w:spacing w:line="360" w:lineRule="auto"/>
      <w:ind w:firstLine="480" w:firstLineChars="200"/>
    </w:pPr>
    <w:rPr>
      <w:rFonts w:ascii="宋体" w:hAnsi="宋体" w:cs="宋体"/>
      <w:sz w:val="24"/>
    </w:rPr>
  </w:style>
  <w:style w:type="character" w:customStyle="1" w:styleId="104">
    <w:name w:val="Q表格内容 Char"/>
    <w:link w:val="105"/>
    <w:autoRedefine/>
    <w:qFormat/>
    <w:uiPriority w:val="0"/>
    <w:rPr>
      <w:sz w:val="21"/>
      <w:szCs w:val="21"/>
    </w:rPr>
  </w:style>
  <w:style w:type="paragraph" w:customStyle="1" w:styleId="105">
    <w:name w:val="Q表格内容"/>
    <w:basedOn w:val="1"/>
    <w:link w:val="104"/>
    <w:autoRedefine/>
    <w:qFormat/>
    <w:uiPriority w:val="0"/>
    <w:pPr>
      <w:adjustRightInd/>
      <w:snapToGrid/>
      <w:jc w:val="center"/>
    </w:pPr>
    <w:rPr>
      <w:kern w:val="0"/>
      <w:szCs w:val="21"/>
    </w:rPr>
  </w:style>
  <w:style w:type="paragraph" w:customStyle="1" w:styleId="106">
    <w:name w:val="Q表格标题"/>
    <w:basedOn w:val="1"/>
    <w:link w:val="107"/>
    <w:autoRedefine/>
    <w:qFormat/>
    <w:uiPriority w:val="0"/>
    <w:pPr>
      <w:adjustRightInd/>
      <w:snapToGrid/>
      <w:spacing w:line="360" w:lineRule="auto"/>
      <w:jc w:val="center"/>
      <w:outlineLvl w:val="4"/>
    </w:pPr>
    <w:rPr>
      <w:b/>
      <w:sz w:val="24"/>
    </w:rPr>
  </w:style>
  <w:style w:type="character" w:customStyle="1" w:styleId="107">
    <w:name w:val="Q表格标题 Char"/>
    <w:link w:val="106"/>
    <w:autoRedefine/>
    <w:qFormat/>
    <w:uiPriority w:val="0"/>
    <w:rPr>
      <w:b/>
      <w:kern w:val="2"/>
      <w:sz w:val="24"/>
      <w:szCs w:val="24"/>
    </w:rPr>
  </w:style>
  <w:style w:type="paragraph" w:customStyle="1" w:styleId="108">
    <w:name w:val="表正文"/>
    <w:basedOn w:val="1"/>
    <w:autoRedefine/>
    <w:qFormat/>
    <w:uiPriority w:val="0"/>
    <w:pPr>
      <w:adjustRightInd/>
      <w:snapToGrid/>
      <w:spacing w:line="360" w:lineRule="auto"/>
      <w:ind w:firstLine="200" w:firstLineChars="200"/>
    </w:pPr>
    <w:rPr>
      <w:sz w:val="24"/>
    </w:rPr>
  </w:style>
  <w:style w:type="character" w:customStyle="1" w:styleId="109">
    <w:name w:val="正文文本缩进 字符"/>
    <w:autoRedefine/>
    <w:semiHidden/>
    <w:qFormat/>
    <w:locked/>
    <w:uiPriority w:val="0"/>
    <w:rPr>
      <w:rFonts w:ascii="Times New Roman" w:hAnsi="Times New Roman" w:eastAsia="宋体"/>
      <w:sz w:val="24"/>
    </w:rPr>
  </w:style>
  <w:style w:type="character" w:customStyle="1" w:styleId="110">
    <w:name w:val="书籍标题1"/>
    <w:autoRedefine/>
    <w:qFormat/>
    <w:uiPriority w:val="33"/>
    <w:rPr>
      <w:b/>
      <w:bCs/>
      <w:i/>
      <w:iCs/>
      <w:spacing w:val="5"/>
    </w:rPr>
  </w:style>
  <w:style w:type="character" w:customStyle="1" w:styleId="111">
    <w:name w:val="普通(网站) 字符"/>
    <w:autoRedefine/>
    <w:qFormat/>
    <w:locked/>
    <w:uiPriority w:val="0"/>
    <w:rPr>
      <w:rFonts w:ascii="宋体" w:hAnsi="宋体" w:eastAsia="宋体"/>
      <w:sz w:val="24"/>
    </w:rPr>
  </w:style>
  <w:style w:type="character" w:customStyle="1" w:styleId="112">
    <w:name w:val="表格标题 Char1"/>
    <w:autoRedefine/>
    <w:qFormat/>
    <w:uiPriority w:val="0"/>
    <w:rPr>
      <w:b/>
      <w:sz w:val="24"/>
      <w:szCs w:val="24"/>
    </w:rPr>
  </w:style>
  <w:style w:type="character" w:customStyle="1" w:styleId="113">
    <w:name w:val="表格内容 Char1"/>
    <w:autoRedefine/>
    <w:qFormat/>
    <w:uiPriority w:val="0"/>
    <w:rPr>
      <w:rFonts w:ascii="宋体" w:hAnsi="宋体" w:eastAsia="宋体"/>
      <w:kern w:val="0"/>
      <w:sz w:val="21"/>
    </w:rPr>
  </w:style>
  <w:style w:type="character" w:customStyle="1" w:styleId="114">
    <w:name w:val="表格内容 Char"/>
    <w:autoRedefine/>
    <w:qFormat/>
    <w:uiPriority w:val="0"/>
    <w:rPr>
      <w:kern w:val="2"/>
      <w:sz w:val="21"/>
      <w:szCs w:val="22"/>
    </w:rPr>
  </w:style>
  <w:style w:type="paragraph" w:customStyle="1" w:styleId="115">
    <w:name w:val="标题3"/>
    <w:basedOn w:val="1"/>
    <w:autoRedefine/>
    <w:qFormat/>
    <w:uiPriority w:val="0"/>
    <w:pPr>
      <w:adjustRightInd/>
      <w:snapToGrid/>
      <w:spacing w:line="360" w:lineRule="auto"/>
      <w:outlineLvl w:val="2"/>
    </w:pPr>
    <w:rPr>
      <w:b/>
      <w:sz w:val="24"/>
    </w:rPr>
  </w:style>
  <w:style w:type="paragraph" w:customStyle="1" w:styleId="116">
    <w:name w:val="5段落"/>
    <w:basedOn w:val="1"/>
    <w:autoRedefine/>
    <w:qFormat/>
    <w:uiPriority w:val="0"/>
    <w:pPr>
      <w:adjustRightInd/>
      <w:snapToGrid/>
    </w:pPr>
    <w:rPr>
      <w:szCs w:val="28"/>
    </w:rPr>
  </w:style>
  <w:style w:type="paragraph" w:customStyle="1" w:styleId="117">
    <w:name w:val="5 正文"/>
    <w:basedOn w:val="1"/>
    <w:autoRedefine/>
    <w:qFormat/>
    <w:uiPriority w:val="0"/>
    <w:pPr>
      <w:widowControl/>
      <w:tabs>
        <w:tab w:val="left" w:pos="1980"/>
        <w:tab w:val="left" w:pos="3825"/>
        <w:tab w:val="left" w:pos="4680"/>
      </w:tabs>
      <w:adjustRightInd/>
      <w:snapToGrid/>
      <w:spacing w:line="360" w:lineRule="auto"/>
      <w:ind w:firstLine="480" w:firstLineChars="200"/>
    </w:pPr>
    <w:rPr>
      <w:kern w:val="0"/>
      <w:sz w:val="24"/>
      <w:szCs w:val="21"/>
      <w:lang w:eastAsia="en-US" w:bidi="en-US"/>
    </w:rPr>
  </w:style>
  <w:style w:type="paragraph" w:customStyle="1" w:styleId="118">
    <w:name w:val="样式 首行缩进:  2 字符1"/>
    <w:basedOn w:val="1"/>
    <w:autoRedefine/>
    <w:qFormat/>
    <w:uiPriority w:val="0"/>
    <w:pPr>
      <w:spacing w:line="360" w:lineRule="auto"/>
      <w:ind w:firstLine="480" w:firstLineChars="200"/>
    </w:pPr>
    <w:rPr>
      <w:rFonts w:hint="eastAsia" w:ascii="宋体" w:hAnsi="宋体"/>
      <w:sz w:val="24"/>
      <w:szCs w:val="20"/>
    </w:rPr>
  </w:style>
  <w:style w:type="paragraph" w:customStyle="1" w:styleId="119">
    <w:name w:val="6表格"/>
    <w:basedOn w:val="1"/>
    <w:autoRedefine/>
    <w:qFormat/>
    <w:uiPriority w:val="0"/>
    <w:pPr>
      <w:adjustRightInd/>
      <w:snapToGrid/>
      <w:jc w:val="center"/>
    </w:pPr>
  </w:style>
  <w:style w:type="character" w:customStyle="1" w:styleId="120">
    <w:name w:val="正文（小四） Char"/>
    <w:link w:val="121"/>
    <w:autoRedefine/>
    <w:qFormat/>
    <w:uiPriority w:val="0"/>
    <w:rPr>
      <w:bCs/>
      <w:color w:val="000000"/>
      <w:kern w:val="2"/>
      <w:sz w:val="24"/>
      <w:szCs w:val="32"/>
    </w:rPr>
  </w:style>
  <w:style w:type="paragraph" w:customStyle="1" w:styleId="121">
    <w:name w:val="正文（小四）"/>
    <w:link w:val="120"/>
    <w:autoRedefine/>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22">
    <w:name w:val="表格文字"/>
    <w:basedOn w:val="1"/>
    <w:autoRedefine/>
    <w:qFormat/>
    <w:uiPriority w:val="0"/>
    <w:pPr>
      <w:jc w:val="center"/>
    </w:pPr>
  </w:style>
  <w:style w:type="paragraph" w:customStyle="1" w:styleId="123">
    <w:name w:val="主体"/>
    <w:autoRedefine/>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paragraph" w:customStyle="1" w:styleId="124">
    <w:name w:val="常用"/>
    <w:basedOn w:val="1"/>
    <w:autoRedefine/>
    <w:qFormat/>
    <w:uiPriority w:val="0"/>
    <w:pPr>
      <w:spacing w:line="360" w:lineRule="auto"/>
      <w:ind w:firstLine="200" w:firstLineChars="200"/>
    </w:pPr>
    <w:rPr>
      <w:rFonts w:ascii="宋体" w:hAnsi="宋体"/>
      <w:kern w:val="0"/>
      <w:sz w:val="28"/>
      <w:szCs w:val="28"/>
    </w:rPr>
  </w:style>
  <w:style w:type="paragraph" w:customStyle="1" w:styleId="125">
    <w:name w:val="0正文"/>
    <w:autoRedefine/>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26">
    <w:name w:val="表头"/>
    <w:basedOn w:val="70"/>
    <w:next w:val="1"/>
    <w:autoRedefine/>
    <w:qFormat/>
    <w:uiPriority w:val="0"/>
    <w:pPr>
      <w:spacing w:beforeLines="50" w:afterLines="50" w:line="240" w:lineRule="auto"/>
    </w:pPr>
    <w:rPr>
      <w:rFonts w:ascii="Times New Roman"/>
      <w:b/>
      <w:sz w:val="24"/>
    </w:rPr>
  </w:style>
  <w:style w:type="paragraph" w:customStyle="1" w:styleId="127">
    <w:name w:val="样式 正文缩进正文缩进2正文缩进 Char Char正文缩进 Char Char Char Char正文缩进 Char ..."/>
    <w:basedOn w:val="15"/>
    <w:autoRedefine/>
    <w:qFormat/>
    <w:uiPriority w:val="0"/>
    <w:pPr>
      <w:spacing w:line="360" w:lineRule="auto"/>
      <w:ind w:firstLine="200"/>
    </w:pPr>
    <w:rPr>
      <w:rFonts w:ascii="Calibri" w:hAnsi="Calibri" w:cs="宋体"/>
      <w:szCs w:val="22"/>
    </w:rPr>
  </w:style>
  <w:style w:type="paragraph" w:customStyle="1" w:styleId="128">
    <w:name w:val="正文123"/>
    <w:basedOn w:val="1"/>
    <w:next w:val="24"/>
    <w:autoRedefine/>
    <w:qFormat/>
    <w:uiPriority w:val="0"/>
    <w:pPr>
      <w:wordWrap w:val="0"/>
      <w:spacing w:line="360" w:lineRule="auto"/>
      <w:ind w:firstLine="480" w:firstLineChars="200"/>
    </w:pPr>
    <w:rPr>
      <w:sz w:val="24"/>
    </w:rPr>
  </w:style>
  <w:style w:type="paragraph" w:customStyle="1" w:styleId="129">
    <w:name w:val="正文(首行缩进)"/>
    <w:basedOn w:val="1"/>
    <w:autoRedefine/>
    <w:qFormat/>
    <w:uiPriority w:val="0"/>
    <w:pPr>
      <w:widowControl/>
      <w:spacing w:line="360" w:lineRule="auto"/>
      <w:ind w:firstLine="200" w:firstLineChars="200"/>
      <w:jc w:val="left"/>
    </w:pPr>
    <w:rPr>
      <w:rFonts w:ascii="宋体" w:hAnsi="宋体" w:cs="宋体"/>
      <w:snapToGrid w:val="0"/>
      <w:kern w:val="0"/>
      <w:sz w:val="24"/>
    </w:rPr>
  </w:style>
  <w:style w:type="paragraph" w:customStyle="1" w:styleId="130">
    <w:name w:val="0.正文内容"/>
    <w:basedOn w:val="1"/>
    <w:autoRedefine/>
    <w:qFormat/>
    <w:uiPriority w:val="0"/>
    <w:pPr>
      <w:widowControl/>
      <w:spacing w:line="360" w:lineRule="auto"/>
      <w:ind w:firstLine="200" w:firstLineChars="200"/>
      <w:jc w:val="left"/>
    </w:pPr>
    <w:rPr>
      <w:rFonts w:ascii="TimesNewRoman" w:hAnsi="TimesNewRoman"/>
      <w:kern w:val="0"/>
      <w:sz w:val="24"/>
      <w:szCs w:val="20"/>
    </w:rPr>
  </w:style>
  <w:style w:type="paragraph" w:customStyle="1" w:styleId="131">
    <w:name w:val="正文1"/>
    <w:basedOn w:val="20"/>
    <w:autoRedefine/>
    <w:qFormat/>
    <w:uiPriority w:val="0"/>
    <w:pPr>
      <w:ind w:firstLine="200" w:firstLineChars="200"/>
    </w:pPr>
    <w:rPr>
      <w:rFonts w:cs="宋体"/>
    </w:rPr>
  </w:style>
  <w:style w:type="table" w:customStyle="1" w:styleId="132">
    <w:name w:val="Table Normal"/>
    <w:autoRedefine/>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33">
    <w:name w:val="11111表土"/>
    <w:basedOn w:val="1"/>
    <w:autoRedefine/>
    <w:qFormat/>
    <w:uiPriority w:val="0"/>
    <w:pPr>
      <w:widowControl/>
      <w:jc w:val="center"/>
    </w:pPr>
    <w:rPr>
      <w:rFonts w:eastAsia="黑体"/>
      <w:kern w:val="0"/>
      <w:sz w:val="24"/>
    </w:rPr>
  </w:style>
  <w:style w:type="paragraph" w:customStyle="1" w:styleId="134">
    <w:name w:val="正文（）"/>
    <w:basedOn w:val="1"/>
    <w:autoRedefine/>
    <w:qFormat/>
    <w:uiPriority w:val="0"/>
    <w:pPr>
      <w:spacing w:line="360" w:lineRule="auto"/>
      <w:ind w:firstLine="200" w:firstLineChars="200"/>
    </w:pPr>
    <w:rPr>
      <w:color w:val="5B9BD5"/>
      <w:sz w:val="24"/>
      <w:szCs w:val="20"/>
    </w:rPr>
  </w:style>
  <w:style w:type="paragraph" w:customStyle="1" w:styleId="135">
    <w:name w:val="金皇-表格内文字"/>
    <w:basedOn w:val="1"/>
    <w:autoRedefine/>
    <w:qFormat/>
    <w:uiPriority w:val="0"/>
    <w:pPr>
      <w:tabs>
        <w:tab w:val="left" w:pos="0"/>
      </w:tabs>
      <w:jc w:val="center"/>
    </w:pPr>
    <w:rPr>
      <w:snapToGrid w:val="0"/>
    </w:rPr>
  </w:style>
  <w:style w:type="paragraph" w:customStyle="1" w:styleId="136">
    <w:name w:val="正文样式"/>
    <w:basedOn w:val="1"/>
    <w:autoRedefine/>
    <w:unhideWhenUsed/>
    <w:qFormat/>
    <w:uiPriority w:val="0"/>
    <w:pPr>
      <w:spacing w:line="360" w:lineRule="auto"/>
      <w:ind w:firstLine="720" w:firstLineChars="200"/>
    </w:pPr>
    <w:rPr>
      <w:sz w:val="24"/>
    </w:rPr>
  </w:style>
  <w:style w:type="paragraph" w:customStyle="1" w:styleId="137">
    <w:name w:val="金皇——正文"/>
    <w:basedOn w:val="1"/>
    <w:autoRedefine/>
    <w:qFormat/>
    <w:uiPriority w:val="0"/>
    <w:pPr>
      <w:spacing w:line="360" w:lineRule="auto"/>
      <w:ind w:firstLine="480" w:firstLineChars="200"/>
    </w:pPr>
    <w:rPr>
      <w:kern w:val="0"/>
      <w:sz w:val="24"/>
    </w:rPr>
  </w:style>
  <w:style w:type="paragraph" w:customStyle="1" w:styleId="138">
    <w:name w:val="表格固定文字"/>
    <w:basedOn w:val="1"/>
    <w:autoRedefine/>
    <w:unhideWhenUsed/>
    <w:qFormat/>
    <w:uiPriority w:val="0"/>
  </w:style>
  <w:style w:type="paragraph" w:customStyle="1" w:styleId="139">
    <w:name w:val="6表(图)头(治)"/>
    <w:next w:val="1"/>
    <w:autoRedefine/>
    <w:qFormat/>
    <w:uiPriority w:val="0"/>
    <w:pPr>
      <w:widowControl w:val="0"/>
      <w:jc w:val="center"/>
    </w:pPr>
    <w:rPr>
      <w:rFonts w:ascii="Times New Roman" w:hAnsi="Times New Roman" w:eastAsia="黑体" w:cs="Times New Roman"/>
      <w:b/>
      <w:kern w:val="2"/>
      <w:sz w:val="24"/>
      <w:szCs w:val="28"/>
      <w:lang w:val="en-US" w:eastAsia="zh-CN" w:bidi="ar-SA"/>
    </w:rPr>
  </w:style>
  <w:style w:type="paragraph" w:customStyle="1" w:styleId="140">
    <w:name w:val="金皇-正文"/>
    <w:basedOn w:val="1"/>
    <w:autoRedefine/>
    <w:qFormat/>
    <w:uiPriority w:val="0"/>
    <w:pPr>
      <w:spacing w:line="360" w:lineRule="auto"/>
      <w:ind w:firstLine="200" w:firstLineChars="200"/>
    </w:pPr>
    <w:rPr>
      <w:sz w:val="24"/>
    </w:rPr>
  </w:style>
  <w:style w:type="paragraph" w:customStyle="1" w:styleId="141">
    <w:name w:val="111正文的格式"/>
    <w:basedOn w:val="1"/>
    <w:autoRedefine/>
    <w:qFormat/>
    <w:uiPriority w:val="0"/>
    <w:pPr>
      <w:widowControl/>
      <w:spacing w:beforeLines="50" w:afterLines="50" w:line="360" w:lineRule="auto"/>
      <w:ind w:firstLine="200" w:firstLineChars="200"/>
    </w:pPr>
    <w:rPr>
      <w:color w:val="000000"/>
      <w:sz w:val="24"/>
    </w:rPr>
  </w:style>
  <w:style w:type="paragraph" w:customStyle="1" w:styleId="142">
    <w:name w:val="正文内容"/>
    <w:basedOn w:val="1"/>
    <w:autoRedefine/>
    <w:qFormat/>
    <w:uiPriority w:val="0"/>
    <w:pPr>
      <w:widowControl/>
      <w:spacing w:line="360" w:lineRule="auto"/>
      <w:ind w:firstLine="200" w:firstLineChars="200"/>
    </w:pPr>
    <w:rPr>
      <w:kern w:val="0"/>
      <w:szCs w:val="20"/>
    </w:rPr>
  </w:style>
  <w:style w:type="paragraph" w:customStyle="1" w:styleId="143">
    <w:name w:val="中文报告书样式"/>
    <w:basedOn w:val="1"/>
    <w:autoRedefine/>
    <w:qFormat/>
    <w:uiPriority w:val="0"/>
    <w:pPr>
      <w:spacing w:after="160" w:line="480" w:lineRule="atLeast"/>
      <w:ind w:firstLine="482"/>
      <w:textAlignment w:val="baseline"/>
    </w:pPr>
    <w:rPr>
      <w:kern w:val="24"/>
      <w:szCs w:val="20"/>
    </w:rPr>
  </w:style>
  <w:style w:type="paragraph" w:customStyle="1" w:styleId="144">
    <w:name w:val="金皇表（图）头"/>
    <w:basedOn w:val="1"/>
    <w:autoRedefine/>
    <w:qFormat/>
    <w:uiPriority w:val="0"/>
    <w:pPr>
      <w:jc w:val="center"/>
      <w:outlineLvl w:val="4"/>
    </w:pPr>
    <w:rPr>
      <w:rFonts w:eastAsia="黑体"/>
      <w:b/>
      <w:sz w:val="24"/>
    </w:rPr>
  </w:style>
  <w:style w:type="paragraph" w:customStyle="1" w:styleId="145">
    <w:name w:val="CM11"/>
    <w:basedOn w:val="1"/>
    <w:next w:val="1"/>
    <w:autoRedefine/>
    <w:qFormat/>
    <w:uiPriority w:val="0"/>
    <w:pPr>
      <w:autoSpaceDE w:val="0"/>
      <w:autoSpaceDN w:val="0"/>
      <w:spacing w:line="520" w:lineRule="atLeast"/>
      <w:jc w:val="left"/>
    </w:pPr>
    <w:rPr>
      <w:rFonts w:ascii="宋体"/>
      <w:kern w:val="0"/>
      <w:sz w:val="24"/>
    </w:rPr>
  </w:style>
  <w:style w:type="paragraph" w:customStyle="1" w:styleId="146">
    <w:name w:val="5文章正文"/>
    <w:basedOn w:val="1"/>
    <w:autoRedefine/>
    <w:qFormat/>
    <w:uiPriority w:val="0"/>
    <w:pPr>
      <w:widowControl/>
      <w:spacing w:after="200" w:line="360" w:lineRule="auto"/>
      <w:ind w:firstLine="200" w:firstLineChars="200"/>
      <w:jc w:val="left"/>
    </w:pPr>
    <w:rPr>
      <w:rFonts w:ascii="Tahoma" w:hAnsi="Tahoma"/>
      <w:kern w:val="0"/>
      <w:sz w:val="24"/>
      <w:szCs w:val="20"/>
    </w:rPr>
  </w:style>
  <w:style w:type="paragraph" w:customStyle="1" w:styleId="147">
    <w:name w:val="3标题(治)"/>
    <w:basedOn w:val="5"/>
    <w:autoRedefine/>
    <w:qFormat/>
    <w:uiPriority w:val="0"/>
    <w:pPr>
      <w:textAlignment w:val="baseline"/>
      <w:outlineLvl w:val="1"/>
    </w:pPr>
    <w:rPr>
      <w:rFonts w:eastAsia="黑体"/>
      <w:sz w:val="28"/>
    </w:rPr>
  </w:style>
  <w:style w:type="paragraph" w:customStyle="1" w:styleId="148">
    <w:name w:val="5文章(治)"/>
    <w:basedOn w:val="146"/>
    <w:autoRedefine/>
    <w:qFormat/>
    <w:uiPriority w:val="0"/>
    <w:pPr>
      <w:tabs>
        <w:tab w:val="left" w:pos="4500"/>
      </w:tabs>
      <w:ind w:firstLine="560"/>
    </w:pPr>
    <w:rPr>
      <w:rFonts w:eastAsia="楷体_GB2312"/>
      <w:snapToGrid w:val="0"/>
      <w:color w:val="000000"/>
      <w:kern w:val="44"/>
      <w:sz w:val="28"/>
    </w:rPr>
  </w:style>
  <w:style w:type="paragraph" w:customStyle="1" w:styleId="149">
    <w:name w:val="J报告表正文"/>
    <w:autoRedefine/>
    <w:qFormat/>
    <w:uiPriority w:val="0"/>
    <w:pPr>
      <w:spacing w:line="360" w:lineRule="auto"/>
      <w:ind w:firstLine="200" w:firstLineChars="200"/>
      <w:jc w:val="both"/>
    </w:pPr>
    <w:rPr>
      <w:rFonts w:ascii="Times New Roman" w:hAnsi="Times New Roman" w:eastAsia="宋体" w:cs="宋体"/>
      <w:snapToGrid w:val="0"/>
      <w:sz w:val="21"/>
      <w:lang w:val="en-US" w:eastAsia="zh-CN" w:bidi="ar-SA"/>
    </w:rPr>
  </w:style>
  <w:style w:type="paragraph" w:customStyle="1" w:styleId="150">
    <w:name w:val="5文章(金皇)"/>
    <w:basedOn w:val="1"/>
    <w:autoRedefine/>
    <w:qFormat/>
    <w:uiPriority w:val="0"/>
    <w:pPr>
      <w:spacing w:line="360" w:lineRule="auto"/>
      <w:ind w:firstLine="480" w:firstLineChars="200"/>
    </w:pPr>
    <w:rPr>
      <w:sz w:val="24"/>
      <w:szCs w:val="20"/>
    </w:rPr>
  </w:style>
  <w:style w:type="paragraph" w:customStyle="1" w:styleId="151">
    <w:name w:val="金皇-表（图）头"/>
    <w:basedOn w:val="1"/>
    <w:autoRedefine/>
    <w:qFormat/>
    <w:uiPriority w:val="0"/>
    <w:pPr>
      <w:jc w:val="center"/>
    </w:pPr>
    <w:rPr>
      <w:rFonts w:eastAsia="黑体"/>
      <w:b/>
      <w:kern w:val="0"/>
      <w:sz w:val="24"/>
      <w:szCs w:val="20"/>
    </w:rPr>
  </w:style>
  <w:style w:type="paragraph" w:customStyle="1" w:styleId="152">
    <w:name w:val="正文Z"/>
    <w:basedOn w:val="1"/>
    <w:autoRedefine/>
    <w:qFormat/>
    <w:uiPriority w:val="0"/>
    <w:pPr>
      <w:spacing w:line="360" w:lineRule="auto"/>
      <w:ind w:firstLine="200" w:firstLineChars="200"/>
    </w:pPr>
    <w:rPr>
      <w:sz w:val="24"/>
    </w:rPr>
  </w:style>
  <w:style w:type="paragraph" w:customStyle="1" w:styleId="153">
    <w:name w:val="金皇——表内文字"/>
    <w:basedOn w:val="135"/>
    <w:autoRedefine/>
    <w:qFormat/>
    <w:uiPriority w:val="0"/>
  </w:style>
  <w:style w:type="paragraph" w:customStyle="1" w:styleId="154">
    <w:name w:val="7表格(治)"/>
    <w:autoRedefine/>
    <w:qFormat/>
    <w:uiPriority w:val="0"/>
    <w:pPr>
      <w:widowControl w:val="0"/>
      <w:tabs>
        <w:tab w:val="center" w:pos="4153"/>
        <w:tab w:val="right" w:pos="8306"/>
      </w:tabs>
      <w:suppressAutoHyphens/>
      <w:snapToGrid w:val="0"/>
      <w:jc w:val="center"/>
    </w:pPr>
    <w:rPr>
      <w:rFonts w:ascii="Times New Roman" w:hAnsi="Times New Roman" w:eastAsia="楷体_GB2312" w:cs="宋体"/>
      <w:kern w:val="2"/>
      <w:sz w:val="21"/>
      <w:szCs w:val="36"/>
      <w:lang w:val="en-US" w:eastAsia="zh-CN" w:bidi="ar-SA"/>
    </w:rPr>
  </w:style>
  <w:style w:type="character" w:customStyle="1" w:styleId="155">
    <w:name w:val="目录 1 Char"/>
    <w:link w:val="29"/>
    <w:autoRedefine/>
    <w:qFormat/>
    <w:uiPriority w:val="0"/>
  </w:style>
  <w:style w:type="paragraph" w:customStyle="1" w:styleId="156">
    <w:name w:val="报告"/>
    <w:basedOn w:val="1"/>
    <w:autoRedefine/>
    <w:qFormat/>
    <w:uiPriority w:val="0"/>
    <w:pPr>
      <w:overflowPunct w:val="0"/>
      <w:autoSpaceDE w:val="0"/>
      <w:autoSpaceDN w:val="0"/>
      <w:spacing w:before="60" w:after="60" w:line="400" w:lineRule="atLeast"/>
      <w:ind w:firstLine="200" w:firstLineChars="200"/>
      <w:textAlignment w:val="baseline"/>
    </w:pPr>
  </w:style>
  <w:style w:type="paragraph" w:styleId="157">
    <w:name w:val="No Spacing"/>
    <w:basedOn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8">
    <w:name w:val="Table Text"/>
    <w:basedOn w:val="1"/>
    <w:semiHidden/>
    <w:qFormat/>
    <w:uiPriority w:val="0"/>
    <w:rPr>
      <w:rFonts w:ascii="宋体" w:hAnsi="宋体" w:eastAsia="宋体" w:cs="宋体"/>
      <w:sz w:val="21"/>
      <w:szCs w:val="21"/>
      <w:lang w:val="en-US" w:eastAsia="en-US" w:bidi="ar-SA"/>
    </w:rPr>
  </w:style>
  <w:style w:type="paragraph" w:customStyle="1" w:styleId="159">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16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61">
    <w:name w:val="正文样式-zsy"/>
    <w:basedOn w:val="136"/>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62">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63">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164">
    <w:name w:val="表头样式"/>
    <w:basedOn w:val="1"/>
    <w:next w:val="1"/>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65">
    <w:name w:val="5文章"/>
    <w:basedOn w:val="1"/>
    <w:qFormat/>
    <w:uiPriority w:val="0"/>
    <w:pPr>
      <w:ind w:firstLine="560"/>
    </w:pPr>
    <w:rPr>
      <w:rFonts w:ascii="Calibri" w:hAnsi="Calibri" w:eastAsia="宋体" w:cs="Times New Roman"/>
      <w:szCs w:val="28"/>
    </w:rPr>
  </w:style>
  <w:style w:type="paragraph" w:customStyle="1" w:styleId="166">
    <w:name w:val="111"/>
    <w:basedOn w:val="1"/>
    <w:qFormat/>
    <w:uiPriority w:val="0"/>
    <w:pPr>
      <w:adjustRightInd w:val="0"/>
      <w:snapToGrid w:val="0"/>
    </w:pPr>
    <w:rPr>
      <w:sz w:val="28"/>
    </w:rPr>
  </w:style>
  <w:style w:type="paragraph" w:customStyle="1" w:styleId="16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4" textRotate="1"/>
    <customShpInfo spid="_x0000_s2055" textRotate="1"/>
    <customShpInfo spid="_x0000_s2056" textRotate="1"/>
    <customShpInfo spid="_x0000_s2057" textRotate="1"/>
    <customShpInfo spid="_x0000_s1316"/>
    <customShpInfo spid="_x0000_s1318"/>
    <customShpInfo spid="_x0000_s1323"/>
    <customShpInfo spid="_x0000_s1325"/>
    <customShpInfo spid="_x0000_s1327"/>
    <customShpInfo spid="_x0000_s1331"/>
    <customShpInfo spid="_x0000_s1333"/>
    <customShpInfo spid="_x0000_s1337"/>
    <customShpInfo spid="_x0000_s1317"/>
    <customShpInfo spid="_x0000_s1319"/>
    <customShpInfo spid="_x0000_s1320"/>
    <customShpInfo spid="_x0000_s1321"/>
    <customShpInfo spid="_x0000_s1322"/>
    <customShpInfo spid="_x0000_s1324"/>
    <customShpInfo spid="_x0000_s1326"/>
    <customShpInfo spid="_x0000_s1328"/>
    <customShpInfo spid="_x0000_s1329"/>
    <customShpInfo spid="_x0000_s1330"/>
    <customShpInfo spid="_x0000_s1332"/>
    <customShpInfo spid="_x0000_s1334"/>
    <customShpInfo spid="_x0000_s1335"/>
    <customShpInfo spid="_x0000_s1336"/>
    <customShpInfo spid="_x0000_s1338"/>
    <customShpInfo spid="_x0000_s1339"/>
    <customShpInfo spid="_x0000_s1278"/>
    <customShpInfo spid="_x0000_s1284"/>
    <customShpInfo spid="_x0000_s1279"/>
    <customShpInfo spid="_x0000_s1280"/>
    <customShpInfo spid="_x0000_s1296"/>
    <customShpInfo spid="_x0000_s1298"/>
    <customShpInfo spid="_x0000_s1294"/>
    <customShpInfo spid="_x0000_s1287"/>
    <customShpInfo spid="_x0000_s1286"/>
    <customShpInfo spid="_x0000_s1291"/>
    <customShpInfo spid="_x0000_s1285"/>
    <customShpInfo spid="_x0000_s1288"/>
    <customShpInfo spid="_x0000_s1297"/>
    <customShpInfo spid="_x0000_s1295"/>
    <customShpInfo spid="_x0000_s1299"/>
    <customShpInfo spid="_x0000_s1281"/>
    <customShpInfo spid="_x0000_s1283"/>
    <customShpInfo spid="_x0000_s1282"/>
    <customShpInfo spid="_x0000_s1290"/>
    <customShpInfo spid="_x0000_s1289"/>
    <customShpInfo spid="_x0000_s1292"/>
    <customShpInfo spid="_x0000_s1304"/>
    <customShpInfo spid="_x0000_s1301"/>
    <customShpInfo spid="_x0000_s1306"/>
    <customShpInfo spid="_x0000_s1293"/>
    <customShpInfo spid="_x0000_s1311"/>
    <customShpInfo spid="_x0000_s1308"/>
    <customShpInfo spid="_x0000_s1313"/>
    <customShpInfo spid="_x0000_s1303"/>
    <customShpInfo spid="_x0000_s1302"/>
    <customShpInfo spid="_x0000_s1305"/>
    <customShpInfo spid="_x0000_s1300"/>
    <customShpInfo spid="_x0000_s1310"/>
    <customShpInfo spid="_x0000_s1309"/>
    <customShpInfo spid="_x0000_s1312"/>
    <customShpInfo spid="_x0000_s1307"/>
    <customShpInfo spid="_x0000_s1314"/>
    <customShpInfo spid="_x0000_s13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89</Pages>
  <Words>814</Words>
  <Characters>884</Characters>
  <Lines>389</Lines>
  <Paragraphs>109</Paragraphs>
  <TotalTime>7</TotalTime>
  <ScaleCrop>false</ScaleCrop>
  <LinksUpToDate>false</LinksUpToDate>
  <CharactersWithSpaces>1087</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2022-06-03T10:46:00Z</dcterms:created>
  <dc:creator>环环（微信号：eianet2016）</dc:creator>
  <cp:lastModifiedBy>admin</cp:lastModifiedBy>
  <cp:lastPrinted>2022-06-03T10:47:00Z</cp:lastPrinted>
  <dcterms:modified xsi:type="dcterms:W3CDTF">2025-04-15T09:04:56Z</dcterms:modified>
  <dc:title>建设项目环境影响报告表（污染影响类-填写指南）</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52AAC91B3E2148E398151AF998355730</vt:lpwstr>
  </property>
  <property fmtid="{D5CDD505-2E9C-101B-9397-08002B2CF9AE}" pid="4" name="KSOTemplateDocerSaveRecord">
    <vt:lpwstr>eyJoZGlkIjoiYTU3MWNkNTFkYjk3NWUyMGQyNzM2MTRiMTg1MTI2NDciLCJ1c2VySWQiOiI0ODY3MzMxMjkifQ==</vt:lpwstr>
  </property>
  <property fmtid="{D5CDD505-2E9C-101B-9397-08002B2CF9AE}" pid="5" name="hmcheck_markmode">
    <vt:i4>0</vt:i4>
  </property>
  <property fmtid="{D5CDD505-2E9C-101B-9397-08002B2CF9AE}" pid="6" name="hmcheck_taskpanetype">
    <vt:i4>1</vt:i4>
  </property>
</Properties>
</file>